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sz w:val="72"/>
          <w:szCs w:val="72"/>
        </w:rPr>
      </w:pPr>
      <w:bookmarkStart w:id="0" w:name="_Toc15396597"/>
      <w:bookmarkStart w:id="1" w:name="_Toc15377425"/>
      <w:bookmarkStart w:id="2" w:name="_Toc15396475"/>
      <w:bookmarkStart w:id="3" w:name="_Toc15378441"/>
      <w:bookmarkStart w:id="4" w:name="_Toc15377193"/>
      <w:bookmarkStart w:id="5" w:name="_Toc15306267"/>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adjustRightInd w:val="0"/>
        <w:snapToGrid w:val="0"/>
        <w:spacing w:line="360" w:lineRule="auto"/>
        <w:jc w:val="center"/>
        <w:outlineLvl w:val="0"/>
        <w:rPr>
          <w:rFonts w:eastAsia="方正小标宋简体" w:cs="方正小标宋简体"/>
          <w:sz w:val="72"/>
          <w:szCs w:val="72"/>
        </w:rPr>
      </w:pPr>
      <w:r>
        <w:rPr>
          <w:rFonts w:hint="eastAsia" w:eastAsia="方正小标宋简体" w:cs="方正小标宋简体"/>
          <w:sz w:val="72"/>
          <w:szCs w:val="72"/>
        </w:rPr>
        <w:t>2023年度</w:t>
      </w:r>
      <w:bookmarkEnd w:id="0"/>
      <w:bookmarkEnd w:id="1"/>
      <w:bookmarkEnd w:id="2"/>
      <w:bookmarkEnd w:id="3"/>
      <w:bookmarkEnd w:id="4"/>
    </w:p>
    <w:p>
      <w:pPr>
        <w:adjustRightInd w:val="0"/>
        <w:snapToGrid w:val="0"/>
        <w:spacing w:line="360" w:lineRule="auto"/>
        <w:jc w:val="center"/>
        <w:outlineLvl w:val="0"/>
        <w:rPr>
          <w:rFonts w:eastAsia="方正小标宋简体" w:cs="方正小标宋简体"/>
          <w:sz w:val="48"/>
          <w:szCs w:val="48"/>
        </w:rPr>
      </w:pPr>
      <w:bookmarkStart w:id="6" w:name="_Toc15378442"/>
      <w:bookmarkStart w:id="7" w:name="_Toc15396598"/>
      <w:bookmarkStart w:id="8" w:name="_Toc15377426"/>
      <w:bookmarkStart w:id="9" w:name="_Toc15396476"/>
      <w:bookmarkStart w:id="10" w:name="_Toc15377194"/>
      <w:r>
        <w:rPr>
          <w:rFonts w:hint="eastAsia" w:eastAsia="方正小标宋简体" w:cs="方正小标宋简体"/>
          <w:sz w:val="48"/>
          <w:szCs w:val="48"/>
        </w:rPr>
        <w:t>四川省</w:t>
      </w:r>
      <w:bookmarkEnd w:id="5"/>
      <w:bookmarkStart w:id="11" w:name="_Toc15306268"/>
      <w:r>
        <w:rPr>
          <w:rFonts w:hint="eastAsia" w:eastAsia="方正小标宋简体" w:cs="方正小标宋简体"/>
          <w:sz w:val="48"/>
          <w:szCs w:val="48"/>
        </w:rPr>
        <w:t>遂宁市安居区横山镇人民政府</w:t>
      </w:r>
    </w:p>
    <w:p>
      <w:pPr>
        <w:adjustRightInd w:val="0"/>
        <w:snapToGrid w:val="0"/>
        <w:spacing w:line="360" w:lineRule="auto"/>
        <w:jc w:val="center"/>
        <w:outlineLvl w:val="0"/>
        <w:rPr>
          <w:rFonts w:eastAsia="方正小标宋简体" w:cs="方正小标宋简体"/>
          <w:sz w:val="48"/>
          <w:szCs w:val="48"/>
        </w:rPr>
      </w:pPr>
      <w:r>
        <w:rPr>
          <w:rFonts w:hint="eastAsia" w:eastAsia="方正小标宋简体" w:cs="方正小标宋简体"/>
          <w:sz w:val="48"/>
          <w:szCs w:val="48"/>
        </w:rPr>
        <w:t>部门决算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公开时间：2024年8月2</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日</w:t>
      </w:r>
    </w:p>
    <w:p>
      <w:pPr>
        <w:rPr>
          <w:rFonts w:eastAsia="仿宋_GB2312" w:cs="仿宋_GB2312"/>
          <w:sz w:val="32"/>
          <w:szCs w:val="32"/>
        </w:rPr>
      </w:pPr>
    </w:p>
    <w:p>
      <w:pPr>
        <w:pStyle w:val="14"/>
        <w:adjustRightInd w:val="0"/>
        <w:snapToGrid w:val="0"/>
        <w:spacing w:before="0" w:line="440" w:lineRule="exact"/>
        <w:jc w:val="left"/>
        <w:rPr>
          <w:rFonts w:ascii="Times New Roman" w:hAnsi="Times New Roman" w:eastAsia="仿宋_GB2312" w:cs="仿宋_GB2312"/>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4</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eastAsia="仿宋_GB2312" w:cs="仿宋_GB2312"/>
          <w:sz w:val="32"/>
          <w:szCs w:val="32"/>
        </w:rPr>
        <w:tab/>
      </w:r>
      <w:r>
        <w:rPr>
          <w:rFonts w:hint="eastAsia" w:eastAsia="仿宋_GB2312" w:cs="仿宋_GB2312"/>
          <w:sz w:val="32"/>
          <w:szCs w:val="32"/>
        </w:rPr>
        <w:t>4</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eastAsia="仿宋_GB2312" w:cs="仿宋_GB2312"/>
          <w:sz w:val="32"/>
          <w:szCs w:val="32"/>
        </w:rPr>
        <w:tab/>
      </w:r>
      <w:r>
        <w:rPr>
          <w:rFonts w:hint="eastAsia" w:eastAsia="仿宋_GB2312" w:cs="仿宋_GB2312"/>
          <w:sz w:val="32"/>
          <w:szCs w:val="32"/>
        </w:rPr>
        <w:t>5</w:t>
      </w:r>
    </w:p>
    <w:p>
      <w:pPr>
        <w:pStyle w:val="14"/>
        <w:adjustRightInd w:val="0"/>
        <w:snapToGrid w:val="0"/>
        <w:spacing w:before="0" w:line="440" w:lineRule="exact"/>
        <w:jc w:val="left"/>
        <w:rPr>
          <w:rFonts w:ascii="Times New Roman" w:hAnsi="Times New Roman" w:eastAsia="仿宋_GB2312" w:cs="仿宋_GB2312"/>
          <w:sz w:val="32"/>
          <w:szCs w:val="32"/>
        </w:rPr>
      </w:pPr>
      <w:r>
        <w:rPr>
          <w:rFonts w:hint="eastAsia" w:ascii="Times New Roman" w:hAnsi="Times New Roman" w:eastAsia="黑体" w:cs="黑体"/>
          <w:sz w:val="32"/>
          <w:szCs w:val="32"/>
        </w:rPr>
        <w:t>第二部分 2023年度部门决算情况说明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6</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rPr>
        <w:t>6</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rPr>
        <w:t>6</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rPr>
        <w:t>7</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rPr>
        <w:t>8</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rPr>
        <w:t>8</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rPr>
        <w:t>14</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rPr>
        <w:t>14</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rPr>
        <w:t>16</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rPr>
        <w:t>16</w:t>
      </w:r>
    </w:p>
    <w:p>
      <w:pPr>
        <w:adjustRightInd w:val="0"/>
        <w:snapToGrid w:val="0"/>
        <w:spacing w:line="440" w:lineRule="exact"/>
        <w:ind w:firstLine="640" w:firstLineChars="200"/>
        <w:jc w:val="left"/>
        <w:rPr>
          <w:rFonts w:eastAsia="仿宋_GB2312" w:cs="仿宋_GB2312"/>
          <w:sz w:val="32"/>
          <w:szCs w:val="32"/>
        </w:rPr>
      </w:pPr>
      <w:r>
        <w:rPr>
          <w:rStyle w:val="22"/>
          <w:rFonts w:hint="eastAsia" w:eastAsia="仿宋_GB2312" w:cs="仿宋_GB2312"/>
          <w:color w:val="auto"/>
          <w:sz w:val="32"/>
          <w:szCs w:val="32"/>
          <w:u w:val="none"/>
        </w:rPr>
        <w:t>十、</w:t>
      </w:r>
      <w:r>
        <w:rPr>
          <w:rFonts w:hint="eastAsia" w:eastAsia="仿宋_GB2312" w:cs="仿宋_GB2312"/>
          <w:sz w:val="32"/>
          <w:szCs w:val="32"/>
        </w:rPr>
        <w:t>其他重要事项的情况说明........................................16</w:t>
      </w:r>
    </w:p>
    <w:p>
      <w:pPr>
        <w:pStyle w:val="14"/>
        <w:adjustRightInd w:val="0"/>
        <w:snapToGrid w:val="0"/>
        <w:spacing w:before="0" w:line="440" w:lineRule="exact"/>
        <w:jc w:val="left"/>
        <w:rPr>
          <w:rFonts w:ascii="Times New Roman" w:hAnsi="Times New Roman" w:eastAsia="仿宋_GB2312" w:cs="仿宋_GB2312"/>
          <w:sz w:val="32"/>
          <w:szCs w:val="32"/>
        </w:rPr>
      </w:pPr>
      <w:r>
        <w:rPr>
          <w:rFonts w:hint="eastAsia" w:ascii="Times New Roman" w:hAnsi="Times New Roman" w:eastAsia="黑体" w:cs="黑体"/>
          <w:sz w:val="32"/>
          <w:szCs w:val="32"/>
        </w:rPr>
        <w:t>第三部分 名词解释</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20</w:t>
      </w:r>
    </w:p>
    <w:p>
      <w:pPr>
        <w:pStyle w:val="14"/>
        <w:adjustRightInd w:val="0"/>
        <w:snapToGrid w:val="0"/>
        <w:spacing w:before="0" w:line="440" w:lineRule="exact"/>
        <w:jc w:val="left"/>
        <w:rPr>
          <w:rFonts w:ascii="Times New Roman" w:hAnsi="Times New Roman" w:eastAsia="仿宋_GB2312" w:cs="仿宋_GB2312"/>
          <w:sz w:val="32"/>
          <w:szCs w:val="32"/>
        </w:rPr>
      </w:pPr>
      <w:r>
        <w:rPr>
          <w:rFonts w:hint="eastAsia" w:ascii="Times New Roman" w:hAnsi="Times New Roman" w:eastAsia="黑体" w:cs="黑体"/>
          <w:sz w:val="32"/>
          <w:szCs w:val="32"/>
        </w:rPr>
        <w:t>第四部分 附件</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25</w:t>
      </w:r>
    </w:p>
    <w:p>
      <w:pPr>
        <w:pStyle w:val="14"/>
        <w:adjustRightInd w:val="0"/>
        <w:snapToGrid w:val="0"/>
        <w:spacing w:before="0" w:line="440" w:lineRule="exact"/>
        <w:jc w:val="left"/>
        <w:rPr>
          <w:rFonts w:ascii="Times New Roman" w:hAnsi="Times New Roman" w:eastAsia="仿宋_GB2312" w:cs="仿宋_GB2312"/>
          <w:sz w:val="32"/>
          <w:szCs w:val="32"/>
        </w:rPr>
      </w:pPr>
      <w:r>
        <w:rPr>
          <w:rFonts w:hint="eastAsia" w:ascii="Times New Roman" w:hAnsi="Times New Roman" w:eastAsia="黑体" w:cs="黑体"/>
          <w:sz w:val="32"/>
          <w:szCs w:val="32"/>
        </w:rPr>
        <w:t>第五部分 附表</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十二、国有资本经营预算财政拨款支出决算表............52</w:t>
      </w:r>
    </w:p>
    <w:p>
      <w:pPr>
        <w:pStyle w:val="16"/>
        <w:adjustRightInd w:val="0"/>
        <w:snapToGrid w:val="0"/>
        <w:spacing w:line="44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十三、财政拨款“三公”经费支出决算表....................52</w:t>
      </w:r>
    </w:p>
    <w:p>
      <w:pPr>
        <w:widowControl/>
        <w:spacing w:line="440" w:lineRule="exact"/>
        <w:jc w:val="left"/>
        <w:rPr>
          <w:rFonts w:eastAsia="仿宋"/>
          <w:bCs/>
          <w:kern w:val="44"/>
          <w:sz w:val="24"/>
        </w:rPr>
      </w:pPr>
      <w:bookmarkStart w:id="12" w:name="_Toc15377196"/>
      <w:bookmarkStart w:id="13" w:name="_Toc15396599"/>
      <w:r>
        <w:rPr>
          <w:rFonts w:eastAsia="仿宋"/>
          <w:b/>
          <w:sz w:val="24"/>
        </w:rPr>
        <w:br w:type="page"/>
      </w:r>
    </w:p>
    <w:p>
      <w:pPr>
        <w:pStyle w:val="5"/>
        <w:jc w:val="center"/>
        <w:rPr>
          <w:rFonts w:eastAsia="黑体"/>
          <w:sz w:val="32"/>
          <w:szCs w:val="32"/>
        </w:rPr>
      </w:pPr>
      <w:r>
        <w:rPr>
          <w:rFonts w:hint="eastAsia" w:eastAsia="黑体"/>
          <w:b w:val="0"/>
          <w:sz w:val="32"/>
          <w:szCs w:val="32"/>
        </w:rPr>
        <w:t xml:space="preserve">第一部分 </w:t>
      </w:r>
      <w:r>
        <w:rPr>
          <w:rStyle w:val="33"/>
          <w:rFonts w:hint="eastAsia" w:eastAsia="黑体"/>
          <w:b w:val="0"/>
          <w:bCs w:val="0"/>
          <w:sz w:val="32"/>
          <w:szCs w:val="32"/>
        </w:rPr>
        <w:t>部门概况</w:t>
      </w:r>
      <w:bookmarkEnd w:id="12"/>
      <w:bookmarkEnd w:id="13"/>
    </w:p>
    <w:p>
      <w:pPr>
        <w:pStyle w:val="9"/>
        <w:numPr>
          <w:ilvl w:val="0"/>
          <w:numId w:val="2"/>
        </w:numPr>
        <w:adjustRightInd w:val="0"/>
        <w:snapToGrid w:val="0"/>
        <w:spacing w:beforeLines="0" w:line="560" w:lineRule="exact"/>
        <w:ind w:firstLine="630" w:firstLineChars="210"/>
        <w:outlineLvl w:val="2"/>
        <w:rPr>
          <w:rFonts w:ascii="Times New Roman" w:eastAsia="黑体"/>
        </w:rPr>
      </w:pPr>
      <w:r>
        <w:rPr>
          <w:rFonts w:hint="eastAsia" w:ascii="Times New Roman" w:eastAsia="黑体"/>
        </w:rPr>
        <w:t>部门职责</w:t>
      </w:r>
      <w:bookmarkStart w:id="14" w:name="_Toc15378445"/>
      <w:bookmarkStart w:id="15" w:name="_Toc15377198"/>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r>
        <w:rPr>
          <w:rFonts w:hint="eastAsia" w:ascii="Times New Roman" w:eastAsia="楷体_GB2312" w:cs="楷体_GB2312"/>
          <w:bCs/>
          <w:sz w:val="32"/>
          <w:szCs w:val="32"/>
        </w:rPr>
        <w:t>（一）遂宁市安居区横山镇人民政府主要职能</w:t>
      </w:r>
      <w:bookmarkEnd w:id="14"/>
      <w:bookmarkEnd w:id="15"/>
      <w:bookmarkStart w:id="16" w:name="_Toc15378446"/>
      <w:bookmarkStart w:id="17" w:name="_Toc15377199"/>
    </w:p>
    <w:p>
      <w:pPr>
        <w:spacing w:line="560" w:lineRule="exact"/>
        <w:ind w:firstLine="640" w:firstLineChars="200"/>
        <w:rPr>
          <w:rFonts w:eastAsia="仿宋_GB2312"/>
          <w:bCs/>
          <w:sz w:val="32"/>
          <w:szCs w:val="32"/>
        </w:rPr>
      </w:pPr>
      <w:r>
        <w:rPr>
          <w:rFonts w:eastAsia="仿宋_GB2312"/>
          <w:bCs/>
          <w:sz w:val="32"/>
          <w:szCs w:val="32"/>
        </w:rPr>
        <w:t>1.</w:t>
      </w:r>
      <w:r>
        <w:rPr>
          <w:rFonts w:eastAsia="仿宋_GB2312"/>
          <w:sz w:val="32"/>
          <w:szCs w:val="32"/>
        </w:rPr>
        <w:t>贯彻执行本级人民代表大会的决议和上级国家行政机关的决定和命令，发布决定和命令。</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2.贯彻执行本行政区域内经济和社会发展计划、预算，管理本行政区域内的经济、教育、科学、文化、卫生、体育事业和财政、民政、公安、司法行政等行政工作。</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3.负责本行政区域内的基层治理，负责社会主义民主法治建设和精神文明建设，负责民生保障、社会救助、脱贫致富、社会治安综合治理、生态文明建设、乡村振兴、民族宗教、防灾减灾、应急管理、镇村建设等工作。</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4.负责提供区域公共服务，完善基本公共服务体系，依法依规承接区级部门下放的服务管理权限。落实人力资源</w:t>
      </w:r>
      <w:r>
        <w:rPr>
          <w:rFonts w:hint="eastAsia" w:ascii="Times New Roman"/>
          <w:bCs/>
          <w:sz w:val="32"/>
          <w:szCs w:val="32"/>
          <w:lang w:val="en-US" w:eastAsia="zh-CN"/>
        </w:rPr>
        <w:t>和</w:t>
      </w:r>
      <w:r>
        <w:rPr>
          <w:rFonts w:ascii="Times New Roman"/>
          <w:bCs/>
          <w:sz w:val="32"/>
          <w:szCs w:val="32"/>
        </w:rPr>
        <w:t>社会保障、民政、教育、科技、文化、体育、卫生健康、农民工服务、退役军人事务等领域相关法规政策。负责推进政府职能转变、依法治理等工作，建设服务型政府。</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6.做好拥军优属、社会救济、劳动保障等基层社会保障工作，保护老人、妇女、儿童和残疾人的合法权益。</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7.监督执法管理。对辖区内各类行政执法工作进行统筹协调，组织开展群众监督和社会监督。</w:t>
      </w:r>
    </w:p>
    <w:p>
      <w:pPr>
        <w:pStyle w:val="9"/>
        <w:adjustRightInd w:val="0"/>
        <w:snapToGrid w:val="0"/>
        <w:spacing w:beforeLines="0" w:line="560" w:lineRule="exact"/>
        <w:ind w:firstLine="672" w:firstLineChars="210"/>
        <w:outlineLvl w:val="2"/>
        <w:rPr>
          <w:rFonts w:ascii="Times New Roman"/>
          <w:bCs/>
          <w:sz w:val="32"/>
          <w:szCs w:val="32"/>
        </w:rPr>
      </w:pPr>
      <w:r>
        <w:rPr>
          <w:rFonts w:ascii="Times New Roman"/>
          <w:bCs/>
          <w:sz w:val="32"/>
          <w:szCs w:val="32"/>
        </w:rPr>
        <w:t>8.完成区委、区政府交办的其他事项。</w:t>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r>
        <w:rPr>
          <w:rFonts w:hint="eastAsia" w:ascii="Times New Roman" w:eastAsia="楷体_GB2312" w:cs="楷体_GB2312"/>
          <w:bCs/>
          <w:sz w:val="32"/>
          <w:szCs w:val="32"/>
        </w:rPr>
        <w:t>（二）2023年重点工作完成情况</w:t>
      </w:r>
      <w:bookmarkEnd w:id="16"/>
      <w:bookmarkEnd w:id="17"/>
    </w:p>
    <w:p>
      <w:pPr>
        <w:pStyle w:val="9"/>
        <w:adjustRightInd w:val="0"/>
        <w:snapToGrid w:val="0"/>
        <w:spacing w:beforeLines="0" w:line="560" w:lineRule="exact"/>
        <w:ind w:firstLine="672" w:firstLineChars="210"/>
        <w:outlineLvl w:val="2"/>
        <w:rPr>
          <w:rFonts w:ascii="Times New Roman" w:cs="仿宋_GB2312"/>
          <w:bCs/>
          <w:sz w:val="32"/>
          <w:szCs w:val="32"/>
        </w:rPr>
      </w:pPr>
      <w:r>
        <w:rPr>
          <w:rFonts w:ascii="Times New Roman"/>
          <w:bCs/>
          <w:sz w:val="32"/>
          <w:szCs w:val="32"/>
        </w:rPr>
        <w:t>1.</w:t>
      </w:r>
      <w:r>
        <w:rPr>
          <w:rFonts w:hint="eastAsia" w:ascii="Times New Roman" w:cs="仿宋_GB2312"/>
          <w:bCs/>
          <w:sz w:val="32"/>
          <w:szCs w:val="32"/>
        </w:rPr>
        <w:t>聚焦党的建设，基层组织“根基”稳定。扎实开展基层队伍建设工作，提升基层党组织战斗堡垒作用，发挥基层党建助力乡村振兴。</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ascii="Times New Roman"/>
          <w:bCs/>
          <w:sz w:val="32"/>
          <w:szCs w:val="32"/>
        </w:rPr>
        <w:t>2.</w:t>
      </w:r>
      <w:r>
        <w:rPr>
          <w:rFonts w:hint="eastAsia" w:ascii="Times New Roman" w:cs="仿宋_GB2312"/>
          <w:bCs/>
          <w:sz w:val="32"/>
          <w:szCs w:val="32"/>
        </w:rPr>
        <w:t>聚焦乡村振兴，经济社会“引擎”加速。用力稳成效，巩固衔接切实加强，着力促突围，产业发展焕然一新。</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ascii="Times New Roman"/>
          <w:bCs/>
          <w:sz w:val="32"/>
          <w:szCs w:val="32"/>
        </w:rPr>
        <w:t>3.</w:t>
      </w:r>
      <w:r>
        <w:rPr>
          <w:rFonts w:hint="eastAsia" w:ascii="Times New Roman" w:cs="仿宋_GB2312"/>
          <w:bCs/>
          <w:sz w:val="32"/>
          <w:szCs w:val="32"/>
        </w:rPr>
        <w:t>聚焦民生改善，民生保障“网”织牢。社会保障持续加强。农村道路明显改善，水利设施保障有力。</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ascii="Times New Roman"/>
          <w:bCs/>
          <w:sz w:val="32"/>
          <w:szCs w:val="32"/>
        </w:rPr>
        <w:t>4.</w:t>
      </w:r>
      <w:r>
        <w:rPr>
          <w:rFonts w:hint="eastAsia" w:ascii="Times New Roman" w:cs="仿宋_GB2312"/>
          <w:bCs/>
          <w:sz w:val="32"/>
          <w:szCs w:val="32"/>
        </w:rPr>
        <w:t>聚焦底板底线，平安稳定“防线”筑牢。安全生产常抓不懈，疫情防控坚决有力，粮食安全筑牢底线，环境保护持续加强，禁毒成效全面巩固。</w:t>
      </w:r>
    </w:p>
    <w:p>
      <w:pPr>
        <w:pStyle w:val="6"/>
        <w:spacing w:before="0" w:after="0" w:line="560" w:lineRule="exact"/>
        <w:ind w:firstLine="640" w:firstLineChars="200"/>
        <w:rPr>
          <w:rStyle w:val="34"/>
          <w:rFonts w:ascii="Times New Roman" w:hAnsi="Times New Roman" w:eastAsia="黑体"/>
          <w:b w:val="0"/>
          <w:bCs w:val="0"/>
        </w:rPr>
      </w:pPr>
      <w:r>
        <w:rPr>
          <w:rFonts w:hint="eastAsia" w:ascii="Times New Roman" w:hAnsi="Times New Roman" w:eastAsia="黑体"/>
          <w:b w:val="0"/>
        </w:rPr>
        <w:t>二、机</w:t>
      </w:r>
      <w:r>
        <w:rPr>
          <w:rStyle w:val="34"/>
          <w:rFonts w:hint="eastAsia" w:ascii="Times New Roman" w:hAnsi="Times New Roman" w:eastAsia="黑体"/>
          <w:b w:val="0"/>
          <w:bCs w:val="0"/>
        </w:rPr>
        <w:t>构设置</w:t>
      </w:r>
    </w:p>
    <w:p>
      <w:pPr>
        <w:spacing w:line="560" w:lineRule="exact"/>
        <w:ind w:firstLine="640" w:firstLineChars="200"/>
        <w:rPr>
          <w:rFonts w:eastAsia="仿宋_GB2312" w:cs="仿宋_GB2312"/>
          <w:bCs/>
          <w:kern w:val="0"/>
          <w:sz w:val="32"/>
          <w:szCs w:val="32"/>
        </w:rPr>
      </w:pPr>
      <w:r>
        <w:rPr>
          <w:rFonts w:hint="eastAsia" w:eastAsia="仿宋_GB2312" w:cs="仿宋_GB2312"/>
          <w:bCs/>
          <w:kern w:val="0"/>
          <w:sz w:val="32"/>
          <w:szCs w:val="32"/>
        </w:rPr>
        <w:t>横山镇人民政府部门下属二级单位0个，其中行政单位0个，参照公务员法管理的事业单位0个，其他事业单位0个。</w:t>
      </w:r>
    </w:p>
    <w:p>
      <w:pPr>
        <w:widowControl/>
        <w:spacing w:line="560" w:lineRule="exact"/>
        <w:jc w:val="left"/>
        <w:rPr>
          <w:rFonts w:eastAsia="仿宋"/>
          <w:kern w:val="0"/>
          <w:sz w:val="32"/>
          <w:szCs w:val="32"/>
        </w:rPr>
      </w:pPr>
      <w:r>
        <w:rPr>
          <w:rFonts w:eastAsia="仿宋"/>
          <w:sz w:val="32"/>
          <w:szCs w:val="32"/>
        </w:rPr>
        <w:br w:type="page"/>
      </w:r>
    </w:p>
    <w:p>
      <w:pPr>
        <w:pStyle w:val="5"/>
        <w:ind w:right="440"/>
        <w:jc w:val="center"/>
        <w:rPr>
          <w:sz w:val="32"/>
          <w:szCs w:val="32"/>
        </w:rPr>
      </w:pPr>
      <w:bookmarkStart w:id="18" w:name="_Toc15396602"/>
      <w:bookmarkStart w:id="19" w:name="_Toc15377204"/>
      <w:r>
        <w:rPr>
          <w:rFonts w:hint="eastAsia" w:eastAsia="黑体"/>
          <w:b w:val="0"/>
          <w:sz w:val="32"/>
          <w:szCs w:val="32"/>
        </w:rPr>
        <w:t xml:space="preserve">第二部分 </w:t>
      </w:r>
      <w:r>
        <w:rPr>
          <w:rFonts w:eastAsia="黑体"/>
          <w:b w:val="0"/>
          <w:sz w:val="32"/>
          <w:szCs w:val="32"/>
        </w:rPr>
        <w:t>2023年度</w:t>
      </w:r>
      <w:r>
        <w:rPr>
          <w:rStyle w:val="33"/>
          <w:rFonts w:eastAsia="黑体"/>
          <w:b w:val="0"/>
          <w:bCs/>
          <w:sz w:val="32"/>
          <w:szCs w:val="32"/>
        </w:rPr>
        <w:t>部门决算情况说明</w:t>
      </w:r>
      <w:bookmarkEnd w:id="18"/>
      <w:bookmarkEnd w:id="19"/>
    </w:p>
    <w:p>
      <w:pPr>
        <w:pStyle w:val="32"/>
        <w:numPr>
          <w:ilvl w:val="0"/>
          <w:numId w:val="3"/>
        </w:numPr>
        <w:spacing w:line="600" w:lineRule="exact"/>
        <w:ind w:firstLineChars="0"/>
        <w:outlineLvl w:val="1"/>
        <w:rPr>
          <w:rStyle w:val="34"/>
          <w:rFonts w:ascii="Times New Roman" w:hAnsi="Times New Roman" w:eastAsia="黑体"/>
          <w:b w:val="0"/>
        </w:rPr>
      </w:pPr>
      <w:bookmarkStart w:id="20" w:name="_Toc15396603"/>
      <w:bookmarkStart w:id="21" w:name="_Toc15377205"/>
      <w:r>
        <w:rPr>
          <w:rFonts w:hint="eastAsia" w:eastAsia="黑体"/>
          <w:sz w:val="32"/>
          <w:szCs w:val="32"/>
        </w:rPr>
        <w:t>收</w:t>
      </w:r>
      <w:r>
        <w:rPr>
          <w:rStyle w:val="34"/>
          <w:rFonts w:hint="eastAsia" w:ascii="Times New Roman" w:hAnsi="Times New Roman" w:eastAsia="黑体"/>
          <w:b w:val="0"/>
        </w:rPr>
        <w:t>入支出决算总体情况说明</w:t>
      </w:r>
      <w:bookmarkEnd w:id="20"/>
      <w:bookmarkEnd w:id="21"/>
    </w:p>
    <w:p>
      <w:pPr>
        <w:ind w:firstLine="640" w:firstLineChars="200"/>
        <w:rPr>
          <w:rFonts w:eastAsia="仿宋_GB2312" w:cs="仿宋_GB2312"/>
          <w:bCs/>
          <w:kern w:val="0"/>
          <w:sz w:val="32"/>
          <w:szCs w:val="32"/>
        </w:rPr>
      </w:pPr>
      <w:r>
        <w:rPr>
          <w:rFonts w:hint="eastAsia" w:eastAsia="仿宋_GB2312" w:cs="仿宋_GB2312"/>
          <w:bCs/>
          <w:kern w:val="0"/>
          <w:sz w:val="32"/>
          <w:szCs w:val="32"/>
        </w:rPr>
        <w:t>2023年度收、支总计2662.37万元。与2022年相比，收、支总计各增加192.18万元，上升7.78%。主要变动原因是一般公共服务支出增加。</w:t>
      </w:r>
    </w:p>
    <w:p>
      <w:pPr>
        <w:pStyle w:val="2"/>
        <w:rPr>
          <w:rFonts w:eastAsia="仿宋_GB2312" w:cs="仿宋_GB2312"/>
          <w:bCs/>
          <w:kern w:val="0"/>
          <w:sz w:val="32"/>
          <w:szCs w:val="32"/>
        </w:rPr>
      </w:pPr>
    </w:p>
    <w:p>
      <w:pPr>
        <w:pStyle w:val="3"/>
        <w:ind w:left="420"/>
        <w:rPr>
          <w:rFonts w:ascii="Times New Roman"/>
        </w:rPr>
      </w:pPr>
    </w:p>
    <w:p>
      <w:pPr>
        <w:pStyle w:val="32"/>
        <w:numPr>
          <w:ilvl w:val="0"/>
          <w:numId w:val="3"/>
        </w:numPr>
        <w:spacing w:line="560" w:lineRule="exact"/>
        <w:ind w:firstLineChars="0"/>
        <w:outlineLvl w:val="1"/>
        <w:rPr>
          <w:rStyle w:val="34"/>
          <w:rFonts w:ascii="Times New Roman" w:hAnsi="Times New Roman" w:eastAsia="黑体"/>
          <w:b w:val="0"/>
        </w:rPr>
      </w:pPr>
      <w:bookmarkStart w:id="22" w:name="_Toc15377206"/>
      <w:bookmarkStart w:id="23" w:name="_Toc15396604"/>
      <w:r>
        <w:drawing>
          <wp:anchor distT="0" distB="0" distL="114300" distR="114300" simplePos="0" relativeHeight="251663360" behindDoc="0" locked="0" layoutInCell="1" allowOverlap="1">
            <wp:simplePos x="0" y="0"/>
            <wp:positionH relativeFrom="column">
              <wp:posOffset>20320</wp:posOffset>
            </wp:positionH>
            <wp:positionV relativeFrom="page">
              <wp:posOffset>3483610</wp:posOffset>
            </wp:positionV>
            <wp:extent cx="5227955" cy="3277235"/>
            <wp:effectExtent l="4445" t="4445" r="10160" b="1016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eastAsia="黑体"/>
          <w:sz w:val="32"/>
          <w:szCs w:val="32"/>
        </w:rPr>
        <w:t>收</w:t>
      </w:r>
      <w:r>
        <w:rPr>
          <w:rStyle w:val="34"/>
          <w:rFonts w:hint="eastAsia" w:ascii="Times New Roman" w:hAnsi="Times New Roman" w:eastAsia="黑体"/>
          <w:b w:val="0"/>
        </w:rPr>
        <w:t>入决算情况说明</w:t>
      </w:r>
      <w:bookmarkEnd w:id="22"/>
      <w:bookmarkEnd w:id="23"/>
    </w:p>
    <w:p>
      <w:pPr>
        <w:spacing w:line="560" w:lineRule="exact"/>
        <w:ind w:firstLine="640" w:firstLineChars="200"/>
        <w:rPr>
          <w:rFonts w:eastAsia="仿宋"/>
          <w:sz w:val="32"/>
          <w:szCs w:val="32"/>
        </w:rPr>
      </w:pPr>
      <w:r>
        <w:rPr>
          <w:rFonts w:hint="eastAsia" w:eastAsia="仿宋_GB2312" w:cs="仿宋_GB2312"/>
          <w:bCs/>
          <w:kern w:val="0"/>
          <w:sz w:val="32"/>
          <w:szCs w:val="32"/>
        </w:rPr>
        <w:t>2023年本年收入合计2662.37万元，其中：一般公共预算财政拨款收入2589.96万元，占97.28%；政府性基金预算财政拨款收入72.41万元，占2.72%；国有资本经营预算财政拨款收入0万元，占0%；上级补助收入0万元，占0%；事业收入0万元，占0%；经营收入0万元，占0%；附属单位上缴收入0万元，占0%；其他收入0万元，占0%。</w:t>
      </w:r>
    </w:p>
    <w:p>
      <w:pPr>
        <w:pStyle w:val="9"/>
        <w:spacing w:before="93"/>
        <w:rPr>
          <w:rFonts w:ascii="Times New Roman"/>
          <w:sz w:val="32"/>
          <w:szCs w:val="32"/>
        </w:rPr>
      </w:pPr>
      <w:r>
        <w:rPr>
          <w:rFonts w:ascii="Times New Roman"/>
        </w:rPr>
        <w:drawing>
          <wp:anchor distT="0" distB="0" distL="114300" distR="114300" simplePos="0" relativeHeight="251659264" behindDoc="1" locked="0" layoutInCell="1" allowOverlap="1">
            <wp:simplePos x="0" y="0"/>
            <wp:positionH relativeFrom="column">
              <wp:posOffset>243205</wp:posOffset>
            </wp:positionH>
            <wp:positionV relativeFrom="page">
              <wp:posOffset>1146810</wp:posOffset>
            </wp:positionV>
            <wp:extent cx="4767580" cy="3643630"/>
            <wp:effectExtent l="4445" t="4445" r="9525" b="9525"/>
            <wp:wrapTight wrapText="bothSides">
              <wp:wrapPolygon>
                <wp:start x="-20" y="-26"/>
                <wp:lineTo x="-20" y="21600"/>
                <wp:lineTo x="21600" y="21600"/>
                <wp:lineTo x="21600" y="-26"/>
                <wp:lineTo x="-20" y="-26"/>
              </wp:wrapPolygon>
            </wp:wrapTight>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32"/>
        <w:numPr>
          <w:ilvl w:val="0"/>
          <w:numId w:val="3"/>
        </w:numPr>
        <w:spacing w:line="560" w:lineRule="exact"/>
        <w:ind w:firstLineChars="0"/>
        <w:outlineLvl w:val="1"/>
        <w:rPr>
          <w:rStyle w:val="34"/>
          <w:rFonts w:ascii="Times New Roman" w:hAnsi="Times New Roman" w:eastAsia="黑体"/>
          <w:b w:val="0"/>
        </w:rPr>
      </w:pPr>
      <w:bookmarkStart w:id="24" w:name="_Toc15377207"/>
      <w:bookmarkStart w:id="25" w:name="_Toc15396605"/>
      <w:r>
        <w:rPr>
          <w:rFonts w:hint="eastAsia" w:eastAsia="黑体"/>
          <w:sz w:val="32"/>
          <w:szCs w:val="32"/>
        </w:rPr>
        <w:t>支</w:t>
      </w:r>
      <w:r>
        <w:rPr>
          <w:rStyle w:val="34"/>
          <w:rFonts w:hint="eastAsia" w:ascii="Times New Roman" w:hAnsi="Times New Roman" w:eastAsia="黑体"/>
          <w:b w:val="0"/>
        </w:rPr>
        <w:t>出决算情况说明</w:t>
      </w:r>
      <w:bookmarkEnd w:id="24"/>
      <w:bookmarkEnd w:id="25"/>
    </w:p>
    <w:p>
      <w:pPr>
        <w:spacing w:line="560" w:lineRule="exact"/>
        <w:ind w:firstLine="640" w:firstLineChars="200"/>
        <w:rPr>
          <w:rFonts w:eastAsia="仿宋_GB2312" w:cs="仿宋_GB2312"/>
          <w:bCs/>
          <w:kern w:val="0"/>
          <w:sz w:val="32"/>
          <w:szCs w:val="32"/>
        </w:rPr>
      </w:pPr>
      <w:r>
        <w:rPr>
          <w:rFonts w:hint="eastAsia" w:eastAsia="仿宋_GB2312" w:cs="仿宋_GB2312"/>
          <w:bCs/>
          <w:kern w:val="0"/>
          <w:sz w:val="32"/>
          <w:szCs w:val="32"/>
        </w:rPr>
        <w:t>2023年本年一般公共预算财政拨款支出合计2662.37万元，其中：基本支出1838.44万元，占69.05%；项目支出823.92万元，占30.95%；上缴上级支出0万元，占0%；经营支出0万元，占0%；对附属单位补助支出0万元，占0%。</w:t>
      </w:r>
    </w:p>
    <w:p>
      <w:pPr>
        <w:spacing w:line="400" w:lineRule="exact"/>
        <w:ind w:firstLine="640" w:firstLineChars="200"/>
        <w:rPr>
          <w:rFonts w:eastAsia="仿宋_GB2312" w:cs="仿宋_GB2312"/>
          <w:bCs/>
          <w:kern w:val="0"/>
          <w:sz w:val="32"/>
          <w:szCs w:val="32"/>
        </w:rPr>
      </w:pPr>
    </w:p>
    <w:p>
      <w:pPr>
        <w:ind w:firstLine="420" w:firstLineChars="200"/>
        <w:rPr>
          <w:rFonts w:eastAsia="仿宋_GB2312" w:cs="仿宋_GB2312"/>
          <w:bCs/>
          <w:kern w:val="0"/>
          <w:sz w:val="32"/>
          <w:szCs w:val="32"/>
        </w:rPr>
      </w:pPr>
      <w:r>
        <w:drawing>
          <wp:inline distT="0" distB="0" distL="114300" distR="114300">
            <wp:extent cx="4766945" cy="2625090"/>
            <wp:effectExtent l="4445" t="5080" r="10160" b="8255"/>
            <wp:docPr id="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60" w:lineRule="exact"/>
        <w:ind w:firstLine="640" w:firstLineChars="200"/>
        <w:outlineLvl w:val="1"/>
        <w:rPr>
          <w:rStyle w:val="34"/>
          <w:rFonts w:ascii="Times New Roman" w:hAnsi="Times New Roman" w:eastAsia="黑体"/>
          <w:b w:val="0"/>
        </w:rPr>
      </w:pPr>
      <w:bookmarkStart w:id="26" w:name="_Toc15377208"/>
      <w:bookmarkStart w:id="27" w:name="_Toc15396606"/>
      <w:r>
        <w:rPr>
          <w:rFonts w:hint="eastAsia" w:eastAsia="黑体"/>
          <w:sz w:val="32"/>
          <w:szCs w:val="32"/>
        </w:rPr>
        <w:t>四、财</w:t>
      </w:r>
      <w:r>
        <w:rPr>
          <w:rStyle w:val="34"/>
          <w:rFonts w:hint="eastAsia" w:ascii="Times New Roman" w:hAnsi="Times New Roman" w:eastAsia="黑体"/>
          <w:b w:val="0"/>
        </w:rPr>
        <w:t>政拨款收入支出决算总体情况说明</w:t>
      </w:r>
      <w:bookmarkEnd w:id="26"/>
      <w:bookmarkEnd w:id="27"/>
    </w:p>
    <w:p>
      <w:pPr>
        <w:spacing w:line="560" w:lineRule="exact"/>
        <w:ind w:firstLine="640" w:firstLineChars="200"/>
        <w:rPr>
          <w:rFonts w:eastAsia="仿宋_GB2312" w:cs="仿宋_GB2312"/>
          <w:bCs/>
          <w:kern w:val="0"/>
          <w:sz w:val="32"/>
          <w:szCs w:val="32"/>
        </w:rPr>
      </w:pPr>
      <w:r>
        <w:rPr>
          <w:rFonts w:hint="eastAsia" w:eastAsia="仿宋_GB2312" w:cs="仿宋_GB2312"/>
          <w:bCs/>
          <w:kern w:val="0"/>
          <w:sz w:val="32"/>
          <w:szCs w:val="32"/>
        </w:rPr>
        <w:t>2023年财政拨款收、支总计2662.37万元。与2022年相比，财政拨款收、支总计各增加192.18万元，上升7.78%。主要变动原因是一般公共服务支出减少。</w:t>
      </w:r>
      <w:bookmarkStart w:id="28" w:name="_Toc15377209"/>
      <w:bookmarkStart w:id="29" w:name="_Toc15396607"/>
    </w:p>
    <w:p>
      <w:pPr>
        <w:pStyle w:val="2"/>
        <w:rPr>
          <w:rFonts w:eastAsia="仿宋_GB2312" w:cs="仿宋_GB2312"/>
          <w:bCs/>
          <w:kern w:val="0"/>
          <w:sz w:val="32"/>
          <w:szCs w:val="32"/>
        </w:rPr>
      </w:pPr>
    </w:p>
    <w:p>
      <w:pPr>
        <w:pStyle w:val="3"/>
        <w:ind w:left="420"/>
      </w:pPr>
    </w:p>
    <w:p>
      <w:pPr>
        <w:pStyle w:val="23"/>
        <w:rPr>
          <w:rFonts w:hint="default"/>
        </w:rPr>
      </w:pPr>
      <w:r>
        <w:drawing>
          <wp:inline distT="0" distB="0" distL="114300" distR="114300">
            <wp:extent cx="5241290" cy="4008120"/>
            <wp:effectExtent l="4445" t="4445" r="12065" b="1079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0" w:firstLineChars="200"/>
        <w:outlineLvl w:val="1"/>
        <w:rPr>
          <w:rFonts w:eastAsia="黑体"/>
          <w:sz w:val="32"/>
          <w:szCs w:val="32"/>
        </w:rPr>
      </w:pPr>
    </w:p>
    <w:p>
      <w:pPr>
        <w:spacing w:line="560" w:lineRule="exact"/>
        <w:ind w:firstLine="640" w:firstLineChars="200"/>
        <w:outlineLvl w:val="1"/>
        <w:rPr>
          <w:rStyle w:val="34"/>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4"/>
          <w:rFonts w:hint="eastAsia" w:ascii="Times New Roman" w:hAnsi="Times New Roman" w:eastAsia="黑体"/>
          <w:b w:val="0"/>
        </w:rPr>
        <w:t>般公共预算财政拨款支出决算情况说明</w:t>
      </w:r>
      <w:bookmarkEnd w:id="28"/>
      <w:bookmarkEnd w:id="29"/>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30" w:name="_Toc15377210"/>
      <w:r>
        <w:rPr>
          <w:rFonts w:hint="eastAsia" w:ascii="Times New Roman" w:eastAsia="楷体_GB2312" w:cs="楷体_GB2312"/>
          <w:bCs/>
          <w:sz w:val="32"/>
          <w:szCs w:val="32"/>
        </w:rPr>
        <w:t>（一）一般公共预算财政拨款支出决算总体情况</w:t>
      </w:r>
      <w:bookmarkEnd w:id="30"/>
    </w:p>
    <w:p>
      <w:pPr>
        <w:spacing w:line="560" w:lineRule="exact"/>
        <w:ind w:firstLine="640" w:firstLineChars="200"/>
        <w:rPr>
          <w:rFonts w:eastAsia="仿宋_GB2312" w:cs="仿宋_GB2312"/>
          <w:bCs/>
          <w:kern w:val="0"/>
          <w:sz w:val="32"/>
          <w:szCs w:val="32"/>
        </w:rPr>
      </w:pPr>
      <w:r>
        <w:rPr>
          <w:rFonts w:hint="eastAsia" w:eastAsia="仿宋_GB2312" w:cs="仿宋_GB2312"/>
          <w:bCs/>
          <w:kern w:val="0"/>
          <w:sz w:val="32"/>
          <w:szCs w:val="32"/>
        </w:rPr>
        <w:t>2023年一般公共预算财政拨款支出2662.37万元，占本年支出合计的100%。与2022年相比，一般公共预算财政拨款支出增加192.18万元，上升7.22%。主要变动原因是一般公共服务支出增加。</w:t>
      </w:r>
    </w:p>
    <w:p>
      <w:pPr>
        <w:spacing w:line="560" w:lineRule="exact"/>
      </w:pPr>
      <w: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814070</wp:posOffset>
                </wp:positionV>
                <wp:extent cx="866775" cy="3282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66775" cy="328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000000" w:themeColor="text1"/>
                                <w14:textFill>
                                  <w14:solidFill>
                                    <w14:schemeClr w14:val="tx1"/>
                                  </w14:solidFill>
                                </w14:textFill>
                              </w:rPr>
                            </w:pPr>
                            <w:r>
                              <w:rPr>
                                <w:rFonts w:hint="eastAsia"/>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64.1pt;height:25.85pt;width:68.25pt;z-index:251661312;mso-width-relative:page;mso-height-relative:page;" filled="f" stroked="f" coordsize="21600,21600" o:gfxdata="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PZMuw7bAAAA&#10;CQEAAA8AAAAAAAAAAQAgAAAAOAAAAGRycy9kb3ducmV2LnhtbFBLAQIUABQAAAAIAIdO4kB+J3XK&#10;PQIAAGcEAAAOAAAAAAAAAAEAIAAAAEABAABkcnMvZTJvRG9jLnhtbFBLBQYAAAAABgAGAFkBAADv&#10;BQAAAAA=&#10;">
                <v:fill on="f" focussize="0,0"/>
                <v:stroke on="f" weight="0.5pt"/>
                <v:imagedata o:title=""/>
                <o:lock v:ext="edit" aspectratio="f"/>
                <v:textbox>
                  <w:txbxContent>
                    <w:p>
                      <w:pPr>
                        <w:rPr>
                          <w:color w:val="000000" w:themeColor="text1"/>
                          <w14:textFill>
                            <w14:solidFill>
                              <w14:schemeClr w14:val="tx1"/>
                            </w14:solidFill>
                          </w14:textFill>
                        </w:rPr>
                      </w:pPr>
                      <w:r>
                        <w:rPr>
                          <w:rFonts w:hint="eastAsia"/>
                        </w:rPr>
                        <w:t>单位：万元</w:t>
                      </w:r>
                    </w:p>
                  </w:txbxContent>
                </v:textbox>
              </v:shape>
            </w:pict>
          </mc:Fallback>
        </mc:AlternateContent>
      </w:r>
      <w:r>
        <w:drawing>
          <wp:anchor distT="0" distB="0" distL="114300" distR="114300" simplePos="0" relativeHeight="251660288" behindDoc="0" locked="0" layoutInCell="1" allowOverlap="1">
            <wp:simplePos x="0" y="0"/>
            <wp:positionH relativeFrom="column">
              <wp:posOffset>55880</wp:posOffset>
            </wp:positionH>
            <wp:positionV relativeFrom="page">
              <wp:posOffset>1173480</wp:posOffset>
            </wp:positionV>
            <wp:extent cx="5170805" cy="3758565"/>
            <wp:effectExtent l="4445" t="4445" r="6350" b="889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rPr>
        <w:t xml:space="preserve">    </w:t>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31" w:name="_Toc15377211"/>
      <w:r>
        <w:rPr>
          <w:rFonts w:hint="eastAsia" w:ascii="Times New Roman" w:eastAsia="楷体_GB2312" w:cs="楷体_GB2312"/>
          <w:bCs/>
          <w:sz w:val="32"/>
          <w:szCs w:val="32"/>
        </w:rPr>
        <w:t>（二）一般公共预算财政拨款支出决算结构情况</w:t>
      </w:r>
      <w:bookmarkEnd w:id="31"/>
    </w:p>
    <w:p>
      <w:pPr>
        <w:ind w:firstLine="640" w:firstLineChars="200"/>
        <w:rPr>
          <w:rFonts w:eastAsia="仿宋_GB2312" w:cs="仿宋_GB2312"/>
          <w:bCs/>
          <w:kern w:val="0"/>
          <w:sz w:val="32"/>
          <w:szCs w:val="32"/>
        </w:rPr>
      </w:pPr>
      <w:r>
        <w:rPr>
          <w:rFonts w:hint="eastAsia" w:eastAsia="仿宋_GB2312" w:cs="仿宋_GB2312"/>
          <w:bCs/>
          <w:kern w:val="0"/>
          <w:sz w:val="32"/>
          <w:szCs w:val="32"/>
        </w:rPr>
        <w:t>2023年一般公共预算财政拨款支出2662.37万元，主要用于以下方面:一般公共服务支出706.13万元，占26.52%；教育支出0万元，占0%；科学技术支出0万元，占0%；文化旅游体育与传媒支出26.17万元，占0.98%；社会保障和就业支出337.9万元，占12.70%；卫生健康支出63.92万元，占2.4%；节能环保支出：39.59万元，占1.49%，城乡社区支出：83.41万元，占3.13%，农林水支出：1292.39万元，占48.54%，交通运输支出0万元，占0%，住房保障支出76.3万元，占2.87%；灾害防治及应急管理支出36.56万元，占1.37%。</w:t>
      </w:r>
    </w:p>
    <w:p>
      <w:pPr>
        <w:ind w:firstLine="420" w:firstLineChars="200"/>
        <w:rPr>
          <w:rFonts w:eastAsia="仿宋_GB2312" w:cs="仿宋_GB2312"/>
          <w:bCs/>
          <w:kern w:val="0"/>
          <w:sz w:val="32"/>
          <w:szCs w:val="32"/>
        </w:rPr>
      </w:pPr>
      <w:r>
        <w:drawing>
          <wp:anchor distT="0" distB="0" distL="114300" distR="114300" simplePos="0" relativeHeight="251662336" behindDoc="0" locked="0" layoutInCell="1" allowOverlap="1">
            <wp:simplePos x="0" y="0"/>
            <wp:positionH relativeFrom="column">
              <wp:posOffset>73025</wp:posOffset>
            </wp:positionH>
            <wp:positionV relativeFrom="paragraph">
              <wp:posOffset>36830</wp:posOffset>
            </wp:positionV>
            <wp:extent cx="5128895" cy="3274695"/>
            <wp:effectExtent l="4445" t="4445" r="1016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32" w:name="_Toc15377212"/>
      <w:r>
        <w:rPr>
          <w:rFonts w:hint="eastAsia" w:ascii="Times New Roman" w:eastAsia="楷体_GB2312" w:cs="楷体_GB2312"/>
          <w:bCs/>
          <w:sz w:val="32"/>
          <w:szCs w:val="32"/>
        </w:rPr>
        <w:t>（三）一般公共预算财政拨款支出决算具体情况</w:t>
      </w:r>
      <w:bookmarkEnd w:id="32"/>
    </w:p>
    <w:p>
      <w:pPr>
        <w:spacing w:line="560" w:lineRule="exact"/>
        <w:ind w:firstLine="642" w:firstLineChars="200"/>
        <w:outlineLvl w:val="2"/>
        <w:rPr>
          <w:rStyle w:val="20"/>
          <w:rFonts w:eastAsia="仿宋_GB2312" w:cs="仿宋_GB2312"/>
          <w:bCs/>
          <w:sz w:val="32"/>
          <w:szCs w:val="32"/>
        </w:rPr>
      </w:pPr>
      <w:bookmarkStart w:id="33" w:name="_Toc15377444"/>
      <w:bookmarkStart w:id="34" w:name="_Toc15377213"/>
      <w:bookmarkStart w:id="35" w:name="_Toc15378460"/>
      <w:r>
        <w:rPr>
          <w:rFonts w:hint="eastAsia" w:eastAsia="仿宋_GB2312" w:cs="仿宋_GB2312"/>
          <w:b/>
          <w:sz w:val="32"/>
          <w:szCs w:val="32"/>
        </w:rPr>
        <w:t>2023年一般公共预算支出决算数为2662.37万元</w:t>
      </w:r>
      <w:r>
        <w:rPr>
          <w:rFonts w:hint="eastAsia" w:eastAsia="仿宋_GB2312" w:cs="仿宋_GB2312"/>
          <w:sz w:val="32"/>
          <w:szCs w:val="32"/>
        </w:rPr>
        <w:t>，</w:t>
      </w:r>
      <w:r>
        <w:rPr>
          <w:rStyle w:val="20"/>
          <w:rFonts w:hint="eastAsia" w:eastAsia="仿宋_GB2312" w:cs="仿宋_GB2312"/>
          <w:bCs/>
          <w:sz w:val="32"/>
          <w:szCs w:val="32"/>
        </w:rPr>
        <w:t>完成预算100%。其中：</w:t>
      </w:r>
      <w:bookmarkEnd w:id="33"/>
      <w:bookmarkEnd w:id="34"/>
      <w:bookmarkEnd w:id="35"/>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1.一般公共服务（类）人大事务（款）代表工作（项）:</w:t>
      </w:r>
      <w:r>
        <w:rPr>
          <w:rStyle w:val="20"/>
          <w:rFonts w:hint="eastAsia" w:eastAsia="仿宋_GB2312" w:cs="仿宋_GB2312"/>
          <w:b w:val="0"/>
          <w:bCs/>
          <w:sz w:val="32"/>
          <w:szCs w:val="32"/>
        </w:rPr>
        <w:t>支出决算为</w:t>
      </w:r>
      <w:r>
        <w:rPr>
          <w:rStyle w:val="20"/>
          <w:rFonts w:hint="eastAsia" w:eastAsia="仿宋_GB2312" w:cs="仿宋_GB2312"/>
          <w:b w:val="0"/>
          <w:bCs/>
          <w:sz w:val="32"/>
          <w:szCs w:val="32"/>
          <w:lang w:val="en-US" w:eastAsia="zh-CN"/>
        </w:rPr>
        <w:t>4.45</w:t>
      </w:r>
      <w:r>
        <w:rPr>
          <w:rStyle w:val="20"/>
          <w:rFonts w:hint="eastAsia" w:eastAsia="仿宋_GB2312" w:cs="仿宋_GB2312"/>
          <w:b w:val="0"/>
          <w:bCs/>
          <w:sz w:val="32"/>
          <w:szCs w:val="32"/>
        </w:rPr>
        <w:t>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2.一般公共服务（类）人大事务（款）</w:t>
      </w:r>
      <w:r>
        <w:rPr>
          <w:rStyle w:val="20"/>
          <w:rFonts w:hint="eastAsia" w:eastAsia="仿宋_GB2312" w:cs="仿宋_GB2312"/>
          <w:bCs/>
          <w:sz w:val="32"/>
          <w:szCs w:val="32"/>
          <w:lang w:val="en-US" w:eastAsia="zh-CN"/>
        </w:rPr>
        <w:t>人大监督</w:t>
      </w:r>
      <w:r>
        <w:rPr>
          <w:rStyle w:val="20"/>
          <w:rFonts w:hint="eastAsia" w:eastAsia="仿宋_GB2312" w:cs="仿宋_GB2312"/>
          <w:bCs/>
          <w:sz w:val="32"/>
          <w:szCs w:val="32"/>
        </w:rPr>
        <w:t>（项）:</w:t>
      </w:r>
      <w:r>
        <w:rPr>
          <w:rStyle w:val="20"/>
          <w:rFonts w:hint="eastAsia" w:eastAsia="仿宋_GB2312" w:cs="仿宋_GB2312"/>
          <w:b w:val="0"/>
          <w:bCs/>
          <w:sz w:val="32"/>
          <w:szCs w:val="32"/>
        </w:rPr>
        <w:t>支出决算为</w:t>
      </w:r>
      <w:r>
        <w:rPr>
          <w:rStyle w:val="20"/>
          <w:rFonts w:hint="eastAsia" w:eastAsia="仿宋_GB2312" w:cs="仿宋_GB2312"/>
          <w:b w:val="0"/>
          <w:bCs/>
          <w:sz w:val="32"/>
          <w:szCs w:val="32"/>
          <w:lang w:val="en-US" w:eastAsia="zh-CN"/>
        </w:rPr>
        <w:t>2</w:t>
      </w:r>
      <w:r>
        <w:rPr>
          <w:rStyle w:val="20"/>
          <w:rFonts w:hint="eastAsia" w:eastAsia="仿宋_GB2312" w:cs="仿宋_GB2312"/>
          <w:b w:val="0"/>
          <w:bCs/>
          <w:sz w:val="32"/>
          <w:szCs w:val="32"/>
        </w:rPr>
        <w:t>万元，完成预算100%，决算数等于预算数。</w:t>
      </w:r>
    </w:p>
    <w:p>
      <w:pPr>
        <w:pStyle w:val="23"/>
        <w:bidi w:val="0"/>
        <w:rPr>
          <w:rStyle w:val="20"/>
          <w:rFonts w:eastAsia="仿宋_GB2312" w:cs="仿宋_GB2312"/>
          <w:b w:val="0"/>
          <w:bCs/>
          <w:sz w:val="32"/>
          <w:szCs w:val="32"/>
        </w:rPr>
      </w:pPr>
      <w:r>
        <w:rPr>
          <w:rStyle w:val="20"/>
          <w:rFonts w:hint="eastAsia" w:eastAsia="仿宋_GB2312" w:cs="仿宋_GB2312"/>
          <w:bCs/>
          <w:sz w:val="32"/>
          <w:szCs w:val="32"/>
        </w:rPr>
        <w:t>3.一般公共服务（类）政协事务（款）</w:t>
      </w:r>
      <w:r>
        <w:rPr>
          <w:rStyle w:val="20"/>
          <w:rFonts w:hint="eastAsia" w:eastAsia="仿宋_GB2312" w:cs="仿宋_GB2312"/>
          <w:bCs/>
          <w:sz w:val="32"/>
          <w:szCs w:val="32"/>
          <w:lang w:val="en-US" w:eastAsia="zh-CN"/>
        </w:rPr>
        <w:t>其他政协事务支出（项）</w:t>
      </w:r>
      <w:r>
        <w:rPr>
          <w:rStyle w:val="20"/>
          <w:rFonts w:hint="eastAsia" w:eastAsia="仿宋_GB2312" w:cs="仿宋_GB2312"/>
          <w:bCs/>
          <w:sz w:val="32"/>
          <w:szCs w:val="32"/>
        </w:rPr>
        <w:t>:</w:t>
      </w:r>
      <w:r>
        <w:rPr>
          <w:rStyle w:val="20"/>
          <w:rFonts w:hint="eastAsia" w:eastAsia="仿宋_GB2312" w:cs="仿宋_GB2312"/>
          <w:b w:val="0"/>
          <w:bCs/>
          <w:sz w:val="32"/>
          <w:szCs w:val="32"/>
        </w:rPr>
        <w:t>支出决算为1万元，完成预算100%，决算数等于预算数。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4.一般公共服务（类）政府办公厅（室）及相关机构事务（款）行政运行（项）:</w:t>
      </w:r>
      <w:r>
        <w:rPr>
          <w:rStyle w:val="20"/>
          <w:rFonts w:hint="eastAsia" w:eastAsia="仿宋_GB2312" w:cs="仿宋_GB2312"/>
          <w:b w:val="0"/>
          <w:bCs/>
          <w:sz w:val="32"/>
          <w:szCs w:val="32"/>
        </w:rPr>
        <w:t>支出决算为609.28万元，完成预算100%，决算数等于预算数。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5.一般公共服务（类）政府办公厅（室）及相关机构事务（款）信访事务（项）:</w:t>
      </w:r>
      <w:r>
        <w:rPr>
          <w:rStyle w:val="20"/>
          <w:rFonts w:hint="eastAsia" w:eastAsia="仿宋_GB2312" w:cs="仿宋_GB2312"/>
          <w:b w:val="0"/>
          <w:bCs/>
          <w:sz w:val="32"/>
          <w:szCs w:val="32"/>
        </w:rPr>
        <w:t>支出决算为4万元，完成预算100%，决算数等于预算数。</w:t>
      </w:r>
    </w:p>
    <w:p>
      <w:pPr>
        <w:spacing w:line="560" w:lineRule="exact"/>
        <w:ind w:firstLine="642" w:firstLineChars="200"/>
        <w:rPr>
          <w:rStyle w:val="20"/>
          <w:rFonts w:eastAsia="仿宋_GB2312" w:cs="仿宋_GB2312"/>
          <w:bCs/>
          <w:sz w:val="32"/>
          <w:szCs w:val="32"/>
        </w:rPr>
      </w:pPr>
      <w:r>
        <w:rPr>
          <w:rStyle w:val="20"/>
          <w:rFonts w:hint="eastAsia" w:eastAsia="仿宋_GB2312" w:cs="仿宋_GB2312"/>
          <w:bCs/>
          <w:sz w:val="32"/>
          <w:szCs w:val="32"/>
        </w:rPr>
        <w:t>6.一般公共服务（类）政府办公厅（室）及相关机构事务（款）事业运行（项）:</w:t>
      </w:r>
      <w:r>
        <w:rPr>
          <w:rStyle w:val="20"/>
          <w:rFonts w:hint="eastAsia" w:eastAsia="仿宋_GB2312" w:cs="仿宋_GB2312"/>
          <w:b w:val="0"/>
          <w:bCs/>
          <w:sz w:val="32"/>
          <w:szCs w:val="32"/>
        </w:rPr>
        <w:t>支出决算为10.12万元，完成预算100%，决算数等于预算数。</w:t>
      </w:r>
    </w:p>
    <w:p>
      <w:pPr>
        <w:spacing w:line="560" w:lineRule="exact"/>
        <w:ind w:firstLine="642" w:firstLineChars="200"/>
        <w:rPr>
          <w:rFonts w:eastAsia="仿宋_GB2312" w:cs="仿宋_GB2312"/>
        </w:rPr>
      </w:pPr>
      <w:r>
        <w:rPr>
          <w:rStyle w:val="20"/>
          <w:rFonts w:hint="eastAsia" w:eastAsia="仿宋_GB2312" w:cs="仿宋_GB2312"/>
          <w:bCs/>
          <w:sz w:val="32"/>
          <w:szCs w:val="32"/>
        </w:rPr>
        <w:t>7.一般公共服务（类）政府办公厅（室）及相关机构事务（款）其他政府办公厅（室）及相关机构事务支出（项）:</w:t>
      </w:r>
      <w:r>
        <w:rPr>
          <w:rStyle w:val="20"/>
          <w:rFonts w:hint="eastAsia" w:eastAsia="仿宋_GB2312" w:cs="仿宋_GB2312"/>
          <w:b w:val="0"/>
          <w:bCs/>
          <w:sz w:val="32"/>
          <w:szCs w:val="32"/>
        </w:rPr>
        <w:t>支出决算为39.98万元，完成预算100%，决算数等于预算数。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8.一般公共服务（类）统计信息事务（款）其他统计信息事务支出（项）:</w:t>
      </w:r>
      <w:r>
        <w:rPr>
          <w:rStyle w:val="20"/>
          <w:rFonts w:hint="eastAsia" w:eastAsia="仿宋_GB2312" w:cs="仿宋_GB2312"/>
          <w:b w:val="0"/>
          <w:bCs/>
          <w:sz w:val="32"/>
          <w:szCs w:val="32"/>
        </w:rPr>
        <w:t>支出决算为2万元，完成预算100%，决算数等于预算数。</w:t>
      </w:r>
    </w:p>
    <w:p>
      <w:pPr>
        <w:spacing w:line="560" w:lineRule="exact"/>
        <w:ind w:firstLine="642" w:firstLineChars="200"/>
        <w:rPr>
          <w:rFonts w:eastAsia="仿宋_GB2312" w:cs="仿宋_GB2312"/>
        </w:rPr>
      </w:pPr>
      <w:r>
        <w:rPr>
          <w:rStyle w:val="20"/>
          <w:rFonts w:hint="eastAsia" w:eastAsia="仿宋_GB2312" w:cs="仿宋_GB2312"/>
          <w:bCs/>
          <w:sz w:val="32"/>
          <w:szCs w:val="32"/>
        </w:rPr>
        <w:t>9.一般公共服务（类）财政事务（款）行政运行（项）:</w:t>
      </w:r>
      <w:r>
        <w:rPr>
          <w:rStyle w:val="20"/>
          <w:rFonts w:hint="eastAsia" w:eastAsia="仿宋_GB2312" w:cs="仿宋_GB2312"/>
          <w:b w:val="0"/>
          <w:bCs/>
          <w:sz w:val="32"/>
          <w:szCs w:val="32"/>
        </w:rPr>
        <w:t>支出决算为33.3万元，完成预算100%，决算数等于预算数。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sz w:val="32"/>
          <w:szCs w:val="32"/>
        </w:rPr>
        <w:t>10.文化体育与传媒支出</w:t>
      </w:r>
      <w:r>
        <w:rPr>
          <w:rStyle w:val="20"/>
          <w:rFonts w:hint="eastAsia" w:eastAsia="仿宋_GB2312" w:cs="仿宋_GB2312"/>
          <w:bCs/>
          <w:sz w:val="32"/>
          <w:szCs w:val="32"/>
        </w:rPr>
        <w:t>（类）文化和旅游（款）其他文化和旅游支出（项）:</w:t>
      </w:r>
      <w:r>
        <w:rPr>
          <w:rStyle w:val="20"/>
          <w:rFonts w:hint="eastAsia" w:eastAsia="仿宋_GB2312" w:cs="仿宋_GB2312"/>
          <w:b w:val="0"/>
          <w:bCs/>
          <w:sz w:val="32"/>
          <w:szCs w:val="32"/>
        </w:rPr>
        <w:t>支出决算为26.17万元，完成预算100%，决算数等于预算数。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11.社会保障和就业（类）民政管理事务（款）基层政权建设和社区治理（项）:</w:t>
      </w:r>
      <w:r>
        <w:rPr>
          <w:rStyle w:val="20"/>
          <w:rFonts w:hint="eastAsia" w:eastAsia="仿宋_GB2312" w:cs="仿宋_GB2312"/>
          <w:b w:val="0"/>
          <w:bCs/>
          <w:sz w:val="32"/>
          <w:szCs w:val="32"/>
        </w:rPr>
        <w:t>支出决算为85.5万元，完成预算100%，决算数等于预算数。</w:t>
      </w:r>
    </w:p>
    <w:p>
      <w:pPr>
        <w:pStyle w:val="23"/>
        <w:spacing w:line="560" w:lineRule="exact"/>
        <w:ind w:firstLine="642" w:firstLineChars="200"/>
        <w:rPr>
          <w:rFonts w:hint="default" w:eastAsia="仿宋_GB2312"/>
        </w:rPr>
      </w:pPr>
      <w:r>
        <w:rPr>
          <w:rStyle w:val="20"/>
          <w:rFonts w:eastAsia="仿宋_GB2312" w:cs="仿宋_GB2312"/>
          <w:bCs/>
          <w:sz w:val="32"/>
          <w:szCs w:val="32"/>
        </w:rPr>
        <w:t>12.社会保障和就业（类）其他社会保障和就业支出（款）行政单位离退休（项）:</w:t>
      </w:r>
      <w:r>
        <w:rPr>
          <w:rStyle w:val="20"/>
          <w:rFonts w:eastAsia="仿宋_GB2312" w:cs="仿宋_GB2312"/>
          <w:b w:val="0"/>
          <w:bCs/>
          <w:sz w:val="32"/>
          <w:szCs w:val="32"/>
        </w:rPr>
        <w:t>支出决算为137.35万元，完成预算100%，决算数等于预算数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13.社会保障和就业（类）行政事业单位养老支出（款）机关事业单位基本养老保险缴费支出（项）:</w:t>
      </w:r>
      <w:r>
        <w:rPr>
          <w:rStyle w:val="20"/>
          <w:rFonts w:hint="eastAsia" w:eastAsia="仿宋_GB2312" w:cs="仿宋_GB2312"/>
          <w:b w:val="0"/>
          <w:bCs/>
          <w:sz w:val="32"/>
          <w:szCs w:val="32"/>
        </w:rPr>
        <w:t>支出决算为93.49元，完成预算100%，决算数等于预算数。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14.社会保障和就业（类）其他社会保障和就业支出（款）其他行政事业单位养老支出（项）:</w:t>
      </w:r>
      <w:r>
        <w:rPr>
          <w:rStyle w:val="20"/>
          <w:rFonts w:hint="eastAsia" w:eastAsia="仿宋_GB2312" w:cs="仿宋_GB2312"/>
          <w:b w:val="0"/>
          <w:bCs/>
          <w:sz w:val="32"/>
          <w:szCs w:val="32"/>
        </w:rPr>
        <w:t>支出决算为7.99万元，完成预算100%，决算数等于预算数。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15.社会保障和就业（类）其他社会保障和就业支出（款）其他社会保障和就业支出（项）:</w:t>
      </w:r>
      <w:r>
        <w:rPr>
          <w:rStyle w:val="20"/>
          <w:rFonts w:hint="eastAsia" w:eastAsia="仿宋_GB2312" w:cs="仿宋_GB2312"/>
          <w:b w:val="0"/>
          <w:bCs/>
          <w:sz w:val="32"/>
          <w:szCs w:val="32"/>
        </w:rPr>
        <w:t>支出决算为3.78万元，完成预算100%，决算数等于预算数。</w:t>
      </w:r>
    </w:p>
    <w:p>
      <w:pPr>
        <w:spacing w:line="560" w:lineRule="exact"/>
        <w:ind w:firstLine="642" w:firstLineChars="200"/>
        <w:rPr>
          <w:rFonts w:eastAsia="仿宋_GB2312" w:cs="仿宋_GB2312"/>
        </w:rPr>
      </w:pPr>
      <w:r>
        <w:rPr>
          <w:rStyle w:val="20"/>
          <w:rFonts w:hint="eastAsia" w:eastAsia="仿宋_GB2312" w:cs="仿宋_GB2312"/>
          <w:bCs/>
          <w:sz w:val="32"/>
          <w:szCs w:val="32"/>
        </w:rPr>
        <w:t>16.社会保障和就业（类）抚恤（款）死亡抚恤（项）:</w:t>
      </w:r>
      <w:r>
        <w:rPr>
          <w:rStyle w:val="20"/>
          <w:rFonts w:hint="eastAsia" w:eastAsia="仿宋_GB2312" w:cs="仿宋_GB2312"/>
          <w:b w:val="0"/>
          <w:bCs/>
          <w:sz w:val="32"/>
          <w:szCs w:val="32"/>
        </w:rPr>
        <w:t>支出决算为9.78万元，完成预算100%，决算数等于预算数。</w:t>
      </w:r>
    </w:p>
    <w:p>
      <w:pPr>
        <w:spacing w:line="560" w:lineRule="exact"/>
        <w:ind w:firstLine="642" w:firstLineChars="200"/>
        <w:rPr>
          <w:rStyle w:val="20"/>
          <w:rFonts w:eastAsia="仿宋_GB2312" w:cs="仿宋_GB2312"/>
          <w:b w:val="0"/>
          <w:bCs/>
          <w:sz w:val="32"/>
          <w:szCs w:val="32"/>
        </w:rPr>
      </w:pPr>
      <w:r>
        <w:rPr>
          <w:rFonts w:hint="eastAsia" w:eastAsia="仿宋_GB2312" w:cs="仿宋_GB2312"/>
          <w:b/>
          <w:bCs/>
          <w:sz w:val="32"/>
          <w:szCs w:val="32"/>
        </w:rPr>
        <w:t>17.卫生健康</w:t>
      </w:r>
      <w:r>
        <w:rPr>
          <w:rStyle w:val="20"/>
          <w:rFonts w:hint="eastAsia" w:eastAsia="仿宋_GB2312" w:cs="仿宋_GB2312"/>
          <w:bCs/>
          <w:sz w:val="32"/>
          <w:szCs w:val="32"/>
        </w:rPr>
        <w:t>（类）卫生健康管理事务（款）行政运行（项）:</w:t>
      </w:r>
      <w:r>
        <w:rPr>
          <w:rStyle w:val="20"/>
          <w:rFonts w:hint="eastAsia" w:eastAsia="仿宋_GB2312" w:cs="仿宋_GB2312"/>
          <w:b w:val="0"/>
          <w:bCs/>
          <w:sz w:val="32"/>
          <w:szCs w:val="32"/>
        </w:rPr>
        <w:t>支出决算为16.46万元，完成预算100%，决算数等于预算数。</w:t>
      </w:r>
    </w:p>
    <w:p>
      <w:pPr>
        <w:spacing w:line="560" w:lineRule="exact"/>
        <w:ind w:firstLine="642" w:firstLineChars="200"/>
        <w:rPr>
          <w:rStyle w:val="20"/>
          <w:rFonts w:eastAsia="仿宋_GB2312" w:cs="仿宋_GB2312"/>
          <w:b w:val="0"/>
          <w:bCs/>
          <w:sz w:val="32"/>
          <w:szCs w:val="32"/>
        </w:rPr>
      </w:pPr>
      <w:r>
        <w:rPr>
          <w:rFonts w:hint="eastAsia" w:eastAsia="仿宋_GB2312" w:cs="仿宋_GB2312"/>
          <w:b/>
          <w:bCs/>
          <w:sz w:val="32"/>
          <w:szCs w:val="32"/>
        </w:rPr>
        <w:t>18.卫生健康（类）行政事业单位医疗（款）行政单位医疗（项）:</w:t>
      </w:r>
      <w:r>
        <w:rPr>
          <w:rStyle w:val="20"/>
          <w:rFonts w:hint="eastAsia" w:eastAsia="仿宋_GB2312" w:cs="仿宋_GB2312"/>
          <w:b w:val="0"/>
          <w:bCs/>
          <w:sz w:val="32"/>
          <w:szCs w:val="32"/>
        </w:rPr>
        <w:t>支出决算为11.85万元，完成预算100%，决算数等于预算数。</w:t>
      </w:r>
    </w:p>
    <w:p>
      <w:pPr>
        <w:spacing w:line="560" w:lineRule="exact"/>
        <w:ind w:firstLine="642" w:firstLineChars="200"/>
        <w:rPr>
          <w:rStyle w:val="20"/>
          <w:rFonts w:eastAsia="仿宋_GB2312" w:cs="仿宋_GB2312"/>
          <w:b w:val="0"/>
          <w:bCs/>
          <w:sz w:val="32"/>
          <w:szCs w:val="32"/>
        </w:rPr>
      </w:pPr>
      <w:r>
        <w:rPr>
          <w:rFonts w:eastAsia="仿宋_GB2312" w:cs="仿宋_GB2312"/>
          <w:b/>
          <w:bCs/>
          <w:sz w:val="32"/>
          <w:szCs w:val="32"/>
        </w:rPr>
        <w:t>19.</w:t>
      </w:r>
      <w:r>
        <w:rPr>
          <w:rFonts w:hint="eastAsia" w:eastAsia="仿宋_GB2312" w:cs="仿宋_GB2312"/>
          <w:b/>
          <w:bCs/>
          <w:sz w:val="32"/>
          <w:szCs w:val="32"/>
        </w:rPr>
        <w:t>卫生健康（类）行政事业单位医疗（款）事业单位医疗（项）:</w:t>
      </w:r>
      <w:r>
        <w:rPr>
          <w:rStyle w:val="20"/>
          <w:rFonts w:hint="eastAsia" w:eastAsia="仿宋_GB2312" w:cs="仿宋_GB2312"/>
          <w:b w:val="0"/>
          <w:bCs/>
          <w:sz w:val="32"/>
          <w:szCs w:val="32"/>
        </w:rPr>
        <w:t>支出决算为16.88万元，完成预算100%，决算数等于预算数。</w:t>
      </w:r>
    </w:p>
    <w:p>
      <w:pPr>
        <w:spacing w:line="560" w:lineRule="exact"/>
        <w:ind w:firstLine="642" w:firstLineChars="200"/>
        <w:rPr>
          <w:rStyle w:val="20"/>
          <w:rFonts w:eastAsia="仿宋_GB2312" w:cs="仿宋_GB2312"/>
          <w:b w:val="0"/>
          <w:bCs/>
          <w:sz w:val="32"/>
          <w:szCs w:val="32"/>
        </w:rPr>
      </w:pPr>
      <w:r>
        <w:rPr>
          <w:rFonts w:hint="eastAsia" w:eastAsia="仿宋_GB2312" w:cs="仿宋_GB2312"/>
          <w:b/>
          <w:bCs/>
          <w:sz w:val="32"/>
          <w:szCs w:val="32"/>
        </w:rPr>
        <w:t>20.卫生健康（类）行政事业单位医疗（款）公务员医疗补助（项）:</w:t>
      </w:r>
      <w:r>
        <w:rPr>
          <w:rStyle w:val="20"/>
          <w:rFonts w:hint="eastAsia" w:eastAsia="仿宋_GB2312" w:cs="仿宋_GB2312"/>
          <w:b w:val="0"/>
          <w:bCs/>
          <w:sz w:val="32"/>
          <w:szCs w:val="32"/>
        </w:rPr>
        <w:t>支出决算为</w:t>
      </w:r>
      <w:r>
        <w:rPr>
          <w:rStyle w:val="20"/>
          <w:rFonts w:hint="eastAsia" w:cs="仿宋_GB2312"/>
          <w:b w:val="0"/>
          <w:bCs/>
          <w:sz w:val="32"/>
          <w:szCs w:val="32"/>
        </w:rPr>
        <w:t>18.73</w:t>
      </w:r>
      <w:r>
        <w:rPr>
          <w:rStyle w:val="20"/>
          <w:rFonts w:hint="eastAsia" w:eastAsia="仿宋_GB2312" w:cs="仿宋_GB2312"/>
          <w:b w:val="0"/>
          <w:bCs/>
          <w:sz w:val="32"/>
          <w:szCs w:val="32"/>
        </w:rPr>
        <w:t>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21.节能环保支出（类）污染防治（款）水体（项）</w:t>
      </w:r>
      <w:r>
        <w:rPr>
          <w:rStyle w:val="20"/>
          <w:rFonts w:hint="eastAsia" w:eastAsia="仿宋_GB2312" w:cs="仿宋_GB2312"/>
          <w:b w:val="0"/>
          <w:bCs/>
          <w:sz w:val="32"/>
          <w:szCs w:val="32"/>
        </w:rPr>
        <w:t>：支出决算为</w:t>
      </w:r>
      <w:r>
        <w:rPr>
          <w:rStyle w:val="20"/>
          <w:rFonts w:hint="eastAsia" w:eastAsia="仿宋_GB2312" w:cs="仿宋_GB2312"/>
          <w:b w:val="0"/>
          <w:bCs/>
          <w:sz w:val="32"/>
          <w:szCs w:val="32"/>
          <w:lang w:val="en-US" w:eastAsia="zh-CN"/>
        </w:rPr>
        <w:t>39.59</w:t>
      </w:r>
      <w:r>
        <w:rPr>
          <w:rStyle w:val="20"/>
          <w:rFonts w:hint="eastAsia" w:eastAsia="仿宋_GB2312" w:cs="仿宋_GB2312"/>
          <w:b w:val="0"/>
          <w:bCs/>
          <w:sz w:val="32"/>
          <w:szCs w:val="32"/>
        </w:rPr>
        <w:t>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22.城乡社区支出（类）城乡社区公共设施（款）其他城乡社区公共设施支出（项）</w:t>
      </w:r>
      <w:r>
        <w:rPr>
          <w:rStyle w:val="20"/>
          <w:rFonts w:hint="eastAsia" w:eastAsia="仿宋_GB2312" w:cs="仿宋_GB2312"/>
          <w:b w:val="0"/>
          <w:bCs/>
          <w:sz w:val="32"/>
          <w:szCs w:val="32"/>
        </w:rPr>
        <w:t>：支出决算为11万元，完成预算100%，决算数等于预算数。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23.城乡社区支出（类）国有土地使用权出让收入安排的支出（款）其他国有土地使用权出让收入安排的支出（项）</w:t>
      </w:r>
      <w:r>
        <w:rPr>
          <w:rStyle w:val="20"/>
          <w:rFonts w:hint="eastAsia" w:eastAsia="仿宋_GB2312" w:cs="仿宋_GB2312"/>
          <w:b w:val="0"/>
          <w:bCs/>
          <w:sz w:val="32"/>
          <w:szCs w:val="32"/>
        </w:rPr>
        <w:t>：支出决算为72.41万元，完成预算100%，决算数等于预算数。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24.农林水支出（类）农业农村（款）事业运行（项）:</w:t>
      </w:r>
      <w:r>
        <w:rPr>
          <w:rStyle w:val="20"/>
          <w:rFonts w:hint="eastAsia" w:eastAsia="仿宋_GB2312" w:cs="仿宋_GB2312"/>
          <w:b w:val="0"/>
          <w:bCs/>
          <w:sz w:val="32"/>
          <w:szCs w:val="32"/>
        </w:rPr>
        <w:t>支出决算为223.07万元，完成预算100%，决算数等于预算数。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25.农林水支出（类）水利（款）其他水利支出（项）:</w:t>
      </w:r>
      <w:r>
        <w:rPr>
          <w:rStyle w:val="20"/>
          <w:rFonts w:hint="eastAsia" w:eastAsia="仿宋_GB2312" w:cs="仿宋_GB2312"/>
          <w:b w:val="0"/>
          <w:bCs/>
          <w:sz w:val="32"/>
          <w:szCs w:val="32"/>
        </w:rPr>
        <w:t>支出决算为6.55万元，完成预算100%，决算数等于预算数。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26.农林水支出（类）巩固</w:t>
      </w:r>
      <w:r>
        <w:rPr>
          <w:rStyle w:val="20"/>
          <w:rFonts w:hint="eastAsia" w:eastAsia="仿宋_GB2312" w:cs="仿宋_GB2312"/>
          <w:bCs/>
          <w:sz w:val="32"/>
          <w:szCs w:val="32"/>
          <w:lang w:val="en-US" w:eastAsia="zh-CN"/>
        </w:rPr>
        <w:t>拓展</w:t>
      </w:r>
      <w:r>
        <w:rPr>
          <w:rStyle w:val="20"/>
          <w:rFonts w:hint="eastAsia" w:eastAsia="仿宋_GB2312" w:cs="仿宋_GB2312"/>
          <w:bCs/>
          <w:sz w:val="32"/>
          <w:szCs w:val="32"/>
        </w:rPr>
        <w:t>脱贫攻坚成果衔接乡村振兴（款）其他巩固</w:t>
      </w:r>
      <w:r>
        <w:rPr>
          <w:rStyle w:val="20"/>
          <w:rFonts w:hint="eastAsia" w:eastAsia="仿宋_GB2312" w:cs="仿宋_GB2312"/>
          <w:bCs/>
          <w:sz w:val="32"/>
          <w:szCs w:val="32"/>
          <w:lang w:val="en-US" w:eastAsia="zh-CN"/>
        </w:rPr>
        <w:t>拓展</w:t>
      </w:r>
      <w:r>
        <w:rPr>
          <w:rStyle w:val="20"/>
          <w:rFonts w:hint="eastAsia" w:eastAsia="仿宋_GB2312" w:cs="仿宋_GB2312"/>
          <w:bCs/>
          <w:sz w:val="32"/>
          <w:szCs w:val="32"/>
        </w:rPr>
        <w:t>脱贫攻坚成果衔接乡村振兴（项）:</w:t>
      </w:r>
      <w:r>
        <w:rPr>
          <w:rStyle w:val="20"/>
          <w:rFonts w:hint="eastAsia" w:eastAsia="仿宋_GB2312" w:cs="仿宋_GB2312"/>
          <w:b w:val="0"/>
          <w:bCs/>
          <w:sz w:val="32"/>
          <w:szCs w:val="32"/>
        </w:rPr>
        <w:t>支出决算为200万元，完成预算100%，决算数等于预算数。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27.农林水支出（类）农业综合改革（款）对村民委员会和村党支部的补助（项）:</w:t>
      </w:r>
      <w:r>
        <w:rPr>
          <w:rStyle w:val="20"/>
          <w:rFonts w:hint="eastAsia" w:eastAsia="仿宋_GB2312" w:cs="仿宋_GB2312"/>
          <w:b w:val="0"/>
          <w:bCs/>
          <w:sz w:val="32"/>
          <w:szCs w:val="32"/>
        </w:rPr>
        <w:t>支出决算为861.88万元，完成预算100%，决算数等于预算数。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28.农林水支出（类）其他农林水支出（款）其他农林水支出（项）:</w:t>
      </w:r>
      <w:r>
        <w:rPr>
          <w:rStyle w:val="20"/>
          <w:rFonts w:hint="eastAsia" w:eastAsia="仿宋_GB2312" w:cs="仿宋_GB2312"/>
          <w:b w:val="0"/>
          <w:bCs/>
          <w:sz w:val="32"/>
          <w:szCs w:val="32"/>
        </w:rPr>
        <w:t>支出决算为0.89万元，完成预算100%，决算数等于预算数。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29.住房保障支出（类）住房改革支出（款）住房公积金（项）:</w:t>
      </w:r>
      <w:r>
        <w:rPr>
          <w:rStyle w:val="20"/>
          <w:rFonts w:hint="eastAsia" w:eastAsia="仿宋_GB2312" w:cs="仿宋_GB2312"/>
          <w:b w:val="0"/>
          <w:bCs/>
          <w:sz w:val="32"/>
          <w:szCs w:val="32"/>
        </w:rPr>
        <w:t>支出决算为76.3万元，完成预算100%，决算数等于预算数。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30.灾害防治及应急管理支出（类）应急管理事务（款）灾害风险防治（项）：</w:t>
      </w:r>
      <w:r>
        <w:rPr>
          <w:rStyle w:val="20"/>
          <w:rFonts w:hint="eastAsia" w:eastAsia="仿宋_GB2312" w:cs="仿宋_GB2312"/>
          <w:b w:val="0"/>
          <w:bCs/>
          <w:sz w:val="32"/>
          <w:szCs w:val="32"/>
        </w:rPr>
        <w:t>支出决算为8万元，完成预算100%，决算数等于预算数。</w:t>
      </w:r>
    </w:p>
    <w:p>
      <w:pPr>
        <w:spacing w:line="560" w:lineRule="exact"/>
        <w:ind w:firstLine="642" w:firstLineChars="200"/>
        <w:rPr>
          <w:rStyle w:val="20"/>
          <w:rFonts w:eastAsia="仿宋_GB2312" w:cs="仿宋_GB2312"/>
          <w:b w:val="0"/>
          <w:bCs/>
          <w:sz w:val="32"/>
          <w:szCs w:val="32"/>
        </w:rPr>
      </w:pPr>
      <w:r>
        <w:rPr>
          <w:rStyle w:val="20"/>
          <w:rFonts w:hint="eastAsia" w:eastAsia="仿宋_GB2312" w:cs="仿宋_GB2312"/>
          <w:bCs/>
          <w:sz w:val="32"/>
          <w:szCs w:val="32"/>
        </w:rPr>
        <w:t>31.灾害防治及应急管理支出（类）应急管理事务（款）应急救援（项）：</w:t>
      </w:r>
      <w:r>
        <w:rPr>
          <w:rStyle w:val="20"/>
          <w:rFonts w:hint="eastAsia" w:eastAsia="仿宋_GB2312" w:cs="仿宋_GB2312"/>
          <w:b w:val="0"/>
          <w:bCs/>
          <w:sz w:val="32"/>
          <w:szCs w:val="32"/>
        </w:rPr>
        <w:t>支出决算为8万元，完成预算100%，决算数等于预算数。</w:t>
      </w:r>
    </w:p>
    <w:p>
      <w:pPr>
        <w:spacing w:line="560" w:lineRule="exact"/>
        <w:ind w:firstLine="642" w:firstLineChars="200"/>
        <w:rPr>
          <w:rStyle w:val="20"/>
          <w:rFonts w:eastAsia="仿宋_GB2312" w:cs="仿宋_GB2312"/>
          <w:bCs/>
          <w:sz w:val="32"/>
          <w:szCs w:val="32"/>
        </w:rPr>
      </w:pPr>
      <w:r>
        <w:rPr>
          <w:rStyle w:val="20"/>
          <w:rFonts w:hint="eastAsia" w:eastAsia="仿宋_GB2312" w:cs="仿宋_GB2312"/>
          <w:bCs/>
          <w:sz w:val="32"/>
          <w:szCs w:val="32"/>
        </w:rPr>
        <w:t>32.灾害防治及应急管理支出（类）其他灾害防治及应急管理支出（款）其他灾害防治及应急管理支出（项）：</w:t>
      </w:r>
      <w:r>
        <w:rPr>
          <w:rStyle w:val="20"/>
          <w:rFonts w:hint="eastAsia" w:eastAsia="仿宋_GB2312" w:cs="仿宋_GB2312"/>
          <w:b w:val="0"/>
          <w:bCs/>
          <w:sz w:val="32"/>
          <w:szCs w:val="32"/>
        </w:rPr>
        <w:t>支出决算为20.56万元，完成预算100%，决算数等于预算数。</w:t>
      </w:r>
    </w:p>
    <w:p>
      <w:pPr>
        <w:tabs>
          <w:tab w:val="right" w:pos="8306"/>
        </w:tabs>
        <w:spacing w:line="560" w:lineRule="exact"/>
        <w:ind w:firstLine="640"/>
        <w:outlineLvl w:val="1"/>
        <w:rPr>
          <w:rStyle w:val="34"/>
          <w:rFonts w:ascii="Times New Roman" w:hAnsi="Times New Roman" w:eastAsia="黑体" w:cs="黑体"/>
        </w:rPr>
      </w:pPr>
      <w:bookmarkStart w:id="36" w:name="_Toc15377214"/>
      <w:bookmarkStart w:id="37" w:name="_Toc15396608"/>
      <w:r>
        <w:rPr>
          <w:rFonts w:hint="eastAsia" w:eastAsia="黑体" w:cs="黑体"/>
          <w:sz w:val="32"/>
          <w:szCs w:val="32"/>
        </w:rPr>
        <w:t>六</w:t>
      </w:r>
      <w:r>
        <w:rPr>
          <w:rFonts w:hint="eastAsia" w:eastAsia="黑体" w:cs="黑体"/>
          <w:b/>
          <w:sz w:val="32"/>
          <w:szCs w:val="32"/>
        </w:rPr>
        <w:t>、一</w:t>
      </w:r>
      <w:r>
        <w:rPr>
          <w:rStyle w:val="34"/>
          <w:rFonts w:hint="eastAsia" w:ascii="Times New Roman" w:hAnsi="Times New Roman" w:eastAsia="黑体" w:cs="黑体"/>
          <w:b w:val="0"/>
        </w:rPr>
        <w:t>般公共预算财政拨款基本支出决算情况说明</w:t>
      </w:r>
      <w:bookmarkEnd w:id="36"/>
      <w:bookmarkEnd w:id="37"/>
      <w:r>
        <w:rPr>
          <w:rStyle w:val="34"/>
          <w:rFonts w:hint="eastAsia" w:ascii="Times New Roman" w:hAnsi="Times New Roman" w:eastAsia="黑体" w:cs="黑体"/>
          <w:b w:val="0"/>
        </w:rPr>
        <w:tab/>
      </w:r>
    </w:p>
    <w:p>
      <w:pPr>
        <w:spacing w:line="560" w:lineRule="exact"/>
        <w:ind w:firstLine="645"/>
        <w:rPr>
          <w:rFonts w:eastAsia="仿宋_GB2312" w:cs="仿宋_GB2312"/>
          <w:sz w:val="32"/>
          <w:szCs w:val="32"/>
        </w:rPr>
      </w:pPr>
      <w:r>
        <w:rPr>
          <w:rFonts w:hint="eastAsia" w:eastAsia="仿宋_GB2312" w:cs="仿宋_GB2312"/>
          <w:sz w:val="32"/>
          <w:szCs w:val="32"/>
        </w:rPr>
        <w:t>2023年一般公共预算财政拨款基本支出2662.37万元，其中：</w:t>
      </w:r>
    </w:p>
    <w:p>
      <w:pPr>
        <w:spacing w:line="560" w:lineRule="exact"/>
        <w:ind w:firstLine="645"/>
        <w:rPr>
          <w:rFonts w:eastAsia="仿宋_GB2312" w:cs="仿宋_GB2312"/>
          <w:sz w:val="32"/>
          <w:szCs w:val="32"/>
        </w:rPr>
      </w:pPr>
      <w:r>
        <w:rPr>
          <w:rFonts w:hint="eastAsia" w:eastAsia="仿宋_GB2312" w:cs="仿宋_GB2312"/>
          <w:sz w:val="32"/>
          <w:szCs w:val="32"/>
        </w:rPr>
        <w:t>人员经费1681.87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60" w:lineRule="exact"/>
        <w:ind w:firstLine="645"/>
        <w:rPr>
          <w:rFonts w:eastAsia="仿宋_GB2312" w:cs="仿宋_GB2312"/>
          <w:sz w:val="32"/>
          <w:szCs w:val="32"/>
        </w:rPr>
      </w:pPr>
      <w:r>
        <w:rPr>
          <w:rFonts w:hint="eastAsia" w:eastAsia="仿宋_GB2312" w:cs="仿宋_GB2312"/>
          <w:sz w:val="32"/>
          <w:szCs w:val="32"/>
        </w:rPr>
        <w:t>公用经费156.57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tabs>
          <w:tab w:val="right" w:pos="8306"/>
        </w:tabs>
        <w:spacing w:line="560" w:lineRule="exact"/>
        <w:ind w:firstLine="640"/>
        <w:outlineLvl w:val="1"/>
        <w:rPr>
          <w:rFonts w:eastAsia="黑体" w:cs="黑体"/>
          <w:sz w:val="32"/>
          <w:szCs w:val="32"/>
        </w:rPr>
      </w:pPr>
      <w:bookmarkStart w:id="38" w:name="_Toc15377215"/>
      <w:bookmarkStart w:id="39" w:name="_Toc15396609"/>
      <w:r>
        <w:rPr>
          <w:rFonts w:hint="eastAsia" w:eastAsia="黑体" w:cs="黑体"/>
          <w:sz w:val="32"/>
          <w:szCs w:val="32"/>
        </w:rPr>
        <w:t>七、财政拨款“三公”经费支出决算情况说明</w:t>
      </w:r>
      <w:bookmarkEnd w:id="38"/>
      <w:bookmarkEnd w:id="39"/>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40" w:name="_Toc15377216"/>
      <w:r>
        <w:rPr>
          <w:rFonts w:hint="eastAsia" w:ascii="Times New Roman" w:eastAsia="楷体_GB2312" w:cs="楷体_GB2312"/>
          <w:bCs/>
          <w:sz w:val="32"/>
          <w:szCs w:val="32"/>
        </w:rPr>
        <w:t>（一）“三公”经费财政拨款支出决算总体情况说明</w:t>
      </w:r>
      <w:bookmarkEnd w:id="40"/>
    </w:p>
    <w:p>
      <w:pPr>
        <w:spacing w:line="560" w:lineRule="exact"/>
        <w:ind w:firstLine="640"/>
        <w:rPr>
          <w:rFonts w:eastAsia="仿宋_GB2312" w:cs="仿宋_GB2312"/>
          <w:sz w:val="32"/>
          <w:szCs w:val="32"/>
        </w:rPr>
      </w:pPr>
      <w:r>
        <w:rPr>
          <w:rFonts w:hint="eastAsia" w:eastAsia="仿宋_GB2312" w:cs="仿宋_GB2312"/>
          <w:sz w:val="32"/>
          <w:szCs w:val="32"/>
        </w:rPr>
        <w:t>202</w:t>
      </w:r>
      <w:r>
        <w:rPr>
          <w:rFonts w:hint="eastAsia" w:eastAsia="仿宋_GB2312" w:cs="仿宋_GB2312"/>
          <w:sz w:val="32"/>
          <w:szCs w:val="32"/>
          <w:lang w:val="en-US" w:eastAsia="zh-CN"/>
        </w:rPr>
        <w:t>3</w:t>
      </w:r>
      <w:r>
        <w:rPr>
          <w:rFonts w:hint="eastAsia" w:eastAsia="仿宋_GB2312" w:cs="仿宋_GB2312"/>
          <w:sz w:val="32"/>
          <w:szCs w:val="32"/>
        </w:rPr>
        <w:t>年“三公”经费财政拨款支出决算为6.32万元，完成预算100%，较上年减少1.58万元，下降25%。完成预算100%，决算数与预算数持平。</w:t>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41" w:name="_Toc15377217"/>
      <w:r>
        <w:rPr>
          <w:rFonts w:hint="eastAsia" w:ascii="Times New Roman" w:eastAsia="楷体_GB2312" w:cs="楷体_GB2312"/>
          <w:bCs/>
          <w:sz w:val="32"/>
          <w:szCs w:val="32"/>
        </w:rPr>
        <w:t>（二）“三公”经费财政拨款支出决算具体情况说明</w:t>
      </w:r>
      <w:bookmarkEnd w:id="41"/>
    </w:p>
    <w:p>
      <w:pPr>
        <w:spacing w:line="560" w:lineRule="exact"/>
        <w:ind w:firstLine="640"/>
        <w:rPr>
          <w:rFonts w:eastAsia="仿宋_GB2312" w:cs="仿宋_GB2312"/>
          <w:sz w:val="32"/>
          <w:szCs w:val="32"/>
        </w:rPr>
      </w:pPr>
      <w:r>
        <w:rPr>
          <w:rFonts w:hint="eastAsia" w:eastAsia="仿宋_GB2312" w:cs="仿宋_GB2312"/>
          <w:sz w:val="32"/>
          <w:szCs w:val="32"/>
        </w:rPr>
        <w:t>2023年“三公”经费财政拨款支出决算中，因公出国（境）费支出决算0万元，占0%；公务用车购置及运行维护费支出决算0万元，占0%；公务接待费支出决算6.32万元，占100%。具体情况如下：</w:t>
      </w:r>
    </w:p>
    <w:p>
      <w:pPr>
        <w:pStyle w:val="9"/>
        <w:spacing w:before="93"/>
        <w:rPr>
          <w:rFonts w:ascii="Times New Roman" w:eastAsia="仿宋"/>
          <w:sz w:val="32"/>
          <w:szCs w:val="32"/>
        </w:rPr>
      </w:pPr>
      <w:r>
        <w:rPr>
          <w:rFonts w:ascii="Times New Roman" w:eastAsia="仿宋"/>
          <w:sz w:val="32"/>
          <w:szCs w:val="32"/>
        </w:rPr>
        <w:object>
          <v:shape id="_x0000_i1025" o:spt="75" type="#_x0000_t75" style="height:285pt;width:411.6pt;" o:ole="t" filled="f" o:preferrelative="t" stroked="f" coordsize="21600,21600" o:gfxdata="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">
            <v:path/>
            <v:fill on="f" focussize="0,0"/>
            <v:stroke on="f" joinstyle="miter"/>
            <v:imagedata r:id="rId13" o:title=""/>
            <o:lock v:ext="edit" aspectratio="t"/>
            <w10:wrap type="none"/>
            <w10:anchorlock/>
          </v:shape>
          <o:OLEObject Type="Embed" ProgID="Excel.Sheet.8" ShapeID="_x0000_i1025" DrawAspect="Content" ObjectID="_1468075725" r:id="rId12">
            <o:LockedField>false</o:LockedField>
          </o:OLEObject>
        </w:object>
      </w:r>
    </w:p>
    <w:p>
      <w:pPr>
        <w:spacing w:line="560" w:lineRule="exact"/>
        <w:ind w:firstLine="640"/>
        <w:rPr>
          <w:rFonts w:eastAsia="仿宋_GB2312" w:cs="仿宋_GB2312"/>
          <w:b/>
          <w:sz w:val="32"/>
          <w:szCs w:val="32"/>
        </w:rPr>
      </w:pPr>
      <w:r>
        <w:rPr>
          <w:rFonts w:hint="eastAsia" w:eastAsia="仿宋_GB2312" w:cs="仿宋_GB2312"/>
          <w:b/>
          <w:sz w:val="32"/>
          <w:szCs w:val="32"/>
        </w:rPr>
        <w:t>1.因公出国（境）经费支出</w:t>
      </w:r>
      <w:r>
        <w:rPr>
          <w:rFonts w:hint="eastAsia" w:eastAsia="仿宋_GB2312" w:cs="仿宋_GB2312"/>
          <w:sz w:val="32"/>
          <w:szCs w:val="32"/>
        </w:rPr>
        <w:t>0万元，</w:t>
      </w:r>
      <w:r>
        <w:rPr>
          <w:rStyle w:val="20"/>
          <w:rFonts w:hint="eastAsia" w:eastAsia="仿宋_GB2312" w:cs="仿宋_GB2312"/>
          <w:b w:val="0"/>
          <w:bCs/>
          <w:sz w:val="32"/>
          <w:szCs w:val="32"/>
        </w:rPr>
        <w:t>完成预算100%。</w:t>
      </w:r>
      <w:r>
        <w:rPr>
          <w:rFonts w:hint="eastAsia" w:eastAsia="仿宋_GB2312" w:cs="仿宋_GB2312"/>
          <w:sz w:val="32"/>
          <w:szCs w:val="32"/>
        </w:rPr>
        <w:t>全年安排因公出国（境）团组0次，出国（境）0人。因公出国（境）支出与2022年持平。</w:t>
      </w:r>
    </w:p>
    <w:p>
      <w:pPr>
        <w:spacing w:line="560" w:lineRule="exact"/>
        <w:ind w:firstLine="640"/>
        <w:rPr>
          <w:rFonts w:eastAsia="仿宋_GB2312" w:cs="仿宋_GB2312"/>
          <w:b/>
          <w:sz w:val="32"/>
          <w:szCs w:val="32"/>
        </w:rPr>
      </w:pPr>
      <w:r>
        <w:rPr>
          <w:rFonts w:hint="eastAsia" w:eastAsia="仿宋_GB2312" w:cs="仿宋_GB2312"/>
          <w:b/>
          <w:sz w:val="32"/>
          <w:szCs w:val="32"/>
        </w:rPr>
        <w:t>2.公务用车购置及运行维护费支出</w:t>
      </w:r>
      <w:r>
        <w:rPr>
          <w:rFonts w:hint="eastAsia" w:eastAsia="仿宋_GB2312" w:cs="仿宋_GB2312"/>
          <w:sz w:val="32"/>
          <w:szCs w:val="32"/>
        </w:rPr>
        <w:t>0万元,</w:t>
      </w:r>
      <w:r>
        <w:rPr>
          <w:rStyle w:val="20"/>
          <w:rFonts w:hint="eastAsia" w:eastAsia="仿宋_GB2312" w:cs="仿宋_GB2312"/>
          <w:b w:val="0"/>
          <w:bCs/>
          <w:sz w:val="32"/>
          <w:szCs w:val="32"/>
        </w:rPr>
        <w:t>完成预算100%。</w:t>
      </w:r>
      <w:r>
        <w:rPr>
          <w:rFonts w:hint="eastAsia" w:eastAsia="仿宋_GB2312" w:cs="仿宋_GB2312"/>
          <w:sz w:val="32"/>
          <w:szCs w:val="32"/>
        </w:rPr>
        <w:t>公务用车购置及运行维护费支出与2022年持平。</w:t>
      </w:r>
    </w:p>
    <w:p>
      <w:pPr>
        <w:spacing w:line="560" w:lineRule="exact"/>
        <w:ind w:firstLine="640" w:firstLineChars="200"/>
        <w:rPr>
          <w:rFonts w:eastAsia="仿宋_GB2312" w:cs="仿宋_GB2312"/>
          <w:b/>
          <w:sz w:val="32"/>
          <w:szCs w:val="32"/>
        </w:rPr>
      </w:pPr>
      <w:r>
        <w:rPr>
          <w:rFonts w:hint="eastAsia" w:eastAsia="仿宋_GB2312" w:cs="仿宋_GB2312"/>
          <w:sz w:val="32"/>
          <w:szCs w:val="32"/>
        </w:rPr>
        <w:t>其中：</w:t>
      </w:r>
      <w:r>
        <w:rPr>
          <w:rFonts w:hint="eastAsia" w:eastAsia="仿宋_GB2312" w:cs="仿宋_GB2312"/>
          <w:b/>
          <w:sz w:val="32"/>
          <w:szCs w:val="32"/>
        </w:rPr>
        <w:t>公务用车购置支出</w:t>
      </w:r>
      <w:r>
        <w:rPr>
          <w:rFonts w:hint="eastAsia" w:eastAsia="仿宋_GB2312" w:cs="仿宋_GB2312"/>
          <w:sz w:val="32"/>
          <w:szCs w:val="32"/>
        </w:rPr>
        <w:t>0万元。全年按规定更新购置公务用车0辆，其中：轿车0辆、金额0万元，越野车0辆、金额0万元，载客汽车0辆、金额0万元。截至2022年12月底，单位共有公务用车0辆，其中：轿车0辆、越野车0辆、载客汽车0辆。</w:t>
      </w:r>
    </w:p>
    <w:p>
      <w:pPr>
        <w:spacing w:line="560" w:lineRule="exact"/>
        <w:ind w:firstLine="640"/>
        <w:rPr>
          <w:rFonts w:eastAsia="仿宋_GB2312" w:cs="仿宋_GB2312"/>
          <w:sz w:val="32"/>
          <w:szCs w:val="32"/>
        </w:rPr>
      </w:pPr>
      <w:r>
        <w:rPr>
          <w:rFonts w:hint="eastAsia" w:eastAsia="仿宋_GB2312" w:cs="仿宋_GB2312"/>
          <w:b/>
          <w:sz w:val="32"/>
          <w:szCs w:val="32"/>
        </w:rPr>
        <w:t>公务用车运行维护费支出</w:t>
      </w:r>
      <w:r>
        <w:rPr>
          <w:rFonts w:hint="eastAsia" w:eastAsia="仿宋_GB2312" w:cs="仿宋_GB2312"/>
          <w:sz w:val="32"/>
          <w:szCs w:val="32"/>
        </w:rPr>
        <w:t>0万元。</w:t>
      </w:r>
    </w:p>
    <w:p>
      <w:pPr>
        <w:spacing w:line="560" w:lineRule="exact"/>
        <w:ind w:firstLine="640"/>
        <w:rPr>
          <w:rFonts w:eastAsia="仿宋_GB2312" w:cs="仿宋_GB2312"/>
          <w:sz w:val="32"/>
          <w:szCs w:val="32"/>
        </w:rPr>
      </w:pPr>
      <w:r>
        <w:rPr>
          <w:rFonts w:hint="eastAsia" w:eastAsia="仿宋_GB2312" w:cs="仿宋_GB2312"/>
          <w:b/>
          <w:sz w:val="32"/>
          <w:szCs w:val="32"/>
        </w:rPr>
        <w:t>3.公务接待费支出</w:t>
      </w:r>
      <w:r>
        <w:rPr>
          <w:rFonts w:hint="eastAsia" w:eastAsia="仿宋_GB2312" w:cs="仿宋_GB2312"/>
          <w:sz w:val="32"/>
          <w:szCs w:val="32"/>
        </w:rPr>
        <w:t>6.32万元，</w:t>
      </w:r>
      <w:r>
        <w:rPr>
          <w:rStyle w:val="20"/>
          <w:rFonts w:hint="eastAsia" w:eastAsia="仿宋_GB2312" w:cs="仿宋_GB2312"/>
          <w:b w:val="0"/>
          <w:bCs/>
          <w:sz w:val="32"/>
          <w:szCs w:val="32"/>
        </w:rPr>
        <w:t>完成预算100%。</w:t>
      </w:r>
      <w:r>
        <w:rPr>
          <w:rFonts w:hint="eastAsia" w:eastAsia="仿宋_GB2312" w:cs="仿宋_GB2312"/>
          <w:sz w:val="32"/>
          <w:szCs w:val="32"/>
        </w:rPr>
        <w:t>公务接待费支出决算比2022年减少1.58万元，下降25%。主要原因是厉行节约、精简开支。其中：</w:t>
      </w:r>
    </w:p>
    <w:p>
      <w:pPr>
        <w:spacing w:line="560" w:lineRule="exact"/>
        <w:ind w:firstLine="640"/>
        <w:rPr>
          <w:rFonts w:eastAsia="仿宋_GB2312" w:cs="仿宋_GB2312"/>
          <w:sz w:val="32"/>
          <w:szCs w:val="32"/>
        </w:rPr>
      </w:pPr>
      <w:r>
        <w:rPr>
          <w:rFonts w:hint="eastAsia" w:eastAsia="仿宋_GB2312" w:cs="仿宋_GB2312"/>
          <w:b/>
          <w:sz w:val="32"/>
          <w:szCs w:val="32"/>
        </w:rPr>
        <w:t>国内公务接待支出</w:t>
      </w:r>
      <w:r>
        <w:rPr>
          <w:rFonts w:hint="eastAsia" w:eastAsia="仿宋_GB2312" w:cs="仿宋_GB2312"/>
          <w:sz w:val="32"/>
          <w:szCs w:val="32"/>
        </w:rPr>
        <w:t>6.32万元，主要用于执行公务、开展业务活动开支的交通费、住宿费、用餐费等。国内公务接待305批次，915人次（不包括陪同人员），共计支出6.32万元，具体内容包括：执行公务、开展业务活动开支的交通费、住宿费、用餐费等。</w:t>
      </w:r>
    </w:p>
    <w:p>
      <w:pPr>
        <w:spacing w:line="560" w:lineRule="exact"/>
        <w:ind w:firstLine="642" w:firstLineChars="200"/>
        <w:rPr>
          <w:rFonts w:eastAsia="仿宋_GB2312" w:cs="仿宋_GB2312"/>
          <w:sz w:val="32"/>
          <w:szCs w:val="32"/>
        </w:rPr>
      </w:pPr>
      <w:r>
        <w:rPr>
          <w:rFonts w:hint="eastAsia" w:eastAsia="仿宋_GB2312" w:cs="仿宋_GB2312"/>
          <w:b/>
          <w:sz w:val="32"/>
          <w:szCs w:val="32"/>
        </w:rPr>
        <w:t>外事接待支出</w:t>
      </w:r>
      <w:r>
        <w:rPr>
          <w:rFonts w:hint="eastAsia" w:eastAsia="仿宋_GB2312" w:cs="仿宋_GB2312"/>
          <w:sz w:val="32"/>
          <w:szCs w:val="32"/>
        </w:rPr>
        <w:t>0万元。外事接待0批次，0人次共计支出0万元。</w:t>
      </w:r>
      <w:bookmarkStart w:id="42" w:name="_Toc15396610"/>
      <w:bookmarkStart w:id="43" w:name="_Toc15377218"/>
    </w:p>
    <w:p>
      <w:pPr>
        <w:spacing w:line="560" w:lineRule="exact"/>
        <w:ind w:firstLine="640"/>
        <w:outlineLvl w:val="1"/>
        <w:rPr>
          <w:rStyle w:val="34"/>
          <w:rFonts w:ascii="Times New Roman" w:hAnsi="Times New Roman" w:eastAsia="黑体"/>
        </w:rPr>
      </w:pPr>
      <w:r>
        <w:rPr>
          <w:rFonts w:hint="eastAsia" w:eastAsia="黑体"/>
          <w:sz w:val="32"/>
          <w:szCs w:val="32"/>
        </w:rPr>
        <w:t>八、</w:t>
      </w:r>
      <w:r>
        <w:rPr>
          <w:rStyle w:val="34"/>
          <w:rFonts w:hint="eastAsia" w:ascii="Times New Roman" w:hAnsi="Times New Roman" w:eastAsia="黑体"/>
          <w:b w:val="0"/>
        </w:rPr>
        <w:t>政府性基金预算支出决算情况说明</w:t>
      </w:r>
      <w:bookmarkEnd w:id="42"/>
      <w:bookmarkEnd w:id="43"/>
    </w:p>
    <w:p>
      <w:pPr>
        <w:spacing w:line="560" w:lineRule="exact"/>
        <w:ind w:firstLine="640"/>
        <w:rPr>
          <w:rFonts w:eastAsia="仿宋_GB2312"/>
          <w:sz w:val="32"/>
          <w:szCs w:val="32"/>
        </w:rPr>
      </w:pPr>
      <w:r>
        <w:rPr>
          <w:rFonts w:eastAsia="仿宋_GB2312"/>
          <w:sz w:val="32"/>
          <w:szCs w:val="32"/>
        </w:rPr>
        <w:t>20</w:t>
      </w:r>
      <w:r>
        <w:rPr>
          <w:rFonts w:hint="eastAsia" w:eastAsia="仿宋_GB2312"/>
          <w:sz w:val="32"/>
          <w:szCs w:val="32"/>
        </w:rPr>
        <w:t>23年政府性基金预算财政拨款支出72.41万元。</w:t>
      </w:r>
    </w:p>
    <w:p>
      <w:pPr>
        <w:numPr>
          <w:ilvl w:val="0"/>
          <w:numId w:val="4"/>
        </w:numPr>
        <w:spacing w:line="560" w:lineRule="exact"/>
        <w:ind w:firstLine="640"/>
        <w:outlineLvl w:val="1"/>
        <w:rPr>
          <w:rStyle w:val="34"/>
          <w:rFonts w:ascii="Times New Roman" w:hAnsi="Times New Roman" w:eastAsia="黑体"/>
          <w:b w:val="0"/>
        </w:rPr>
      </w:pPr>
      <w:bookmarkStart w:id="44" w:name="_Toc15377219"/>
      <w:bookmarkStart w:id="45" w:name="_Toc15396611"/>
      <w:r>
        <w:rPr>
          <w:rStyle w:val="34"/>
          <w:rFonts w:hint="eastAsia" w:ascii="Times New Roman" w:hAnsi="Times New Roman" w:eastAsia="黑体"/>
          <w:b w:val="0"/>
        </w:rPr>
        <w:t>国有资本经营预算支出决算情况说明</w:t>
      </w:r>
      <w:bookmarkEnd w:id="44"/>
      <w:bookmarkEnd w:id="45"/>
    </w:p>
    <w:p>
      <w:pPr>
        <w:spacing w:line="560" w:lineRule="exact"/>
        <w:ind w:firstLine="640"/>
        <w:rPr>
          <w:rFonts w:eastAsia="方正小标宋简体" w:cs="方正小标宋简体"/>
          <w:sz w:val="44"/>
          <w:szCs w:val="44"/>
        </w:rPr>
      </w:pPr>
      <w:r>
        <w:rPr>
          <w:rFonts w:eastAsia="仿宋_GB2312"/>
          <w:sz w:val="32"/>
          <w:szCs w:val="32"/>
        </w:rPr>
        <w:t>20</w:t>
      </w:r>
      <w:r>
        <w:rPr>
          <w:rFonts w:hint="eastAsia" w:eastAsia="仿宋_GB2312"/>
          <w:sz w:val="32"/>
          <w:szCs w:val="32"/>
        </w:rPr>
        <w:t>23年国有资本经营预算财政拨款支出0万元。</w:t>
      </w:r>
    </w:p>
    <w:p>
      <w:pPr>
        <w:numPr>
          <w:ilvl w:val="0"/>
          <w:numId w:val="4"/>
        </w:numPr>
        <w:spacing w:line="560" w:lineRule="exact"/>
        <w:ind w:firstLine="640"/>
        <w:outlineLvl w:val="1"/>
        <w:rPr>
          <w:rStyle w:val="34"/>
          <w:rFonts w:ascii="Times New Roman" w:hAnsi="Times New Roman" w:eastAsia="黑体"/>
          <w:b w:val="0"/>
        </w:rPr>
      </w:pPr>
      <w:bookmarkStart w:id="46" w:name="_Toc15377221"/>
      <w:bookmarkStart w:id="47" w:name="_Toc15396612"/>
      <w:r>
        <w:rPr>
          <w:rStyle w:val="34"/>
          <w:rFonts w:hint="eastAsia" w:ascii="Times New Roman" w:hAnsi="Times New Roman" w:eastAsia="黑体"/>
          <w:b w:val="0"/>
        </w:rPr>
        <w:t>其他重要事项的情况说明</w:t>
      </w:r>
      <w:bookmarkEnd w:id="46"/>
      <w:bookmarkEnd w:id="47"/>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48" w:name="_Toc15377222"/>
      <w:r>
        <w:rPr>
          <w:rFonts w:hint="eastAsia" w:ascii="Times New Roman" w:eastAsia="楷体_GB2312" w:cs="楷体_GB2312"/>
          <w:bCs/>
          <w:sz w:val="32"/>
          <w:szCs w:val="32"/>
        </w:rPr>
        <w:t>（一）机关运行经费支出情况</w:t>
      </w:r>
      <w:bookmarkEnd w:id="48"/>
    </w:p>
    <w:p>
      <w:pPr>
        <w:spacing w:line="560" w:lineRule="exact"/>
        <w:ind w:firstLine="640" w:firstLineChars="200"/>
        <w:rPr>
          <w:rFonts w:eastAsia="仿宋_GB2312" w:cs="仿宋_GB2312"/>
          <w:sz w:val="32"/>
          <w:szCs w:val="32"/>
        </w:rPr>
      </w:pPr>
      <w:r>
        <w:rPr>
          <w:rFonts w:hint="eastAsia" w:eastAsia="仿宋_GB2312" w:cs="仿宋_GB2312"/>
          <w:sz w:val="32"/>
          <w:szCs w:val="32"/>
        </w:rPr>
        <w:t>2023年横山镇人民政府机关运行经费支出156.57万元。</w:t>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49" w:name="_Toc15377223"/>
      <w:r>
        <w:rPr>
          <w:rFonts w:hint="eastAsia" w:ascii="Times New Roman" w:eastAsia="楷体_GB2312" w:cs="楷体_GB2312"/>
          <w:bCs/>
          <w:sz w:val="32"/>
          <w:szCs w:val="32"/>
        </w:rPr>
        <w:t>（二）政府采购支出情况</w:t>
      </w:r>
      <w:bookmarkEnd w:id="49"/>
    </w:p>
    <w:p>
      <w:pPr>
        <w:spacing w:line="560" w:lineRule="exact"/>
        <w:ind w:firstLine="640" w:firstLineChars="200"/>
        <w:rPr>
          <w:rFonts w:eastAsia="仿宋_GB2312" w:cs="仿宋_GB2312"/>
          <w:sz w:val="32"/>
          <w:szCs w:val="32"/>
        </w:rPr>
      </w:pPr>
      <w:r>
        <w:rPr>
          <w:rFonts w:hint="eastAsia" w:eastAsia="仿宋_GB2312" w:cs="仿宋_GB2312"/>
          <w:sz w:val="32"/>
          <w:szCs w:val="32"/>
        </w:rPr>
        <w:t>2023年，政府采购支出总额6.6万元，其中：政府采购货物支出6.6万元、政府采购工程支出0万元、政府采购服务支出0万元。授予中小企业合同金额6.6万元，占政府采购支出总额的100%，其中：授予小微企业合同金额0万元，占政府采购支出总额的0%。</w:t>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bookmarkStart w:id="50" w:name="_Toc15377224"/>
      <w:r>
        <w:rPr>
          <w:rFonts w:hint="eastAsia" w:ascii="Times New Roman" w:eastAsia="楷体_GB2312" w:cs="楷体_GB2312"/>
          <w:bCs/>
          <w:sz w:val="32"/>
          <w:szCs w:val="32"/>
        </w:rPr>
        <w:t>（三）国有资产占有使用情况</w:t>
      </w:r>
      <w:bookmarkEnd w:id="50"/>
    </w:p>
    <w:p>
      <w:pPr>
        <w:pStyle w:val="7"/>
        <w:spacing w:before="0" w:after="0" w:line="560" w:lineRule="exact"/>
        <w:ind w:firstLine="640" w:firstLineChars="200"/>
        <w:rPr>
          <w:rFonts w:eastAsia="仿宋_GB2312" w:cs="仿宋_GB2312"/>
        </w:rPr>
      </w:pPr>
      <w:r>
        <w:rPr>
          <w:rFonts w:hint="eastAsia" w:eastAsia="仿宋_GB2312" w:cs="仿宋_GB2312"/>
          <w:b w:val="0"/>
          <w:bCs w:val="0"/>
        </w:rPr>
        <w:t>截至2023年12月31日，横山镇人民政府共有车辆0辆，其中：主要领导干部用车0辆、机要通信用车0辆、应急保障用车0辆、其他用车0辆。单价100万元以上专用设备0台（套）。</w:t>
      </w:r>
    </w:p>
    <w:p>
      <w:pPr>
        <w:pStyle w:val="9"/>
        <w:adjustRightInd w:val="0"/>
        <w:snapToGrid w:val="0"/>
        <w:spacing w:beforeLines="0" w:line="560" w:lineRule="exact"/>
        <w:ind w:firstLine="640" w:firstLineChars="200"/>
        <w:outlineLvl w:val="2"/>
        <w:rPr>
          <w:rFonts w:ascii="Times New Roman" w:eastAsia="楷体_GB2312" w:cs="楷体_GB2312"/>
          <w:bCs/>
          <w:sz w:val="32"/>
          <w:szCs w:val="32"/>
        </w:rPr>
      </w:pPr>
      <w:r>
        <w:rPr>
          <w:rFonts w:hint="eastAsia" w:ascii="Times New Roman" w:eastAsia="楷体_GB2312" w:cs="楷体_GB2312"/>
          <w:bCs/>
          <w:sz w:val="32"/>
          <w:szCs w:val="32"/>
        </w:rPr>
        <w:t>（四）预算绩效管理情况</w:t>
      </w:r>
    </w:p>
    <w:p>
      <w:pPr>
        <w:pStyle w:val="7"/>
        <w:spacing w:before="0" w:after="0" w:line="560" w:lineRule="exact"/>
        <w:ind w:firstLine="640" w:firstLineChars="200"/>
        <w:rPr>
          <w:rFonts w:eastAsia="仿宋_GB2312" w:cs="仿宋_GB2312"/>
          <w:b w:val="0"/>
          <w:bCs w:val="0"/>
        </w:rPr>
      </w:pPr>
      <w:r>
        <w:rPr>
          <w:rFonts w:hint="eastAsia" w:eastAsia="仿宋_GB2312" w:cs="仿宋_GB2312"/>
          <w:b w:val="0"/>
          <w:bCs w:val="0"/>
        </w:rPr>
        <w:t>根据预算绩效管理要求，本部门（单位）在年初预算编制阶段，组织对镇（街道）统计工作项目、</w:t>
      </w:r>
      <w:r>
        <w:rPr>
          <w:rFonts w:hint="eastAsia" w:eastAsia="仿宋_GB2312" w:cs="仿宋_GB2312"/>
          <w:b w:val="0"/>
          <w:bCs w:val="0"/>
          <w:lang w:eastAsia="zh-CN"/>
        </w:rPr>
        <w:t>信访维稳</w:t>
      </w:r>
      <w:r>
        <w:rPr>
          <w:rFonts w:hint="eastAsia" w:eastAsia="仿宋_GB2312" w:cs="仿宋_GB2312"/>
          <w:b w:val="0"/>
          <w:bCs w:val="0"/>
        </w:rPr>
        <w:t>调解项目、乡镇武装部工作（含征兵工作经费）项目、乡风文明建设项目、防灾应急救助项目开展了预算事前绩效评估，对5个项目编制了绩效目标，预算执行过程中，选取5个项目开展绩效监控，年终执行完毕后，对5个项目开展了绩效目标完成情况自评。同时，本部门对2023年部门整体开展绩效自评，《2023年遂宁市安居区横山镇人民政府部门整体绩效评价报告》见附件（第四部分）。</w:t>
      </w:r>
    </w:p>
    <w:p>
      <w:pPr>
        <w:spacing w:line="560" w:lineRule="exact"/>
        <w:ind w:firstLine="640" w:firstLineChars="200"/>
        <w:rPr>
          <w:rFonts w:eastAsia="仿宋_GB2312" w:cs="仿宋_GB2312"/>
          <w:sz w:val="32"/>
          <w:szCs w:val="32"/>
        </w:rPr>
      </w:pPr>
      <w:r>
        <w:rPr>
          <w:rFonts w:hint="eastAsia" w:eastAsia="仿宋_GB2312" w:cs="仿宋_GB2312"/>
          <w:sz w:val="32"/>
          <w:szCs w:val="32"/>
        </w:rPr>
        <w:t>本部门在2023年度部门决算中反映镇（街道）统计工作项目、</w:t>
      </w:r>
      <w:r>
        <w:rPr>
          <w:rFonts w:hint="eastAsia" w:eastAsia="仿宋_GB2312" w:cs="仿宋_GB2312"/>
          <w:sz w:val="32"/>
          <w:szCs w:val="32"/>
          <w:lang w:eastAsia="zh-CN"/>
        </w:rPr>
        <w:t>信访维稳</w:t>
      </w:r>
      <w:r>
        <w:rPr>
          <w:rFonts w:hint="eastAsia" w:eastAsia="仿宋_GB2312" w:cs="仿宋_GB2312"/>
          <w:sz w:val="32"/>
          <w:szCs w:val="32"/>
        </w:rPr>
        <w:t>调解项目、乡镇武装部工作（含征兵工作经费）项目、乡风文明建设项目、防灾应急救助项目等5个项目绩效目标实际完成情况。</w:t>
      </w:r>
    </w:p>
    <w:p>
      <w:pPr>
        <w:snapToGrid w:val="0"/>
        <w:spacing w:line="560" w:lineRule="exact"/>
        <w:ind w:firstLine="640" w:firstLineChars="200"/>
        <w:rPr>
          <w:rFonts w:eastAsia="仿宋_GB2312" w:cs="仿宋_GB2312"/>
        </w:rPr>
      </w:pPr>
      <w:r>
        <w:rPr>
          <w:rFonts w:hint="eastAsia" w:eastAsia="仿宋_GB2312" w:cs="仿宋_GB2312"/>
          <w:sz w:val="32"/>
          <w:szCs w:val="32"/>
        </w:rPr>
        <w:t>1.镇（街道）统计工作经费项目绩效目标完成情况综述。项目全年预算数2万元，执行数为2万元，完成预算的100%。通过项目实施，通过项目实施，保证统计数据的正确性、及时性和全面性，为社会经济发展提供良好的服务。发现的主要问题：</w:t>
      </w:r>
      <w:r>
        <w:rPr>
          <w:rFonts w:hint="eastAsia" w:eastAsia="仿宋_GB2312" w:cs="仿宋_GB2312"/>
          <w:sz w:val="32"/>
          <w:szCs w:val="32"/>
          <w:lang w:val="en"/>
        </w:rPr>
        <w:t>乡镇统计信息化建设水平需进一步提高。</w:t>
      </w:r>
      <w:r>
        <w:rPr>
          <w:rFonts w:hint="eastAsia" w:eastAsia="仿宋_GB2312" w:cs="仿宋_GB2312"/>
          <w:sz w:val="32"/>
          <w:szCs w:val="32"/>
        </w:rPr>
        <w:t>下一步改进措施：</w:t>
      </w:r>
      <w:r>
        <w:rPr>
          <w:rFonts w:hint="eastAsia" w:eastAsia="仿宋_GB2312" w:cs="仿宋_GB2312"/>
          <w:sz w:val="32"/>
          <w:szCs w:val="32"/>
          <w:lang w:val="en"/>
        </w:rPr>
        <w:t>加强统计人员培训，不断提高统计人员专业素质。</w:t>
      </w:r>
    </w:p>
    <w:p>
      <w:pPr>
        <w:spacing w:line="560" w:lineRule="exact"/>
        <w:ind w:firstLine="640" w:firstLineChars="20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eastAsia="zh-CN"/>
        </w:rPr>
        <w:t>信访维稳</w:t>
      </w:r>
      <w:r>
        <w:rPr>
          <w:rFonts w:hint="eastAsia" w:eastAsia="仿宋_GB2312" w:cs="仿宋_GB2312"/>
          <w:sz w:val="32"/>
          <w:szCs w:val="32"/>
        </w:rPr>
        <w:t>调解项目绩效目标完成情况综述。项目全年预算数4万元，执行数为4万元，完成预算的100%。通过项目实施，保障了全年的</w:t>
      </w:r>
      <w:r>
        <w:rPr>
          <w:rFonts w:hint="eastAsia" w:eastAsia="仿宋_GB2312" w:cs="仿宋_GB2312"/>
          <w:sz w:val="32"/>
          <w:szCs w:val="32"/>
          <w:lang w:eastAsia="zh-CN"/>
        </w:rPr>
        <w:t>信访维稳</w:t>
      </w:r>
      <w:r>
        <w:rPr>
          <w:rFonts w:hint="eastAsia" w:eastAsia="仿宋_GB2312" w:cs="仿宋_GB2312"/>
          <w:sz w:val="32"/>
          <w:szCs w:val="32"/>
        </w:rPr>
        <w:t>工作的有序开展，发现的主要问题：基层</w:t>
      </w:r>
      <w:r>
        <w:rPr>
          <w:rFonts w:hint="eastAsia" w:eastAsia="仿宋_GB2312" w:cs="仿宋_GB2312"/>
          <w:sz w:val="32"/>
          <w:szCs w:val="32"/>
          <w:lang w:eastAsia="zh-CN"/>
        </w:rPr>
        <w:t>信访维稳</w:t>
      </w:r>
      <w:r>
        <w:rPr>
          <w:rFonts w:hint="eastAsia" w:eastAsia="仿宋_GB2312" w:cs="仿宋_GB2312"/>
          <w:sz w:val="32"/>
          <w:szCs w:val="32"/>
        </w:rPr>
        <w:t>工作任务重，人员少，经费紧张。下一步改进措施：通过改进工作方式，提升工作效率。</w:t>
      </w:r>
    </w:p>
    <w:p>
      <w:pPr>
        <w:spacing w:line="560" w:lineRule="exact"/>
        <w:ind w:firstLine="640" w:firstLineChars="200"/>
        <w:rPr>
          <w:rFonts w:eastAsia="仿宋_GB2312" w:cs="仿宋_GB2312"/>
        </w:rPr>
      </w:pPr>
      <w:r>
        <w:rPr>
          <w:rFonts w:hint="eastAsia" w:eastAsia="仿宋_GB2312" w:cs="仿宋_GB2312"/>
          <w:sz w:val="32"/>
          <w:szCs w:val="32"/>
        </w:rPr>
        <w:t>3.乡镇武装部工作（含征兵工作经费）项目绩效目标完成情况综述。项目全年预算数2万元，执行数为2万元，完成预算的100%。通过项目实施，保障了全年征兵工作的顺利完成，发现的主要问题：大学生应征入伍积极性有待加强。下一步改进措施：大力宣传当兵光荣，提升民兵预备役队伍建设。</w:t>
      </w:r>
    </w:p>
    <w:p>
      <w:pPr>
        <w:snapToGrid w:val="0"/>
        <w:spacing w:line="560" w:lineRule="exact"/>
        <w:ind w:firstLine="640" w:firstLineChars="200"/>
        <w:rPr>
          <w:rFonts w:eastAsia="仿宋_GB2312" w:cs="仿宋_GB2312"/>
          <w:sz w:val="32"/>
          <w:szCs w:val="32"/>
        </w:rPr>
      </w:pPr>
      <w:r>
        <w:rPr>
          <w:rFonts w:hint="eastAsia" w:eastAsia="仿宋_GB2312" w:cs="仿宋_GB2312"/>
          <w:sz w:val="32"/>
          <w:szCs w:val="32"/>
        </w:rPr>
        <w:t>4.乡风文明建设经费项目绩效目标完成情况综述。项目全年预算数12万元，执行数为12万元，完成预算的100%。通过项目的实施，保障了全镇乡风文明建设的有序开展。发现的主要问题：财政专项资金不足。</w:t>
      </w:r>
      <w:r>
        <w:rPr>
          <w:rFonts w:hint="eastAsia" w:eastAsia="仿宋_GB2312" w:cs="仿宋_GB2312"/>
          <w:kern w:val="0"/>
          <w:sz w:val="32"/>
          <w:szCs w:val="32"/>
        </w:rPr>
        <w:t>下一步改进措施：加大资金争取力度。</w:t>
      </w:r>
    </w:p>
    <w:p>
      <w:pPr>
        <w:widowControl/>
        <w:spacing w:line="560" w:lineRule="exact"/>
        <w:ind w:firstLine="640" w:firstLineChars="200"/>
        <w:rPr>
          <w:rFonts w:eastAsia="仿宋_GB2312" w:cs="仿宋_GB2312"/>
          <w:sz w:val="32"/>
          <w:szCs w:val="32"/>
        </w:rPr>
      </w:pPr>
      <w:r>
        <w:rPr>
          <w:rFonts w:hint="eastAsia" w:eastAsia="仿宋_GB2312" w:cs="仿宋_GB2312"/>
          <w:sz w:val="32"/>
          <w:szCs w:val="32"/>
        </w:rPr>
        <w:t>5.防灾应急救助项目绩效目标完成情况综述。项目全年预算数8万元，执行数为8万元，完成预算的100%。通过项目实施，保障了优质实效的防灾应急物资储备</w:t>
      </w:r>
      <w:r>
        <w:rPr>
          <w:rFonts w:hint="eastAsia" w:eastAsia="仿宋_GB2312" w:cs="仿宋_GB2312"/>
          <w:sz w:val="24"/>
        </w:rPr>
        <w:t>。</w:t>
      </w:r>
      <w:r>
        <w:rPr>
          <w:rFonts w:hint="eastAsia" w:eastAsia="仿宋_GB2312" w:cs="仿宋_GB2312"/>
          <w:sz w:val="32"/>
          <w:szCs w:val="32"/>
        </w:rPr>
        <w:t>发现的主要问题：采购物资时选择较多，难以从中选择质量价格的最优组合。下一步改进措施：改进采购方法，多家对比，购买物美价廉的物资进行储备。</w:t>
      </w:r>
    </w:p>
    <w:p>
      <w:pPr>
        <w:pStyle w:val="23"/>
        <w:spacing w:line="560" w:lineRule="exact"/>
        <w:rPr>
          <w:rFonts w:hint="default"/>
        </w:rPr>
      </w:pPr>
    </w:p>
    <w:p>
      <w:pPr>
        <w:widowControl/>
        <w:spacing w:line="560" w:lineRule="exact"/>
        <w:ind w:firstLine="640" w:firstLineChars="200"/>
        <w:jc w:val="left"/>
        <w:rPr>
          <w:rFonts w:eastAsia="仿宋_GB2312" w:cs="仿宋_GB2312"/>
          <w:sz w:val="32"/>
          <w:szCs w:val="32"/>
        </w:rPr>
      </w:pPr>
    </w:p>
    <w:p>
      <w:pPr>
        <w:widowControl/>
        <w:ind w:firstLine="640" w:firstLineChars="200"/>
        <w:jc w:val="left"/>
        <w:rPr>
          <w:rFonts w:eastAsia="仿宋_GB2312" w:cs="仿宋_GB2312"/>
          <w:sz w:val="32"/>
          <w:szCs w:val="32"/>
        </w:rPr>
      </w:pPr>
    </w:p>
    <w:p>
      <w:pPr>
        <w:widowControl/>
        <w:ind w:firstLine="640" w:firstLineChars="200"/>
        <w:jc w:val="left"/>
        <w:rPr>
          <w:rFonts w:eastAsia="仿宋_GB2312" w:cs="仿宋_GB2312"/>
          <w:sz w:val="32"/>
          <w:szCs w:val="32"/>
        </w:rPr>
      </w:pPr>
    </w:p>
    <w:p>
      <w:pPr>
        <w:widowControl/>
        <w:ind w:firstLine="640" w:firstLineChars="200"/>
        <w:jc w:val="left"/>
        <w:rPr>
          <w:rFonts w:eastAsia="仿宋_GB2312" w:cs="仿宋_GB2312"/>
          <w:sz w:val="32"/>
          <w:szCs w:val="32"/>
        </w:rPr>
      </w:pPr>
    </w:p>
    <w:p>
      <w:pPr>
        <w:widowControl/>
        <w:ind w:firstLine="640" w:firstLineChars="200"/>
        <w:jc w:val="left"/>
        <w:rPr>
          <w:rFonts w:eastAsia="仿宋_GB2312" w:cs="仿宋_GB2312"/>
          <w:sz w:val="32"/>
          <w:szCs w:val="32"/>
        </w:rPr>
      </w:pPr>
    </w:p>
    <w:p>
      <w:pPr>
        <w:pStyle w:val="23"/>
        <w:rPr>
          <w:rFonts w:hint="default" w:eastAsia="仿宋_GB2312" w:cs="仿宋_GB2312"/>
          <w:sz w:val="32"/>
          <w:szCs w:val="32"/>
        </w:rPr>
      </w:pPr>
    </w:p>
    <w:p/>
    <w:p/>
    <w:p>
      <w:pPr>
        <w:pStyle w:val="23"/>
        <w:rPr>
          <w:rFonts w:hint="default"/>
        </w:rPr>
      </w:pPr>
    </w:p>
    <w:p/>
    <w:p>
      <w:pPr>
        <w:pStyle w:val="23"/>
        <w:rPr>
          <w:rFonts w:hint="default"/>
        </w:rPr>
      </w:pPr>
    </w:p>
    <w:p/>
    <w:p/>
    <w:p/>
    <w:p>
      <w:pPr>
        <w:pStyle w:val="23"/>
        <w:rPr>
          <w:rFonts w:hint="default"/>
        </w:rPr>
      </w:pPr>
    </w:p>
    <w:p/>
    <w:p>
      <w:pPr>
        <w:pStyle w:val="23"/>
        <w:rPr>
          <w:rFonts w:hint="default"/>
        </w:rPr>
      </w:pPr>
    </w:p>
    <w:p/>
    <w:p/>
    <w:p>
      <w:pPr>
        <w:pStyle w:val="23"/>
        <w:rPr>
          <w:rFonts w:hint="default"/>
        </w:rPr>
      </w:pPr>
    </w:p>
    <w:p>
      <w:r>
        <w:rPr>
          <w:rFonts w:hint="eastAsia"/>
        </w:rPr>
        <w:br w:type="page"/>
      </w:r>
    </w:p>
    <w:p>
      <w:pPr>
        <w:numPr>
          <w:ilvl w:val="0"/>
          <w:numId w:val="5"/>
        </w:numPr>
        <w:spacing w:line="600" w:lineRule="exact"/>
        <w:ind w:firstLine="480" w:firstLineChars="150"/>
        <w:jc w:val="center"/>
        <w:outlineLvl w:val="0"/>
        <w:rPr>
          <w:rStyle w:val="33"/>
          <w:rFonts w:eastAsia="黑体"/>
          <w:b w:val="0"/>
          <w:sz w:val="32"/>
          <w:szCs w:val="32"/>
        </w:rPr>
      </w:pPr>
      <w:bookmarkStart w:id="51" w:name="_Toc15377225"/>
      <w:bookmarkStart w:id="52" w:name="_Toc15396613"/>
      <w:r>
        <w:rPr>
          <w:rFonts w:hint="eastAsia" w:eastAsia="黑体"/>
          <w:sz w:val="32"/>
          <w:szCs w:val="32"/>
        </w:rPr>
        <w:t>名</w:t>
      </w:r>
      <w:r>
        <w:rPr>
          <w:rStyle w:val="33"/>
          <w:rFonts w:hint="eastAsia" w:eastAsia="黑体"/>
          <w:b w:val="0"/>
          <w:sz w:val="32"/>
          <w:szCs w:val="32"/>
        </w:rPr>
        <w:t>词解释</w:t>
      </w:r>
      <w:bookmarkEnd w:id="51"/>
      <w:bookmarkEnd w:id="52"/>
    </w:p>
    <w:p>
      <w:pPr>
        <w:spacing w:line="600" w:lineRule="exact"/>
        <w:jc w:val="left"/>
        <w:rPr>
          <w:b/>
          <w:sz w:val="44"/>
          <w:szCs w:val="44"/>
        </w:rPr>
      </w:pPr>
    </w:p>
    <w:p>
      <w:pPr>
        <w:spacing w:line="580" w:lineRule="exact"/>
        <w:ind w:firstLine="640" w:firstLineChars="200"/>
        <w:rPr>
          <w:rFonts w:eastAsia="仿宋_GB2312" w:cs="仿宋_GB2312"/>
          <w:sz w:val="32"/>
          <w:szCs w:val="32"/>
        </w:rPr>
      </w:pPr>
      <w:bookmarkStart w:id="53" w:name="_Toc15396614"/>
      <w:bookmarkStart w:id="54" w:name="_Toc15377226"/>
      <w:r>
        <w:rPr>
          <w:rFonts w:hint="eastAsia" w:eastAsia="仿宋_GB2312" w:cs="仿宋_GB2312"/>
          <w:sz w:val="32"/>
          <w:szCs w:val="32"/>
        </w:rPr>
        <w:t>1.财政拨款收入：指单位从同级财政部门取得的财政预算资金。</w:t>
      </w:r>
    </w:p>
    <w:p>
      <w:pPr>
        <w:spacing w:line="580" w:lineRule="exact"/>
        <w:ind w:firstLine="640" w:firstLineChars="20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580" w:lineRule="exact"/>
        <w:ind w:firstLine="640" w:firstLineChars="20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580" w:lineRule="exact"/>
        <w:ind w:firstLine="640" w:firstLineChars="200"/>
        <w:rPr>
          <w:rFonts w:eastAsia="仿宋_GB2312" w:cs="仿宋_GB2312"/>
          <w:sz w:val="32"/>
          <w:szCs w:val="32"/>
        </w:rPr>
      </w:pPr>
      <w:r>
        <w:rPr>
          <w:rFonts w:hint="eastAsia" w:eastAsia="仿宋_GB2312" w:cs="仿宋_GB2312"/>
          <w:sz w:val="32"/>
          <w:szCs w:val="32"/>
        </w:rPr>
        <w:t>4.其他收入：指单位取得的除上述收入以外的各项收入。</w:t>
      </w:r>
    </w:p>
    <w:p>
      <w:pPr>
        <w:spacing w:line="580" w:lineRule="exact"/>
        <w:ind w:firstLine="640" w:firstLineChars="200"/>
        <w:rPr>
          <w:rFonts w:eastAsia="仿宋_GB2312" w:cs="仿宋_GB2312"/>
          <w:sz w:val="32"/>
          <w:szCs w:val="32"/>
        </w:rPr>
      </w:pPr>
      <w:r>
        <w:rPr>
          <w:rFonts w:hint="eastAsia"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0" w:lineRule="exact"/>
        <w:ind w:firstLine="640" w:firstLineChars="20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580" w:lineRule="exact"/>
        <w:ind w:firstLine="640" w:firstLineChars="200"/>
        <w:rPr>
          <w:rFonts w:eastAsia="仿宋_GB2312" w:cs="仿宋_GB2312"/>
          <w:sz w:val="32"/>
          <w:szCs w:val="32"/>
        </w:rPr>
      </w:pPr>
      <w:r>
        <w:rPr>
          <w:rFonts w:hint="eastAsia" w:eastAsia="仿宋_GB2312" w:cs="仿宋_GB2312"/>
          <w:sz w:val="32"/>
          <w:szCs w:val="32"/>
        </w:rPr>
        <w:t>7.结余分配：指事业单位按照事业单位会计制度的规定从非财政补助结余中分配的事业基金和职工福利基金等。</w:t>
      </w:r>
    </w:p>
    <w:p>
      <w:pPr>
        <w:spacing w:line="580" w:lineRule="exact"/>
        <w:ind w:firstLine="640" w:firstLineChars="20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9.一般公共服务支出（类）人大事务（款）代表工作（项），主要用于：乡镇人大代表监督、视察等经费。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10.一般公共服务支出（类）人大事务（款）其他人大事务支出（项），主要用于：乡镇人大代表、政协委员差旅费等。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11.一般公共服务支出（类）政府办公厅（室）及相关机构事务（款）行政运行（项），主要用于：人员基本工资、津贴补贴、绩效目标、福利费、办公费、手续费、差旅费、电费、邮电费等。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12.一般公共服务支出（类）政府办公厅（室）及相关机构事务（款）信访事务（项），主要用于：接待群众来信来访方面的差旅费等。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13.一般公共服务支出（类）政府办公厅（室）及相关机构事务（款）其他政府办公厅（室）及相关机构事务支出（项），主要用于：差旅费、伙食补助费、维修维护费等。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14.一般公共服务支出（类）财政事务（款）行政运行（项），主要用于：人员基本工资、津贴补贴、绩效目标、福利费等。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15.一般公共服务支出（类）财政事务（款）其他财政事务支出（项），主要用于：差旅费、维修维护费等。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16.一般公共服务支出（类）民政事务（款）其他民政事务支出（项）:主要用于：印刷费、租车费等。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17.一般公共服务支出（类）其他共产党事务（款）其他共产党事务支出（项）：主要用于：印刷费、租车费等。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18.文化体育与传媒支出（类）文化群众文化（项），主要用于：印刷费、劳务费等。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19.社会保障和就业支出（类）民政管理事务（款）其他民政管理事务支出（项），主要用于：印刷费、劳务费等。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20.社会保障和就业支出（类）行政事业单位离退休（款）机关事业单位基本养老保险缴费支出（项），主要用于：机关事业单位基本养老保险缴费。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21.社会保障和就业支出（类）特困人员救助供养（款）农村特困人员救助供养支出（项），主要用于：农村特困人员生活补贴。</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22.社会保障和就业支出（类）其他社会保障和就业支出（款）其他社会保障和就业支出（项），主要用于：其他社会保障和就业支出。</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23.卫生健康（类）行政事业单位医疗（款）行政单位医疗（项），主要用于：基本医疗保险缴费、其他社会保障缴费。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24.卫生健康（类）行政事业单位医疗（款）事业单位医疗（项），主要用于：基本医疗保险缴费、其他社会保障缴费。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25.卫生健康（类）行政事业单位医疗（款）公务员医疗补助（项），主要用于：公务员医疗补助缴费。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26.卫生健康（类）行政事业单位医疗（款）其他行政事业单位医疗支出（项），主要用于：基本医疗保险缴费、其他社会保障缴费。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27.节能环保支出（类）自然生态保护（款）农村环境保护（项），主要用于：农村环境保护中的劳务费、其他交通费等。</w:t>
      </w:r>
    </w:p>
    <w:p>
      <w:pPr>
        <w:pStyle w:val="31"/>
        <w:spacing w:line="56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28.节能环保支出（类）其他节能环保支出（款）其他节能环保支出（项），主要用于：农村环境保护中的劳务费等。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29.城乡社区支出（类）城乡社区公共设施（款）其他城乡社区公共设施支出（项），主要用于：劳务费等。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30.农林水支出（类）农业（款）事业运行（项），主要用于：人员基本工资、津贴补贴、绩效目标、办公费、差旅费、福利费等。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31.农林水支出（类）农业（款）对高校毕业生到基层任职补助（项），主要用于：大学生村官生活补贴。</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32.农林水支出（类）农村综合改革（款）对村级一事一议的补助（项），主要用于：一事一议财政奖补经费。</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33.农林水支出（类）农村综合改革（款）对村民委员会和村党支部的补助（项），主要用于：村干部工资、伙食补助、差旅费等。</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34.农林水支出（类）其他农林水支出（款）其他农林水支出（项）主要用于：贫困村副书记、第一书记经费等。</w:t>
      </w:r>
    </w:p>
    <w:p>
      <w:pPr>
        <w:spacing w:line="600" w:lineRule="exact"/>
        <w:ind w:firstLine="640" w:firstLineChars="200"/>
        <w:rPr>
          <w:rFonts w:eastAsia="仿宋_GB2312" w:cs="仿宋"/>
          <w:kern w:val="0"/>
          <w:sz w:val="32"/>
          <w:szCs w:val="32"/>
        </w:rPr>
      </w:pPr>
      <w:r>
        <w:rPr>
          <w:rFonts w:hint="eastAsia" w:eastAsia="仿宋_GB2312" w:cs="仿宋"/>
          <w:kern w:val="0"/>
          <w:sz w:val="32"/>
          <w:szCs w:val="32"/>
        </w:rPr>
        <w:t>35.住房保障支出（类）住房改革支出（款）住房公积金（项），主要用于：缴纳住房公积金。</w:t>
      </w:r>
    </w:p>
    <w:p>
      <w:pPr>
        <w:ind w:firstLine="640" w:firstLineChars="200"/>
        <w:rPr>
          <w:rFonts w:eastAsia="仿宋_GB2312"/>
          <w:sz w:val="32"/>
          <w:szCs w:val="32"/>
        </w:rPr>
      </w:pPr>
      <w:r>
        <w:rPr>
          <w:rFonts w:hint="eastAsia" w:eastAsia="仿宋_GB2312"/>
          <w:sz w:val="32"/>
          <w:szCs w:val="32"/>
        </w:rPr>
        <w:t>36.基本支出：指为保障机构正常运转、完成日常工作任务而发生的人员支出和公用支出。</w:t>
      </w:r>
    </w:p>
    <w:p>
      <w:pPr>
        <w:ind w:firstLine="640" w:firstLineChars="200"/>
        <w:rPr>
          <w:rFonts w:eastAsia="仿宋_GB2312"/>
          <w:sz w:val="32"/>
          <w:szCs w:val="32"/>
        </w:rPr>
      </w:pPr>
      <w:r>
        <w:rPr>
          <w:rFonts w:hint="eastAsia" w:eastAsia="仿宋_GB2312"/>
          <w:sz w:val="32"/>
          <w:szCs w:val="32"/>
        </w:rPr>
        <w:t xml:space="preserve">37.项目支出：指在基本支出之外为完成特定行政任务和事业发展目标所发生的支出。 </w:t>
      </w:r>
    </w:p>
    <w:p>
      <w:pPr>
        <w:ind w:firstLine="640" w:firstLineChars="200"/>
        <w:rPr>
          <w:rFonts w:eastAsia="仿宋_GB2312"/>
          <w:sz w:val="32"/>
          <w:szCs w:val="32"/>
        </w:rPr>
      </w:pPr>
      <w:r>
        <w:rPr>
          <w:rFonts w:hint="eastAsia" w:eastAsia="仿宋_GB2312"/>
          <w:sz w:val="32"/>
          <w:szCs w:val="32"/>
        </w:rPr>
        <w:t>38.经营支出：指事业单位在专业业务活动及其辅助活动之外开展非独立核算经营活动发生的支出。</w:t>
      </w:r>
    </w:p>
    <w:p>
      <w:pPr>
        <w:pStyle w:val="31"/>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eastAsia="仿宋_GB2312" w:cs="仿宋_GB2312"/>
          <w:sz w:val="32"/>
          <w:szCs w:val="32"/>
        </w:rPr>
      </w:pPr>
      <w:r>
        <w:rPr>
          <w:rFonts w:hint="eastAsia" w:eastAsia="仿宋_GB2312"/>
          <w:sz w:val="32"/>
          <w:szCs w:val="32"/>
        </w:rPr>
        <w:t>40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pStyle w:val="23"/>
        <w:rPr>
          <w:rFonts w:hint="default" w:eastAsia="黑体"/>
          <w:sz w:val="44"/>
          <w:szCs w:val="44"/>
        </w:rPr>
      </w:pPr>
    </w:p>
    <w:p>
      <w:pPr>
        <w:rPr>
          <w:rFonts w:eastAsia="黑体"/>
          <w:sz w:val="44"/>
          <w:szCs w:val="44"/>
        </w:rPr>
      </w:pPr>
    </w:p>
    <w:p>
      <w:pPr>
        <w:pStyle w:val="23"/>
        <w:rPr>
          <w:rFonts w:hint="default" w:eastAsia="黑体"/>
          <w:sz w:val="44"/>
          <w:szCs w:val="44"/>
        </w:rPr>
      </w:pPr>
    </w:p>
    <w:p>
      <w:pPr>
        <w:rPr>
          <w:rFonts w:eastAsia="黑体"/>
          <w:sz w:val="44"/>
          <w:szCs w:val="44"/>
        </w:rPr>
      </w:pPr>
    </w:p>
    <w:p>
      <w:pPr>
        <w:pStyle w:val="23"/>
        <w:rPr>
          <w:rFonts w:hint="default"/>
        </w:rPr>
      </w:pPr>
    </w:p>
    <w:p/>
    <w:p>
      <w:pPr>
        <w:spacing w:line="600" w:lineRule="exact"/>
        <w:jc w:val="center"/>
        <w:outlineLvl w:val="0"/>
        <w:rPr>
          <w:rFonts w:eastAsia="黑体"/>
          <w:sz w:val="44"/>
          <w:szCs w:val="44"/>
        </w:rPr>
      </w:pPr>
    </w:p>
    <w:p>
      <w:pPr>
        <w:jc w:val="left"/>
        <w:rPr>
          <w:rFonts w:eastAsia="黑体"/>
          <w:sz w:val="32"/>
          <w:szCs w:val="32"/>
        </w:rPr>
      </w:pPr>
      <w:r>
        <w:rPr>
          <w:rFonts w:hint="eastAsia" w:eastAsia="黑体"/>
          <w:sz w:val="32"/>
          <w:szCs w:val="32"/>
        </w:rPr>
        <w:br w:type="page"/>
      </w:r>
    </w:p>
    <w:p>
      <w:pPr>
        <w:spacing w:line="600" w:lineRule="exact"/>
        <w:jc w:val="center"/>
        <w:outlineLvl w:val="0"/>
        <w:rPr>
          <w:rStyle w:val="33"/>
          <w:rFonts w:eastAsia="黑体"/>
          <w:b w:val="0"/>
          <w:sz w:val="32"/>
          <w:szCs w:val="32"/>
        </w:rPr>
      </w:pPr>
      <w:r>
        <w:rPr>
          <w:rFonts w:hint="eastAsia" w:eastAsia="黑体"/>
          <w:sz w:val="32"/>
          <w:szCs w:val="32"/>
        </w:rPr>
        <w:t>第</w:t>
      </w:r>
      <w:r>
        <w:rPr>
          <w:rStyle w:val="33"/>
          <w:rFonts w:hint="eastAsia" w:eastAsia="黑体"/>
          <w:b w:val="0"/>
          <w:sz w:val="32"/>
          <w:szCs w:val="32"/>
        </w:rPr>
        <w:t>四部分 附件</w:t>
      </w:r>
      <w:bookmarkEnd w:id="53"/>
    </w:p>
    <w:p>
      <w:pPr>
        <w:spacing w:line="572" w:lineRule="exact"/>
        <w:jc w:val="left"/>
        <w:outlineLvl w:val="0"/>
        <w:rPr>
          <w:rFonts w:eastAsia="黑体" w:cs="方正小标宋简体"/>
          <w:sz w:val="44"/>
          <w:szCs w:val="44"/>
        </w:rPr>
      </w:pPr>
      <w:r>
        <w:rPr>
          <w:rFonts w:hint="eastAsia" w:eastAsia="黑体" w:cs="黑体"/>
          <w:sz w:val="32"/>
          <w:szCs w:val="32"/>
        </w:rPr>
        <w:t>附件1</w:t>
      </w:r>
    </w:p>
    <w:p>
      <w:pPr>
        <w:spacing w:line="560" w:lineRule="exact"/>
        <w:jc w:val="center"/>
        <w:rPr>
          <w:rFonts w:eastAsia="方正小标宋简体"/>
          <w:kern w:val="0"/>
          <w:sz w:val="44"/>
          <w:szCs w:val="44"/>
          <w:lang w:val="zh-CN"/>
        </w:rPr>
      </w:pPr>
    </w:p>
    <w:p>
      <w:pPr>
        <w:spacing w:line="560" w:lineRule="exact"/>
        <w:jc w:val="center"/>
        <w:rPr>
          <w:rFonts w:eastAsia="方正小标宋简体"/>
          <w:kern w:val="0"/>
          <w:sz w:val="44"/>
          <w:szCs w:val="44"/>
          <w:lang w:val="zh-CN"/>
        </w:rPr>
      </w:pPr>
      <w:r>
        <w:rPr>
          <w:rFonts w:hint="eastAsia" w:eastAsia="方正小标宋简体"/>
          <w:kern w:val="0"/>
          <w:sz w:val="44"/>
          <w:szCs w:val="44"/>
          <w:lang w:val="zh-CN"/>
        </w:rPr>
        <w:t>20</w:t>
      </w:r>
      <w:r>
        <w:rPr>
          <w:rFonts w:hint="eastAsia" w:eastAsia="方正小标宋简体"/>
          <w:kern w:val="0"/>
          <w:sz w:val="44"/>
          <w:szCs w:val="44"/>
        </w:rPr>
        <w:t>23</w:t>
      </w:r>
      <w:r>
        <w:rPr>
          <w:rFonts w:hint="eastAsia" w:eastAsia="方正小标宋简体"/>
          <w:kern w:val="0"/>
          <w:sz w:val="44"/>
          <w:szCs w:val="44"/>
          <w:lang w:val="zh-CN"/>
        </w:rPr>
        <w:t>年部门整体绩效评价报告</w:t>
      </w:r>
    </w:p>
    <w:p>
      <w:pPr>
        <w:widowControl/>
        <w:spacing w:line="560" w:lineRule="exact"/>
        <w:contextualSpacing/>
        <w:jc w:val="center"/>
        <w:rPr>
          <w:rFonts w:eastAsia="仿宋_GB2312" w:cs="仿宋_GB2312"/>
          <w:sz w:val="32"/>
          <w:szCs w:val="32"/>
          <w:shd w:val="clear" w:color="auto" w:fill="FFFFFF"/>
        </w:rPr>
      </w:pPr>
      <w:r>
        <w:rPr>
          <w:rFonts w:hint="eastAsia" w:eastAsia="仿宋_GB2312" w:cs="仿宋_GB2312"/>
          <w:sz w:val="32"/>
          <w:szCs w:val="32"/>
          <w:shd w:val="clear" w:color="auto" w:fill="FFFFFF"/>
        </w:rPr>
        <w:t>（报告范围包括机关和下属单位）</w:t>
      </w:r>
    </w:p>
    <w:p>
      <w:pPr>
        <w:widowControl/>
        <w:adjustRightInd w:val="0"/>
        <w:snapToGrid w:val="0"/>
        <w:spacing w:line="560" w:lineRule="exact"/>
        <w:ind w:firstLine="640" w:firstLineChars="200"/>
        <w:contextualSpacing/>
        <w:jc w:val="left"/>
        <w:rPr>
          <w:rFonts w:eastAsia="黑体" w:cs="宋体"/>
          <w:kern w:val="0"/>
          <w:sz w:val="32"/>
          <w:szCs w:val="32"/>
          <w:shd w:val="clear" w:color="auto" w:fill="FFFFFF"/>
        </w:rPr>
      </w:pPr>
    </w:p>
    <w:p>
      <w:pPr>
        <w:widowControl/>
        <w:numPr>
          <w:ilvl w:val="0"/>
          <w:numId w:val="6"/>
        </w:numPr>
        <w:adjustRightInd w:val="0"/>
        <w:snapToGrid w:val="0"/>
        <w:spacing w:line="560" w:lineRule="exact"/>
        <w:ind w:firstLine="640" w:firstLineChars="200"/>
        <w:contextualSpacing/>
        <w:jc w:val="left"/>
        <w:rPr>
          <w:rFonts w:eastAsia="黑体" w:cs="宋体"/>
          <w:kern w:val="0"/>
          <w:sz w:val="32"/>
          <w:szCs w:val="32"/>
          <w:shd w:val="clear" w:color="auto" w:fill="FFFFFF"/>
          <w:lang w:val="zh-CN"/>
        </w:rPr>
      </w:pPr>
      <w:r>
        <w:rPr>
          <w:rFonts w:hint="eastAsia" w:eastAsia="黑体" w:cs="宋体"/>
          <w:kern w:val="0"/>
          <w:sz w:val="32"/>
          <w:szCs w:val="32"/>
          <w:shd w:val="clear" w:color="auto" w:fill="FFFFFF"/>
          <w:lang w:val="zh-CN"/>
        </w:rPr>
        <w:t>部门（单位）基本情况</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lang w:val="zh-CN"/>
        </w:rPr>
      </w:pPr>
      <w:r>
        <w:rPr>
          <w:rFonts w:hint="eastAsia" w:eastAsia="楷体_GB2312" w:cs="楷体_GB2312"/>
          <w:kern w:val="0"/>
          <w:sz w:val="32"/>
          <w:szCs w:val="32"/>
          <w:shd w:val="clear" w:color="auto" w:fill="FFFFFF"/>
          <w:lang w:val="zh-CN"/>
        </w:rPr>
        <w:t>（一）机构组成</w:t>
      </w:r>
    </w:p>
    <w:p>
      <w:pPr>
        <w:widowControl/>
        <w:adjustRightInd w:val="0"/>
        <w:snapToGrid w:val="0"/>
        <w:spacing w:line="560" w:lineRule="exact"/>
        <w:ind w:firstLine="640" w:firstLineChars="200"/>
        <w:contextualSpacing/>
        <w:rPr>
          <w:rFonts w:eastAsia="仿宋_GB2312" w:cs="仿宋_GB2312"/>
          <w:sz w:val="32"/>
          <w:szCs w:val="32"/>
        </w:rPr>
      </w:pPr>
      <w:r>
        <w:rPr>
          <w:rFonts w:hint="eastAsia" w:eastAsia="仿宋_GB2312" w:cs="仿宋_GB2312"/>
          <w:sz w:val="32"/>
          <w:szCs w:val="32"/>
        </w:rPr>
        <w:t>我镇系一级行政单位，设22个内设机构，分别是党政办公室、党建工作办公室、社会事务办公室、综合行政执法办公室、社会治理和应急管理办公室、经济发展办公室、乡村振兴办公室、镇村建设办公室、财政工作办公室、自然资源和规划所、便民服务中心（挂退役军人服务站牌子）、农民工服务中心、农业综合服务中心、宣传文化服务中心、退役军人服务站、热线办、监察室、三资办、交管办、老干部联络办公室、团委、妇联。无下属二级预算单位。</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lang w:val="zh-CN"/>
        </w:rPr>
      </w:pPr>
      <w:r>
        <w:rPr>
          <w:rFonts w:hint="eastAsia" w:eastAsia="楷体_GB2312" w:cs="楷体_GB2312"/>
          <w:kern w:val="0"/>
          <w:sz w:val="32"/>
          <w:szCs w:val="32"/>
          <w:shd w:val="clear" w:color="auto" w:fill="FFFFFF"/>
          <w:lang w:val="zh-CN"/>
        </w:rPr>
        <w:t>（二）机构职能</w:t>
      </w:r>
    </w:p>
    <w:p>
      <w:pPr>
        <w:spacing w:line="560" w:lineRule="exact"/>
        <w:ind w:firstLine="640" w:firstLineChars="200"/>
        <w:rPr>
          <w:rFonts w:eastAsia="仿宋_GB2312" w:cs="仿宋_GB2312"/>
          <w:bCs/>
          <w:sz w:val="32"/>
          <w:szCs w:val="32"/>
        </w:rPr>
      </w:pPr>
      <w:r>
        <w:rPr>
          <w:rFonts w:hint="eastAsia" w:eastAsia="仿宋_GB2312" w:cs="仿宋_GB2312"/>
          <w:bCs/>
          <w:sz w:val="32"/>
          <w:szCs w:val="32"/>
        </w:rPr>
        <w:t>1.</w:t>
      </w:r>
      <w:r>
        <w:rPr>
          <w:rFonts w:hint="eastAsia" w:eastAsia="仿宋_GB2312" w:cs="仿宋_GB2312"/>
          <w:sz w:val="32"/>
          <w:szCs w:val="32"/>
        </w:rPr>
        <w:t>贯彻执行本级人民代表大会的决议和上级国家行政机关的决定和命令，发布决定和命令。</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hint="eastAsia" w:ascii="Times New Roman" w:cs="仿宋_GB2312"/>
          <w:bCs/>
          <w:sz w:val="32"/>
          <w:szCs w:val="32"/>
        </w:rPr>
        <w:t>2.贯彻执行本行政区域内经济和社会发展计划、预算，管理本行政区域内的经济、教育、科学、文化、卫生、体育事业和财政、民政、公安、司法行政等行政工作。</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hint="eastAsia" w:ascii="Times New Roman" w:cs="仿宋_GB2312"/>
          <w:bCs/>
          <w:sz w:val="32"/>
          <w:szCs w:val="32"/>
        </w:rPr>
        <w:t>3.负责本行政区域内的基层治理，负责社会主义民主法治建设和精神文明建设，负责民生保障、社会救助、脱贫致富、社会治安综合治理、生态文明建设、乡村振兴、民族宗教、防灾减灾、应急管理、镇村建设等工作。</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hint="eastAsia" w:ascii="Times New Roman" w:cs="仿宋_GB2312"/>
          <w:bCs/>
          <w:sz w:val="32"/>
          <w:szCs w:val="32"/>
        </w:rPr>
        <w:t>4.负责提供区域公共服务，完善基本公共服务体系，依法依规承接区级部门下放的服务管理权限。落实人力资源</w:t>
      </w:r>
      <w:r>
        <w:rPr>
          <w:rFonts w:hint="eastAsia" w:ascii="Times New Roman" w:cs="仿宋_GB2312"/>
          <w:bCs/>
          <w:sz w:val="32"/>
          <w:szCs w:val="32"/>
          <w:lang w:val="en-US" w:eastAsia="zh-CN"/>
        </w:rPr>
        <w:t>和</w:t>
      </w:r>
      <w:r>
        <w:rPr>
          <w:rFonts w:hint="eastAsia" w:ascii="Times New Roman" w:cs="仿宋_GB2312"/>
          <w:bCs/>
          <w:sz w:val="32"/>
          <w:szCs w:val="32"/>
        </w:rPr>
        <w:t>社会保障、民政、教育、科技、文化、体育、卫生健康、农民工服务、退役军人事务等领域相关法规政策。负责推进政府职能转变、依法治理等工作，建设服务型政府。</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hint="eastAsia" w:ascii="Times New Roman" w:cs="仿宋_GB2312"/>
          <w:bCs/>
          <w:sz w:val="32"/>
          <w:szCs w:val="32"/>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hint="eastAsia" w:ascii="Times New Roman" w:cs="仿宋_GB2312"/>
          <w:bCs/>
          <w:sz w:val="32"/>
          <w:szCs w:val="32"/>
        </w:rPr>
        <w:t>6.做好拥军优属、社会救济、劳动保障等基层社会保障工作，保护老人、妇女、儿童和残疾人的合法权益。</w:t>
      </w:r>
    </w:p>
    <w:p>
      <w:pPr>
        <w:pStyle w:val="9"/>
        <w:adjustRightInd w:val="0"/>
        <w:snapToGrid w:val="0"/>
        <w:spacing w:beforeLines="0" w:line="560" w:lineRule="exact"/>
        <w:ind w:firstLine="672" w:firstLineChars="210"/>
        <w:outlineLvl w:val="2"/>
        <w:rPr>
          <w:rFonts w:ascii="Times New Roman" w:cs="仿宋_GB2312"/>
          <w:bCs/>
          <w:sz w:val="32"/>
          <w:szCs w:val="32"/>
        </w:rPr>
      </w:pPr>
      <w:r>
        <w:rPr>
          <w:rFonts w:hint="eastAsia" w:ascii="Times New Roman" w:cs="仿宋_GB2312"/>
          <w:bCs/>
          <w:sz w:val="32"/>
          <w:szCs w:val="32"/>
        </w:rPr>
        <w:t>7.监督执法管理。对辖区内各类行政执法工作进行统筹协调，组织开展群众监督和社会监督。</w:t>
      </w:r>
    </w:p>
    <w:p>
      <w:pPr>
        <w:pStyle w:val="9"/>
        <w:adjustRightInd w:val="0"/>
        <w:snapToGrid w:val="0"/>
        <w:spacing w:beforeLines="0" w:line="560" w:lineRule="exact"/>
        <w:ind w:firstLine="672" w:firstLineChars="210"/>
        <w:outlineLvl w:val="2"/>
        <w:rPr>
          <w:rFonts w:ascii="Times New Roman" w:eastAsia="仿宋"/>
          <w:bCs/>
          <w:sz w:val="32"/>
          <w:szCs w:val="32"/>
        </w:rPr>
      </w:pPr>
      <w:r>
        <w:rPr>
          <w:rFonts w:hint="eastAsia" w:ascii="Times New Roman" w:cs="仿宋_GB2312"/>
          <w:bCs/>
          <w:sz w:val="32"/>
          <w:szCs w:val="32"/>
        </w:rPr>
        <w:t>8.完成区委、区政府交办的其他事项。</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lang w:val="zh-CN"/>
        </w:rPr>
      </w:pPr>
      <w:r>
        <w:rPr>
          <w:rFonts w:hint="eastAsia" w:eastAsia="楷体_GB2312" w:cs="楷体_GB2312"/>
          <w:kern w:val="0"/>
          <w:sz w:val="32"/>
          <w:szCs w:val="32"/>
          <w:shd w:val="clear" w:color="auto" w:fill="FFFFFF"/>
          <w:lang w:val="zh-CN"/>
        </w:rPr>
        <w:t>（三）人员概况</w:t>
      </w:r>
    </w:p>
    <w:p>
      <w:pPr>
        <w:pStyle w:val="40"/>
        <w:spacing w:before="0" w:after="0" w:line="560" w:lineRule="exact"/>
        <w:ind w:firstLine="640" w:firstLineChars="200"/>
        <w:rPr>
          <w:rFonts w:ascii="Times New Roman" w:hAnsi="Times New Roman" w:eastAsia="仿宋"/>
          <w:color w:val="auto"/>
        </w:rPr>
      </w:pPr>
      <w:r>
        <w:rPr>
          <w:rFonts w:ascii="Times New Roman" w:hAnsi="Times New Roman"/>
          <w:szCs w:val="32"/>
        </w:rPr>
        <w:t>截至2023年末，</w:t>
      </w:r>
      <w:r>
        <w:rPr>
          <w:rFonts w:hint="eastAsia" w:ascii="Times New Roman" w:hAnsi="Times New Roman"/>
          <w:color w:val="auto"/>
          <w:szCs w:val="32"/>
        </w:rPr>
        <w:t>我镇现有人员57人，其中：行政人员32人，工勤人员5人，事业人员20人。</w:t>
      </w:r>
    </w:p>
    <w:p>
      <w:pPr>
        <w:widowControl/>
        <w:adjustRightInd w:val="0"/>
        <w:snapToGrid w:val="0"/>
        <w:spacing w:line="560" w:lineRule="exact"/>
        <w:ind w:firstLine="640" w:firstLineChars="200"/>
        <w:contextualSpacing/>
        <w:jc w:val="left"/>
        <w:rPr>
          <w:rFonts w:eastAsia="黑体" w:cs="宋体"/>
          <w:kern w:val="0"/>
          <w:sz w:val="32"/>
          <w:szCs w:val="32"/>
          <w:shd w:val="clear" w:color="auto" w:fill="FFFFFF"/>
        </w:rPr>
      </w:pPr>
      <w:r>
        <w:rPr>
          <w:rFonts w:hint="eastAsia" w:eastAsia="黑体" w:cs="宋体"/>
          <w:kern w:val="0"/>
          <w:sz w:val="32"/>
          <w:szCs w:val="32"/>
          <w:shd w:val="clear" w:color="auto" w:fill="FFFFFF"/>
        </w:rPr>
        <w:t>二、部门财政资金收支情况</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lang w:val="zh-CN"/>
        </w:rPr>
        <w:t>（一）</w:t>
      </w:r>
      <w:r>
        <w:rPr>
          <w:rFonts w:hint="eastAsia" w:eastAsia="楷体_GB2312" w:cs="楷体_GB2312"/>
          <w:kern w:val="0"/>
          <w:sz w:val="32"/>
          <w:szCs w:val="32"/>
          <w:shd w:val="clear" w:color="auto" w:fill="FFFFFF"/>
        </w:rPr>
        <w:t>部门财政资金收入情况</w:t>
      </w:r>
    </w:p>
    <w:p>
      <w:pPr>
        <w:pStyle w:val="9"/>
        <w:spacing w:beforeLines="0" w:line="560" w:lineRule="exact"/>
        <w:ind w:firstLine="640" w:firstLineChars="200"/>
        <w:rPr>
          <w:rFonts w:ascii="Times New Roman" w:cs="仿宋_GB2312"/>
        </w:rPr>
      </w:pPr>
      <w:r>
        <w:rPr>
          <w:rFonts w:hint="eastAsia" w:ascii="Times New Roman" w:cs="仿宋_GB2312"/>
          <w:sz w:val="32"/>
          <w:szCs w:val="32"/>
        </w:rPr>
        <w:t>2023年总收入2662.37万元,其中：一般公共预算财政拨款收入2589.96万元，占总收入97.28%,政府性基金预算财政拨款收入72.41万元，占总收入2.72%。</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（二）部门财政资金支出情况</w:t>
      </w:r>
    </w:p>
    <w:p>
      <w:pPr>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2023年相应安排支出2662.37万元，其中：基本支出1838.44万元，占69.05%；项目支出823.92万元，占30.95%。</w:t>
      </w:r>
    </w:p>
    <w:p>
      <w:pPr>
        <w:adjustRightInd w:val="0"/>
        <w:snapToGrid w:val="0"/>
        <w:spacing w:line="560" w:lineRule="exact"/>
        <w:ind w:firstLine="640" w:firstLineChars="200"/>
        <w:jc w:val="left"/>
        <w:rPr>
          <w:rFonts w:eastAsia="仿宋_GB2312" w:cs="仿宋_GB2312"/>
          <w:kern w:val="0"/>
          <w:sz w:val="32"/>
          <w:szCs w:val="32"/>
        </w:rPr>
      </w:pPr>
      <w:r>
        <w:rPr>
          <w:rFonts w:hint="eastAsia" w:eastAsia="仿宋_GB2312" w:cs="仿宋_GB2312"/>
          <w:kern w:val="0"/>
          <w:sz w:val="32"/>
          <w:szCs w:val="32"/>
        </w:rPr>
        <w:t>基本支出是用于保障横山镇正常运转的日常支出，包括基本工资、津贴补贴、奖金、机关事业单位基本养老保险缴费、其他社会保障缴费、其他工资福利支出、离休费、抚恤金、生活补助、医疗费、住房公积金、其他对个人和家庭的补助支出、办公费、印刷费、手续费、水费、电费、邮电费、物业管理费、差旅费、维修（护）费、租赁费、会议费、劳务费、工会经费、福利费、其他交通费用、其他商品和服务等支出。</w:t>
      </w:r>
    </w:p>
    <w:p>
      <w:pPr>
        <w:pStyle w:val="9"/>
        <w:spacing w:beforeLines="0" w:line="560" w:lineRule="exact"/>
        <w:ind w:firstLine="640" w:firstLineChars="200"/>
        <w:rPr>
          <w:rFonts w:ascii="Times New Roman" w:cs="仿宋_GB2312"/>
          <w:sz w:val="32"/>
          <w:szCs w:val="32"/>
        </w:rPr>
      </w:pPr>
      <w:r>
        <w:rPr>
          <w:rFonts w:hint="eastAsia" w:ascii="Times New Roman" w:cs="仿宋_GB2312"/>
          <w:sz w:val="32"/>
          <w:szCs w:val="32"/>
        </w:rPr>
        <w:t>项目支出是用于保障横山镇为完成特定的行政工作任务或事业发展目标，用于专项业务工作的经费支出，包括城乡环境整治、城镇基础设施和场镇街道维护、征兵工作、人大工作、安全生产工作、防灾应急工作、乡风文明工作、信访维稳工作等支出。</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（三）部门总体结转结余情况</w:t>
      </w:r>
    </w:p>
    <w:p>
      <w:pPr>
        <w:pStyle w:val="23"/>
        <w:spacing w:line="560" w:lineRule="exact"/>
        <w:ind w:firstLine="640" w:firstLineChars="200"/>
        <w:rPr>
          <w:rFonts w:hint="default" w:eastAsia="仿宋_GB2312" w:cs="仿宋_GB2312"/>
          <w:kern w:val="0"/>
          <w:sz w:val="32"/>
          <w:szCs w:val="32"/>
        </w:rPr>
      </w:pPr>
      <w:r>
        <w:rPr>
          <w:rFonts w:eastAsia="仿宋_GB2312" w:cs="仿宋_GB2312"/>
          <w:kern w:val="0"/>
          <w:sz w:val="32"/>
          <w:szCs w:val="32"/>
        </w:rPr>
        <w:t>本年预算工作目标已完成，无结转结余情况。</w:t>
      </w:r>
    </w:p>
    <w:p>
      <w:pPr>
        <w:widowControl/>
        <w:adjustRightInd w:val="0"/>
        <w:snapToGrid w:val="0"/>
        <w:spacing w:line="560" w:lineRule="exact"/>
        <w:ind w:firstLine="640" w:firstLineChars="200"/>
        <w:contextualSpacing/>
        <w:jc w:val="left"/>
        <w:rPr>
          <w:rFonts w:eastAsia="黑体" w:cs="宋体"/>
          <w:kern w:val="0"/>
          <w:sz w:val="32"/>
          <w:szCs w:val="32"/>
          <w:shd w:val="clear" w:color="auto" w:fill="FFFFFF"/>
        </w:rPr>
      </w:pPr>
      <w:r>
        <w:rPr>
          <w:rFonts w:hint="eastAsia" w:eastAsia="黑体" w:cs="宋体"/>
          <w:kern w:val="0"/>
          <w:sz w:val="32"/>
          <w:szCs w:val="32"/>
          <w:shd w:val="clear" w:color="auto" w:fill="FFFFFF"/>
        </w:rPr>
        <w:t>三、部门预算绩效分析</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（一）部门预算总体绩效分析</w:t>
      </w:r>
    </w:p>
    <w:p>
      <w:pPr>
        <w:adjustRightInd w:val="0"/>
        <w:snapToGrid w:val="0"/>
        <w:spacing w:line="56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2023年度支出总额2662.37万元，其中基本支出1838.44万元，基本支出保障了我镇正常运转的日常支出，包括基本工资、津贴补贴等人员经费以及办公费、水电费、差旅费等日常公用经费以及生活补助等对个人和家庭的补助经费；项目支出823.92万元，项目支出主要用于人大事务、节能环保支出、农村基础设施建设、对村民委员会和村党支部的补助等方面。2023年横山镇人民政府部门总体绩效自评得分为90分（部门总体绩效自评满分为90分）。</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1.履职效能</w:t>
      </w:r>
    </w:p>
    <w:p>
      <w:pPr>
        <w:adjustRightInd w:val="0"/>
        <w:snapToGrid w:val="0"/>
        <w:spacing w:line="56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2023年部门一般公共预算财政拨款收入支出安排总数2662.37万元，政府性基金预算财政拨款收入支出安排总数72.41万元，年末均无结转结余资金；三公经费偏离度和项目绩效完成偏离度均≤10%；通过部门项目的实施，政府工作顺利</w:t>
      </w:r>
      <w:r>
        <w:rPr>
          <w:rFonts w:hint="eastAsia" w:eastAsia="仿宋_GB2312"/>
          <w:color w:val="000000"/>
          <w:kern w:val="0"/>
          <w:sz w:val="32"/>
          <w:szCs w:val="32"/>
          <w:shd w:val="clear" w:color="auto" w:fill="FFFFFF"/>
          <w:lang w:val="zh-CN"/>
        </w:rPr>
        <w:t>开展</w:t>
      </w:r>
      <w:r>
        <w:rPr>
          <w:rFonts w:eastAsia="仿宋_GB2312"/>
          <w:color w:val="000000"/>
          <w:kern w:val="0"/>
          <w:sz w:val="32"/>
          <w:szCs w:val="32"/>
          <w:shd w:val="clear" w:color="auto" w:fill="FFFFFF"/>
          <w:lang w:val="zh-CN"/>
        </w:rPr>
        <w:t>，加强了阵地建设，夯实了产业基础，坚持乡村振兴战略，提高了群众的生活品质，得到群众认可，较好</w:t>
      </w:r>
      <w:r>
        <w:rPr>
          <w:rFonts w:hint="eastAsia" w:eastAsia="仿宋_GB2312"/>
          <w:color w:val="000000"/>
          <w:kern w:val="0"/>
          <w:sz w:val="32"/>
          <w:szCs w:val="32"/>
          <w:shd w:val="clear" w:color="auto" w:fill="FFFFFF"/>
          <w:lang w:val="zh-CN"/>
        </w:rPr>
        <w:t>地</w:t>
      </w:r>
      <w:r>
        <w:rPr>
          <w:rFonts w:eastAsia="仿宋_GB2312"/>
          <w:color w:val="000000"/>
          <w:kern w:val="0"/>
          <w:sz w:val="32"/>
          <w:szCs w:val="32"/>
          <w:shd w:val="clear" w:color="auto" w:fill="FFFFFF"/>
          <w:lang w:val="zh-CN"/>
        </w:rPr>
        <w:t>实现了年度工作目标。</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2.预算管理</w:t>
      </w:r>
    </w:p>
    <w:p>
      <w:pPr>
        <w:adjustRightInd w:val="0"/>
        <w:snapToGrid w:val="0"/>
        <w:spacing w:line="56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2023年，本部门严格按照《</w:t>
      </w:r>
      <w:r>
        <w:rPr>
          <w:rFonts w:hint="eastAsia" w:eastAsia="仿宋_GB2312"/>
          <w:color w:val="000000"/>
          <w:kern w:val="0"/>
          <w:sz w:val="32"/>
          <w:szCs w:val="32"/>
          <w:shd w:val="clear" w:color="auto" w:fill="FFFFFF"/>
          <w:lang w:val="zh-CN"/>
        </w:rPr>
        <w:t>中华人民共和国预算法</w:t>
      </w:r>
      <w:r>
        <w:rPr>
          <w:rFonts w:eastAsia="仿宋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zh-CN"/>
        </w:rPr>
        <w:t>中华人民共和国会计法</w:t>
      </w:r>
      <w:r>
        <w:rPr>
          <w:rFonts w:eastAsia="仿宋_GB2312"/>
          <w:color w:val="000000"/>
          <w:kern w:val="0"/>
          <w:sz w:val="32"/>
          <w:szCs w:val="32"/>
          <w:shd w:val="clear" w:color="auto" w:fill="FFFFFF"/>
          <w:lang w:val="zh-CN"/>
        </w:rPr>
        <w:t>》、《政府会计制度》和上级的文件进行预算编制，合理规划2023年的基本支出和项目支出；强化预算管理，加强对银行存款和现金的管理；部门对年终决算高度重视，组织专人负责编制决算报告，对决算数据进行了严格审核，认真分析并应用到下年的预算工作。未出现违规违纪现象。</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3.财务管理</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2023年，本部门严格按照《</w:t>
      </w:r>
      <w:r>
        <w:rPr>
          <w:rFonts w:hint="eastAsia" w:eastAsia="仿宋_GB2312"/>
          <w:color w:val="000000"/>
          <w:kern w:val="0"/>
          <w:sz w:val="32"/>
          <w:szCs w:val="32"/>
          <w:shd w:val="clear" w:color="auto" w:fill="FFFFFF"/>
          <w:lang w:val="zh-CN"/>
        </w:rPr>
        <w:t>中华人民共和国预算法</w:t>
      </w:r>
      <w:r>
        <w:rPr>
          <w:rFonts w:eastAsia="仿宋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zh-CN"/>
        </w:rPr>
        <w:t>中华人民共和国会计法</w:t>
      </w:r>
      <w:r>
        <w:rPr>
          <w:rFonts w:eastAsia="仿宋_GB2312"/>
          <w:color w:val="000000"/>
          <w:kern w:val="0"/>
          <w:sz w:val="32"/>
          <w:szCs w:val="32"/>
          <w:shd w:val="clear" w:color="auto" w:fill="FFFFFF"/>
          <w:lang w:val="zh-CN"/>
        </w:rPr>
        <w:t>》、《政府会计制度》和上级的文件建立健全财务制度；严格执行财经纪律和各项财务制度；完善了支出审批制度，费用报销制度，以及差旅费报销制度；设立会计和出纳岗位，做到岗位分离，职责分工，未出现违规违纪现象。</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4.资产管理</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2023年，本部门资产实行分类管理，建立健全了资产内部管理制度；加强了对实物资产和无形资产的管理，建定期进行了盘点和资产清理，明确相关部门和岗位的职责权限，强化对配置、使用和处置等关键环节的管控；明确资产使用和保管责任人，落实资产使用人在资产管理中的责任。资产利用率达96%以上，资产盘活率100%。</w:t>
      </w:r>
    </w:p>
    <w:p>
      <w:pPr>
        <w:adjustRightInd w:val="0"/>
        <w:snapToGrid w:val="0"/>
        <w:spacing w:line="560" w:lineRule="exact"/>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5.采购管理</w:t>
      </w:r>
    </w:p>
    <w:p>
      <w:pPr>
        <w:adjustRightInd w:val="0"/>
        <w:snapToGrid w:val="0"/>
        <w:spacing w:line="560" w:lineRule="exact"/>
        <w:ind w:firstLine="640" w:firstLineChars="200"/>
        <w:contextualSpacing/>
        <w:rPr>
          <w:rFonts w:eastAsia="楷体_GB2312"/>
          <w:color w:val="000000"/>
          <w:kern w:val="0"/>
          <w:sz w:val="32"/>
          <w:szCs w:val="32"/>
          <w:shd w:val="clear" w:color="auto" w:fill="FFFFFF"/>
        </w:rPr>
      </w:pPr>
      <w:r>
        <w:rPr>
          <w:rFonts w:eastAsia="仿宋_GB2312"/>
          <w:color w:val="000000"/>
          <w:kern w:val="0"/>
          <w:sz w:val="32"/>
          <w:szCs w:val="32"/>
          <w:shd w:val="clear" w:color="auto" w:fill="FFFFFF"/>
          <w:lang w:val="zh-CN"/>
        </w:rPr>
        <w:t>2023年本部门实行分散采购，无集中政府采购，采购安排专人负责，围绕中小企业进行采购，采购执行率100%。</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lang w:val="zh-CN"/>
        </w:rPr>
      </w:pPr>
      <w:r>
        <w:rPr>
          <w:rFonts w:hint="eastAsia" w:eastAsia="楷体_GB2312" w:cs="楷体_GB2312"/>
          <w:kern w:val="0"/>
          <w:sz w:val="32"/>
          <w:szCs w:val="32"/>
          <w:shd w:val="clear" w:color="auto" w:fill="FFFFFF"/>
        </w:rPr>
        <w:t>（二）</w:t>
      </w:r>
      <w:r>
        <w:rPr>
          <w:rFonts w:eastAsia="楷体_GB2312" w:cs="楷体_GB2312"/>
          <w:kern w:val="0"/>
          <w:sz w:val="32"/>
          <w:szCs w:val="32"/>
          <w:shd w:val="clear" w:color="auto" w:fill="FFFFFF"/>
          <w:lang w:val="zh-CN"/>
        </w:rPr>
        <w:t>部门预算项目绩效分析</w:t>
      </w:r>
    </w:p>
    <w:p>
      <w:pPr>
        <w:widowControl/>
        <w:adjustRightInd w:val="0"/>
        <w:snapToGrid w:val="0"/>
        <w:spacing w:line="560" w:lineRule="exact"/>
        <w:ind w:firstLine="640" w:firstLineChars="200"/>
        <w:contextualSpacing/>
        <w:rPr>
          <w:rFonts w:eastAsia="仿宋_GB2312"/>
          <w:sz w:val="32"/>
          <w:szCs w:val="32"/>
          <w:lang w:val="zh-CN"/>
        </w:rPr>
      </w:pPr>
      <w:r>
        <w:rPr>
          <w:rFonts w:eastAsia="仿宋_GB2312"/>
          <w:sz w:val="32"/>
          <w:szCs w:val="32"/>
        </w:rPr>
        <w:t>常年项目绩效分析。</w:t>
      </w:r>
      <w:r>
        <w:rPr>
          <w:rFonts w:eastAsia="仿宋_GB2312"/>
          <w:sz w:val="32"/>
          <w:szCs w:val="32"/>
          <w:lang w:val="zh-CN"/>
        </w:rPr>
        <w:t>该类项目总数</w:t>
      </w:r>
      <w:r>
        <w:rPr>
          <w:rFonts w:hint="eastAsia"/>
          <w:sz w:val="32"/>
          <w:szCs w:val="32"/>
        </w:rPr>
        <w:t>17</w:t>
      </w:r>
      <w:r>
        <w:rPr>
          <w:rFonts w:eastAsia="仿宋_GB2312"/>
          <w:sz w:val="32"/>
          <w:szCs w:val="32"/>
          <w:lang w:val="zh-CN"/>
        </w:rPr>
        <w:t>个，涉及预算总金额</w:t>
      </w:r>
      <w:r>
        <w:rPr>
          <w:rFonts w:hint="eastAsia"/>
          <w:sz w:val="32"/>
          <w:szCs w:val="32"/>
        </w:rPr>
        <w:t>751.52</w:t>
      </w:r>
      <w:r>
        <w:rPr>
          <w:rFonts w:eastAsia="仿宋_GB2312"/>
          <w:sz w:val="32"/>
          <w:szCs w:val="32"/>
          <w:lang w:val="zh-CN"/>
        </w:rPr>
        <w:t>万元，1—1</w:t>
      </w:r>
      <w:r>
        <w:rPr>
          <w:rFonts w:eastAsia="仿宋_GB2312"/>
          <w:sz w:val="32"/>
          <w:szCs w:val="32"/>
        </w:rPr>
        <w:t>2</w:t>
      </w:r>
      <w:r>
        <w:rPr>
          <w:rFonts w:eastAsia="仿宋_GB2312"/>
          <w:sz w:val="32"/>
          <w:szCs w:val="32"/>
          <w:lang w:val="zh-CN"/>
        </w:rPr>
        <w:t>月预算执行总体进度为</w:t>
      </w:r>
      <w:r>
        <w:rPr>
          <w:rFonts w:hint="eastAsia"/>
          <w:sz w:val="32"/>
          <w:szCs w:val="32"/>
        </w:rPr>
        <w:t>100</w:t>
      </w:r>
      <w:r>
        <w:rPr>
          <w:rFonts w:eastAsia="仿宋_GB2312"/>
          <w:sz w:val="32"/>
          <w:szCs w:val="32"/>
          <w:lang w:val="zh-CN"/>
        </w:rPr>
        <w:t>%，其中：预算结余率大于</w:t>
      </w:r>
      <w:r>
        <w:rPr>
          <w:rFonts w:eastAsia="仿宋_GB2312"/>
          <w:sz w:val="32"/>
          <w:szCs w:val="32"/>
        </w:rPr>
        <w:t>10%</w:t>
      </w:r>
      <w:r>
        <w:rPr>
          <w:rFonts w:eastAsia="仿宋_GB2312"/>
          <w:sz w:val="32"/>
          <w:szCs w:val="32"/>
          <w:lang w:val="zh-CN"/>
        </w:rPr>
        <w:t>的项目共计</w:t>
      </w:r>
      <w:r>
        <w:rPr>
          <w:rFonts w:hint="eastAsia"/>
          <w:sz w:val="32"/>
          <w:szCs w:val="32"/>
        </w:rPr>
        <w:t>0</w:t>
      </w:r>
      <w:r>
        <w:rPr>
          <w:rFonts w:eastAsia="仿宋_GB2312"/>
          <w:sz w:val="32"/>
          <w:szCs w:val="32"/>
          <w:lang w:val="zh-CN"/>
        </w:rPr>
        <w:t>个。</w:t>
      </w:r>
    </w:p>
    <w:p>
      <w:pPr>
        <w:pStyle w:val="9"/>
        <w:spacing w:beforeLines="0" w:line="560" w:lineRule="exact"/>
        <w:rPr>
          <w:rFonts w:ascii="Times New Roman" w:cs="宋体"/>
          <w:sz w:val="32"/>
          <w:szCs w:val="32"/>
          <w:shd w:val="clear" w:color="auto" w:fill="FFFFFF"/>
          <w:lang w:val="zh-CN"/>
        </w:rPr>
      </w:pPr>
    </w:p>
    <w:p>
      <w:pPr>
        <w:spacing w:line="560" w:lineRule="exact"/>
        <w:rPr>
          <w:rStyle w:val="33"/>
          <w:rFonts w:eastAsia="黑体"/>
          <w:b w:val="0"/>
        </w:rPr>
      </w:pPr>
      <w:r>
        <w:rPr>
          <w:rStyle w:val="33"/>
          <w:rFonts w:eastAsia="黑体"/>
          <w:b w:val="0"/>
        </w:rPr>
        <w:br w:type="page"/>
      </w:r>
    </w:p>
    <w:p>
      <w:pPr>
        <w:snapToGrid w:val="0"/>
        <w:spacing w:line="560" w:lineRule="exact"/>
        <w:rPr>
          <w:rFonts w:eastAsia="黑体" w:cs="黑体"/>
          <w:sz w:val="32"/>
          <w:szCs w:val="32"/>
        </w:rPr>
      </w:pPr>
      <w:r>
        <w:rPr>
          <w:rFonts w:hint="eastAsia" w:eastAsia="黑体" w:cs="黑体"/>
          <w:sz w:val="32"/>
          <w:szCs w:val="32"/>
        </w:rPr>
        <w:t>附件2</w:t>
      </w: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r>
        <w:rPr>
          <w:rFonts w:hint="eastAsia" w:eastAsia="方正小标宋简体"/>
          <w:sz w:val="44"/>
          <w:szCs w:val="44"/>
        </w:rPr>
        <w:t>遂宁市安居区横山镇人民政府</w:t>
      </w:r>
    </w:p>
    <w:p>
      <w:pPr>
        <w:snapToGrid w:val="0"/>
        <w:spacing w:line="560" w:lineRule="exact"/>
        <w:jc w:val="center"/>
        <w:rPr>
          <w:rFonts w:eastAsia="方正小标宋简体"/>
          <w:sz w:val="44"/>
          <w:szCs w:val="44"/>
        </w:rPr>
      </w:pPr>
      <w:r>
        <w:rPr>
          <w:rFonts w:hint="eastAsia" w:eastAsia="方正小标宋简体"/>
          <w:sz w:val="44"/>
          <w:szCs w:val="44"/>
        </w:rPr>
        <w:t>部门预算项目支出绩效自评报告</w:t>
      </w:r>
    </w:p>
    <w:p>
      <w:pPr>
        <w:spacing w:line="560" w:lineRule="exact"/>
        <w:ind w:firstLine="640" w:firstLineChars="200"/>
        <w:jc w:val="center"/>
        <w:rPr>
          <w:rFonts w:eastAsia="仿宋_GB2312" w:cs="仿宋_GB2312"/>
          <w:sz w:val="32"/>
          <w:szCs w:val="32"/>
        </w:rPr>
      </w:pPr>
      <w:r>
        <w:rPr>
          <w:rFonts w:hint="eastAsia" w:eastAsia="仿宋_GB2312" w:cs="仿宋_GB2312"/>
          <w:sz w:val="32"/>
          <w:szCs w:val="32"/>
        </w:rPr>
        <w:t>（2023年镇（街道）统计工作经费项目）</w:t>
      </w:r>
    </w:p>
    <w:p>
      <w:pPr>
        <w:pStyle w:val="23"/>
        <w:rPr>
          <w:rFonts w:hint="default"/>
        </w:rPr>
      </w:pPr>
    </w:p>
    <w:p>
      <w:pPr>
        <w:widowControl/>
        <w:adjustRightInd w:val="0"/>
        <w:snapToGrid w:val="0"/>
        <w:spacing w:line="560" w:lineRule="exact"/>
        <w:ind w:firstLine="640" w:firstLineChars="200"/>
        <w:contextualSpacing/>
        <w:jc w:val="left"/>
        <w:rPr>
          <w:rFonts w:eastAsia="黑体" w:cs="宋体"/>
          <w:kern w:val="0"/>
          <w:sz w:val="32"/>
          <w:szCs w:val="32"/>
          <w:shd w:val="clear" w:color="auto" w:fill="FFFFFF"/>
        </w:rPr>
      </w:pPr>
      <w:r>
        <w:rPr>
          <w:rFonts w:hint="eastAsia" w:eastAsia="黑体" w:cs="宋体"/>
          <w:kern w:val="0"/>
          <w:sz w:val="32"/>
          <w:szCs w:val="32"/>
          <w:shd w:val="clear" w:color="auto" w:fill="FFFFFF"/>
        </w:rPr>
        <w:t>一、项目概况</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（一）设立背景及基本情况</w:t>
      </w:r>
    </w:p>
    <w:p>
      <w:pPr>
        <w:spacing w:line="560" w:lineRule="exact"/>
        <w:ind w:firstLine="640" w:firstLineChars="200"/>
        <w:rPr>
          <w:rFonts w:eastAsia="仿宋_GB2312" w:cs="仿宋_GB2312"/>
          <w:sz w:val="32"/>
          <w:szCs w:val="32"/>
        </w:rPr>
      </w:pPr>
      <w:r>
        <w:rPr>
          <w:rFonts w:hint="eastAsia" w:eastAsia="仿宋_GB2312" w:cs="仿宋_GB2312"/>
          <w:sz w:val="32"/>
          <w:szCs w:val="32"/>
        </w:rPr>
        <w:t>乡镇统计工作作为统计体系的基础环节，统计工作的质量高低，直接影响宏观统计数据的好坏。目前，随着经济社会的发展和统计制度的不断完善，乡镇统计工作的任务日益增多，除常规的统计报表上报外，还需参与和组织各项大型普查工作，如人口普查、农业普查、经济普查等，这些工作都需要大量的人力、物力和财力支持。</w:t>
      </w:r>
    </w:p>
    <w:p>
      <w:pPr>
        <w:spacing w:line="560" w:lineRule="exact"/>
        <w:ind w:firstLine="640" w:firstLineChars="200"/>
        <w:jc w:val="left"/>
      </w:pPr>
      <w:r>
        <w:rPr>
          <w:rFonts w:hint="eastAsia" w:eastAsia="仿宋_GB2312" w:cs="仿宋_GB2312"/>
          <w:sz w:val="32"/>
          <w:szCs w:val="32"/>
        </w:rPr>
        <w:t>镇统计工作经费项目为延续性项目，已在年初进行项目绩效目标申报，项目规划合理，年度绩效目标与中长期规划一致。资金管理办法健全完善。</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（二）实施目的及支持方向</w:t>
      </w:r>
    </w:p>
    <w:p>
      <w:pPr>
        <w:spacing w:line="560" w:lineRule="exact"/>
        <w:ind w:firstLine="640" w:firstLineChars="200"/>
        <w:rPr>
          <w:rFonts w:eastAsia="仿宋_GB2312" w:cs="仿宋_GB2312"/>
          <w:sz w:val="32"/>
          <w:szCs w:val="32"/>
        </w:rPr>
      </w:pPr>
      <w:r>
        <w:rPr>
          <w:rFonts w:hint="eastAsia" w:eastAsia="仿宋_GB2312" w:cs="仿宋_GB2312"/>
          <w:sz w:val="32"/>
          <w:szCs w:val="32"/>
        </w:rPr>
        <w:t>乡镇统计工作经费的实施目的是保障统计工作的正常运行、提升统计数据的准确性和可靠性、推动统计工作的创新和发展；支持方向则包括人员培训和薪酬保障、设备购置和技术更新、数据收集和处理以及统计研究和宣传等方面。</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（三）预算安排及分配管理</w:t>
      </w:r>
    </w:p>
    <w:p>
      <w:pPr>
        <w:spacing w:line="560" w:lineRule="exact"/>
        <w:ind w:firstLine="640" w:firstLineChars="200"/>
        <w:rPr>
          <w:rFonts w:eastAsia="仿宋_GB2312" w:cs="仿宋_GB2312"/>
          <w:sz w:val="32"/>
          <w:szCs w:val="32"/>
        </w:rPr>
      </w:pPr>
      <w:r>
        <w:rPr>
          <w:rFonts w:hint="eastAsia" w:eastAsia="仿宋_GB2312" w:cs="仿宋_GB2312"/>
          <w:sz w:val="32"/>
          <w:szCs w:val="32"/>
        </w:rPr>
        <w:t>严格执行《中华人民共和国统计法》，如实提供统计调查资料，确保统计数据真实性、准确性，认真完成2023年统计年报及各项调查任务，精准统计、如实上报。统计工作项目2023年初预算2.00万元，预算批复2.00万元，实际支出2.00万元，包括统计人员务工费、统计人员下村租车费、统计宣传资料印刷等费用。</w:t>
      </w:r>
    </w:p>
    <w:p>
      <w:pPr>
        <w:spacing w:line="560" w:lineRule="exact"/>
        <w:ind w:firstLine="640" w:firstLineChars="200"/>
        <w:jc w:val="left"/>
        <w:rPr>
          <w:rFonts w:eastAsia="仿宋_GB2312" w:cs="仿宋_GB2312"/>
          <w:sz w:val="32"/>
          <w:szCs w:val="32"/>
        </w:rPr>
      </w:pPr>
      <w:r>
        <w:rPr>
          <w:rFonts w:hint="eastAsia" w:eastAsia="黑体" w:cs="宋体"/>
          <w:kern w:val="0"/>
          <w:sz w:val="32"/>
          <w:szCs w:val="32"/>
          <w:shd w:val="clear" w:color="auto" w:fill="FFFFFF"/>
        </w:rPr>
        <w:t>二、项目执行</w:t>
      </w:r>
      <w:r>
        <w:rPr>
          <w:rFonts w:hint="eastAsia" w:eastAsia="仿宋_GB2312" w:cs="仿宋_GB2312"/>
          <w:sz w:val="32"/>
          <w:szCs w:val="32"/>
        </w:rPr>
        <w:tab/>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为使项目如期完成，结合横山镇实际情况，镇统计工作经费项目按照镇党委工作分工，将所有项目分解到相关党政班子成员，由分管领导具体负责项目实施。在项目资金发放工作中，建立了符合财务会计制度的对镇统计工作经费项目资金管理制度，专项管理、拨付规范、发放及时。</w:t>
      </w:r>
    </w:p>
    <w:p>
      <w:pPr>
        <w:spacing w:line="560" w:lineRule="exact"/>
        <w:ind w:firstLine="640" w:firstLineChars="200"/>
        <w:jc w:val="left"/>
        <w:rPr>
          <w:rFonts w:eastAsia="黑体" w:cs="宋体"/>
          <w:kern w:val="0"/>
          <w:sz w:val="32"/>
          <w:szCs w:val="32"/>
          <w:shd w:val="clear" w:color="auto" w:fill="FFFFFF"/>
        </w:rPr>
      </w:pPr>
      <w:r>
        <w:rPr>
          <w:rFonts w:hint="eastAsia" w:eastAsia="黑体" w:cs="宋体"/>
          <w:kern w:val="0"/>
          <w:sz w:val="32"/>
          <w:szCs w:val="32"/>
          <w:shd w:val="clear" w:color="auto" w:fill="FFFFFF"/>
        </w:rPr>
        <w:t>三、目标实现</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产出指标完成情况如下：</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时效指标：2023年1月-2023年12月。</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成本指标：2023年镇（街道）统计经费2万元。</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数量指标：统计工作会议达到3次及以上。</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质量指标：各项数据普查率达到90%以上。</w:t>
      </w:r>
    </w:p>
    <w:p>
      <w:pPr>
        <w:spacing w:line="560" w:lineRule="exact"/>
        <w:ind w:firstLine="640" w:firstLineChars="200"/>
        <w:jc w:val="left"/>
        <w:rPr>
          <w:rFonts w:eastAsia="黑体" w:cs="宋体"/>
          <w:kern w:val="0"/>
          <w:sz w:val="32"/>
          <w:szCs w:val="32"/>
          <w:shd w:val="clear" w:color="auto" w:fill="FFFFFF"/>
          <w:lang w:val="zh-CN"/>
        </w:rPr>
      </w:pPr>
      <w:r>
        <w:rPr>
          <w:rFonts w:hint="eastAsia" w:eastAsia="黑体" w:cs="宋体"/>
          <w:kern w:val="0"/>
          <w:sz w:val="32"/>
          <w:szCs w:val="32"/>
          <w:shd w:val="clear" w:color="auto" w:fill="FFFFFF"/>
        </w:rPr>
        <w:t>四、</w:t>
      </w:r>
      <w:r>
        <w:rPr>
          <w:rFonts w:hint="eastAsia" w:eastAsia="黑体" w:cs="宋体"/>
          <w:kern w:val="0"/>
          <w:sz w:val="32"/>
          <w:szCs w:val="32"/>
          <w:shd w:val="clear" w:color="auto" w:fill="FFFFFF"/>
          <w:lang w:val="zh-CN"/>
        </w:rPr>
        <w:t>存在问题</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资金使用效率不高、项目管理不规范、数据质量不高。</w:t>
      </w:r>
    </w:p>
    <w:p>
      <w:pPr>
        <w:spacing w:line="560" w:lineRule="exact"/>
        <w:ind w:firstLine="640" w:firstLineChars="200"/>
        <w:jc w:val="left"/>
        <w:rPr>
          <w:rFonts w:eastAsia="黑体" w:cs="宋体"/>
          <w:kern w:val="0"/>
          <w:sz w:val="32"/>
          <w:szCs w:val="32"/>
          <w:shd w:val="clear" w:color="auto" w:fill="FFFFFF"/>
          <w:lang w:val="zh-CN"/>
        </w:rPr>
      </w:pPr>
      <w:r>
        <w:rPr>
          <w:rFonts w:hint="eastAsia" w:eastAsia="黑体" w:cs="宋体"/>
          <w:kern w:val="0"/>
          <w:sz w:val="32"/>
          <w:szCs w:val="32"/>
          <w:shd w:val="clear" w:color="auto" w:fill="FFFFFF"/>
        </w:rPr>
        <w:t>五、</w:t>
      </w:r>
      <w:r>
        <w:rPr>
          <w:rFonts w:hint="eastAsia" w:eastAsia="黑体" w:cs="宋体"/>
          <w:kern w:val="0"/>
          <w:sz w:val="32"/>
          <w:szCs w:val="32"/>
          <w:shd w:val="clear" w:color="auto" w:fill="FFFFFF"/>
          <w:lang w:val="zh-CN"/>
        </w:rPr>
        <w:t>改进建议</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一是加强预算管理，细化预算编制，优化支出结构，提高资金使用效率。二是完善项目管理，建立健全项目管理制度，加强项目申报、审批、执行和监督等环节的管理。三是提高数据质量，加强数据采集、处理和审核等环节的质量控制，确保数据的准确性和完整性。</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附表：部门预算项目支出绩效自评表（2023年度）</w:t>
      </w:r>
    </w:p>
    <w:p>
      <w:pPr>
        <w:pStyle w:val="23"/>
        <w:rPr>
          <w:rFonts w:hint="default"/>
        </w:rPr>
      </w:pPr>
    </w:p>
    <w:tbl>
      <w:tblPr>
        <w:tblStyle w:val="18"/>
        <w:tblW w:w="8620" w:type="dxa"/>
        <w:tblInd w:w="93" w:type="dxa"/>
        <w:tblLayout w:type="fixed"/>
        <w:tblCellMar>
          <w:top w:w="0" w:type="dxa"/>
          <w:left w:w="108" w:type="dxa"/>
          <w:bottom w:w="0" w:type="dxa"/>
          <w:right w:w="108" w:type="dxa"/>
        </w:tblCellMar>
      </w:tblPr>
      <w:tblGrid>
        <w:gridCol w:w="1019"/>
        <w:gridCol w:w="1021"/>
        <w:gridCol w:w="1020"/>
        <w:gridCol w:w="1020"/>
        <w:gridCol w:w="541"/>
        <w:gridCol w:w="586"/>
        <w:gridCol w:w="615"/>
        <w:gridCol w:w="846"/>
        <w:gridCol w:w="558"/>
        <w:gridCol w:w="554"/>
        <w:gridCol w:w="840"/>
      </w:tblGrid>
      <w:tr>
        <w:tblPrEx>
          <w:tblCellMar>
            <w:top w:w="0" w:type="dxa"/>
            <w:left w:w="108" w:type="dxa"/>
            <w:bottom w:w="0" w:type="dxa"/>
            <w:right w:w="108" w:type="dxa"/>
          </w:tblCellMar>
        </w:tblPrEx>
        <w:trPr>
          <w:trHeight w:val="644" w:hRule="atLeast"/>
        </w:trPr>
        <w:tc>
          <w:tcPr>
            <w:tcW w:w="8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b/>
                <w:bCs/>
                <w:color w:val="000000"/>
                <w:sz w:val="30"/>
                <w:szCs w:val="30"/>
              </w:rPr>
            </w:pPr>
            <w:r>
              <w:rPr>
                <w:rFonts w:hint="eastAsia"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332"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项目名称</w:t>
            </w:r>
          </w:p>
        </w:tc>
        <w:tc>
          <w:tcPr>
            <w:tcW w:w="65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51090422T000000394141-镇（街道）统计工作经费</w:t>
            </w:r>
          </w:p>
        </w:tc>
      </w:tr>
      <w:tr>
        <w:tblPrEx>
          <w:tblCellMar>
            <w:top w:w="0" w:type="dxa"/>
            <w:left w:w="108" w:type="dxa"/>
            <w:bottom w:w="0" w:type="dxa"/>
            <w:right w:w="108" w:type="dxa"/>
          </w:tblCellMar>
        </w:tblPrEx>
        <w:trPr>
          <w:trHeight w:val="95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主管部门</w:t>
            </w:r>
          </w:p>
        </w:tc>
        <w:tc>
          <w:tcPr>
            <w:tcW w:w="3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遂宁市安居区横山镇人民政府部门</w:t>
            </w:r>
          </w:p>
        </w:tc>
        <w:tc>
          <w:tcPr>
            <w:tcW w:w="846"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实施单位 （盖章）</w:t>
            </w: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遂宁市安居区横山镇人民政府</w:t>
            </w:r>
          </w:p>
        </w:tc>
      </w:tr>
      <w:tr>
        <w:tblPrEx>
          <w:tblCellMar>
            <w:top w:w="0" w:type="dxa"/>
            <w:left w:w="108" w:type="dxa"/>
            <w:bottom w:w="0" w:type="dxa"/>
            <w:right w:w="108" w:type="dxa"/>
          </w:tblCellMar>
        </w:tblPrEx>
        <w:trPr>
          <w:trHeight w:val="332" w:hRule="atLeast"/>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项目基本情况</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1.项目年度目标完成情况</w:t>
            </w:r>
          </w:p>
        </w:tc>
        <w:tc>
          <w:tcPr>
            <w:tcW w:w="3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项目年度目标</w:t>
            </w:r>
          </w:p>
        </w:tc>
        <w:tc>
          <w:tcPr>
            <w:tcW w:w="2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color w:val="000000"/>
                <w:sz w:val="18"/>
                <w:szCs w:val="18"/>
              </w:rPr>
            </w:pPr>
            <w:r>
              <w:rPr>
                <w:rFonts w:hint="eastAsia"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691"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3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确保统计数据真实、准确、及时</w:t>
            </w:r>
          </w:p>
        </w:tc>
        <w:tc>
          <w:tcPr>
            <w:tcW w:w="2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color w:val="000000"/>
                <w:sz w:val="18"/>
                <w:szCs w:val="18"/>
              </w:rPr>
            </w:pPr>
            <w:r>
              <w:rPr>
                <w:rFonts w:hint="eastAsia" w:cs="宋体"/>
                <w:color w:val="000000"/>
                <w:kern w:val="0"/>
                <w:sz w:val="18"/>
                <w:szCs w:val="18"/>
                <w:lang w:bidi="ar"/>
              </w:rPr>
              <w:t>完成各项统计工作任务</w:t>
            </w:r>
          </w:p>
        </w:tc>
      </w:tr>
      <w:tr>
        <w:tblPrEx>
          <w:tblCellMar>
            <w:top w:w="0" w:type="dxa"/>
            <w:left w:w="108" w:type="dxa"/>
            <w:bottom w:w="0" w:type="dxa"/>
            <w:right w:w="108" w:type="dxa"/>
          </w:tblCellMar>
        </w:tblPrEx>
        <w:trPr>
          <w:trHeight w:val="1058"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2.项目实施内容及过程概述</w:t>
            </w:r>
          </w:p>
        </w:tc>
        <w:tc>
          <w:tcPr>
            <w:tcW w:w="65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收集、汇总、整理和提供全镇的基本统计资料和有关调查的统计数据，为相关部门提供有力的数据支撑，建立、健全和管理全镇统计数据库体系。</w:t>
            </w:r>
          </w:p>
        </w:tc>
      </w:tr>
      <w:tr>
        <w:tblPrEx>
          <w:tblCellMar>
            <w:top w:w="0" w:type="dxa"/>
            <w:left w:w="108" w:type="dxa"/>
            <w:bottom w:w="0" w:type="dxa"/>
            <w:right w:w="108" w:type="dxa"/>
          </w:tblCellMar>
        </w:tblPrEx>
        <w:trPr>
          <w:trHeight w:val="644" w:hRule="atLeast"/>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预算执行情况（10分）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调整后预算数</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原因</w:t>
            </w:r>
          </w:p>
        </w:tc>
      </w:tr>
      <w:tr>
        <w:tblPrEx>
          <w:tblCellMar>
            <w:top w:w="0" w:type="dxa"/>
            <w:left w:w="108" w:type="dxa"/>
            <w:bottom w:w="0" w:type="dxa"/>
            <w:right w:w="108" w:type="dxa"/>
          </w:tblCellMar>
        </w:tblPrEx>
        <w:trPr>
          <w:trHeight w:val="332"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44"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44"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03"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527"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1268" w:hRule="atLeast"/>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绩效指标（90分）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指标性质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未完成原因分析</w:t>
            </w:r>
          </w:p>
        </w:tc>
      </w:tr>
      <w:tr>
        <w:tblPrEx>
          <w:tblCellMar>
            <w:top w:w="0" w:type="dxa"/>
            <w:left w:w="108" w:type="dxa"/>
            <w:bottom w:w="0" w:type="dxa"/>
            <w:right w:w="108" w:type="dxa"/>
          </w:tblCellMar>
        </w:tblPrEx>
        <w:trPr>
          <w:trHeight w:val="956"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在有限的资金内完成各项任务</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20000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372"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提高数据准确度，提高填报质量</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99%</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644"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确保及时准确完成各项任务</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470"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促进经济社会可持续发展</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56" w:hRule="atLeast"/>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群众满意度</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332" w:hRule="atLeast"/>
        </w:trPr>
        <w:tc>
          <w:tcPr>
            <w:tcW w:w="6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92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评价结论</w:t>
            </w:r>
          </w:p>
        </w:tc>
        <w:tc>
          <w:tcPr>
            <w:tcW w:w="7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微软雅黑" w:cs="微软雅黑"/>
                <w:i/>
                <w:iCs/>
                <w:color w:val="000000"/>
                <w:sz w:val="16"/>
                <w:szCs w:val="16"/>
              </w:rPr>
            </w:pPr>
            <w:r>
              <w:rPr>
                <w:rFonts w:hint="eastAsia" w:cs="宋体"/>
                <w:color w:val="000000"/>
                <w:kern w:val="0"/>
                <w:sz w:val="18"/>
                <w:szCs w:val="18"/>
                <w:lang w:bidi="ar"/>
              </w:rPr>
              <w:t>项目全年预算数2万元，执行数为2万元，完成预算的100%。</w:t>
            </w:r>
          </w:p>
        </w:tc>
      </w:tr>
      <w:tr>
        <w:tblPrEx>
          <w:tblCellMar>
            <w:top w:w="0" w:type="dxa"/>
            <w:left w:w="108" w:type="dxa"/>
            <w:bottom w:w="0" w:type="dxa"/>
            <w:right w:w="108" w:type="dxa"/>
          </w:tblCellMar>
        </w:tblPrEx>
        <w:trPr>
          <w:trHeight w:val="1184"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存在问题</w:t>
            </w:r>
          </w:p>
        </w:tc>
        <w:tc>
          <w:tcPr>
            <w:tcW w:w="7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微软雅黑" w:cs="微软雅黑"/>
                <w:i/>
                <w:iCs/>
                <w:color w:val="000000"/>
                <w:sz w:val="16"/>
                <w:szCs w:val="16"/>
              </w:rPr>
            </w:pPr>
            <w:r>
              <w:rPr>
                <w:rFonts w:hint="eastAsia" w:cs="宋体"/>
                <w:color w:val="000000"/>
                <w:kern w:val="0"/>
                <w:sz w:val="18"/>
                <w:szCs w:val="18"/>
                <w:lang w:bidi="ar"/>
              </w:rPr>
              <w:t>镇统计信息化建设水平需进一步提高</w:t>
            </w:r>
          </w:p>
        </w:tc>
      </w:tr>
      <w:tr>
        <w:tblPrEx>
          <w:tblCellMar>
            <w:top w:w="0" w:type="dxa"/>
            <w:left w:w="108" w:type="dxa"/>
            <w:bottom w:w="0" w:type="dxa"/>
            <w:right w:w="108" w:type="dxa"/>
          </w:tblCellMar>
        </w:tblPrEx>
        <w:trPr>
          <w:trHeight w:val="102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改进措施</w:t>
            </w:r>
          </w:p>
        </w:tc>
        <w:tc>
          <w:tcPr>
            <w:tcW w:w="7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微软雅黑" w:cs="微软雅黑"/>
                <w:i/>
                <w:iCs/>
                <w:color w:val="000000"/>
                <w:sz w:val="16"/>
                <w:szCs w:val="16"/>
              </w:rPr>
            </w:pPr>
            <w:r>
              <w:rPr>
                <w:rFonts w:hint="eastAsia" w:cs="宋体"/>
                <w:color w:val="000000"/>
                <w:kern w:val="0"/>
                <w:sz w:val="18"/>
                <w:szCs w:val="18"/>
                <w:lang w:bidi="ar"/>
              </w:rPr>
              <w:t>加强统计人员培训，不断提高统计人员专业素质。</w:t>
            </w:r>
          </w:p>
        </w:tc>
      </w:tr>
      <w:tr>
        <w:tblPrEx>
          <w:tblCellMar>
            <w:top w:w="0" w:type="dxa"/>
            <w:left w:w="108" w:type="dxa"/>
            <w:bottom w:w="0" w:type="dxa"/>
            <w:right w:w="108" w:type="dxa"/>
          </w:tblCellMar>
        </w:tblPrEx>
        <w:trPr>
          <w:trHeight w:val="994" w:hRule="atLeast"/>
        </w:trPr>
        <w:tc>
          <w:tcPr>
            <w:tcW w:w="4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项目负责人：赵晓峰</w:t>
            </w:r>
          </w:p>
        </w:tc>
        <w:tc>
          <w:tcPr>
            <w:tcW w:w="39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财务负责人：王华权</w:t>
            </w:r>
          </w:p>
        </w:tc>
      </w:tr>
    </w:tbl>
    <w:p>
      <w:pPr>
        <w:rPr>
          <w:rFonts w:eastAsia="黑体" w:cs="黑体"/>
          <w:sz w:val="32"/>
          <w:szCs w:val="32"/>
        </w:rPr>
      </w:pPr>
      <w:r>
        <w:rPr>
          <w:rFonts w:hint="eastAsia" w:eastAsia="黑体" w:cs="黑体"/>
          <w:sz w:val="32"/>
          <w:szCs w:val="32"/>
        </w:rPr>
        <w:br w:type="page"/>
      </w:r>
    </w:p>
    <w:p>
      <w:pPr>
        <w:spacing w:line="572" w:lineRule="exact"/>
        <w:jc w:val="left"/>
        <w:outlineLvl w:val="0"/>
        <w:rPr>
          <w:rFonts w:eastAsia="黑体" w:cs="黑体"/>
          <w:sz w:val="32"/>
          <w:szCs w:val="32"/>
        </w:rPr>
      </w:pPr>
      <w:r>
        <w:rPr>
          <w:rFonts w:hint="eastAsia" w:eastAsia="黑体" w:cs="黑体"/>
          <w:sz w:val="32"/>
          <w:szCs w:val="32"/>
        </w:rPr>
        <w:t>附件3</w:t>
      </w:r>
    </w:p>
    <w:p>
      <w:pPr>
        <w:pStyle w:val="23"/>
        <w:rPr>
          <w:rFonts w:hint="default"/>
        </w:rPr>
      </w:pPr>
    </w:p>
    <w:p>
      <w:pPr>
        <w:snapToGrid w:val="0"/>
        <w:spacing w:line="560" w:lineRule="exact"/>
        <w:jc w:val="center"/>
        <w:rPr>
          <w:rFonts w:eastAsia="方正小标宋简体"/>
          <w:sz w:val="44"/>
          <w:szCs w:val="44"/>
        </w:rPr>
      </w:pPr>
      <w:r>
        <w:rPr>
          <w:rFonts w:hint="eastAsia" w:eastAsia="方正小标宋简体"/>
          <w:sz w:val="44"/>
          <w:szCs w:val="44"/>
        </w:rPr>
        <w:t>遂宁市安居区横山镇人民政府</w:t>
      </w:r>
    </w:p>
    <w:p>
      <w:pPr>
        <w:snapToGrid w:val="0"/>
        <w:spacing w:line="560" w:lineRule="exact"/>
        <w:jc w:val="center"/>
        <w:rPr>
          <w:rFonts w:eastAsia="方正小标宋简体"/>
          <w:sz w:val="44"/>
          <w:szCs w:val="44"/>
        </w:rPr>
      </w:pPr>
      <w:r>
        <w:rPr>
          <w:rFonts w:hint="eastAsia" w:eastAsia="方正小标宋简体"/>
          <w:sz w:val="44"/>
          <w:szCs w:val="44"/>
        </w:rPr>
        <w:t>部门预算项目支出绩效自评报告</w:t>
      </w:r>
    </w:p>
    <w:p>
      <w:pPr>
        <w:spacing w:line="560" w:lineRule="exact"/>
        <w:ind w:firstLine="640" w:firstLineChars="200"/>
        <w:jc w:val="center"/>
        <w:rPr>
          <w:rFonts w:eastAsia="仿宋_GB2312" w:cs="仿宋_GB2312"/>
          <w:sz w:val="32"/>
          <w:szCs w:val="32"/>
        </w:rPr>
      </w:pPr>
      <w:r>
        <w:rPr>
          <w:rFonts w:hint="eastAsia" w:eastAsia="仿宋_GB2312" w:cs="仿宋_GB2312"/>
          <w:sz w:val="32"/>
          <w:szCs w:val="32"/>
        </w:rPr>
        <w:t>（2023年</w:t>
      </w:r>
      <w:r>
        <w:rPr>
          <w:rFonts w:hint="eastAsia" w:eastAsia="仿宋_GB2312" w:cs="仿宋_GB2312"/>
          <w:sz w:val="32"/>
          <w:szCs w:val="32"/>
          <w:lang w:eastAsia="zh-CN"/>
        </w:rPr>
        <w:t>信访维稳</w:t>
      </w:r>
      <w:r>
        <w:rPr>
          <w:rFonts w:hint="eastAsia" w:eastAsia="仿宋_GB2312" w:cs="仿宋_GB2312"/>
          <w:sz w:val="32"/>
          <w:szCs w:val="32"/>
        </w:rPr>
        <w:t>调解经费项目）</w:t>
      </w:r>
    </w:p>
    <w:p>
      <w:pPr>
        <w:pStyle w:val="23"/>
        <w:spacing w:line="560" w:lineRule="exact"/>
        <w:rPr>
          <w:rFonts w:hint="default" w:eastAsia="方正小标宋简体"/>
          <w:sz w:val="44"/>
          <w:szCs w:val="44"/>
        </w:rPr>
      </w:pPr>
    </w:p>
    <w:p>
      <w:pPr>
        <w:spacing w:line="560" w:lineRule="exact"/>
        <w:ind w:firstLine="640" w:firstLineChars="200"/>
        <w:jc w:val="left"/>
        <w:rPr>
          <w:rFonts w:eastAsia="黑体" w:cs="宋体"/>
          <w:kern w:val="0"/>
          <w:sz w:val="32"/>
          <w:szCs w:val="32"/>
          <w:shd w:val="clear" w:color="auto" w:fill="FFFFFF"/>
        </w:rPr>
      </w:pPr>
      <w:r>
        <w:rPr>
          <w:rFonts w:hint="eastAsia" w:eastAsia="黑体" w:cs="宋体"/>
          <w:kern w:val="0"/>
          <w:sz w:val="32"/>
          <w:szCs w:val="32"/>
          <w:shd w:val="clear" w:color="auto" w:fill="FFFFFF"/>
        </w:rPr>
        <w:t>一、项目概况</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（一）设立背景及基本情况</w:t>
      </w:r>
    </w:p>
    <w:p>
      <w:pPr>
        <w:pStyle w:val="23"/>
        <w:spacing w:line="560" w:lineRule="exact"/>
        <w:ind w:firstLine="640" w:firstLineChars="200"/>
        <w:rPr>
          <w:rFonts w:hint="default" w:eastAsia="仿宋_GB2312" w:cs="仿宋_GB2312"/>
          <w:sz w:val="32"/>
          <w:szCs w:val="32"/>
        </w:rPr>
      </w:pPr>
      <w:r>
        <w:rPr>
          <w:rFonts w:eastAsia="仿宋_GB2312" w:cs="仿宋_GB2312"/>
          <w:sz w:val="32"/>
          <w:szCs w:val="32"/>
        </w:rPr>
        <w:t>随着社会经济的快速发展和改革的不断深入，各类社会矛盾和问题日益凸显，信访工作作为了解社情民意、化解社会矛盾的重要渠道，其重要性日益凸显。为了维护社会稳定，保障人民群众合法权益，各级政府需要投入一定的经费支持</w:t>
      </w:r>
      <w:r>
        <w:rPr>
          <w:rFonts w:hint="eastAsia" w:eastAsia="仿宋_GB2312" w:cs="仿宋_GB2312"/>
          <w:sz w:val="32"/>
          <w:szCs w:val="32"/>
          <w:lang w:eastAsia="zh-CN"/>
        </w:rPr>
        <w:t>信访维稳</w:t>
      </w:r>
      <w:r>
        <w:rPr>
          <w:rFonts w:eastAsia="仿宋_GB2312" w:cs="仿宋_GB2312"/>
          <w:sz w:val="32"/>
          <w:szCs w:val="32"/>
        </w:rPr>
        <w:t>工作。</w:t>
      </w:r>
    </w:p>
    <w:p>
      <w:pPr>
        <w:pStyle w:val="23"/>
        <w:spacing w:line="560" w:lineRule="exact"/>
        <w:ind w:firstLine="640" w:firstLineChars="200"/>
        <w:rPr>
          <w:rFonts w:hint="default"/>
        </w:rPr>
      </w:pPr>
      <w:r>
        <w:rPr>
          <w:rFonts w:hint="eastAsia" w:eastAsia="仿宋_GB2312" w:cs="仿宋_GB2312"/>
          <w:sz w:val="32"/>
          <w:szCs w:val="32"/>
          <w:lang w:eastAsia="zh-CN"/>
        </w:rPr>
        <w:t>信访维稳</w:t>
      </w:r>
      <w:r>
        <w:rPr>
          <w:rFonts w:eastAsia="仿宋_GB2312" w:cs="仿宋_GB2312"/>
          <w:sz w:val="32"/>
          <w:szCs w:val="32"/>
        </w:rPr>
        <w:t>调解经费项目为延续性项目，已在年初进行项目绩效目标申报，项目规划合理，年度绩效目标与中长期规划一致。</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（二）实施目的及支持方向</w:t>
      </w:r>
    </w:p>
    <w:p>
      <w:pPr>
        <w:pStyle w:val="23"/>
        <w:spacing w:line="560" w:lineRule="exact"/>
        <w:ind w:firstLine="640" w:firstLineChars="200"/>
        <w:rPr>
          <w:rFonts w:hint="default" w:eastAsia="仿宋_GB2312" w:cs="仿宋_GB2312"/>
          <w:sz w:val="32"/>
          <w:szCs w:val="32"/>
        </w:rPr>
      </w:pPr>
      <w:r>
        <w:rPr>
          <w:rFonts w:hint="eastAsia" w:eastAsia="仿宋_GB2312" w:cs="仿宋_GB2312"/>
          <w:sz w:val="32"/>
          <w:szCs w:val="32"/>
          <w:lang w:eastAsia="zh-CN"/>
        </w:rPr>
        <w:t>信访维稳</w:t>
      </w:r>
      <w:r>
        <w:rPr>
          <w:rFonts w:eastAsia="仿宋_GB2312" w:cs="仿宋_GB2312"/>
          <w:sz w:val="32"/>
          <w:szCs w:val="32"/>
        </w:rPr>
        <w:t>调解经费项目的实施目的在促进经济和社会稳定、保护劳动者权益、增强企业社会责任感、高效化解信访纠纷、推进法治企业建设等方面</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（三）预算安排及分配管理</w:t>
      </w:r>
    </w:p>
    <w:p>
      <w:pPr>
        <w:pStyle w:val="23"/>
        <w:spacing w:line="560" w:lineRule="exact"/>
        <w:ind w:firstLine="640" w:firstLineChars="200"/>
        <w:rPr>
          <w:rFonts w:hint="default" w:eastAsia="仿宋_GB2312" w:cs="仿宋_GB2312"/>
          <w:sz w:val="32"/>
          <w:szCs w:val="32"/>
        </w:rPr>
      </w:pPr>
      <w:r>
        <w:rPr>
          <w:rFonts w:hint="eastAsia" w:eastAsia="仿宋_GB2312" w:cs="仿宋_GB2312"/>
          <w:sz w:val="32"/>
          <w:szCs w:val="32"/>
          <w:lang w:eastAsia="zh-CN"/>
        </w:rPr>
        <w:t>信访维稳</w:t>
      </w:r>
      <w:r>
        <w:rPr>
          <w:rFonts w:eastAsia="仿宋_GB2312" w:cs="仿宋_GB2312"/>
          <w:sz w:val="32"/>
          <w:szCs w:val="32"/>
        </w:rPr>
        <w:t>调解经费项目2023年初预算4.00万元，预算批复4.00万元。资金主要用于全镇信访维稳调解工作的办公费、差旅费等费用。</w:t>
      </w:r>
    </w:p>
    <w:p>
      <w:pPr>
        <w:spacing w:line="560" w:lineRule="exact"/>
        <w:ind w:firstLine="640" w:firstLineChars="200"/>
        <w:jc w:val="left"/>
        <w:rPr>
          <w:rFonts w:eastAsia="黑体" w:cs="宋体"/>
          <w:kern w:val="0"/>
          <w:sz w:val="32"/>
          <w:szCs w:val="32"/>
          <w:shd w:val="clear" w:color="auto" w:fill="FFFFFF"/>
        </w:rPr>
      </w:pPr>
      <w:r>
        <w:rPr>
          <w:rFonts w:hint="eastAsia" w:eastAsia="黑体" w:cs="宋体"/>
          <w:kern w:val="0"/>
          <w:sz w:val="32"/>
          <w:szCs w:val="32"/>
          <w:shd w:val="clear" w:color="auto" w:fill="FFFFFF"/>
        </w:rPr>
        <w:t>二、项目执行</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为使项目如期完成，结合横山镇实际情况，</w:t>
      </w:r>
      <w:r>
        <w:rPr>
          <w:rFonts w:hint="eastAsia" w:eastAsia="仿宋_GB2312" w:cs="仿宋_GB2312"/>
          <w:sz w:val="32"/>
          <w:szCs w:val="32"/>
          <w:lang w:eastAsia="zh-CN"/>
        </w:rPr>
        <w:t>信访维稳</w:t>
      </w:r>
      <w:r>
        <w:rPr>
          <w:rFonts w:hint="eastAsia" w:eastAsia="仿宋_GB2312" w:cs="仿宋_GB2312"/>
          <w:sz w:val="32"/>
          <w:szCs w:val="32"/>
        </w:rPr>
        <w:t>调解经费项目按照镇党委工作分工，将所有项目分解到相关党政班子成员，由分管领导具体负责项目实施。在项目资金发放工作中，建立了符合财务会计制度的</w:t>
      </w:r>
      <w:r>
        <w:rPr>
          <w:rFonts w:hint="eastAsia" w:eastAsia="仿宋_GB2312" w:cs="仿宋_GB2312"/>
          <w:sz w:val="32"/>
          <w:szCs w:val="32"/>
          <w:lang w:eastAsia="zh-CN"/>
        </w:rPr>
        <w:t>信访维稳</w:t>
      </w:r>
      <w:r>
        <w:rPr>
          <w:rFonts w:hint="eastAsia" w:eastAsia="仿宋_GB2312" w:cs="仿宋_GB2312"/>
          <w:sz w:val="32"/>
          <w:szCs w:val="32"/>
        </w:rPr>
        <w:t>调解经费项目资金管理制度，专项管理、拨付规范、发放及时。</w:t>
      </w:r>
    </w:p>
    <w:p>
      <w:pPr>
        <w:spacing w:line="560" w:lineRule="exact"/>
        <w:ind w:firstLine="640" w:firstLineChars="200"/>
        <w:jc w:val="left"/>
        <w:rPr>
          <w:rFonts w:eastAsia="黑体" w:cs="宋体"/>
          <w:kern w:val="0"/>
          <w:sz w:val="32"/>
          <w:szCs w:val="32"/>
          <w:shd w:val="clear" w:color="auto" w:fill="FFFFFF"/>
        </w:rPr>
      </w:pPr>
      <w:r>
        <w:rPr>
          <w:rFonts w:hint="eastAsia" w:eastAsia="黑体" w:cs="宋体"/>
          <w:kern w:val="0"/>
          <w:sz w:val="32"/>
          <w:szCs w:val="32"/>
          <w:shd w:val="clear" w:color="auto" w:fill="FFFFFF"/>
        </w:rPr>
        <w:t>三、绩效分析</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产出指标完成情况如下：</w:t>
      </w:r>
    </w:p>
    <w:p>
      <w:pPr>
        <w:spacing w:line="560" w:lineRule="exact"/>
        <w:ind w:firstLine="640" w:firstLineChars="200"/>
        <w:rPr>
          <w:rFonts w:eastAsia="仿宋_GB2312" w:cs="仿宋_GB2312"/>
          <w:sz w:val="32"/>
          <w:szCs w:val="32"/>
        </w:rPr>
      </w:pPr>
      <w:r>
        <w:rPr>
          <w:rFonts w:hint="eastAsia" w:eastAsia="仿宋_GB2312" w:cs="仿宋_GB2312"/>
          <w:sz w:val="32"/>
          <w:szCs w:val="32"/>
        </w:rPr>
        <w:t>时效指标：2023年1月-2023年12月。</w:t>
      </w:r>
    </w:p>
    <w:p>
      <w:pPr>
        <w:spacing w:line="560" w:lineRule="exact"/>
        <w:ind w:firstLine="640" w:firstLineChars="200"/>
        <w:rPr>
          <w:rFonts w:eastAsia="仿宋_GB2312" w:cs="仿宋_GB2312"/>
          <w:sz w:val="32"/>
          <w:szCs w:val="32"/>
        </w:rPr>
      </w:pPr>
      <w:r>
        <w:rPr>
          <w:rFonts w:hint="eastAsia" w:eastAsia="仿宋_GB2312" w:cs="仿宋_GB2312"/>
          <w:sz w:val="32"/>
          <w:szCs w:val="32"/>
        </w:rPr>
        <w:t>成本指标：2023年</w:t>
      </w:r>
      <w:r>
        <w:rPr>
          <w:rFonts w:hint="eastAsia" w:eastAsia="仿宋_GB2312" w:cs="仿宋_GB2312"/>
          <w:sz w:val="32"/>
          <w:szCs w:val="32"/>
          <w:lang w:eastAsia="zh-CN"/>
        </w:rPr>
        <w:t>信访维稳</w:t>
      </w:r>
      <w:r>
        <w:rPr>
          <w:rFonts w:hint="eastAsia" w:eastAsia="仿宋_GB2312" w:cs="仿宋_GB2312"/>
          <w:sz w:val="32"/>
          <w:szCs w:val="32"/>
        </w:rPr>
        <w:t>调解经费4万元。</w:t>
      </w:r>
    </w:p>
    <w:p>
      <w:pPr>
        <w:spacing w:line="560" w:lineRule="exact"/>
        <w:ind w:firstLine="640" w:firstLineChars="200"/>
        <w:rPr>
          <w:rFonts w:eastAsia="仿宋_GB2312" w:cs="仿宋_GB2312"/>
          <w:sz w:val="32"/>
          <w:szCs w:val="32"/>
        </w:rPr>
      </w:pPr>
      <w:r>
        <w:rPr>
          <w:rFonts w:hint="eastAsia" w:eastAsia="仿宋_GB2312" w:cs="仿宋_GB2312"/>
          <w:sz w:val="32"/>
          <w:szCs w:val="32"/>
        </w:rPr>
        <w:t>数量指标：信访工作人员≥3人。</w:t>
      </w:r>
    </w:p>
    <w:p>
      <w:pPr>
        <w:spacing w:line="560" w:lineRule="exact"/>
        <w:ind w:firstLine="640" w:firstLineChars="200"/>
        <w:rPr>
          <w:rFonts w:eastAsia="仿宋_GB2312" w:cs="仿宋_GB2312"/>
          <w:sz w:val="32"/>
          <w:szCs w:val="32"/>
        </w:rPr>
      </w:pPr>
      <w:r>
        <w:rPr>
          <w:rFonts w:hint="eastAsia" w:eastAsia="仿宋_GB2312" w:cs="仿宋_GB2312"/>
          <w:sz w:val="32"/>
          <w:szCs w:val="32"/>
        </w:rPr>
        <w:t>质量指标：信访总量同比下降≥5%。</w:t>
      </w:r>
    </w:p>
    <w:p>
      <w:pPr>
        <w:spacing w:line="560" w:lineRule="exact"/>
        <w:ind w:firstLine="640" w:firstLineChars="200"/>
        <w:jc w:val="left"/>
        <w:rPr>
          <w:rFonts w:eastAsia="黑体" w:cs="宋体"/>
          <w:kern w:val="0"/>
          <w:sz w:val="32"/>
          <w:szCs w:val="32"/>
          <w:shd w:val="clear" w:color="auto" w:fill="FFFFFF"/>
        </w:rPr>
      </w:pPr>
      <w:r>
        <w:rPr>
          <w:rFonts w:hint="eastAsia" w:eastAsia="黑体" w:cs="宋体"/>
          <w:kern w:val="0"/>
          <w:sz w:val="32"/>
          <w:szCs w:val="32"/>
          <w:shd w:val="clear" w:color="auto" w:fill="FFFFFF"/>
        </w:rPr>
        <w:t>四、存在问题</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宣传内容单一、形式不够创新；宣传渠道有限，难以覆盖所有目标群体；部分群众对信访调解工作的认知仍存在误区。</w:t>
      </w:r>
    </w:p>
    <w:p>
      <w:pPr>
        <w:spacing w:line="560" w:lineRule="exact"/>
        <w:ind w:firstLine="640" w:firstLineChars="200"/>
        <w:jc w:val="left"/>
        <w:rPr>
          <w:rFonts w:eastAsia="黑体" w:cs="宋体"/>
          <w:kern w:val="0"/>
          <w:sz w:val="32"/>
          <w:szCs w:val="32"/>
          <w:shd w:val="clear" w:color="auto" w:fill="FFFFFF"/>
        </w:rPr>
      </w:pPr>
      <w:r>
        <w:rPr>
          <w:rFonts w:hint="eastAsia" w:eastAsia="黑体" w:cs="宋体"/>
          <w:kern w:val="0"/>
          <w:sz w:val="32"/>
          <w:szCs w:val="32"/>
          <w:shd w:val="clear" w:color="auto" w:fill="FFFFFF"/>
        </w:rPr>
        <w:t>五、改进建议</w:t>
      </w:r>
    </w:p>
    <w:p>
      <w:pPr>
        <w:pStyle w:val="23"/>
        <w:spacing w:line="560" w:lineRule="exact"/>
        <w:ind w:firstLine="640" w:firstLineChars="200"/>
        <w:rPr>
          <w:rFonts w:hint="default" w:eastAsia="仿宋_GB2312" w:cs="仿宋_GB2312"/>
          <w:color w:val="000000"/>
          <w:sz w:val="32"/>
          <w:szCs w:val="32"/>
        </w:rPr>
      </w:pPr>
      <w:r>
        <w:rPr>
          <w:rFonts w:eastAsia="仿宋_GB2312" w:cs="仿宋_GB2312"/>
          <w:color w:val="000000"/>
          <w:sz w:val="32"/>
          <w:szCs w:val="32"/>
        </w:rPr>
        <w:t>一是加强资金统筹管理，完善多部门联动机制；二是建议增加</w:t>
      </w:r>
      <w:r>
        <w:rPr>
          <w:rFonts w:hint="eastAsia" w:eastAsia="仿宋_GB2312" w:cs="仿宋_GB2312"/>
          <w:color w:val="000000"/>
          <w:sz w:val="32"/>
          <w:szCs w:val="32"/>
          <w:lang w:eastAsia="zh-CN"/>
        </w:rPr>
        <w:t>信访维稳</w:t>
      </w:r>
      <w:r>
        <w:rPr>
          <w:rFonts w:eastAsia="仿宋_GB2312" w:cs="仿宋_GB2312"/>
          <w:color w:val="000000"/>
          <w:sz w:val="32"/>
          <w:szCs w:val="32"/>
        </w:rPr>
        <w:t>调解经费项目工作资金投入，保障工作开展。</w:t>
      </w:r>
    </w:p>
    <w:p>
      <w:pPr>
        <w:spacing w:line="600" w:lineRule="exact"/>
        <w:jc w:val="center"/>
        <w:outlineLvl w:val="0"/>
        <w:rPr>
          <w:rFonts w:eastAsia="仿宋_GB2312" w:cs="仿宋_GB2312"/>
          <w:sz w:val="32"/>
          <w:szCs w:val="32"/>
        </w:rPr>
      </w:pPr>
      <w:r>
        <w:rPr>
          <w:rFonts w:hint="eastAsia" w:eastAsia="仿宋_GB2312" w:cs="仿宋_GB2312"/>
          <w:sz w:val="32"/>
          <w:szCs w:val="32"/>
        </w:rPr>
        <w:t>附表：部门预算项目支出绩效自评表（2023年度）</w:t>
      </w:r>
    </w:p>
    <w:p>
      <w:pPr>
        <w:pStyle w:val="2"/>
        <w:spacing w:line="100" w:lineRule="exact"/>
      </w:pPr>
    </w:p>
    <w:tbl>
      <w:tblPr>
        <w:tblStyle w:val="18"/>
        <w:tblW w:w="9036" w:type="dxa"/>
        <w:jc w:val="center"/>
        <w:tblLayout w:type="fixed"/>
        <w:tblCellMar>
          <w:top w:w="0" w:type="dxa"/>
          <w:left w:w="108" w:type="dxa"/>
          <w:bottom w:w="0" w:type="dxa"/>
          <w:right w:w="108" w:type="dxa"/>
        </w:tblCellMar>
      </w:tblPr>
      <w:tblGrid>
        <w:gridCol w:w="600"/>
        <w:gridCol w:w="1446"/>
        <w:gridCol w:w="737"/>
        <w:gridCol w:w="887"/>
        <w:gridCol w:w="683"/>
        <w:gridCol w:w="616"/>
        <w:gridCol w:w="664"/>
        <w:gridCol w:w="918"/>
        <w:gridCol w:w="659"/>
        <w:gridCol w:w="557"/>
        <w:gridCol w:w="1269"/>
      </w:tblGrid>
      <w:tr>
        <w:tblPrEx>
          <w:tblCellMar>
            <w:top w:w="0" w:type="dxa"/>
            <w:left w:w="108" w:type="dxa"/>
            <w:bottom w:w="0" w:type="dxa"/>
            <w:right w:w="108" w:type="dxa"/>
          </w:tblCellMar>
        </w:tblPrEx>
        <w:trPr>
          <w:trHeight w:val="527" w:hRule="atLeast"/>
          <w:jc w:val="center"/>
        </w:trPr>
        <w:tc>
          <w:tcPr>
            <w:tcW w:w="90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黑体" w:cs="黑体"/>
                <w:b/>
                <w:bCs/>
                <w:color w:val="000000"/>
                <w:sz w:val="30"/>
                <w:szCs w:val="30"/>
              </w:rPr>
            </w:pPr>
            <w:r>
              <w:rPr>
                <w:rFonts w:hint="eastAsia"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333" w:hRule="atLeast"/>
          <w:jc w:val="center"/>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cs="宋体"/>
                <w:color w:val="000000"/>
                <w:kern w:val="0"/>
                <w:sz w:val="18"/>
                <w:szCs w:val="18"/>
                <w:lang w:bidi="ar"/>
              </w:rPr>
              <w:t>项目名称</w:t>
            </w:r>
          </w:p>
        </w:tc>
        <w:tc>
          <w:tcPr>
            <w:tcW w:w="6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hint="eastAsia" w:cs="宋体"/>
                <w:color w:val="000000"/>
                <w:kern w:val="0"/>
                <w:sz w:val="18"/>
                <w:szCs w:val="18"/>
                <w:lang w:bidi="ar"/>
              </w:rPr>
              <w:t>51090422T000000394166-</w:t>
            </w:r>
            <w:r>
              <w:rPr>
                <w:rFonts w:hint="eastAsia" w:cs="宋体"/>
                <w:color w:val="000000"/>
                <w:kern w:val="0"/>
                <w:sz w:val="18"/>
                <w:szCs w:val="18"/>
                <w:lang w:eastAsia="zh-CN" w:bidi="ar"/>
              </w:rPr>
              <w:t>信访维稳</w:t>
            </w:r>
            <w:r>
              <w:rPr>
                <w:rFonts w:hint="eastAsia" w:cs="宋体"/>
                <w:color w:val="000000"/>
                <w:kern w:val="0"/>
                <w:sz w:val="18"/>
                <w:szCs w:val="18"/>
                <w:lang w:bidi="ar"/>
              </w:rPr>
              <w:t>调解经费</w:t>
            </w:r>
          </w:p>
        </w:tc>
      </w:tr>
      <w:tr>
        <w:tblPrEx>
          <w:tblCellMar>
            <w:top w:w="0" w:type="dxa"/>
            <w:left w:w="108" w:type="dxa"/>
            <w:bottom w:w="0" w:type="dxa"/>
            <w:right w:w="108" w:type="dxa"/>
          </w:tblCellMar>
        </w:tblPrEx>
        <w:trPr>
          <w:trHeight w:val="90" w:hRule="atLeast"/>
          <w:jc w:val="center"/>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cs="宋体"/>
                <w:color w:val="000000"/>
                <w:kern w:val="0"/>
                <w:sz w:val="18"/>
                <w:szCs w:val="18"/>
                <w:lang w:bidi="ar"/>
              </w:rPr>
              <w:t>主管部门</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镇人民政府部门</w:t>
            </w:r>
          </w:p>
        </w:tc>
        <w:tc>
          <w:tcPr>
            <w:tcW w:w="918" w:type="dxa"/>
            <w:tcBorders>
              <w:top w:val="nil"/>
              <w:left w:val="nil"/>
              <w:bottom w:val="nil"/>
              <w:right w:val="nil"/>
            </w:tcBorders>
            <w:shd w:val="clear" w:color="auto" w:fill="auto"/>
            <w:vAlign w:val="center"/>
          </w:tcPr>
          <w:p>
            <w:pPr>
              <w:widowControl/>
              <w:spacing w:line="240" w:lineRule="exact"/>
              <w:jc w:val="left"/>
              <w:textAlignment w:val="center"/>
              <w:rPr>
                <w:rFonts w:eastAsia="黑体" w:cs="黑体"/>
                <w:color w:val="000000"/>
                <w:sz w:val="18"/>
                <w:szCs w:val="18"/>
              </w:rPr>
            </w:pPr>
            <w:r>
              <w:rPr>
                <w:rFonts w:hint="eastAsia" w:eastAsia="黑体" w:cs="黑体"/>
                <w:color w:val="000000"/>
                <w:kern w:val="0"/>
                <w:sz w:val="18"/>
                <w:szCs w:val="18"/>
                <w:lang w:bidi="ar"/>
              </w:rPr>
              <w:t>实施单位 （盖章）</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w:t>
            </w:r>
          </w:p>
        </w:tc>
      </w:tr>
      <w:tr>
        <w:tblPrEx>
          <w:tblCellMar>
            <w:top w:w="0" w:type="dxa"/>
            <w:left w:w="108" w:type="dxa"/>
            <w:bottom w:w="0" w:type="dxa"/>
            <w:right w:w="108" w:type="dxa"/>
          </w:tblCellMar>
        </w:tblPrEx>
        <w:trPr>
          <w:trHeight w:val="333"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cs="宋体"/>
                <w:color w:val="000000"/>
                <w:kern w:val="0"/>
                <w:sz w:val="18"/>
                <w:szCs w:val="18"/>
                <w:lang w:bidi="ar"/>
              </w:rPr>
              <w:t>项目基本情况</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cs="宋体"/>
                <w:color w:val="000000"/>
                <w:kern w:val="0"/>
                <w:sz w:val="18"/>
                <w:szCs w:val="18"/>
                <w:lang w:bidi="ar"/>
              </w:rPr>
              <w:t>1.项目年度目标完成情况</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项目年度目标</w:t>
            </w:r>
          </w:p>
        </w:tc>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黑体" w:cs="黑体"/>
                <w:color w:val="000000"/>
                <w:sz w:val="18"/>
                <w:szCs w:val="18"/>
              </w:rPr>
            </w:pPr>
            <w:r>
              <w:rPr>
                <w:rFonts w:hint="eastAsia"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1661"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cs="宋体"/>
                <w:color w:val="000000"/>
                <w:sz w:val="18"/>
                <w:szCs w:val="18"/>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cs="宋体"/>
                <w:color w:val="000000"/>
                <w:sz w:val="18"/>
                <w:szCs w:val="18"/>
              </w:rPr>
            </w:pP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cs="宋体"/>
                <w:color w:val="000000"/>
                <w:kern w:val="0"/>
                <w:sz w:val="18"/>
                <w:szCs w:val="18"/>
                <w:lang w:bidi="ar"/>
              </w:rPr>
              <w:t>认真贯彻落实上级有关信访工作会议精神，切实抓好信访工作，及时排查不安定因素，及时解决群众反映的“热点”、“难点”问题，确保社会稳定，构建和谐社会营造良好的环境。</w:t>
            </w:r>
          </w:p>
        </w:tc>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黑体" w:cs="黑体"/>
                <w:color w:val="000000"/>
                <w:sz w:val="18"/>
                <w:szCs w:val="18"/>
              </w:rPr>
            </w:pPr>
            <w:r>
              <w:rPr>
                <w:rFonts w:hint="eastAsia" w:cs="宋体"/>
                <w:color w:val="000000"/>
                <w:kern w:val="0"/>
                <w:sz w:val="18"/>
                <w:szCs w:val="18"/>
                <w:lang w:bidi="ar"/>
              </w:rPr>
              <w:t>我镇领导高度重视，经常研究、分析信访形势和动态，掌握好信访信息，排查问题到位，处理方法科学，坚持依法按政策办事，规范了信访行为，做到了把矛盾消灭在萌芽状态，把影响降到了最小限度。</w:t>
            </w:r>
          </w:p>
        </w:tc>
      </w:tr>
      <w:tr>
        <w:tblPrEx>
          <w:tblCellMar>
            <w:top w:w="0" w:type="dxa"/>
            <w:left w:w="108" w:type="dxa"/>
            <w:bottom w:w="0" w:type="dxa"/>
            <w:right w:w="108" w:type="dxa"/>
          </w:tblCellMar>
        </w:tblPrEx>
        <w:trPr>
          <w:trHeight w:val="1007"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cs="宋体"/>
                <w:color w:val="000000"/>
                <w:kern w:val="0"/>
                <w:sz w:val="18"/>
                <w:szCs w:val="18"/>
                <w:lang w:bidi="ar"/>
              </w:rPr>
              <w:t>2.项目实施内容及过程概述</w:t>
            </w:r>
          </w:p>
        </w:tc>
        <w:tc>
          <w:tcPr>
            <w:tcW w:w="6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sz w:val="18"/>
                <w:szCs w:val="18"/>
              </w:rPr>
            </w:pPr>
            <w:r>
              <w:rPr>
                <w:rFonts w:hint="eastAsia" w:cs="宋体"/>
                <w:color w:val="000000"/>
                <w:kern w:val="0"/>
                <w:sz w:val="18"/>
                <w:szCs w:val="18"/>
                <w:lang w:bidi="ar"/>
              </w:rPr>
              <w:t>横山</w:t>
            </w:r>
            <w:r>
              <w:rPr>
                <w:rFonts w:cs="宋体"/>
                <w:color w:val="000000"/>
                <w:kern w:val="0"/>
                <w:sz w:val="18"/>
                <w:szCs w:val="18"/>
                <w:lang w:bidi="ar"/>
              </w:rPr>
              <w:t>镇成立了以镇党委委员、政法委员为组长，镇村主职干部为成员的信访维稳调解工作小组，针对不同事件制定信访维稳调解工作方案。</w:t>
            </w:r>
          </w:p>
        </w:tc>
      </w:tr>
      <w:tr>
        <w:tblPrEx>
          <w:tblCellMar>
            <w:top w:w="0" w:type="dxa"/>
            <w:left w:w="108" w:type="dxa"/>
            <w:bottom w:w="0" w:type="dxa"/>
            <w:right w:w="108" w:type="dxa"/>
          </w:tblCellMar>
        </w:tblPrEx>
        <w:trPr>
          <w:trHeight w:val="655"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预算执行情况（10分）</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年度预算数（万元）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年初预算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调整后预算数</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预算执行数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预算执行率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权重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原因</w:t>
            </w:r>
          </w:p>
        </w:tc>
      </w:tr>
      <w:tr>
        <w:tblPrEx>
          <w:tblCellMar>
            <w:top w:w="0" w:type="dxa"/>
            <w:left w:w="108" w:type="dxa"/>
            <w:bottom w:w="0" w:type="dxa"/>
            <w:right w:w="108" w:type="dxa"/>
          </w:tblCellMar>
        </w:tblPrEx>
        <w:trPr>
          <w:trHeight w:val="333"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总额</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4.0</w:t>
            </w:r>
            <w:r>
              <w:rPr>
                <w:rFonts w:cs="宋体"/>
                <w:color w:val="000000"/>
                <w:kern w:val="0"/>
                <w:sz w:val="18"/>
                <w:szCs w:val="18"/>
                <w:lang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4.0</w:t>
            </w:r>
            <w:r>
              <w:rPr>
                <w:rFonts w:cs="宋体"/>
                <w:color w:val="000000"/>
                <w:kern w:val="0"/>
                <w:sz w:val="18"/>
                <w:szCs w:val="18"/>
                <w:lang w:bidi="ar"/>
              </w:rPr>
              <w:t>0</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4.0</w:t>
            </w:r>
            <w:r>
              <w:rPr>
                <w:rFonts w:cs="宋体"/>
                <w:color w:val="000000"/>
                <w:kern w:val="0"/>
                <w:sz w:val="18"/>
                <w:szCs w:val="18"/>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10</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eastAsia="黑体" w:cs="黑体"/>
                <w:i/>
                <w:iCs/>
                <w:color w:val="000000"/>
                <w:sz w:val="18"/>
                <w:szCs w:val="18"/>
              </w:rPr>
            </w:pPr>
          </w:p>
        </w:tc>
      </w:tr>
      <w:tr>
        <w:tblPrEx>
          <w:tblCellMar>
            <w:top w:w="0" w:type="dxa"/>
            <w:left w:w="108" w:type="dxa"/>
            <w:bottom w:w="0" w:type="dxa"/>
            <w:right w:w="108" w:type="dxa"/>
          </w:tblCellMar>
        </w:tblPrEx>
        <w:trPr>
          <w:trHeight w:val="342"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其中：财政资金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4.0</w:t>
            </w:r>
            <w:r>
              <w:rPr>
                <w:rFonts w:cs="宋体"/>
                <w:color w:val="000000"/>
                <w:kern w:val="0"/>
                <w:sz w:val="18"/>
                <w:szCs w:val="18"/>
                <w:lang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4.0</w:t>
            </w:r>
            <w:r>
              <w:rPr>
                <w:rFonts w:cs="宋体"/>
                <w:color w:val="000000"/>
                <w:kern w:val="0"/>
                <w:sz w:val="18"/>
                <w:szCs w:val="18"/>
                <w:lang w:bidi="ar"/>
              </w:rPr>
              <w:t>0</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4.0</w:t>
            </w:r>
            <w:r>
              <w:rPr>
                <w:rFonts w:cs="宋体"/>
                <w:color w:val="000000"/>
                <w:kern w:val="0"/>
                <w:sz w:val="18"/>
                <w:szCs w:val="18"/>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eastAsia="黑体" w:cs="黑体"/>
                <w:i/>
                <w:iCs/>
                <w:color w:val="000000"/>
                <w:sz w:val="18"/>
                <w:szCs w:val="18"/>
              </w:rPr>
            </w:pPr>
          </w:p>
        </w:tc>
      </w:tr>
      <w:tr>
        <w:tblPrEx>
          <w:tblCellMar>
            <w:top w:w="0" w:type="dxa"/>
            <w:left w:w="108" w:type="dxa"/>
            <w:bottom w:w="0" w:type="dxa"/>
            <w:right w:w="108" w:type="dxa"/>
          </w:tblCellMar>
        </w:tblPrEx>
        <w:trPr>
          <w:trHeight w:val="538"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财政专户管理资金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eastAsia="黑体" w:cs="黑体"/>
                <w:i/>
                <w:iCs/>
                <w:color w:val="000000"/>
                <w:sz w:val="18"/>
                <w:szCs w:val="18"/>
              </w:rPr>
            </w:pPr>
          </w:p>
        </w:tc>
      </w:tr>
      <w:tr>
        <w:tblPrEx>
          <w:tblCellMar>
            <w:top w:w="0" w:type="dxa"/>
            <w:left w:w="108" w:type="dxa"/>
            <w:bottom w:w="0" w:type="dxa"/>
            <w:right w:w="108" w:type="dxa"/>
          </w:tblCellMar>
        </w:tblPrEx>
        <w:trPr>
          <w:trHeight w:val="414"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单位资金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eastAsia="黑体" w:cs="黑体"/>
                <w:i/>
                <w:iCs/>
                <w:color w:val="000000"/>
                <w:sz w:val="18"/>
                <w:szCs w:val="18"/>
              </w:rPr>
            </w:pPr>
          </w:p>
        </w:tc>
      </w:tr>
      <w:tr>
        <w:tblPrEx>
          <w:tblCellMar>
            <w:top w:w="0" w:type="dxa"/>
            <w:left w:w="108" w:type="dxa"/>
            <w:bottom w:w="0" w:type="dxa"/>
            <w:right w:w="108" w:type="dxa"/>
          </w:tblCellMar>
        </w:tblPrEx>
        <w:trPr>
          <w:trHeight w:val="369"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其他资金</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eastAsia="黑体" w:cs="黑体"/>
                <w:i/>
                <w:iCs/>
                <w:color w:val="000000"/>
                <w:sz w:val="18"/>
                <w:szCs w:val="18"/>
              </w:rPr>
            </w:pPr>
          </w:p>
        </w:tc>
      </w:tr>
      <w:tr>
        <w:tblPrEx>
          <w:tblCellMar>
            <w:top w:w="0" w:type="dxa"/>
            <w:left w:w="108" w:type="dxa"/>
            <w:bottom w:w="0" w:type="dxa"/>
            <w:right w:w="108" w:type="dxa"/>
          </w:tblCellMar>
        </w:tblPrEx>
        <w:trPr>
          <w:trHeight w:val="695"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绩效指标（90分）</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一级指标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二级指标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指标性质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指标值</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度量单位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完成值</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权重</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未完成原因分析</w:t>
            </w:r>
          </w:p>
        </w:tc>
      </w:tr>
      <w:tr>
        <w:tblPrEx>
          <w:tblCellMar>
            <w:top w:w="0" w:type="dxa"/>
            <w:left w:w="108" w:type="dxa"/>
            <w:bottom w:w="0" w:type="dxa"/>
            <w:right w:w="108" w:type="dxa"/>
          </w:tblCellMar>
        </w:tblPrEx>
        <w:trPr>
          <w:trHeight w:val="1174"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产出指标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质量指标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eastAsia="zh-CN" w:bidi="ar"/>
              </w:rPr>
              <w:t>数</w:t>
            </w:r>
            <w:r>
              <w:rPr>
                <w:rFonts w:hint="eastAsia" w:cs="宋体"/>
                <w:color w:val="000000"/>
                <w:kern w:val="0"/>
                <w:sz w:val="18"/>
                <w:szCs w:val="18"/>
                <w:lang w:bidi="ar"/>
              </w:rPr>
              <w:t>据类群众来信签收核对率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94</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96%</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15</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60"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jc w:val="center"/>
              <w:rPr>
                <w:rFonts w:cs="宋体"/>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时效指标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信访事项按期办结率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96</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97%</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15</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45"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jc w:val="center"/>
              <w:rPr>
                <w:rFonts w:cs="宋体"/>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数量指标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信访工作人员培训</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8</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8次</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062"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exact"/>
              <w:jc w:val="center"/>
              <w:rPr>
                <w:rFonts w:cs="宋体"/>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经济成本指标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eastAsia="zh-CN" w:bidi="ar"/>
              </w:rPr>
              <w:t>信访维稳</w:t>
            </w:r>
            <w:r>
              <w:rPr>
                <w:rFonts w:hint="eastAsia" w:cs="宋体"/>
                <w:color w:val="000000"/>
                <w:kern w:val="0"/>
                <w:sz w:val="18"/>
                <w:szCs w:val="18"/>
                <w:lang w:bidi="ar"/>
              </w:rPr>
              <w:t>调解工作经费</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sz w:val="18"/>
                <w:szCs w:val="18"/>
              </w:rPr>
              <w:t>1.5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1.5万</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20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20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052"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效益指标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社会效益指标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实地督查结果网上公开率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96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98%</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15</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257"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满意度指标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服务对象满意度指标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信访事项处理群众满意率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cs="宋体"/>
                <w:color w:val="000000"/>
                <w:sz w:val="18"/>
                <w:szCs w:val="18"/>
              </w:rPr>
            </w:pPr>
            <w:r>
              <w:rPr>
                <w:rFonts w:hint="eastAsia" w:cs="宋体"/>
                <w:color w:val="000000"/>
                <w:kern w:val="0"/>
                <w:sz w:val="18"/>
                <w:szCs w:val="18"/>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97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98%</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sz w:val="18"/>
                <w:szCs w:val="18"/>
              </w:rPr>
              <w:t>20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w:t>
            </w:r>
            <w:r>
              <w:rPr>
                <w:rFonts w:hint="eastAsia" w:cs="宋体"/>
                <w:color w:val="000000"/>
                <w:kern w:val="0"/>
                <w:sz w:val="18"/>
                <w:szCs w:val="18"/>
                <w:lang w:bidi="ar"/>
              </w:rPr>
              <w:t>8</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333" w:hRule="atLeast"/>
          <w:jc w:val="center"/>
        </w:trPr>
        <w:tc>
          <w:tcPr>
            <w:tcW w:w="6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合计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hint="eastAsia" w:cs="宋体"/>
                <w:color w:val="000000"/>
                <w:sz w:val="18"/>
                <w:szCs w:val="18"/>
              </w:rPr>
              <w:t>98</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cs="宋体"/>
                <w:color w:val="000000"/>
                <w:sz w:val="18"/>
                <w:szCs w:val="18"/>
              </w:rPr>
            </w:pPr>
          </w:p>
        </w:tc>
      </w:tr>
      <w:tr>
        <w:tblPrEx>
          <w:tblCellMar>
            <w:top w:w="0" w:type="dxa"/>
            <w:left w:w="108" w:type="dxa"/>
            <w:bottom w:w="0" w:type="dxa"/>
            <w:right w:w="108" w:type="dxa"/>
          </w:tblCellMar>
        </w:tblPrEx>
        <w:trPr>
          <w:trHeight w:val="704"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评价结论</w:t>
            </w:r>
          </w:p>
        </w:tc>
        <w:tc>
          <w:tcPr>
            <w:tcW w:w="84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kern w:val="0"/>
                <w:sz w:val="18"/>
                <w:szCs w:val="18"/>
                <w:lang w:bidi="ar"/>
              </w:rPr>
            </w:pPr>
            <w:r>
              <w:rPr>
                <w:rFonts w:hint="eastAsia" w:cs="宋体"/>
                <w:color w:val="000000"/>
                <w:kern w:val="0"/>
                <w:sz w:val="18"/>
                <w:szCs w:val="18"/>
                <w:lang w:bidi="ar"/>
              </w:rPr>
              <w:t>信访维稳调解工作小组对群众咨询、反映的问题，认真听、记，根据所反映问题的性质和种类，分别予以解释和责成有关人员限期处理，及时解决了群众各项疑难信访问题</w:t>
            </w:r>
          </w:p>
        </w:tc>
      </w:tr>
      <w:tr>
        <w:tblPrEx>
          <w:tblCellMar>
            <w:top w:w="0" w:type="dxa"/>
            <w:left w:w="108" w:type="dxa"/>
            <w:bottom w:w="0" w:type="dxa"/>
            <w:right w:w="108" w:type="dxa"/>
          </w:tblCellMar>
        </w:tblPrEx>
        <w:trPr>
          <w:trHeight w:val="64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sz w:val="18"/>
                <w:szCs w:val="18"/>
              </w:rPr>
            </w:pPr>
            <w:r>
              <w:rPr>
                <w:rFonts w:cs="宋体"/>
                <w:color w:val="000000"/>
                <w:kern w:val="0"/>
                <w:sz w:val="18"/>
                <w:szCs w:val="18"/>
                <w:lang w:bidi="ar"/>
              </w:rPr>
              <w:t>存在问题</w:t>
            </w:r>
          </w:p>
        </w:tc>
        <w:tc>
          <w:tcPr>
            <w:tcW w:w="84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kern w:val="0"/>
                <w:sz w:val="18"/>
                <w:szCs w:val="18"/>
                <w:lang w:bidi="ar"/>
              </w:rPr>
            </w:pPr>
            <w:r>
              <w:rPr>
                <w:rFonts w:hint="eastAsia" w:cs="宋体"/>
                <w:color w:val="000000"/>
                <w:kern w:val="0"/>
                <w:sz w:val="18"/>
                <w:szCs w:val="18"/>
                <w:lang w:bidi="ar"/>
              </w:rPr>
              <w:t>信访维稳形势严峻。且信访群众意识较强，期望值较高，信访问题的处理难度越来越大。</w:t>
            </w:r>
          </w:p>
        </w:tc>
      </w:tr>
      <w:tr>
        <w:tblPrEx>
          <w:tblCellMar>
            <w:top w:w="0" w:type="dxa"/>
            <w:left w:w="108" w:type="dxa"/>
            <w:bottom w:w="0" w:type="dxa"/>
            <w:right w:w="108" w:type="dxa"/>
          </w:tblCellMar>
        </w:tblPrEx>
        <w:trPr>
          <w:trHeight w:val="647" w:hRule="atLeast"/>
          <w:jc w:val="center"/>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cs="宋体"/>
                <w:color w:val="000000"/>
                <w:kern w:val="0"/>
                <w:sz w:val="18"/>
                <w:szCs w:val="18"/>
                <w:lang w:bidi="ar"/>
              </w:rPr>
            </w:pPr>
            <w:r>
              <w:rPr>
                <w:rFonts w:cs="宋体"/>
                <w:color w:val="000000"/>
                <w:kern w:val="0"/>
                <w:sz w:val="18"/>
                <w:szCs w:val="18"/>
                <w:lang w:bidi="ar"/>
              </w:rPr>
              <w:t>改进措施</w:t>
            </w:r>
          </w:p>
        </w:tc>
        <w:tc>
          <w:tcPr>
            <w:tcW w:w="6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cs="宋体"/>
                <w:color w:val="000000"/>
                <w:kern w:val="0"/>
                <w:sz w:val="18"/>
                <w:szCs w:val="18"/>
                <w:lang w:bidi="ar"/>
              </w:rPr>
            </w:pPr>
            <w:r>
              <w:rPr>
                <w:rFonts w:hint="eastAsia" w:cs="宋体"/>
                <w:color w:val="000000"/>
                <w:kern w:val="0"/>
                <w:sz w:val="18"/>
                <w:szCs w:val="18"/>
                <w:lang w:bidi="ar"/>
              </w:rPr>
              <w:t>坚持定期接访。畅通群众信访渠道，切实强化群众合理诉求的解决力度。对重点群体和重点人员落实工作措施，确保将各种矛盾纠纷化解在萌芽、把问题解决在初始、把群众吸附在当地。</w:t>
            </w:r>
          </w:p>
        </w:tc>
      </w:tr>
      <w:tr>
        <w:tblPrEx>
          <w:tblCellMar>
            <w:top w:w="0" w:type="dxa"/>
            <w:left w:w="108" w:type="dxa"/>
            <w:bottom w:w="0" w:type="dxa"/>
            <w:right w:w="108" w:type="dxa"/>
          </w:tblCellMar>
        </w:tblPrEx>
        <w:trPr>
          <w:trHeight w:val="354" w:hRule="atLeast"/>
          <w:jc w:val="center"/>
        </w:trPr>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黑体" w:cs="黑体"/>
                <w:color w:val="000000"/>
                <w:sz w:val="18"/>
                <w:szCs w:val="18"/>
              </w:rPr>
            </w:pPr>
            <w:r>
              <w:rPr>
                <w:rFonts w:hint="eastAsia" w:eastAsia="黑体" w:cs="黑体"/>
                <w:color w:val="000000"/>
                <w:kern w:val="0"/>
                <w:sz w:val="18"/>
                <w:szCs w:val="18"/>
                <w:lang w:bidi="ar"/>
              </w:rPr>
              <w:t>项目负责人：佘林成</w:t>
            </w:r>
          </w:p>
        </w:tc>
        <w:tc>
          <w:tcPr>
            <w:tcW w:w="46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eastAsia="黑体" w:cs="黑体"/>
                <w:color w:val="000000"/>
                <w:sz w:val="18"/>
                <w:szCs w:val="18"/>
              </w:rPr>
            </w:pPr>
            <w:r>
              <w:rPr>
                <w:rFonts w:hint="eastAsia" w:eastAsia="黑体" w:cs="黑体"/>
                <w:color w:val="000000"/>
                <w:kern w:val="0"/>
                <w:sz w:val="18"/>
                <w:szCs w:val="18"/>
                <w:lang w:bidi="ar"/>
              </w:rPr>
              <w:t>财务负责人：王华权</w:t>
            </w:r>
          </w:p>
        </w:tc>
      </w:tr>
    </w:tbl>
    <w:p>
      <w:pPr>
        <w:jc w:val="left"/>
        <w:rPr>
          <w:rFonts w:eastAsia="黑体" w:cs="黑体"/>
          <w:sz w:val="32"/>
          <w:szCs w:val="32"/>
        </w:rPr>
      </w:pPr>
      <w:r>
        <w:rPr>
          <w:rFonts w:hint="eastAsia" w:eastAsia="黑体" w:cs="黑体"/>
          <w:sz w:val="32"/>
          <w:szCs w:val="32"/>
        </w:rPr>
        <w:br w:type="page"/>
      </w:r>
    </w:p>
    <w:p>
      <w:pPr>
        <w:spacing w:line="572" w:lineRule="exact"/>
        <w:jc w:val="left"/>
        <w:outlineLvl w:val="0"/>
        <w:rPr>
          <w:rFonts w:eastAsia="黑体" w:cs="黑体"/>
          <w:sz w:val="32"/>
          <w:szCs w:val="32"/>
        </w:rPr>
      </w:pPr>
      <w:r>
        <w:rPr>
          <w:rFonts w:hint="eastAsia" w:eastAsia="黑体" w:cs="黑体"/>
          <w:sz w:val="32"/>
          <w:szCs w:val="32"/>
        </w:rPr>
        <w:t>附件4</w:t>
      </w: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r>
        <w:rPr>
          <w:rFonts w:hint="eastAsia" w:eastAsia="方正小标宋简体"/>
          <w:sz w:val="44"/>
          <w:szCs w:val="44"/>
        </w:rPr>
        <w:t>遂宁市安居区横山镇人民政府</w:t>
      </w:r>
    </w:p>
    <w:p>
      <w:pPr>
        <w:snapToGrid w:val="0"/>
        <w:spacing w:line="560" w:lineRule="exact"/>
        <w:jc w:val="center"/>
        <w:rPr>
          <w:rFonts w:eastAsia="方正小标宋简体"/>
          <w:sz w:val="44"/>
          <w:szCs w:val="44"/>
        </w:rPr>
      </w:pPr>
      <w:r>
        <w:rPr>
          <w:rFonts w:hint="eastAsia" w:eastAsia="方正小标宋简体"/>
          <w:sz w:val="44"/>
          <w:szCs w:val="44"/>
        </w:rPr>
        <w:t>部门预算项目支出绩效自评报告</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（2023年乡镇武装部工作经费（含征兵工作经费）项目）</w:t>
      </w:r>
    </w:p>
    <w:p>
      <w:pPr>
        <w:spacing w:line="560" w:lineRule="exact"/>
        <w:ind w:firstLine="640" w:firstLineChars="200"/>
        <w:jc w:val="left"/>
        <w:rPr>
          <w:rFonts w:eastAsia="仿宋_GB2312" w:cs="仿宋_GB2312"/>
          <w:sz w:val="32"/>
          <w:szCs w:val="32"/>
        </w:rPr>
      </w:pPr>
    </w:p>
    <w:p>
      <w:pPr>
        <w:spacing w:line="560" w:lineRule="exact"/>
        <w:ind w:firstLine="640" w:firstLineChars="200"/>
        <w:rPr>
          <w:rFonts w:eastAsia="黑体" w:cs="黑体"/>
          <w:bCs/>
          <w:sz w:val="32"/>
          <w:szCs w:val="32"/>
        </w:rPr>
      </w:pPr>
      <w:r>
        <w:rPr>
          <w:rFonts w:hint="eastAsia" w:eastAsia="黑体" w:cs="黑体"/>
          <w:bCs/>
          <w:sz w:val="32"/>
          <w:szCs w:val="32"/>
        </w:rPr>
        <w:t>一、项目概况</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（一）设立背景及基本情况</w:t>
      </w:r>
    </w:p>
    <w:p>
      <w:pPr>
        <w:spacing w:line="560" w:lineRule="exact"/>
        <w:ind w:firstLine="640" w:firstLineChars="200"/>
        <w:rPr>
          <w:rFonts w:eastAsia="仿宋_GB2312" w:cs="仿宋_GB2312"/>
          <w:sz w:val="32"/>
          <w:szCs w:val="32"/>
        </w:rPr>
      </w:pPr>
      <w:r>
        <w:rPr>
          <w:rFonts w:hint="eastAsia" w:eastAsia="仿宋_GB2312" w:cs="仿宋_GB2312"/>
          <w:sz w:val="32"/>
          <w:szCs w:val="32"/>
        </w:rPr>
        <w:t>为了加强乡镇武装部的建设，提升其应对突发事件和维护社会治安的能力，保障国家安全和维护社会稳定；为了确保征兵工作的规范、有序开展，以及圆满完成年度征兵工作任务。武装部工作经费（含征兵工作）主要是保障乡镇武装部及征兵工作的办公费、宣传费、工作人员差旅费等费用。</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（二）实施目的及支持方向</w:t>
      </w:r>
    </w:p>
    <w:p>
      <w:pPr>
        <w:spacing w:line="560" w:lineRule="exact"/>
        <w:ind w:firstLine="640" w:firstLineChars="200"/>
        <w:rPr>
          <w:rFonts w:eastAsia="仿宋_GB2312" w:cs="仿宋_GB2312"/>
          <w:sz w:val="32"/>
          <w:szCs w:val="32"/>
        </w:rPr>
      </w:pPr>
      <w:r>
        <w:rPr>
          <w:rFonts w:hint="eastAsia" w:eastAsia="仿宋_GB2312" w:cs="仿宋_GB2312"/>
          <w:sz w:val="32"/>
          <w:szCs w:val="32"/>
        </w:rPr>
        <w:t>通过该项目实施，确保征兵工作的顺利进行，提高征兵工作的质量和效率，加强国防建设，同时促进乡镇武装部自身的发展和能力的提升‌，以及确保乡镇财政管理基础工作和基层财政建设水平显著提高。</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（三）预算安排及分配管理</w:t>
      </w:r>
    </w:p>
    <w:p>
      <w:pPr>
        <w:spacing w:line="560" w:lineRule="exact"/>
        <w:ind w:firstLine="640" w:firstLineChars="200"/>
        <w:rPr>
          <w:rFonts w:eastAsia="仿宋_GB2312" w:cs="仿宋_GB2312"/>
          <w:sz w:val="32"/>
          <w:szCs w:val="32"/>
        </w:rPr>
      </w:pPr>
      <w:r>
        <w:rPr>
          <w:rFonts w:hint="eastAsia" w:eastAsia="仿宋_GB2312" w:cs="仿宋_GB2312"/>
          <w:sz w:val="32"/>
          <w:szCs w:val="32"/>
        </w:rPr>
        <w:t>乡镇武装部工作经费（含征兵工作）项目2023年初预算2.00万元，预算批复2.00万元。资金主要用于保障乡镇武装部工作的办公费、征兵工作所需费用。</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（四）项目绩效目标设置</w:t>
      </w:r>
    </w:p>
    <w:p>
      <w:pPr>
        <w:spacing w:line="560" w:lineRule="exact"/>
        <w:ind w:firstLine="640" w:firstLineChars="200"/>
        <w:rPr>
          <w:rFonts w:eastAsia="仿宋_GB2312" w:cs="仿宋_GB2312"/>
          <w:sz w:val="32"/>
          <w:szCs w:val="32"/>
        </w:rPr>
      </w:pPr>
      <w:r>
        <w:rPr>
          <w:rFonts w:hint="eastAsia" w:eastAsia="仿宋_GB2312" w:cs="仿宋_GB2312"/>
          <w:sz w:val="32"/>
          <w:szCs w:val="32"/>
        </w:rPr>
        <w:t>开展乡镇武装部工作，调动适龄青年参军积极性，圆满完成征兵工作，同时加强我镇民兵队伍建设，为我应对突发状况等提供坚强的后备力量。项目经费为乡镇武装部工作经费（含征兵工作）提供财力的保证。</w:t>
      </w:r>
    </w:p>
    <w:p>
      <w:pPr>
        <w:spacing w:line="560" w:lineRule="exact"/>
        <w:ind w:firstLine="640" w:firstLineChars="200"/>
        <w:rPr>
          <w:rFonts w:eastAsia="黑体" w:cs="黑体"/>
          <w:bCs/>
          <w:sz w:val="32"/>
          <w:szCs w:val="32"/>
        </w:rPr>
      </w:pPr>
      <w:r>
        <w:rPr>
          <w:rFonts w:hint="eastAsia" w:eastAsia="黑体" w:cs="黑体"/>
          <w:bCs/>
          <w:sz w:val="32"/>
          <w:szCs w:val="32"/>
        </w:rPr>
        <w:t>二、评价实施</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（一）评价目的</w:t>
      </w:r>
    </w:p>
    <w:p>
      <w:pPr>
        <w:spacing w:line="560" w:lineRule="exact"/>
        <w:ind w:firstLine="640" w:firstLineChars="200"/>
        <w:rPr>
          <w:rFonts w:eastAsia="仿宋_GB2312" w:cs="仿宋_GB2312"/>
          <w:sz w:val="32"/>
          <w:szCs w:val="32"/>
        </w:rPr>
      </w:pPr>
      <w:r>
        <w:rPr>
          <w:rFonts w:hint="eastAsia" w:eastAsia="仿宋_GB2312" w:cs="仿宋_GB2312"/>
          <w:sz w:val="32"/>
          <w:szCs w:val="32"/>
        </w:rPr>
        <w:t>通过绩效评价全面分析该项目资金使用、管理和项目实施情况，进一步规范横山镇2023年度乡镇武装部工作经费（含征兵工作）项目专项资金的使用，强化财政资金支出绩效理念，切实提高财政资金使用效益。</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（二）预设问题及评价重点</w:t>
      </w:r>
    </w:p>
    <w:p>
      <w:pPr>
        <w:spacing w:line="560" w:lineRule="exact"/>
        <w:ind w:firstLine="640" w:firstLineChars="200"/>
        <w:rPr>
          <w:rFonts w:eastAsia="仿宋_GB2312" w:cs="仿宋_GB2312"/>
          <w:sz w:val="32"/>
          <w:szCs w:val="32"/>
        </w:rPr>
      </w:pPr>
      <w:r>
        <w:rPr>
          <w:rFonts w:hint="eastAsia" w:eastAsia="仿宋_GB2312" w:cs="仿宋_GB2312"/>
          <w:sz w:val="32"/>
          <w:szCs w:val="32"/>
        </w:rPr>
        <w:t>通过乡镇武装部工作经费（含征兵工作）项目绩效自评，按照绩效评价指标体系，对资金支出使用全过程及其实施效果进行综合评价和判断</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（三）评价方法</w:t>
      </w:r>
    </w:p>
    <w:p>
      <w:pPr>
        <w:spacing w:line="560" w:lineRule="exact"/>
        <w:ind w:firstLine="640" w:firstLineChars="200"/>
        <w:rPr>
          <w:rFonts w:eastAsia="仿宋_GB2312" w:cs="仿宋_GB2312"/>
          <w:sz w:val="32"/>
          <w:szCs w:val="32"/>
        </w:rPr>
      </w:pPr>
      <w:r>
        <w:rPr>
          <w:rFonts w:hint="eastAsia" w:eastAsia="仿宋_GB2312" w:cs="仿宋_GB2312"/>
          <w:sz w:val="32"/>
          <w:szCs w:val="32"/>
        </w:rPr>
        <w:t>本次绩效评价采用了成本效益比较法、实地勘察法、座谈调研法等多种方法。</w:t>
      </w:r>
    </w:p>
    <w:p>
      <w:pPr>
        <w:spacing w:line="560" w:lineRule="exact"/>
        <w:ind w:firstLine="640" w:firstLineChars="200"/>
        <w:rPr>
          <w:rFonts w:eastAsia="仿宋_GB2312" w:cs="仿宋_GB2312"/>
          <w:b/>
          <w:sz w:val="32"/>
          <w:szCs w:val="32"/>
        </w:rPr>
      </w:pPr>
      <w:r>
        <w:rPr>
          <w:rFonts w:hint="eastAsia" w:eastAsia="黑体" w:cs="黑体"/>
          <w:bCs/>
          <w:sz w:val="32"/>
          <w:szCs w:val="32"/>
        </w:rPr>
        <w:t>三、绩效分析</w:t>
      </w:r>
      <w:r>
        <w:rPr>
          <w:rFonts w:hint="eastAsia" w:eastAsia="仿宋_GB2312" w:cs="仿宋_GB2312"/>
          <w:b/>
          <w:sz w:val="32"/>
          <w:szCs w:val="32"/>
        </w:rPr>
        <w:tab/>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（一）通用指标绩效分析</w:t>
      </w:r>
    </w:p>
    <w:p>
      <w:pPr>
        <w:spacing w:line="560" w:lineRule="exact"/>
        <w:ind w:firstLine="640" w:firstLineChars="200"/>
        <w:rPr>
          <w:rFonts w:eastAsia="仿宋_GB2312" w:cs="仿宋_GB2312"/>
          <w:sz w:val="32"/>
          <w:szCs w:val="32"/>
        </w:rPr>
      </w:pPr>
      <w:r>
        <w:rPr>
          <w:rFonts w:hint="eastAsia" w:eastAsia="仿宋_GB2312" w:cs="仿宋_GB2312"/>
          <w:bCs/>
          <w:sz w:val="32"/>
          <w:szCs w:val="32"/>
        </w:rPr>
        <w:t>1.项目决策。</w:t>
      </w:r>
      <w:r>
        <w:rPr>
          <w:rFonts w:hint="eastAsia" w:eastAsia="仿宋_GB2312" w:cs="仿宋_GB2312"/>
          <w:sz w:val="32"/>
          <w:szCs w:val="32"/>
        </w:rPr>
        <w:t>通过项目实施，保障了全年征兵工作的顺利完成。</w:t>
      </w:r>
    </w:p>
    <w:p>
      <w:pPr>
        <w:spacing w:line="560" w:lineRule="exact"/>
        <w:ind w:firstLine="640" w:firstLineChars="200"/>
        <w:rPr>
          <w:rFonts w:eastAsia="仿宋_GB2312" w:cs="仿宋_GB2312"/>
          <w:sz w:val="32"/>
          <w:szCs w:val="32"/>
        </w:rPr>
      </w:pPr>
      <w:r>
        <w:rPr>
          <w:rFonts w:hint="eastAsia" w:eastAsia="仿宋_GB2312" w:cs="仿宋_GB2312"/>
          <w:bCs/>
          <w:sz w:val="32"/>
          <w:szCs w:val="32"/>
        </w:rPr>
        <w:t>2.项目管理。</w:t>
      </w:r>
      <w:r>
        <w:rPr>
          <w:rFonts w:hint="eastAsia" w:eastAsia="仿宋_GB2312" w:cs="仿宋_GB2312"/>
          <w:sz w:val="32"/>
          <w:szCs w:val="32"/>
        </w:rPr>
        <w:t>为使项目如期完成，结合横山镇实际情况，由分管领导对项目的实施进程进行管控。</w:t>
      </w:r>
    </w:p>
    <w:p>
      <w:pPr>
        <w:spacing w:line="560" w:lineRule="exact"/>
        <w:ind w:firstLine="640" w:firstLineChars="200"/>
        <w:rPr>
          <w:rFonts w:eastAsia="仿宋_GB2312" w:cs="仿宋_GB2312"/>
          <w:sz w:val="32"/>
          <w:szCs w:val="32"/>
        </w:rPr>
      </w:pPr>
      <w:r>
        <w:rPr>
          <w:rFonts w:hint="eastAsia" w:eastAsia="仿宋_GB2312" w:cs="仿宋_GB2312"/>
          <w:bCs/>
          <w:sz w:val="32"/>
          <w:szCs w:val="32"/>
        </w:rPr>
        <w:t>3.项目实施。</w:t>
      </w:r>
      <w:r>
        <w:rPr>
          <w:rFonts w:hint="eastAsia" w:eastAsia="仿宋_GB2312" w:cs="仿宋_GB2312"/>
          <w:sz w:val="32"/>
          <w:szCs w:val="32"/>
        </w:rPr>
        <w:t>横山镇成立征兵工作领导小组，统筹推进各项征兵工作。严格按照项目资金管理办法，根据工程进度对资金进行计划申请、划拨、使用，及时、规范对收支进行账务处理和会计核算。</w:t>
      </w:r>
    </w:p>
    <w:p>
      <w:pPr>
        <w:spacing w:line="560" w:lineRule="exact"/>
        <w:ind w:firstLine="640" w:firstLineChars="200"/>
        <w:rPr>
          <w:rFonts w:eastAsia="仿宋_GB2312" w:cs="仿宋_GB2312"/>
          <w:sz w:val="32"/>
          <w:szCs w:val="32"/>
        </w:rPr>
      </w:pPr>
      <w:r>
        <w:rPr>
          <w:rFonts w:hint="eastAsia" w:eastAsia="仿宋_GB2312" w:cs="仿宋_GB2312"/>
          <w:bCs/>
          <w:sz w:val="32"/>
          <w:szCs w:val="32"/>
        </w:rPr>
        <w:t>4.项目结果。</w:t>
      </w:r>
      <w:r>
        <w:rPr>
          <w:rFonts w:hint="eastAsia" w:eastAsia="仿宋_GB2312" w:cs="仿宋_GB2312"/>
          <w:sz w:val="32"/>
          <w:szCs w:val="32"/>
        </w:rPr>
        <w:t>项目目标明确、资金到位率高、组织监管体系完善。我镇武装部工作（含征兵工作）等项目资金较好地实现了绩效目标。</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（二）专用指标绩效分析</w:t>
      </w:r>
    </w:p>
    <w:p>
      <w:pPr>
        <w:spacing w:line="560" w:lineRule="exact"/>
        <w:ind w:firstLine="640" w:firstLineChars="200"/>
        <w:rPr>
          <w:rFonts w:eastAsia="仿宋_GB2312" w:cs="仿宋_GB2312"/>
          <w:sz w:val="32"/>
          <w:szCs w:val="32"/>
        </w:rPr>
      </w:pPr>
      <w:r>
        <w:rPr>
          <w:rFonts w:hint="eastAsia" w:eastAsia="仿宋_GB2312" w:cs="仿宋_GB2312"/>
          <w:sz w:val="32"/>
          <w:szCs w:val="32"/>
        </w:rPr>
        <w:t>根据对武装部工作（含征兵工作）经费项目进行项目绩效目标进行自评，对该项目专项资金进行绩效分析，该项目资金使用合规合法。</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（三）个性指标绩效分析</w:t>
      </w:r>
    </w:p>
    <w:p>
      <w:pPr>
        <w:spacing w:line="560" w:lineRule="exact"/>
        <w:ind w:firstLine="640" w:firstLineChars="200"/>
        <w:rPr>
          <w:rFonts w:eastAsia="仿宋_GB2312" w:cs="仿宋_GB2312"/>
          <w:sz w:val="32"/>
          <w:szCs w:val="32"/>
        </w:rPr>
      </w:pPr>
      <w:r>
        <w:rPr>
          <w:rFonts w:hint="eastAsia" w:eastAsia="仿宋_GB2312" w:cs="仿宋_GB2312"/>
          <w:sz w:val="32"/>
          <w:szCs w:val="32"/>
        </w:rPr>
        <w:t>质量指标：积极动员、宣传，完成了当年征兵目标任务。通过多种</w:t>
      </w:r>
      <w:r>
        <w:rPr>
          <w:rFonts w:hint="eastAsia" w:eastAsia="仿宋_GB2312" w:cs="仿宋_GB2312"/>
          <w:sz w:val="32"/>
          <w:szCs w:val="32"/>
          <w:lang w:eastAsia="zh-CN"/>
        </w:rPr>
        <w:t>途径</w:t>
      </w:r>
      <w:r>
        <w:rPr>
          <w:rFonts w:hint="eastAsia" w:eastAsia="仿宋_GB2312" w:cs="仿宋_GB2312"/>
          <w:sz w:val="32"/>
          <w:szCs w:val="32"/>
        </w:rPr>
        <w:t>对民兵的文化素质、身体素质进行了相关培训，圆满实现预期目标。提高民兵应急应战能力。</w:t>
      </w:r>
    </w:p>
    <w:p>
      <w:pPr>
        <w:spacing w:line="560" w:lineRule="exact"/>
        <w:ind w:firstLine="640" w:firstLineChars="200"/>
        <w:rPr>
          <w:rFonts w:eastAsia="仿宋_GB2312" w:cs="仿宋_GB2312"/>
          <w:sz w:val="32"/>
          <w:szCs w:val="32"/>
        </w:rPr>
      </w:pPr>
      <w:r>
        <w:rPr>
          <w:rFonts w:hint="eastAsia" w:eastAsia="仿宋_GB2312" w:cs="仿宋_GB2312"/>
          <w:sz w:val="32"/>
          <w:szCs w:val="32"/>
        </w:rPr>
        <w:t>可持续影响指标：壮大民兵组织，提高群众参与度，不断提升民兵队伍素质建设，提高群众参与度，确保一方群众安全。</w:t>
      </w:r>
    </w:p>
    <w:p>
      <w:pPr>
        <w:spacing w:line="560" w:lineRule="exact"/>
        <w:ind w:firstLine="640" w:firstLineChars="200"/>
        <w:rPr>
          <w:rFonts w:eastAsia="仿宋_GB2312" w:cs="仿宋_GB2312"/>
          <w:sz w:val="32"/>
          <w:szCs w:val="32"/>
        </w:rPr>
      </w:pPr>
      <w:r>
        <w:rPr>
          <w:rFonts w:hint="eastAsia" w:eastAsia="仿宋_GB2312" w:cs="仿宋_GB2312"/>
          <w:sz w:val="32"/>
          <w:szCs w:val="32"/>
        </w:rPr>
        <w:t>满意度指标：群众满意度98%以上。</w:t>
      </w:r>
    </w:p>
    <w:p>
      <w:pPr>
        <w:spacing w:line="560" w:lineRule="exact"/>
        <w:ind w:firstLine="640" w:firstLineChars="200"/>
        <w:rPr>
          <w:rFonts w:eastAsia="黑体" w:cs="黑体"/>
          <w:bCs/>
          <w:sz w:val="32"/>
          <w:szCs w:val="32"/>
        </w:rPr>
      </w:pPr>
      <w:r>
        <w:rPr>
          <w:rFonts w:hint="eastAsia" w:eastAsia="黑体" w:cs="黑体"/>
          <w:bCs/>
          <w:sz w:val="32"/>
          <w:szCs w:val="32"/>
        </w:rPr>
        <w:t>四、评价结论</w:t>
      </w:r>
    </w:p>
    <w:p>
      <w:pPr>
        <w:spacing w:line="560" w:lineRule="exact"/>
        <w:ind w:firstLine="640" w:firstLineChars="200"/>
        <w:rPr>
          <w:rFonts w:eastAsia="仿宋_GB2312" w:cs="仿宋_GB2312"/>
          <w:sz w:val="32"/>
          <w:szCs w:val="32"/>
        </w:rPr>
      </w:pPr>
      <w:r>
        <w:rPr>
          <w:rFonts w:hint="eastAsia" w:eastAsia="仿宋_GB2312" w:cs="仿宋_GB2312"/>
          <w:sz w:val="32"/>
          <w:szCs w:val="32"/>
        </w:rPr>
        <w:t>总体上看，项目目标明确、资金到位率高、组织监管体系完善。我镇武装部工作（含征兵工作）等项目资金较好地实现了绩效目标。自评得分100分。</w:t>
      </w:r>
    </w:p>
    <w:p>
      <w:pPr>
        <w:spacing w:line="560" w:lineRule="exact"/>
        <w:ind w:firstLine="640" w:firstLineChars="200"/>
        <w:rPr>
          <w:rFonts w:eastAsia="黑体" w:cs="黑体"/>
          <w:bCs/>
          <w:sz w:val="32"/>
          <w:szCs w:val="32"/>
        </w:rPr>
      </w:pPr>
      <w:r>
        <w:rPr>
          <w:rFonts w:hint="eastAsia" w:eastAsia="黑体" w:cs="黑体"/>
          <w:bCs/>
          <w:sz w:val="32"/>
          <w:szCs w:val="32"/>
        </w:rPr>
        <w:t>五、存在问题</w:t>
      </w:r>
    </w:p>
    <w:p>
      <w:pPr>
        <w:spacing w:line="560" w:lineRule="exact"/>
        <w:ind w:firstLine="640" w:firstLineChars="200"/>
        <w:rPr>
          <w:rFonts w:eastAsia="仿宋_GB2312" w:cs="仿宋_GB2312"/>
          <w:sz w:val="32"/>
          <w:szCs w:val="32"/>
        </w:rPr>
      </w:pPr>
      <w:r>
        <w:rPr>
          <w:rFonts w:hint="eastAsia" w:eastAsia="仿宋_GB2312" w:cs="仿宋_GB2312"/>
          <w:sz w:val="32"/>
          <w:szCs w:val="32"/>
        </w:rPr>
        <w:t>一是群众参与积极性有待加强；二是项目资金缺乏，不能满足正常工作需要。</w:t>
      </w:r>
    </w:p>
    <w:p>
      <w:pPr>
        <w:spacing w:line="560" w:lineRule="exact"/>
        <w:ind w:firstLine="640" w:firstLineChars="200"/>
        <w:rPr>
          <w:rFonts w:eastAsia="黑体" w:cs="黑体"/>
          <w:bCs/>
          <w:sz w:val="32"/>
          <w:szCs w:val="32"/>
        </w:rPr>
      </w:pPr>
      <w:r>
        <w:rPr>
          <w:rFonts w:hint="eastAsia" w:eastAsia="黑体" w:cs="黑体"/>
          <w:bCs/>
          <w:sz w:val="32"/>
          <w:szCs w:val="32"/>
        </w:rPr>
        <w:t>六、改进建议</w:t>
      </w:r>
    </w:p>
    <w:p>
      <w:pPr>
        <w:spacing w:line="560" w:lineRule="exact"/>
        <w:ind w:firstLine="640" w:firstLineChars="200"/>
        <w:rPr>
          <w:rFonts w:eastAsia="仿宋_GB2312" w:cs="仿宋_GB2312"/>
          <w:sz w:val="32"/>
          <w:szCs w:val="32"/>
        </w:rPr>
      </w:pPr>
      <w:r>
        <w:rPr>
          <w:rFonts w:hint="eastAsia" w:eastAsia="仿宋_GB2312" w:cs="仿宋_GB2312"/>
          <w:sz w:val="32"/>
          <w:szCs w:val="32"/>
        </w:rPr>
        <w:t>一是大力宣传当兵光荣，提升民兵预备役队伍建设。二是争取节约工作经费，全面开展好工作，不断提高工作科学化、规范化、法治化水平；建议上级财政或上级相关部门提供资金支持，帮助解决乡镇武装部工作（含征兵工作）项目资金短缺问题。</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附表：部门预算项目支出绩效自评表（2023年度）</w:t>
      </w:r>
    </w:p>
    <w:p>
      <w:pPr>
        <w:pStyle w:val="2"/>
      </w:pPr>
    </w:p>
    <w:tbl>
      <w:tblPr>
        <w:tblStyle w:val="18"/>
        <w:tblW w:w="8620" w:type="dxa"/>
        <w:jc w:val="center"/>
        <w:tblLayout w:type="fixed"/>
        <w:tblCellMar>
          <w:top w:w="0" w:type="dxa"/>
          <w:left w:w="108" w:type="dxa"/>
          <w:bottom w:w="0" w:type="dxa"/>
          <w:right w:w="108" w:type="dxa"/>
        </w:tblCellMar>
      </w:tblPr>
      <w:tblGrid>
        <w:gridCol w:w="1019"/>
        <w:gridCol w:w="1021"/>
        <w:gridCol w:w="1020"/>
        <w:gridCol w:w="1020"/>
        <w:gridCol w:w="541"/>
        <w:gridCol w:w="586"/>
        <w:gridCol w:w="615"/>
        <w:gridCol w:w="846"/>
        <w:gridCol w:w="558"/>
        <w:gridCol w:w="554"/>
        <w:gridCol w:w="840"/>
      </w:tblGrid>
      <w:tr>
        <w:tblPrEx>
          <w:tblCellMar>
            <w:top w:w="0" w:type="dxa"/>
            <w:left w:w="108" w:type="dxa"/>
            <w:bottom w:w="0" w:type="dxa"/>
            <w:right w:w="108" w:type="dxa"/>
          </w:tblCellMar>
        </w:tblPrEx>
        <w:trPr>
          <w:trHeight w:val="644" w:hRule="atLeast"/>
          <w:jc w:val="center"/>
        </w:trPr>
        <w:tc>
          <w:tcPr>
            <w:tcW w:w="8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b/>
                <w:bCs/>
                <w:color w:val="000000"/>
                <w:sz w:val="30"/>
                <w:szCs w:val="30"/>
              </w:rPr>
            </w:pPr>
            <w:r>
              <w:rPr>
                <w:rFonts w:hint="eastAsia"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332"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项目名称</w:t>
            </w:r>
          </w:p>
        </w:tc>
        <w:tc>
          <w:tcPr>
            <w:tcW w:w="65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51090422T000000393920-乡镇武装部工作经费（含征兵工作经费）</w:t>
            </w:r>
          </w:p>
        </w:tc>
      </w:tr>
      <w:tr>
        <w:tblPrEx>
          <w:tblCellMar>
            <w:top w:w="0" w:type="dxa"/>
            <w:left w:w="108" w:type="dxa"/>
            <w:bottom w:w="0" w:type="dxa"/>
            <w:right w:w="108" w:type="dxa"/>
          </w:tblCellMar>
        </w:tblPrEx>
        <w:trPr>
          <w:trHeight w:val="956"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主管部门</w:t>
            </w:r>
          </w:p>
        </w:tc>
        <w:tc>
          <w:tcPr>
            <w:tcW w:w="3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镇人民政府部门</w:t>
            </w:r>
          </w:p>
        </w:tc>
        <w:tc>
          <w:tcPr>
            <w:tcW w:w="846"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实施单位 （盖章）</w:t>
            </w: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w:t>
            </w:r>
          </w:p>
        </w:tc>
      </w:tr>
      <w:tr>
        <w:trPr>
          <w:trHeight w:val="332"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项目基本情况</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1.项目年度目标完成情况</w:t>
            </w:r>
          </w:p>
        </w:tc>
        <w:tc>
          <w:tcPr>
            <w:tcW w:w="3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项目年度目标</w:t>
            </w:r>
          </w:p>
        </w:tc>
        <w:tc>
          <w:tcPr>
            <w:tcW w:w="2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color w:val="000000"/>
                <w:sz w:val="18"/>
                <w:szCs w:val="18"/>
              </w:rPr>
            </w:pPr>
            <w:r>
              <w:rPr>
                <w:rFonts w:hint="eastAsia"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158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3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积极宣传，完成上级下达年度征兵任务，严密组织国防教育，民兵整组，民兵训练，加强基层武装部规范化建设。</w:t>
            </w:r>
          </w:p>
        </w:tc>
        <w:tc>
          <w:tcPr>
            <w:tcW w:w="2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黑体" w:cs="黑体"/>
                <w:color w:val="000000"/>
                <w:sz w:val="18"/>
                <w:szCs w:val="18"/>
              </w:rPr>
            </w:pPr>
            <w:r>
              <w:rPr>
                <w:rFonts w:hint="eastAsia" w:cs="宋体"/>
                <w:color w:val="000000"/>
                <w:kern w:val="0"/>
                <w:sz w:val="18"/>
                <w:szCs w:val="18"/>
                <w:lang w:bidi="ar"/>
              </w:rPr>
              <w:t>认真研究部署，提前抓好业务培训和精准宣传动员准备，确保了征兵工作力度不减、标准不降，在提高全年征兵工作质效的同时，确保廉洁征兵底线牢牢守住。</w:t>
            </w:r>
          </w:p>
        </w:tc>
      </w:tr>
      <w:tr>
        <w:tblPrEx>
          <w:tblCellMar>
            <w:top w:w="0" w:type="dxa"/>
            <w:left w:w="108" w:type="dxa"/>
            <w:bottom w:w="0" w:type="dxa"/>
            <w:right w:w="108" w:type="dxa"/>
          </w:tblCellMar>
        </w:tblPrEx>
        <w:trPr>
          <w:trHeight w:val="1268"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2.项目实施内容及过程概述</w:t>
            </w:r>
          </w:p>
        </w:tc>
        <w:tc>
          <w:tcPr>
            <w:tcW w:w="65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横山</w:t>
            </w:r>
            <w:r>
              <w:rPr>
                <w:rFonts w:cs="宋体"/>
                <w:color w:val="000000"/>
                <w:kern w:val="0"/>
                <w:sz w:val="18"/>
                <w:szCs w:val="18"/>
                <w:lang w:bidi="ar"/>
              </w:rPr>
              <w:t>镇成立了以镇武装部长</w:t>
            </w:r>
            <w:r>
              <w:rPr>
                <w:rFonts w:hint="eastAsia" w:cs="宋体"/>
                <w:color w:val="000000"/>
                <w:kern w:val="0"/>
                <w:sz w:val="18"/>
                <w:szCs w:val="18"/>
                <w:lang w:eastAsia="zh-CN" w:bidi="ar"/>
              </w:rPr>
              <w:t>为</w:t>
            </w:r>
            <w:r>
              <w:rPr>
                <w:rFonts w:cs="宋体"/>
                <w:color w:val="000000"/>
                <w:kern w:val="0"/>
                <w:sz w:val="18"/>
                <w:szCs w:val="18"/>
                <w:lang w:bidi="ar"/>
              </w:rPr>
              <w:t>组长，镇村主职干部为成员的乡镇武装部工作小组，针对新政策、新情况、新</w:t>
            </w:r>
            <w:r>
              <w:rPr>
                <w:rFonts w:hint="eastAsia" w:cs="宋体"/>
                <w:color w:val="000000"/>
                <w:kern w:val="0"/>
                <w:sz w:val="18"/>
                <w:szCs w:val="18"/>
                <w:lang w:eastAsia="zh-CN" w:bidi="ar"/>
              </w:rPr>
              <w:t>问</w:t>
            </w:r>
            <w:r>
              <w:rPr>
                <w:rFonts w:cs="宋体"/>
                <w:color w:val="000000"/>
                <w:kern w:val="0"/>
                <w:sz w:val="18"/>
                <w:szCs w:val="18"/>
                <w:lang w:bidi="ar"/>
              </w:rPr>
              <w:t>题，在依法征兵的前提下，做到早发动、早宣传，在思想发动和宣传教育上下细功</w:t>
            </w:r>
            <w:r>
              <w:rPr>
                <w:rFonts w:hint="eastAsia" w:cs="宋体"/>
                <w:color w:val="000000"/>
                <w:kern w:val="0"/>
                <w:sz w:val="18"/>
                <w:szCs w:val="18"/>
                <w:lang w:eastAsia="zh-CN" w:bidi="ar"/>
              </w:rPr>
              <w:t>夫</w:t>
            </w:r>
            <w:r>
              <w:rPr>
                <w:rFonts w:cs="宋体"/>
                <w:color w:val="000000"/>
                <w:kern w:val="0"/>
                <w:sz w:val="18"/>
                <w:szCs w:val="18"/>
                <w:lang w:bidi="ar"/>
              </w:rPr>
              <w:t>，扎实做好征兵的平时准备工作。严密组织国防教育，民兵整组，民兵训练，加强基层武装部规范化建设。</w:t>
            </w:r>
          </w:p>
        </w:tc>
      </w:tr>
      <w:tr>
        <w:tblPrEx>
          <w:tblCellMar>
            <w:top w:w="0" w:type="dxa"/>
            <w:left w:w="108" w:type="dxa"/>
            <w:bottom w:w="0" w:type="dxa"/>
            <w:right w:w="108" w:type="dxa"/>
          </w:tblCellMar>
        </w:tblPrEx>
        <w:trPr>
          <w:trHeight w:val="644"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预算执行情况（10分）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调整后预算数</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原因</w:t>
            </w:r>
          </w:p>
        </w:tc>
      </w:tr>
      <w:tr>
        <w:trPr>
          <w:trHeight w:val="332"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44"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44"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332"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rPr>
          <w:trHeight w:val="332"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1268"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绩效指标（90分）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三级指标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指标性质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完成值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未完成原因分析</w:t>
            </w:r>
          </w:p>
        </w:tc>
      </w:tr>
      <w:tr>
        <w:tblPrEx>
          <w:tblCellMar>
            <w:top w:w="0" w:type="dxa"/>
            <w:left w:w="108" w:type="dxa"/>
            <w:bottom w:w="0" w:type="dxa"/>
            <w:right w:w="108" w:type="dxa"/>
          </w:tblCellMar>
        </w:tblPrEx>
        <w:trPr>
          <w:trHeight w:val="956"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完成年度征兵人数任务</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20人</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56"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按时完成年度征兵任务</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rPr>
          <w:trHeight w:val="644"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厉行节约，合理开支</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2万元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892"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提高民兵应急应战能力、完成应急任务维护治安稳定</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定性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优</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58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可持续发展指标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优化武装工作环境，促进武装工作良性发展</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定性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优</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w:t>
            </w:r>
            <w:r>
              <w:rPr>
                <w:rFonts w:hint="eastAsia" w:cs="宋体"/>
                <w:color w:val="000000"/>
                <w:kern w:val="0"/>
                <w:sz w:val="18"/>
                <w:szCs w:val="18"/>
                <w:lang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56"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群众满意度</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97%</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rPr>
          <w:trHeight w:val="332" w:hRule="atLeast"/>
          <w:jc w:val="center"/>
        </w:trPr>
        <w:tc>
          <w:tcPr>
            <w:tcW w:w="6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332"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评价结论</w:t>
            </w:r>
          </w:p>
        </w:tc>
        <w:tc>
          <w:tcPr>
            <w:tcW w:w="7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完成了上级下达的年度征兵任务。组织召开民兵国防教育训练，增强了民兵队伍综合素质能力。</w:t>
            </w:r>
          </w:p>
        </w:tc>
      </w:tr>
      <w:tr>
        <w:tblPrEx>
          <w:tblCellMar>
            <w:top w:w="0" w:type="dxa"/>
            <w:left w:w="108" w:type="dxa"/>
            <w:bottom w:w="0" w:type="dxa"/>
            <w:right w:w="108" w:type="dxa"/>
          </w:tblCellMar>
        </w:tblPrEx>
        <w:trPr>
          <w:trHeight w:val="644"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存在问题</w:t>
            </w:r>
          </w:p>
        </w:tc>
        <w:tc>
          <w:tcPr>
            <w:tcW w:w="7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农村现有国防意识淡漠，随着国家现代化军事作战技术的提高，要求高素质、高学历应征青年入伍参军，受到很多制约，需要做更细致的工作。</w:t>
            </w:r>
          </w:p>
        </w:tc>
      </w:tr>
      <w:tr>
        <w:tblPrEx>
          <w:tblCellMar>
            <w:top w:w="0" w:type="dxa"/>
            <w:left w:w="108" w:type="dxa"/>
            <w:bottom w:w="0" w:type="dxa"/>
            <w:right w:w="108" w:type="dxa"/>
          </w:tblCellMar>
        </w:tblPrEx>
        <w:trPr>
          <w:trHeight w:val="332"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改进措施</w:t>
            </w:r>
          </w:p>
        </w:tc>
        <w:tc>
          <w:tcPr>
            <w:tcW w:w="76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运用多样化的新闻媒介，全方位、多渠道、大范围开展宣传，充分调动大学生参军报国热情。</w:t>
            </w:r>
          </w:p>
        </w:tc>
      </w:tr>
      <w:tr>
        <w:trPr>
          <w:trHeight w:val="352" w:hRule="atLeast"/>
          <w:jc w:val="center"/>
        </w:trPr>
        <w:tc>
          <w:tcPr>
            <w:tcW w:w="46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项目负责人：王学</w:t>
            </w:r>
          </w:p>
        </w:tc>
        <w:tc>
          <w:tcPr>
            <w:tcW w:w="39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财务负责人：王华权</w:t>
            </w:r>
          </w:p>
        </w:tc>
      </w:tr>
    </w:tbl>
    <w:p>
      <w:pPr>
        <w:snapToGrid w:val="0"/>
        <w:spacing w:line="600" w:lineRule="exact"/>
      </w:pPr>
    </w:p>
    <w:p>
      <w:pPr>
        <w:snapToGrid w:val="0"/>
        <w:spacing w:line="600" w:lineRule="exact"/>
        <w:ind w:firstLine="420" w:firstLineChars="200"/>
      </w:pPr>
    </w:p>
    <w:p>
      <w:pPr>
        <w:pStyle w:val="23"/>
        <w:ind w:left="420" w:leftChars="200"/>
        <w:rPr>
          <w:rFonts w:hint="default"/>
        </w:rPr>
      </w:pPr>
    </w:p>
    <w:p>
      <w:pPr>
        <w:pStyle w:val="17"/>
        <w:widowControl/>
        <w:spacing w:before="225" w:beforeAutospacing="0" w:after="225" w:afterAutospacing="0" w:line="432" w:lineRule="atLeast"/>
        <w:ind w:firstLine="480"/>
        <w:rPr>
          <w:rFonts w:eastAsia="仿宋_GB2312" w:cs="仿宋_GB2312"/>
          <w:kern w:val="2"/>
          <w:sz w:val="32"/>
          <w:szCs w:val="32"/>
        </w:rPr>
      </w:pPr>
    </w:p>
    <w:p>
      <w:pPr>
        <w:pStyle w:val="23"/>
        <w:rPr>
          <w:rFonts w:hint="default" w:eastAsia="仿宋" w:cs="仿宋_GB2312"/>
          <w:sz w:val="32"/>
          <w:szCs w:val="32"/>
        </w:rPr>
      </w:pPr>
    </w:p>
    <w:p>
      <w:pPr>
        <w:rPr>
          <w:rFonts w:eastAsia="仿宋" w:cs="仿宋_GB2312"/>
          <w:sz w:val="32"/>
          <w:szCs w:val="32"/>
        </w:rPr>
      </w:pPr>
    </w:p>
    <w:p>
      <w:pPr>
        <w:jc w:val="left"/>
        <w:rPr>
          <w:rFonts w:eastAsia="黑体" w:cs="黑体"/>
          <w:sz w:val="32"/>
          <w:szCs w:val="32"/>
        </w:rPr>
      </w:pPr>
      <w:r>
        <w:rPr>
          <w:rFonts w:hint="eastAsia" w:eastAsia="黑体" w:cs="黑体"/>
          <w:sz w:val="32"/>
          <w:szCs w:val="32"/>
        </w:rPr>
        <w:br w:type="page"/>
      </w:r>
    </w:p>
    <w:p>
      <w:pPr>
        <w:spacing w:line="572" w:lineRule="exact"/>
        <w:jc w:val="left"/>
        <w:outlineLvl w:val="0"/>
        <w:rPr>
          <w:rFonts w:eastAsia="黑体" w:cs="黑体"/>
          <w:sz w:val="32"/>
          <w:szCs w:val="32"/>
        </w:rPr>
      </w:pPr>
      <w:r>
        <w:rPr>
          <w:rFonts w:hint="eastAsia" w:eastAsia="黑体" w:cs="黑体"/>
          <w:sz w:val="32"/>
          <w:szCs w:val="32"/>
        </w:rPr>
        <w:t>附件5</w:t>
      </w:r>
    </w:p>
    <w:p>
      <w:pPr>
        <w:snapToGrid w:val="0"/>
        <w:spacing w:line="560" w:lineRule="exact"/>
        <w:jc w:val="center"/>
        <w:rPr>
          <w:rFonts w:eastAsia="方正小标宋简体"/>
          <w:sz w:val="44"/>
          <w:szCs w:val="44"/>
        </w:rPr>
      </w:pPr>
    </w:p>
    <w:p>
      <w:pPr>
        <w:snapToGrid w:val="0"/>
        <w:spacing w:line="560" w:lineRule="exact"/>
        <w:jc w:val="center"/>
        <w:rPr>
          <w:rFonts w:eastAsia="方正小标宋简体"/>
          <w:sz w:val="44"/>
          <w:szCs w:val="44"/>
        </w:rPr>
      </w:pPr>
      <w:r>
        <w:rPr>
          <w:rFonts w:hint="eastAsia" w:eastAsia="方正小标宋简体"/>
          <w:sz w:val="44"/>
          <w:szCs w:val="44"/>
        </w:rPr>
        <w:t>遂宁市安居区横山镇人民政府</w:t>
      </w:r>
    </w:p>
    <w:p>
      <w:pPr>
        <w:snapToGrid w:val="0"/>
        <w:spacing w:line="560" w:lineRule="exact"/>
        <w:jc w:val="center"/>
        <w:rPr>
          <w:rFonts w:eastAsia="方正小标宋简体"/>
          <w:sz w:val="44"/>
          <w:szCs w:val="44"/>
        </w:rPr>
      </w:pPr>
      <w:r>
        <w:rPr>
          <w:rFonts w:hint="eastAsia" w:eastAsia="方正小标宋简体"/>
          <w:sz w:val="44"/>
          <w:szCs w:val="44"/>
        </w:rPr>
        <w:t>部门预算项目支出绩效自评报告</w:t>
      </w:r>
    </w:p>
    <w:p>
      <w:pPr>
        <w:spacing w:line="560" w:lineRule="exact"/>
        <w:ind w:firstLine="640" w:firstLineChars="200"/>
        <w:jc w:val="center"/>
        <w:rPr>
          <w:rFonts w:eastAsia="仿宋_GB2312" w:cs="仿宋_GB2312"/>
          <w:sz w:val="32"/>
          <w:szCs w:val="32"/>
        </w:rPr>
      </w:pPr>
      <w:r>
        <w:rPr>
          <w:rFonts w:hint="eastAsia" w:eastAsia="仿宋_GB2312" w:cs="仿宋_GB2312"/>
          <w:sz w:val="32"/>
          <w:szCs w:val="32"/>
        </w:rPr>
        <w:t>（2023年乡风文明建设经费项目）</w:t>
      </w:r>
    </w:p>
    <w:p>
      <w:pPr>
        <w:spacing w:line="560" w:lineRule="exact"/>
        <w:ind w:firstLine="640" w:firstLineChars="200"/>
        <w:jc w:val="center"/>
        <w:rPr>
          <w:rFonts w:eastAsia="仿宋_GB2312" w:cs="仿宋_GB2312"/>
          <w:sz w:val="32"/>
          <w:szCs w:val="32"/>
        </w:rPr>
      </w:pPr>
    </w:p>
    <w:p>
      <w:pPr>
        <w:spacing w:line="560" w:lineRule="exact"/>
        <w:ind w:firstLine="640" w:firstLineChars="200"/>
        <w:jc w:val="left"/>
        <w:rPr>
          <w:rFonts w:eastAsia="黑体" w:cs="黑体"/>
          <w:sz w:val="32"/>
          <w:szCs w:val="32"/>
        </w:rPr>
      </w:pPr>
      <w:r>
        <w:rPr>
          <w:rFonts w:hint="eastAsia" w:eastAsia="黑体" w:cs="黑体"/>
          <w:sz w:val="32"/>
          <w:szCs w:val="32"/>
        </w:rPr>
        <w:t>一、项目决策</w:t>
      </w:r>
    </w:p>
    <w:p>
      <w:pPr>
        <w:spacing w:line="560" w:lineRule="exact"/>
        <w:ind w:firstLine="640" w:firstLineChars="200"/>
        <w:rPr>
          <w:rFonts w:eastAsia="仿宋_GB2312" w:cs="仿宋_GB2312"/>
          <w:sz w:val="32"/>
          <w:szCs w:val="32"/>
        </w:rPr>
      </w:pPr>
      <w:r>
        <w:rPr>
          <w:rFonts w:hint="eastAsia" w:eastAsia="仿宋_GB2312" w:cs="仿宋_GB2312"/>
          <w:sz w:val="32"/>
          <w:szCs w:val="32"/>
        </w:rPr>
        <w:t>2023年乡风文明建设经费项目为年初申报项目，已在年初进行项目绩效目标申报，项目规划合理，年度绩效目标与中长期规划一致。资金管理办法健全完善。</w:t>
      </w:r>
    </w:p>
    <w:p>
      <w:pPr>
        <w:spacing w:line="560" w:lineRule="exact"/>
        <w:ind w:firstLine="640" w:firstLineChars="200"/>
        <w:rPr>
          <w:rFonts w:eastAsia="黑体" w:cs="黑体"/>
          <w:sz w:val="32"/>
          <w:szCs w:val="32"/>
        </w:rPr>
      </w:pPr>
      <w:r>
        <w:rPr>
          <w:rFonts w:hint="eastAsia" w:eastAsia="黑体" w:cs="黑体"/>
          <w:sz w:val="32"/>
          <w:szCs w:val="32"/>
        </w:rPr>
        <w:t>二、项目执行</w:t>
      </w:r>
    </w:p>
    <w:p>
      <w:pPr>
        <w:spacing w:line="560" w:lineRule="exact"/>
        <w:ind w:firstLine="640" w:firstLineChars="200"/>
        <w:rPr>
          <w:rFonts w:eastAsia="仿宋_GB2312" w:cs="仿宋_GB2312"/>
          <w:sz w:val="32"/>
          <w:szCs w:val="32"/>
        </w:rPr>
      </w:pPr>
      <w:r>
        <w:rPr>
          <w:rFonts w:hint="eastAsia" w:eastAsia="仿宋_GB2312" w:cs="仿宋_GB2312"/>
          <w:sz w:val="32"/>
          <w:szCs w:val="32"/>
        </w:rPr>
        <w:t>为使项目如期完成，结合横山镇实际情况，对2023年乡风文明建设经费项目按照镇党委工作分工，将所有项目分解到相关党政班子成员，由分管领导具体负责项目实施。</w:t>
      </w:r>
    </w:p>
    <w:p>
      <w:pPr>
        <w:spacing w:line="560" w:lineRule="exact"/>
        <w:ind w:firstLine="640" w:firstLineChars="200"/>
        <w:rPr>
          <w:rFonts w:eastAsia="黑体" w:cs="黑体"/>
          <w:sz w:val="32"/>
          <w:szCs w:val="32"/>
        </w:rPr>
      </w:pPr>
      <w:r>
        <w:rPr>
          <w:rFonts w:hint="eastAsia" w:eastAsia="黑体" w:cs="黑体"/>
          <w:sz w:val="32"/>
          <w:szCs w:val="32"/>
        </w:rPr>
        <w:t>三、目标实现</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产出指标完成情况如下：</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时效指标：2023年1月-2023年12月。</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成本指标：2023年乡风文明工作专项经费12万元。</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数量指标：开展文化下乡及农村文艺汇演次数达到5次。</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质量指标：文化下乡及农村文艺汇演工作合格率100%。</w:t>
      </w:r>
    </w:p>
    <w:p>
      <w:pPr>
        <w:spacing w:line="560" w:lineRule="exact"/>
        <w:ind w:firstLine="640" w:firstLineChars="200"/>
        <w:jc w:val="left"/>
        <w:rPr>
          <w:rFonts w:eastAsia="黑体" w:cs="黑体"/>
          <w:sz w:val="32"/>
          <w:szCs w:val="32"/>
        </w:rPr>
      </w:pPr>
      <w:r>
        <w:rPr>
          <w:rFonts w:hint="eastAsia" w:eastAsia="黑体" w:cs="黑体"/>
          <w:sz w:val="32"/>
          <w:szCs w:val="32"/>
        </w:rPr>
        <w:t>四、绩效结果应用情况</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效益指标完成情况如下：</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社会效益指标：乡风文明建设工作开展良好，丰富了村民的精神世界，提高了村民的整体素质。</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满意度指标：群众满意度达到90%以上。</w:t>
      </w:r>
    </w:p>
    <w:p>
      <w:pPr>
        <w:spacing w:line="560" w:lineRule="exact"/>
        <w:ind w:firstLine="640" w:firstLineChars="200"/>
        <w:jc w:val="left"/>
        <w:rPr>
          <w:rFonts w:eastAsia="黑体" w:cs="黑体"/>
          <w:sz w:val="32"/>
          <w:szCs w:val="32"/>
        </w:rPr>
      </w:pPr>
      <w:r>
        <w:rPr>
          <w:rFonts w:hint="eastAsia" w:eastAsia="黑体" w:cs="黑体"/>
          <w:sz w:val="32"/>
          <w:szCs w:val="32"/>
        </w:rPr>
        <w:t>五、评价结论及建议</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（一）评价结论</w:t>
      </w:r>
    </w:p>
    <w:p>
      <w:pPr>
        <w:spacing w:line="560" w:lineRule="exact"/>
        <w:ind w:firstLine="640" w:firstLineChars="200"/>
        <w:rPr>
          <w:rFonts w:eastAsia="仿宋_GB2312" w:cs="仿宋_GB2312"/>
          <w:sz w:val="32"/>
          <w:szCs w:val="32"/>
        </w:rPr>
      </w:pPr>
      <w:r>
        <w:rPr>
          <w:rFonts w:hint="eastAsia" w:eastAsia="仿宋_GB2312" w:cs="仿宋_GB2312"/>
          <w:sz w:val="32"/>
          <w:szCs w:val="32"/>
        </w:rPr>
        <w:t>评价组运用设计的评价指标体系及评分标准，通过数据采集、访谈，对2023年乡风文明建设经费项目进行客观评价得到最终评分结果为100分，评价结果为“优”，（评价得分90-100，绩效评级为优；得分在80-89分的，绩效评级为良；得分在70-79的，绩效评级为一般；69分以下的，绩效评级为差）。</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（二）存在问题</w:t>
      </w:r>
    </w:p>
    <w:p>
      <w:pPr>
        <w:spacing w:line="560" w:lineRule="exact"/>
        <w:ind w:firstLine="640" w:firstLineChars="200"/>
        <w:rPr>
          <w:rFonts w:eastAsia="仿宋_GB2312" w:cs="仿宋_GB2312"/>
          <w:sz w:val="32"/>
          <w:szCs w:val="32"/>
        </w:rPr>
      </w:pPr>
      <w:r>
        <w:rPr>
          <w:rFonts w:hint="eastAsia" w:eastAsia="仿宋_GB2312" w:cs="仿宋_GB2312"/>
          <w:sz w:val="32"/>
          <w:szCs w:val="32"/>
        </w:rPr>
        <w:t>项目资金缺乏，不能满足2023年乡风文明建设经费项目工作需要。</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（三）改进建议</w:t>
      </w:r>
    </w:p>
    <w:p>
      <w:pPr>
        <w:spacing w:line="560" w:lineRule="exact"/>
        <w:ind w:firstLine="640" w:firstLineChars="200"/>
        <w:rPr>
          <w:rFonts w:eastAsia="仿宋_GB2312" w:cs="仿宋_GB2312"/>
          <w:sz w:val="32"/>
          <w:szCs w:val="32"/>
        </w:rPr>
      </w:pPr>
      <w:r>
        <w:rPr>
          <w:rFonts w:hint="eastAsia" w:eastAsia="仿宋_GB2312" w:cs="仿宋_GB2312"/>
          <w:sz w:val="32"/>
          <w:szCs w:val="32"/>
        </w:rPr>
        <w:t>一是加强资金统筹管理，完善多部门联动机制；二是建议增加乡风文明建设经费项目工作资金投入，保障工作开展。</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附表：部门预算项目支出绩效自评表（2023年度）</w:t>
      </w:r>
    </w:p>
    <w:p>
      <w:pPr>
        <w:pStyle w:val="2"/>
      </w:pPr>
    </w:p>
    <w:tbl>
      <w:tblPr>
        <w:tblStyle w:val="18"/>
        <w:tblW w:w="8400" w:type="dxa"/>
        <w:jc w:val="center"/>
        <w:tblLayout w:type="fixed"/>
        <w:tblCellMar>
          <w:top w:w="0" w:type="dxa"/>
          <w:left w:w="108" w:type="dxa"/>
          <w:bottom w:w="0" w:type="dxa"/>
          <w:right w:w="108" w:type="dxa"/>
        </w:tblCellMar>
      </w:tblPr>
      <w:tblGrid>
        <w:gridCol w:w="732"/>
        <w:gridCol w:w="912"/>
        <w:gridCol w:w="936"/>
        <w:gridCol w:w="792"/>
        <w:gridCol w:w="675"/>
        <w:gridCol w:w="582"/>
        <w:gridCol w:w="624"/>
        <w:gridCol w:w="846"/>
        <w:gridCol w:w="724"/>
        <w:gridCol w:w="679"/>
        <w:gridCol w:w="898"/>
      </w:tblGrid>
      <w:tr>
        <w:tblPrEx>
          <w:tblCellMar>
            <w:top w:w="0" w:type="dxa"/>
            <w:left w:w="108" w:type="dxa"/>
            <w:bottom w:w="0" w:type="dxa"/>
            <w:right w:w="108" w:type="dxa"/>
          </w:tblCellMar>
        </w:tblPrEx>
        <w:trPr>
          <w:trHeight w:val="626" w:hRule="atLeast"/>
          <w:jc w:val="center"/>
        </w:trPr>
        <w:tc>
          <w:tcPr>
            <w:tcW w:w="8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b/>
                <w:bCs/>
                <w:color w:val="000000"/>
                <w:sz w:val="30"/>
                <w:szCs w:val="30"/>
              </w:rPr>
            </w:pPr>
            <w:r>
              <w:rPr>
                <w:rFonts w:hint="eastAsia"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318"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项目名称</w:t>
            </w:r>
          </w:p>
        </w:tc>
        <w:tc>
          <w:tcPr>
            <w:tcW w:w="67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51090422T000000394194-乡风文明建设经费</w:t>
            </w:r>
          </w:p>
        </w:tc>
      </w:tr>
      <w:tr>
        <w:tblPrEx>
          <w:tblCellMar>
            <w:top w:w="0" w:type="dxa"/>
            <w:left w:w="108" w:type="dxa"/>
            <w:bottom w:w="0" w:type="dxa"/>
            <w:right w:w="108" w:type="dxa"/>
          </w:tblCellMar>
        </w:tblPrEx>
        <w:trPr>
          <w:trHeight w:val="934" w:hRule="atLeast"/>
          <w:jc w:val="center"/>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主管部门</w:t>
            </w:r>
          </w:p>
        </w:tc>
        <w:tc>
          <w:tcPr>
            <w:tcW w:w="3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镇人民政府部门</w:t>
            </w:r>
          </w:p>
        </w:tc>
        <w:tc>
          <w:tcPr>
            <w:tcW w:w="846"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w:t>
            </w:r>
          </w:p>
        </w:tc>
      </w:tr>
      <w:tr>
        <w:tblPrEx>
          <w:tblCellMar>
            <w:top w:w="0" w:type="dxa"/>
            <w:left w:w="108" w:type="dxa"/>
            <w:bottom w:w="0" w:type="dxa"/>
            <w:right w:w="108" w:type="dxa"/>
          </w:tblCellMar>
        </w:tblPrEx>
        <w:trPr>
          <w:trHeight w:val="318"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项目基本情况</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1.项目年度目标完成情况</w:t>
            </w:r>
          </w:p>
        </w:tc>
        <w:tc>
          <w:tcPr>
            <w:tcW w:w="3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项目年度目标</w:t>
            </w:r>
          </w:p>
        </w:tc>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color w:val="000000"/>
                <w:sz w:val="18"/>
                <w:szCs w:val="18"/>
              </w:rPr>
            </w:pPr>
            <w:r>
              <w:rPr>
                <w:rFonts w:hint="eastAsia"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93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3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保障全年乡风文明建设工作运转。</w:t>
            </w:r>
          </w:p>
        </w:tc>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cs="宋体"/>
                <w:color w:val="000000"/>
                <w:kern w:val="0"/>
                <w:sz w:val="18"/>
                <w:szCs w:val="18"/>
                <w:lang w:bidi="ar"/>
              </w:rPr>
              <w:t>改善乡村生活条件，繁荣兴盛乡村文化，提升乡村文明程度，整洁村容村貌。</w:t>
            </w:r>
          </w:p>
        </w:tc>
      </w:tr>
      <w:tr>
        <w:tblPrEx>
          <w:tblCellMar>
            <w:top w:w="0" w:type="dxa"/>
            <w:left w:w="108" w:type="dxa"/>
            <w:bottom w:w="0" w:type="dxa"/>
            <w:right w:w="108" w:type="dxa"/>
          </w:tblCellMar>
        </w:tblPrEx>
        <w:trPr>
          <w:trHeight w:val="93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2.项目实施内容及过程概述</w:t>
            </w:r>
          </w:p>
        </w:tc>
        <w:tc>
          <w:tcPr>
            <w:tcW w:w="67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宣传乡风文明，树立文明新风，不断提高乡村社会文明程度</w:t>
            </w:r>
          </w:p>
        </w:tc>
      </w:tr>
      <w:tr>
        <w:tblPrEx>
          <w:tblCellMar>
            <w:top w:w="0" w:type="dxa"/>
            <w:left w:w="108" w:type="dxa"/>
            <w:bottom w:w="0" w:type="dxa"/>
            <w:right w:w="108" w:type="dxa"/>
          </w:tblCellMar>
        </w:tblPrEx>
        <w:trPr>
          <w:trHeight w:val="626"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预算执行情况（10分）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年初预算</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调整后预算数</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原因</w:t>
            </w:r>
          </w:p>
        </w:tc>
      </w:tr>
      <w:tr>
        <w:tblPrEx>
          <w:tblCellMar>
            <w:top w:w="0" w:type="dxa"/>
            <w:left w:w="108" w:type="dxa"/>
            <w:bottom w:w="0" w:type="dxa"/>
            <w:right w:w="108" w:type="dxa"/>
          </w:tblCellMar>
        </w:tblPrEx>
        <w:trPr>
          <w:trHeight w:val="318"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12.0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12.0</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2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12.0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12.0</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2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318"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318"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1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26"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绩效指标（90分）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二级指标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指标性质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完成值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未完成原因分析</w:t>
            </w:r>
          </w:p>
        </w:tc>
      </w:tr>
      <w:tr>
        <w:tblPrEx>
          <w:tblCellMar>
            <w:top w:w="0" w:type="dxa"/>
            <w:left w:w="108" w:type="dxa"/>
            <w:bottom w:w="0" w:type="dxa"/>
            <w:right w:w="108" w:type="dxa"/>
          </w:tblCellMar>
        </w:tblPrEx>
        <w:trPr>
          <w:trHeight w:val="93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数量指标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厉行节约，实事求是</w:t>
            </w:r>
            <w:r>
              <w:rPr>
                <w:rFonts w:hint="eastAsia" w:cs="宋体"/>
                <w:color w:val="000000"/>
                <w:kern w:val="0"/>
                <w:sz w:val="18"/>
                <w:szCs w:val="18"/>
                <w:lang w:eastAsia="zh-CN" w:bidi="ar"/>
              </w:rPr>
              <w:t>地</w:t>
            </w:r>
            <w:bookmarkStart w:id="69" w:name="_GoBack"/>
            <w:bookmarkEnd w:id="69"/>
            <w:r>
              <w:rPr>
                <w:rFonts w:hint="eastAsia" w:cs="宋体"/>
                <w:color w:val="000000"/>
                <w:kern w:val="0"/>
                <w:sz w:val="18"/>
                <w:szCs w:val="18"/>
                <w:lang w:bidi="ar"/>
              </w:rPr>
              <w:t>做好各项方案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117000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sz w:val="16"/>
                <w:szCs w:val="16"/>
              </w:rPr>
              <w:t>50000元</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15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r>
              <w:rPr>
                <w:rFonts w:hint="eastAsia" w:cs="宋体"/>
                <w:color w:val="000000"/>
                <w:kern w:val="0"/>
                <w:sz w:val="18"/>
                <w:szCs w:val="18"/>
                <w:lang w:bidi="ar"/>
              </w:rPr>
              <w:t>财政收回</w:t>
            </w:r>
          </w:p>
        </w:tc>
      </w:tr>
      <w:tr>
        <w:tblPrEx>
          <w:tblCellMar>
            <w:top w:w="0" w:type="dxa"/>
            <w:left w:w="108" w:type="dxa"/>
            <w:bottom w:w="0" w:type="dxa"/>
            <w:right w:w="108" w:type="dxa"/>
          </w:tblCellMar>
        </w:tblPrEx>
        <w:trPr>
          <w:trHeight w:val="62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质量指标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做好上级安排的各项工作任务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sz w:val="16"/>
                <w:szCs w:val="16"/>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62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成本指标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选择最优方案，节约成本</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95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124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社会效益指标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有利于乡村振兴工作的开展</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sz w:val="18"/>
                <w:szCs w:val="18"/>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cs="宋体"/>
                <w:color w:val="000000"/>
                <w:sz w:val="18"/>
                <w:szCs w:val="18"/>
              </w:rPr>
            </w:pPr>
            <w:r>
              <w:rPr>
                <w:rFonts w:hint="eastAsia" w:cs="宋体"/>
                <w:color w:val="000000"/>
                <w:sz w:val="18"/>
                <w:szCs w:val="18"/>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color w:val="000000"/>
                <w:sz w:val="18"/>
                <w:szCs w:val="18"/>
              </w:rPr>
            </w:pPr>
            <w:r>
              <w:rPr>
                <w:rFonts w:hint="eastAsia" w:cs="宋体"/>
                <w:color w:val="00000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cs="宋体"/>
                <w:color w:val="000000"/>
                <w:sz w:val="18"/>
                <w:szCs w:val="18"/>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3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服务对象满意度指标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群众满意度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96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500" w:hRule="atLeast"/>
          <w:jc w:val="center"/>
        </w:trPr>
        <w:tc>
          <w:tcPr>
            <w:tcW w:w="60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合计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9</w:t>
            </w:r>
            <w:r>
              <w:rPr>
                <w:rFonts w:hint="eastAsia" w:cs="宋体"/>
                <w:color w:val="000000"/>
                <w:kern w:val="0"/>
                <w:sz w:val="18"/>
                <w:szCs w:val="18"/>
                <w:lang w:bidi="ar"/>
              </w:rPr>
              <w:t>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626"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评价结论</w:t>
            </w:r>
          </w:p>
        </w:tc>
        <w:tc>
          <w:tcPr>
            <w:tcW w:w="7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项目全年预算数12.0万元，调整后预算数12.0万元，执行数为12.0万元。</w:t>
            </w:r>
          </w:p>
        </w:tc>
      </w:tr>
      <w:tr>
        <w:tblPrEx>
          <w:tblCellMar>
            <w:top w:w="0" w:type="dxa"/>
            <w:left w:w="108" w:type="dxa"/>
            <w:bottom w:w="0" w:type="dxa"/>
            <w:right w:w="108" w:type="dxa"/>
          </w:tblCellMar>
        </w:tblPrEx>
        <w:trPr>
          <w:trHeight w:val="626"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存在问题</w:t>
            </w:r>
          </w:p>
        </w:tc>
        <w:tc>
          <w:tcPr>
            <w:tcW w:w="7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资金不足，需要加大资金投入。</w:t>
            </w:r>
          </w:p>
        </w:tc>
      </w:tr>
      <w:tr>
        <w:tblPrEx>
          <w:tblCellMar>
            <w:top w:w="0" w:type="dxa"/>
            <w:left w:w="108" w:type="dxa"/>
            <w:bottom w:w="0" w:type="dxa"/>
            <w:right w:w="108" w:type="dxa"/>
          </w:tblCellMar>
        </w:tblPrEx>
        <w:trPr>
          <w:trHeight w:val="626"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改进措施</w:t>
            </w:r>
          </w:p>
        </w:tc>
        <w:tc>
          <w:tcPr>
            <w:tcW w:w="7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积极争取资金，紧紧围绕环境综合整治中存在的突出问题、难点问题，进一步提高农民生活质量。</w:t>
            </w:r>
          </w:p>
        </w:tc>
      </w:tr>
      <w:tr>
        <w:tblPrEx>
          <w:tblCellMar>
            <w:top w:w="0" w:type="dxa"/>
            <w:left w:w="108" w:type="dxa"/>
            <w:bottom w:w="0" w:type="dxa"/>
            <w:right w:w="108" w:type="dxa"/>
          </w:tblCellMar>
        </w:tblPrEx>
        <w:trPr>
          <w:trHeight w:val="328" w:hRule="atLeast"/>
          <w:jc w:val="center"/>
        </w:trPr>
        <w:tc>
          <w:tcPr>
            <w:tcW w:w="4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项目负责人：方云军</w:t>
            </w:r>
          </w:p>
        </w:tc>
        <w:tc>
          <w:tcPr>
            <w:tcW w:w="43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财务负责人：王华权</w:t>
            </w:r>
          </w:p>
        </w:tc>
      </w:tr>
    </w:tbl>
    <w:p>
      <w:pPr>
        <w:tabs>
          <w:tab w:val="left" w:pos="3885"/>
        </w:tabs>
        <w:snapToGrid w:val="0"/>
        <w:spacing w:line="600" w:lineRule="exact"/>
        <w:ind w:firstLine="640" w:firstLineChars="200"/>
        <w:jc w:val="left"/>
        <w:rPr>
          <w:rFonts w:eastAsia="仿宋" w:cs="仿宋"/>
          <w:color w:val="000000"/>
          <w:kern w:val="0"/>
          <w:sz w:val="32"/>
          <w:szCs w:val="32"/>
          <w:shd w:val="clear" w:color="auto" w:fill="FFFFFF"/>
        </w:rPr>
      </w:pPr>
    </w:p>
    <w:p>
      <w:pPr>
        <w:spacing w:line="572" w:lineRule="exact"/>
        <w:jc w:val="left"/>
        <w:outlineLvl w:val="0"/>
        <w:rPr>
          <w:rFonts w:eastAsia="黑体" w:cs="黑体"/>
          <w:sz w:val="32"/>
          <w:szCs w:val="32"/>
        </w:rPr>
      </w:pPr>
    </w:p>
    <w:p>
      <w:pPr>
        <w:jc w:val="left"/>
        <w:rPr>
          <w:rFonts w:eastAsia="黑体" w:cs="黑体"/>
          <w:sz w:val="32"/>
          <w:szCs w:val="32"/>
        </w:rPr>
      </w:pPr>
      <w:r>
        <w:rPr>
          <w:rFonts w:hint="eastAsia" w:eastAsia="黑体" w:cs="黑体"/>
          <w:sz w:val="32"/>
          <w:szCs w:val="32"/>
        </w:rPr>
        <w:br w:type="page"/>
      </w:r>
    </w:p>
    <w:p>
      <w:pPr>
        <w:spacing w:line="572" w:lineRule="exact"/>
        <w:jc w:val="left"/>
        <w:outlineLvl w:val="0"/>
        <w:rPr>
          <w:rFonts w:eastAsia="黑体" w:cs="黑体"/>
          <w:sz w:val="32"/>
          <w:szCs w:val="32"/>
        </w:rPr>
      </w:pPr>
      <w:r>
        <w:rPr>
          <w:rFonts w:hint="eastAsia" w:eastAsia="黑体" w:cs="黑体"/>
          <w:sz w:val="32"/>
          <w:szCs w:val="32"/>
        </w:rPr>
        <w:t>附件6</w:t>
      </w:r>
    </w:p>
    <w:p>
      <w:pPr>
        <w:snapToGrid w:val="0"/>
        <w:spacing w:line="560" w:lineRule="exact"/>
        <w:jc w:val="center"/>
        <w:rPr>
          <w:rFonts w:eastAsia="方正小标宋简体"/>
          <w:sz w:val="44"/>
          <w:szCs w:val="44"/>
        </w:rPr>
      </w:pPr>
      <w:bookmarkStart w:id="55" w:name="_Toc15396618"/>
    </w:p>
    <w:p>
      <w:pPr>
        <w:snapToGrid w:val="0"/>
        <w:spacing w:line="560" w:lineRule="exact"/>
        <w:jc w:val="center"/>
        <w:rPr>
          <w:rFonts w:eastAsia="方正小标宋简体"/>
          <w:sz w:val="44"/>
          <w:szCs w:val="44"/>
        </w:rPr>
      </w:pPr>
      <w:r>
        <w:rPr>
          <w:rFonts w:hint="eastAsia" w:eastAsia="方正小标宋简体"/>
          <w:sz w:val="44"/>
          <w:szCs w:val="44"/>
        </w:rPr>
        <w:t>遂宁市安居区横山镇人民政府</w:t>
      </w:r>
    </w:p>
    <w:p>
      <w:pPr>
        <w:snapToGrid w:val="0"/>
        <w:spacing w:line="560" w:lineRule="exact"/>
        <w:jc w:val="center"/>
        <w:rPr>
          <w:rFonts w:eastAsia="方正小标宋简体"/>
          <w:sz w:val="44"/>
          <w:szCs w:val="44"/>
        </w:rPr>
      </w:pPr>
      <w:r>
        <w:rPr>
          <w:rFonts w:hint="eastAsia" w:eastAsia="方正小标宋简体"/>
          <w:sz w:val="44"/>
          <w:szCs w:val="44"/>
        </w:rPr>
        <w:t>部门预算项目支出绩效自评报告</w:t>
      </w:r>
    </w:p>
    <w:p>
      <w:pPr>
        <w:spacing w:line="560" w:lineRule="exact"/>
        <w:ind w:firstLine="640" w:firstLineChars="200"/>
        <w:jc w:val="center"/>
        <w:rPr>
          <w:rFonts w:eastAsia="仿宋_GB2312" w:cs="仿宋_GB2312"/>
          <w:sz w:val="32"/>
          <w:szCs w:val="32"/>
        </w:rPr>
      </w:pPr>
      <w:r>
        <w:rPr>
          <w:rFonts w:hint="eastAsia" w:eastAsia="仿宋_GB2312" w:cs="仿宋_GB2312"/>
          <w:sz w:val="32"/>
          <w:szCs w:val="32"/>
        </w:rPr>
        <w:t>（2023年防灾应急救助经费项目）</w:t>
      </w:r>
    </w:p>
    <w:p>
      <w:pPr>
        <w:spacing w:line="560" w:lineRule="exact"/>
        <w:rPr>
          <w:rFonts w:eastAsia="方正小标宋简体"/>
          <w:sz w:val="44"/>
          <w:szCs w:val="44"/>
        </w:rPr>
      </w:pPr>
    </w:p>
    <w:p>
      <w:pPr>
        <w:adjustRightInd w:val="0"/>
        <w:snapToGrid w:val="0"/>
        <w:spacing w:line="560" w:lineRule="exact"/>
        <w:ind w:firstLine="720"/>
        <w:jc w:val="left"/>
        <w:rPr>
          <w:rFonts w:eastAsia="黑体" w:cs="黑体"/>
          <w:bCs/>
          <w:sz w:val="32"/>
          <w:szCs w:val="32"/>
        </w:rPr>
      </w:pPr>
      <w:r>
        <w:rPr>
          <w:rFonts w:hint="eastAsia" w:eastAsia="黑体" w:cs="黑体"/>
          <w:bCs/>
          <w:sz w:val="32"/>
          <w:szCs w:val="32"/>
        </w:rPr>
        <w:t>一、项目概况</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（一）设立背景及基本情况</w:t>
      </w:r>
    </w:p>
    <w:p>
      <w:pPr>
        <w:adjustRightInd w:val="0"/>
        <w:snapToGrid w:val="0"/>
        <w:spacing w:line="560" w:lineRule="exact"/>
        <w:ind w:firstLine="720"/>
        <w:jc w:val="left"/>
        <w:rPr>
          <w:rFonts w:eastAsia="仿宋_GB2312" w:cs="仿宋_GB2312"/>
          <w:sz w:val="32"/>
          <w:szCs w:val="32"/>
        </w:rPr>
      </w:pPr>
      <w:r>
        <w:rPr>
          <w:rFonts w:hint="eastAsia" w:eastAsia="仿宋_GB2312" w:cs="仿宋_GB2312"/>
          <w:sz w:val="32"/>
          <w:szCs w:val="32"/>
        </w:rPr>
        <w:t>随着社会的进步和公众安全意识的提高，人们对于防灾害应急的需求和关注度不断增加。设立防灾应急救助经费，是为了确保有效防治各类灾害事件，及时开展救助工作，保证人民群众生命安全、财产安全。</w:t>
      </w:r>
    </w:p>
    <w:p>
      <w:pPr>
        <w:adjustRightInd w:val="0"/>
        <w:snapToGrid w:val="0"/>
        <w:spacing w:line="560" w:lineRule="exact"/>
        <w:ind w:firstLine="720"/>
        <w:rPr>
          <w:rFonts w:eastAsia="仿宋_GB2312" w:cs="仿宋_GB2312"/>
          <w:sz w:val="32"/>
          <w:szCs w:val="32"/>
        </w:rPr>
      </w:pPr>
      <w:r>
        <w:rPr>
          <w:rFonts w:eastAsia="仿宋_GB2312"/>
          <w:sz w:val="32"/>
          <w:szCs w:val="32"/>
        </w:rPr>
        <w:t>2023</w:t>
      </w:r>
      <w:r>
        <w:rPr>
          <w:rFonts w:hint="eastAsia" w:eastAsia="仿宋_GB2312" w:cs="仿宋_GB2312"/>
          <w:sz w:val="32"/>
          <w:szCs w:val="32"/>
        </w:rPr>
        <w:t>年防灾应急救助经费项目为初申报项目，已在年初进行项目绩效目标申报，项目规划合理，年度绩效目标与中长期规划一致。</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（二）实施目的及支持方向</w:t>
      </w:r>
    </w:p>
    <w:p>
      <w:pPr>
        <w:adjustRightInd w:val="0"/>
        <w:snapToGrid w:val="0"/>
        <w:spacing w:line="560" w:lineRule="exact"/>
        <w:ind w:firstLine="720"/>
        <w:rPr>
          <w:rFonts w:eastAsia="仿宋_GB2312" w:cs="仿宋_GB2312"/>
          <w:sz w:val="32"/>
          <w:szCs w:val="32"/>
        </w:rPr>
      </w:pPr>
      <w:r>
        <w:rPr>
          <w:rFonts w:hint="eastAsia" w:eastAsia="仿宋_GB2312" w:cs="仿宋_GB2312"/>
          <w:bCs/>
          <w:sz w:val="32"/>
          <w:szCs w:val="32"/>
        </w:rPr>
        <w:t>1.实施目的：</w:t>
      </w:r>
      <w:r>
        <w:rPr>
          <w:rFonts w:hint="eastAsia" w:eastAsia="仿宋_GB2312" w:cs="仿宋_GB2312"/>
          <w:sz w:val="32"/>
          <w:szCs w:val="32"/>
        </w:rPr>
        <w:t>提高火灾防控能力，通过提供必要的经费支持，确保防火设施、设备的完善与更新，提高火灾预防和早期发现的能力。增强应急响应效率，加强应急救援队伍的建设和培训，提升火灾发生时的快速响应和有效处置能力。减轻火灾损失，在火灾发生后，及时提供救助经费，支持灾后恢复工作，减轻火灾对人民生命财产和生态环境的损失。提升公众防火意识，通过宣传教育等活动形成全社会共同参与火灾防控的良好氛围。</w:t>
      </w:r>
    </w:p>
    <w:p>
      <w:pPr>
        <w:adjustRightInd w:val="0"/>
        <w:snapToGrid w:val="0"/>
        <w:spacing w:line="560" w:lineRule="exact"/>
        <w:ind w:firstLine="720"/>
        <w:rPr>
          <w:rFonts w:eastAsia="仿宋_GB2312" w:cs="仿宋_GB2312"/>
          <w:sz w:val="32"/>
          <w:szCs w:val="32"/>
        </w:rPr>
      </w:pPr>
      <w:r>
        <w:rPr>
          <w:rFonts w:hint="eastAsia" w:eastAsia="仿宋_GB2312" w:cs="仿宋_GB2312"/>
          <w:bCs/>
          <w:sz w:val="32"/>
          <w:szCs w:val="32"/>
        </w:rPr>
        <w:t>2.支持方向。</w:t>
      </w:r>
      <w:r>
        <w:rPr>
          <w:rFonts w:hint="eastAsia" w:eastAsia="仿宋_GB2312" w:cs="仿宋_GB2312"/>
          <w:sz w:val="32"/>
          <w:szCs w:val="32"/>
        </w:rPr>
        <w:t>支持防火设施与设备购置，购置灭火器、消防水带、烟感报警器等基本防火设备，确保各类场所的消防安全。支持建设或升级消防栓、消防水池等公共消防设施，提高城市或区域的火灾防控能力。支持应急救援队伍建设与培训，加大对专业应急救援队伍的建设投入，包括人员招聘、装备配备和训练基地建设等。加大对专业应急救援队伍的建设投入。</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（三）预算安排及分配管理</w:t>
      </w:r>
    </w:p>
    <w:p>
      <w:pPr>
        <w:adjustRightInd w:val="0"/>
        <w:snapToGrid w:val="0"/>
        <w:spacing w:line="560" w:lineRule="exact"/>
        <w:ind w:firstLine="720"/>
        <w:rPr>
          <w:rFonts w:eastAsia="仿宋_GB2312" w:cs="仿宋_GB2312"/>
          <w:sz w:val="32"/>
          <w:szCs w:val="32"/>
        </w:rPr>
      </w:pPr>
      <w:r>
        <w:rPr>
          <w:rFonts w:eastAsia="仿宋_GB2312"/>
          <w:sz w:val="32"/>
          <w:szCs w:val="32"/>
        </w:rPr>
        <w:t>防灾应急管理救助经费项目2023年初预算8万元，预算批复</w:t>
      </w:r>
      <w:r>
        <w:rPr>
          <w:rFonts w:hint="eastAsia" w:eastAsia="仿宋_GB2312"/>
          <w:sz w:val="32"/>
          <w:szCs w:val="32"/>
        </w:rPr>
        <w:t>8</w:t>
      </w:r>
      <w:r>
        <w:rPr>
          <w:rFonts w:eastAsia="仿宋_GB2312"/>
          <w:sz w:val="32"/>
          <w:szCs w:val="32"/>
        </w:rPr>
        <w:t>万元。资金主要用于组织开展应急演练，防灾应急宣传手册，灾害隐患及防汛排查租车费及宣传费等</w:t>
      </w:r>
      <w:r>
        <w:rPr>
          <w:rFonts w:hint="eastAsia" w:eastAsia="仿宋_GB2312"/>
          <w:sz w:val="32"/>
          <w:szCs w:val="32"/>
        </w:rPr>
        <w:t>。</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（四）项目绩效目标设置</w:t>
      </w:r>
    </w:p>
    <w:p>
      <w:pPr>
        <w:adjustRightInd w:val="0"/>
        <w:snapToGrid w:val="0"/>
        <w:spacing w:line="560" w:lineRule="exact"/>
        <w:ind w:firstLine="720"/>
        <w:jc w:val="left"/>
        <w:rPr>
          <w:rFonts w:eastAsia="仿宋_GB2312" w:cs="仿宋_GB2312"/>
          <w:sz w:val="32"/>
          <w:szCs w:val="32"/>
        </w:rPr>
      </w:pPr>
      <w:r>
        <w:rPr>
          <w:rFonts w:hint="eastAsia" w:eastAsia="仿宋_GB2312" w:cs="仿宋_GB2312"/>
          <w:sz w:val="32"/>
          <w:szCs w:val="32"/>
        </w:rPr>
        <w:t>主要是将围绕“全过程、全方位、全覆盖”预算绩效管理体系，保证全面完成各项目标。按工作安排完成组织代表视察、专题调研、任免选举等各项工作任务,项目经费为防灾应急管理救助依法履行职责提供财力的保证。</w:t>
      </w:r>
    </w:p>
    <w:p>
      <w:pPr>
        <w:adjustRightInd w:val="0"/>
        <w:snapToGrid w:val="0"/>
        <w:spacing w:line="560" w:lineRule="exact"/>
        <w:ind w:firstLine="720"/>
        <w:jc w:val="left"/>
        <w:rPr>
          <w:rFonts w:eastAsia="黑体" w:cs="黑体"/>
          <w:bCs/>
          <w:sz w:val="32"/>
          <w:szCs w:val="32"/>
        </w:rPr>
      </w:pPr>
      <w:r>
        <w:rPr>
          <w:rFonts w:hint="eastAsia" w:eastAsia="黑体" w:cs="黑体"/>
          <w:bCs/>
          <w:sz w:val="32"/>
          <w:szCs w:val="32"/>
        </w:rPr>
        <w:t>二、评价实施</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（一）评价目的</w:t>
      </w:r>
    </w:p>
    <w:p>
      <w:pPr>
        <w:adjustRightInd w:val="0"/>
        <w:snapToGrid w:val="0"/>
        <w:spacing w:line="560" w:lineRule="exact"/>
        <w:ind w:firstLine="720"/>
        <w:jc w:val="left"/>
        <w:rPr>
          <w:rFonts w:eastAsia="仿宋_GB2312" w:cs="仿宋_GB2312"/>
          <w:sz w:val="32"/>
          <w:szCs w:val="32"/>
        </w:rPr>
      </w:pPr>
      <w:r>
        <w:rPr>
          <w:rFonts w:hint="eastAsia" w:eastAsia="仿宋_GB2312" w:cs="仿宋_GB2312"/>
          <w:sz w:val="32"/>
          <w:szCs w:val="32"/>
        </w:rPr>
        <w:t>通过对防灾应急管理救助专项资金的绩效评价，了解防灾应急管理救助经费项目的资金来源、使用和管理情况、项目组织和实施情况，检验项目投入是否达到预期目标，总结经验，分析问题，强化项目资金管理，进一步提升预算项目资金使用成效。</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（二）预设问题及评价重点</w:t>
      </w:r>
    </w:p>
    <w:p>
      <w:pPr>
        <w:adjustRightInd w:val="0"/>
        <w:snapToGrid w:val="0"/>
        <w:spacing w:line="560" w:lineRule="exact"/>
        <w:ind w:firstLine="720"/>
        <w:rPr>
          <w:rFonts w:eastAsia="仿宋_GB2312" w:cs="仿宋_GB2312"/>
          <w:sz w:val="32"/>
          <w:szCs w:val="32"/>
        </w:rPr>
      </w:pPr>
      <w:r>
        <w:rPr>
          <w:rFonts w:hint="eastAsia" w:eastAsia="仿宋_GB2312" w:cs="仿宋_GB2312"/>
          <w:sz w:val="32"/>
          <w:szCs w:val="32"/>
        </w:rPr>
        <w:t>通过项目绩效自评防灾应急管理救助自评按照绩效评价指标体系，对资金支出使用全过程及其实施效果进行综合评价和判断。</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（三）评价方法</w:t>
      </w:r>
    </w:p>
    <w:p>
      <w:pPr>
        <w:adjustRightInd w:val="0"/>
        <w:snapToGrid w:val="0"/>
        <w:spacing w:line="560" w:lineRule="exact"/>
        <w:ind w:firstLine="720"/>
        <w:jc w:val="left"/>
        <w:rPr>
          <w:rFonts w:eastAsia="仿宋_GB2312" w:cs="仿宋_GB2312"/>
          <w:sz w:val="32"/>
          <w:szCs w:val="32"/>
        </w:rPr>
      </w:pPr>
      <w:r>
        <w:rPr>
          <w:rFonts w:hint="eastAsia" w:eastAsia="仿宋_GB2312" w:cs="仿宋_GB2312"/>
          <w:sz w:val="32"/>
          <w:szCs w:val="32"/>
        </w:rPr>
        <w:t>本次绩效评价采用了成本效益比较法、单位自评法、实地勘察法、问卷调查法、座谈调研法等多种方法。</w:t>
      </w:r>
    </w:p>
    <w:p>
      <w:pPr>
        <w:adjustRightInd w:val="0"/>
        <w:snapToGrid w:val="0"/>
        <w:spacing w:line="560" w:lineRule="exact"/>
        <w:ind w:firstLine="720"/>
        <w:jc w:val="left"/>
        <w:rPr>
          <w:rFonts w:eastAsia="黑体" w:cs="黑体"/>
          <w:bCs/>
          <w:sz w:val="32"/>
          <w:szCs w:val="32"/>
        </w:rPr>
      </w:pPr>
      <w:r>
        <w:rPr>
          <w:rFonts w:hint="eastAsia" w:eastAsia="黑体" w:cs="黑体"/>
          <w:bCs/>
          <w:sz w:val="32"/>
          <w:szCs w:val="32"/>
        </w:rPr>
        <w:t>三、绩效分析</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（一）项目执行</w:t>
      </w:r>
    </w:p>
    <w:p>
      <w:pPr>
        <w:adjustRightInd w:val="0"/>
        <w:snapToGrid w:val="0"/>
        <w:spacing w:line="560" w:lineRule="exact"/>
        <w:ind w:firstLine="720"/>
        <w:rPr>
          <w:rFonts w:eastAsia="仿宋_GB2312" w:cs="仿宋_GB2312"/>
          <w:sz w:val="32"/>
          <w:szCs w:val="32"/>
        </w:rPr>
      </w:pPr>
      <w:r>
        <w:rPr>
          <w:rFonts w:hint="eastAsia" w:eastAsia="仿宋_GB2312" w:cs="仿宋_GB2312"/>
          <w:sz w:val="32"/>
          <w:szCs w:val="32"/>
        </w:rPr>
        <w:t>为使项目如期完成，结合横山镇实际情况，对防灾应急管理救助经费项目按照镇党委工作分工，将所有项目分解到相关党政班子成员，由分管领导具体负责项目实施。在项目资金发放工作中，建立了符合财务会计制度的防灾应急管理救助经费项目资金管理制度，专项管理、拨付规范、发放及时。</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（二）目标实现</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产出指标完成情况如下：</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时效指标：2023年1月-2023年12月。</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成本指标：2023年防灾应急救助经费8万元。</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数量指标：开展应急演练工作人数达到5人。</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质量指标：息诉息访率达到90%以上。</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效益指标完成情况如下：</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社会效益指标：防灾应急工作开展良好。</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满意度指标：群众满意度达到98%以上。</w:t>
      </w:r>
    </w:p>
    <w:p>
      <w:pPr>
        <w:spacing w:line="560" w:lineRule="exact"/>
        <w:ind w:firstLine="640" w:firstLineChars="200"/>
        <w:jc w:val="left"/>
        <w:rPr>
          <w:rFonts w:eastAsia="黑体" w:cs="黑体"/>
          <w:sz w:val="32"/>
          <w:szCs w:val="32"/>
        </w:rPr>
      </w:pPr>
      <w:r>
        <w:rPr>
          <w:rFonts w:hint="eastAsia" w:eastAsia="黑体" w:cs="黑体"/>
          <w:sz w:val="32"/>
          <w:szCs w:val="32"/>
        </w:rPr>
        <w:t>四、评价结论及建议</w:t>
      </w:r>
    </w:p>
    <w:p>
      <w:pPr>
        <w:widowControl/>
        <w:adjustRightInd w:val="0"/>
        <w:snapToGrid w:val="0"/>
        <w:spacing w:line="560" w:lineRule="exact"/>
        <w:ind w:left="-13" w:firstLine="643"/>
        <w:contextualSpacing/>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（一）评价结论</w:t>
      </w:r>
    </w:p>
    <w:p>
      <w:pPr>
        <w:spacing w:line="560" w:lineRule="exact"/>
        <w:ind w:firstLine="640" w:firstLineChars="200"/>
        <w:rPr>
          <w:rFonts w:eastAsia="仿宋_GB2312" w:cs="仿宋_GB2312"/>
          <w:sz w:val="32"/>
          <w:szCs w:val="32"/>
        </w:rPr>
      </w:pPr>
      <w:r>
        <w:rPr>
          <w:rFonts w:hint="eastAsia" w:eastAsia="仿宋_GB2312" w:cs="仿宋_GB2312"/>
          <w:sz w:val="32"/>
          <w:szCs w:val="32"/>
        </w:rPr>
        <w:t>评价组运用设计的评价指标体系及评分标准，通过数据采集、访谈，对2023年防灾应急救助经费项目进行客观评价得到最终评分结果为100分，评价结果为“优”，（评价得分90-100，绩效评级为优；得分在80-89分的，绩效评级为良；得分在70-79的，绩效评级为一般；69分以下的，绩效评级为差）。</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（二）存在问题</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项目资金较为缺乏，不能满足防灾应急救助工作需要。</w:t>
      </w:r>
    </w:p>
    <w:p>
      <w:pPr>
        <w:widowControl/>
        <w:adjustRightInd w:val="0"/>
        <w:snapToGrid w:val="0"/>
        <w:spacing w:line="560" w:lineRule="exact"/>
        <w:ind w:left="-13" w:firstLine="643"/>
        <w:contextualSpacing/>
        <w:jc w:val="left"/>
        <w:rPr>
          <w:rFonts w:eastAsia="楷体_GB2312" w:cs="楷体_GB2312"/>
          <w:kern w:val="0"/>
          <w:sz w:val="32"/>
          <w:szCs w:val="32"/>
          <w:shd w:val="clear" w:color="auto" w:fill="FFFFFF"/>
        </w:rPr>
      </w:pPr>
      <w:r>
        <w:rPr>
          <w:rFonts w:hint="eastAsia" w:eastAsia="楷体_GB2312" w:cs="楷体_GB2312"/>
          <w:kern w:val="0"/>
          <w:sz w:val="32"/>
          <w:szCs w:val="32"/>
          <w:shd w:val="clear" w:color="auto" w:fill="FFFFFF"/>
        </w:rPr>
        <w:t>（三）改进建议</w:t>
      </w:r>
    </w:p>
    <w:p>
      <w:pPr>
        <w:adjustRightInd w:val="0"/>
        <w:snapToGrid w:val="0"/>
        <w:spacing w:line="560" w:lineRule="exact"/>
        <w:ind w:firstLine="720"/>
        <w:jc w:val="left"/>
        <w:rPr>
          <w:rFonts w:eastAsia="仿宋_GB2312" w:cs="仿宋_GB2312"/>
          <w:sz w:val="32"/>
          <w:szCs w:val="32"/>
        </w:rPr>
      </w:pPr>
      <w:r>
        <w:rPr>
          <w:rFonts w:hint="eastAsia" w:eastAsia="仿宋_GB2312" w:cs="仿宋_GB2312"/>
          <w:sz w:val="32"/>
          <w:szCs w:val="32"/>
        </w:rPr>
        <w:t>增加防灾应急救助工作经费，提高资金使用的针对性和有效性。</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附表：部门预算项目支出绩效自评表（2023年度）</w:t>
      </w:r>
    </w:p>
    <w:p>
      <w:pPr>
        <w:pStyle w:val="2"/>
      </w:pPr>
    </w:p>
    <w:tbl>
      <w:tblPr>
        <w:tblStyle w:val="18"/>
        <w:tblW w:w="8940" w:type="dxa"/>
        <w:jc w:val="center"/>
        <w:tblLayout w:type="fixed"/>
        <w:tblCellMar>
          <w:top w:w="0" w:type="dxa"/>
          <w:left w:w="108" w:type="dxa"/>
          <w:bottom w:w="0" w:type="dxa"/>
          <w:right w:w="108" w:type="dxa"/>
        </w:tblCellMar>
      </w:tblPr>
      <w:tblGrid>
        <w:gridCol w:w="633"/>
        <w:gridCol w:w="1035"/>
        <w:gridCol w:w="806"/>
        <w:gridCol w:w="1035"/>
        <w:gridCol w:w="806"/>
        <w:gridCol w:w="704"/>
        <w:gridCol w:w="706"/>
        <w:gridCol w:w="846"/>
        <w:gridCol w:w="719"/>
        <w:gridCol w:w="719"/>
        <w:gridCol w:w="931"/>
      </w:tblGrid>
      <w:tr>
        <w:tblPrEx>
          <w:tblCellMar>
            <w:top w:w="0" w:type="dxa"/>
            <w:left w:w="108" w:type="dxa"/>
            <w:bottom w:w="0" w:type="dxa"/>
            <w:right w:w="108" w:type="dxa"/>
          </w:tblCellMar>
        </w:tblPrEx>
        <w:trPr>
          <w:trHeight w:val="637" w:hRule="atLeast"/>
          <w:jc w:val="center"/>
        </w:trPr>
        <w:tc>
          <w:tcPr>
            <w:tcW w:w="8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b/>
                <w:bCs/>
                <w:color w:val="000000"/>
                <w:sz w:val="30"/>
                <w:szCs w:val="30"/>
              </w:rPr>
            </w:pPr>
            <w:r>
              <w:rPr>
                <w:rFonts w:hint="eastAsia" w:eastAsia="黑体" w:cs="黑体"/>
                <w:b/>
                <w:bCs/>
                <w:color w:val="000000"/>
                <w:kern w:val="0"/>
                <w:sz w:val="30"/>
                <w:szCs w:val="30"/>
                <w:lang w:bidi="ar"/>
              </w:rPr>
              <w:t>部门预算项目支出绩效自评表（2023年度）</w:t>
            </w:r>
          </w:p>
        </w:tc>
      </w:tr>
      <w:tr>
        <w:tblPrEx>
          <w:tblCellMar>
            <w:top w:w="0" w:type="dxa"/>
            <w:left w:w="108" w:type="dxa"/>
            <w:bottom w:w="0" w:type="dxa"/>
            <w:right w:w="108" w:type="dxa"/>
          </w:tblCellMar>
        </w:tblPrEx>
        <w:trPr>
          <w:trHeight w:val="329"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项目名称</w:t>
            </w:r>
          </w:p>
        </w:tc>
        <w:tc>
          <w:tcPr>
            <w:tcW w:w="72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51090422T000000394181-防灾应急救助经费</w:t>
            </w:r>
          </w:p>
        </w:tc>
      </w:tr>
      <w:tr>
        <w:tblPrEx>
          <w:tblCellMar>
            <w:top w:w="0" w:type="dxa"/>
            <w:left w:w="108" w:type="dxa"/>
            <w:bottom w:w="0" w:type="dxa"/>
            <w:right w:w="108" w:type="dxa"/>
          </w:tblCellMar>
        </w:tblPrEx>
        <w:trPr>
          <w:trHeight w:val="946" w:hRule="atLeast"/>
          <w:jc w:val="center"/>
        </w:trPr>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主管部门</w:t>
            </w:r>
          </w:p>
        </w:tc>
        <w:tc>
          <w:tcPr>
            <w:tcW w:w="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镇人民政府部门</w:t>
            </w:r>
          </w:p>
        </w:tc>
        <w:tc>
          <w:tcPr>
            <w:tcW w:w="846"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实施单位 （盖章）</w:t>
            </w:r>
          </w:p>
        </w:tc>
        <w:tc>
          <w:tcPr>
            <w:tcW w:w="2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遂宁市安居区</w:t>
            </w:r>
            <w:r>
              <w:rPr>
                <w:rFonts w:hint="eastAsia" w:cs="宋体"/>
                <w:color w:val="000000"/>
                <w:kern w:val="0"/>
                <w:sz w:val="18"/>
                <w:szCs w:val="18"/>
                <w:lang w:bidi="ar"/>
              </w:rPr>
              <w:t>横山</w:t>
            </w:r>
            <w:r>
              <w:rPr>
                <w:rFonts w:cs="宋体"/>
                <w:color w:val="000000"/>
                <w:kern w:val="0"/>
                <w:sz w:val="18"/>
                <w:szCs w:val="18"/>
                <w:lang w:bidi="ar"/>
              </w:rPr>
              <w:t>镇人民政府</w:t>
            </w:r>
          </w:p>
        </w:tc>
      </w:tr>
      <w:tr>
        <w:tblPrEx>
          <w:tblCellMar>
            <w:top w:w="0" w:type="dxa"/>
            <w:left w:w="108" w:type="dxa"/>
            <w:bottom w:w="0" w:type="dxa"/>
            <w:right w:w="108" w:type="dxa"/>
          </w:tblCellMar>
        </w:tblPrEx>
        <w:trPr>
          <w:trHeight w:val="329"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1.项目年度目标完成情况</w:t>
            </w:r>
          </w:p>
        </w:tc>
        <w:tc>
          <w:tcPr>
            <w:tcW w:w="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项目年度目标</w:t>
            </w:r>
          </w:p>
        </w:tc>
        <w:tc>
          <w:tcPr>
            <w:tcW w:w="3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黑体" w:cs="黑体"/>
                <w:color w:val="000000"/>
                <w:sz w:val="18"/>
                <w:szCs w:val="18"/>
              </w:rPr>
            </w:pPr>
            <w:r>
              <w:rPr>
                <w:rFonts w:hint="eastAsia"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1255"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4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bidi="ar"/>
              </w:rPr>
              <w:t>保全年防灾应急救助工作运转</w:t>
            </w:r>
          </w:p>
        </w:tc>
        <w:tc>
          <w:tcPr>
            <w:tcW w:w="3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通过镇村干部值班巡逻及大力宣传，安全隐患处理及时，根据需求做到了采购优质实效的防灾应急物资，降低了重大安全事故发生率。</w:t>
            </w:r>
          </w:p>
        </w:tc>
      </w:tr>
      <w:tr>
        <w:tblPrEx>
          <w:tblCellMar>
            <w:top w:w="0" w:type="dxa"/>
            <w:left w:w="108" w:type="dxa"/>
            <w:bottom w:w="0" w:type="dxa"/>
            <w:right w:w="108" w:type="dxa"/>
          </w:tblCellMar>
        </w:tblPrEx>
        <w:trPr>
          <w:trHeight w:val="1255"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2.项目实施内容及过程概述</w:t>
            </w:r>
          </w:p>
        </w:tc>
        <w:tc>
          <w:tcPr>
            <w:tcW w:w="72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lang w:bidi="ar"/>
              </w:rPr>
              <w:t>为加强</w:t>
            </w:r>
            <w:r>
              <w:rPr>
                <w:rFonts w:hint="eastAsia" w:cs="宋体"/>
                <w:color w:val="000000"/>
                <w:kern w:val="0"/>
                <w:sz w:val="18"/>
                <w:szCs w:val="18"/>
                <w:lang w:bidi="ar"/>
              </w:rPr>
              <w:t>防灾应急救助工作</w:t>
            </w:r>
            <w:r>
              <w:rPr>
                <w:rFonts w:cs="宋体"/>
                <w:color w:val="000000"/>
                <w:kern w:val="0"/>
                <w:sz w:val="18"/>
                <w:szCs w:val="18"/>
                <w:lang w:bidi="ar"/>
              </w:rPr>
              <w:t>领导，</w:t>
            </w:r>
            <w:r>
              <w:rPr>
                <w:rFonts w:hint="eastAsia" w:cs="宋体"/>
                <w:color w:val="000000"/>
                <w:kern w:val="0"/>
                <w:sz w:val="18"/>
                <w:szCs w:val="18"/>
                <w:lang w:bidi="ar"/>
              </w:rPr>
              <w:t>横山</w:t>
            </w:r>
            <w:r>
              <w:rPr>
                <w:rFonts w:cs="宋体"/>
                <w:color w:val="000000"/>
                <w:kern w:val="0"/>
                <w:sz w:val="18"/>
                <w:szCs w:val="18"/>
                <w:lang w:bidi="ar"/>
              </w:rPr>
              <w:t>镇成立了以党委书记、镇长为组长，班子成员及部门负责人为成员的</w:t>
            </w:r>
            <w:r>
              <w:rPr>
                <w:rFonts w:hint="eastAsia" w:cs="宋体"/>
                <w:color w:val="000000"/>
                <w:kern w:val="0"/>
                <w:sz w:val="18"/>
                <w:szCs w:val="18"/>
                <w:lang w:bidi="ar"/>
              </w:rPr>
              <w:t>防灾应急救助工作</w:t>
            </w:r>
            <w:r>
              <w:rPr>
                <w:rFonts w:cs="宋体"/>
                <w:color w:val="000000"/>
                <w:kern w:val="0"/>
                <w:sz w:val="18"/>
                <w:szCs w:val="18"/>
                <w:lang w:bidi="ar"/>
              </w:rPr>
              <w:t>领导小组。我镇大力开</w:t>
            </w:r>
            <w:r>
              <w:rPr>
                <w:rFonts w:hint="eastAsia" w:cs="宋体"/>
                <w:color w:val="000000"/>
                <w:kern w:val="0"/>
                <w:sz w:val="18"/>
                <w:szCs w:val="18"/>
                <w:lang w:bidi="ar"/>
              </w:rPr>
              <w:t>展防灾应急救助</w:t>
            </w:r>
            <w:r>
              <w:rPr>
                <w:rFonts w:cs="宋体"/>
                <w:color w:val="000000"/>
                <w:kern w:val="0"/>
                <w:sz w:val="18"/>
                <w:szCs w:val="18"/>
                <w:lang w:bidi="ar"/>
              </w:rPr>
              <w:t>工作</w:t>
            </w:r>
            <w:r>
              <w:rPr>
                <w:rFonts w:hint="eastAsia" w:cs="宋体"/>
                <w:color w:val="000000"/>
                <w:kern w:val="0"/>
                <w:sz w:val="18"/>
                <w:szCs w:val="18"/>
                <w:lang w:bidi="ar"/>
              </w:rPr>
              <w:t>培训</w:t>
            </w:r>
            <w:r>
              <w:rPr>
                <w:rFonts w:cs="宋体"/>
                <w:color w:val="000000"/>
                <w:kern w:val="0"/>
                <w:sz w:val="18"/>
                <w:szCs w:val="18"/>
                <w:lang w:bidi="ar"/>
              </w:rPr>
              <w:t>，</w:t>
            </w:r>
            <w:r>
              <w:rPr>
                <w:rFonts w:hint="eastAsia" w:cs="宋体"/>
                <w:color w:val="000000"/>
                <w:kern w:val="0"/>
                <w:sz w:val="18"/>
                <w:szCs w:val="18"/>
                <w:lang w:bidi="ar"/>
              </w:rPr>
              <w:t>购置防灾应急所需物资，及时购买防灾应急所需物资，确保防灾应急物资质量，</w:t>
            </w:r>
            <w:r>
              <w:rPr>
                <w:rFonts w:cs="宋体"/>
                <w:color w:val="000000"/>
                <w:kern w:val="0"/>
                <w:sz w:val="18"/>
                <w:szCs w:val="18"/>
                <w:lang w:bidi="ar"/>
              </w:rPr>
              <w:t>积极组织镇村人员在社区、村委会开展宣传，发放宣传单、制作户外宣传横幅等。</w:t>
            </w:r>
          </w:p>
        </w:tc>
      </w:tr>
      <w:tr>
        <w:tblPrEx>
          <w:tblCellMar>
            <w:top w:w="0" w:type="dxa"/>
            <w:left w:w="108" w:type="dxa"/>
            <w:bottom w:w="0" w:type="dxa"/>
            <w:right w:w="108" w:type="dxa"/>
          </w:tblCellMar>
        </w:tblPrEx>
        <w:trPr>
          <w:trHeight w:val="637"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年度预算数（万元）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调整后预算数</w:t>
            </w: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预算执行率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原因</w:t>
            </w:r>
          </w:p>
        </w:tc>
      </w:tr>
      <w:tr>
        <w:tblPrEx>
          <w:tblCellMar>
            <w:top w:w="0" w:type="dxa"/>
            <w:left w:w="108" w:type="dxa"/>
            <w:bottom w:w="0" w:type="dxa"/>
            <w:right w:w="108" w:type="dxa"/>
          </w:tblCellMar>
        </w:tblPrEx>
        <w:trPr>
          <w:trHeight w:val="329"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8.0</w:t>
            </w: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110</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3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其中：财政资金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8.0</w:t>
            </w: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3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财政专户管理资金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329"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单位资金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329"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iCs/>
                <w:color w:val="000000"/>
                <w:sz w:val="18"/>
                <w:szCs w:val="18"/>
              </w:rPr>
            </w:pPr>
          </w:p>
        </w:tc>
      </w:tr>
      <w:tr>
        <w:tblPrEx>
          <w:tblCellMar>
            <w:top w:w="0" w:type="dxa"/>
            <w:left w:w="108" w:type="dxa"/>
            <w:bottom w:w="0" w:type="dxa"/>
            <w:right w:w="108" w:type="dxa"/>
          </w:tblCellMar>
        </w:tblPrEx>
        <w:trPr>
          <w:trHeight w:val="637" w:hRule="atLeast"/>
          <w:jc w:val="center"/>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一级指标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二级指标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三级指标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指标性质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指标值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完成值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权重</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未完成原因分析</w:t>
            </w:r>
          </w:p>
        </w:tc>
      </w:tr>
      <w:tr>
        <w:tblPrEx>
          <w:tblCellMar>
            <w:top w:w="0" w:type="dxa"/>
            <w:left w:w="108" w:type="dxa"/>
            <w:bottom w:w="0" w:type="dxa"/>
            <w:right w:w="108" w:type="dxa"/>
          </w:tblCellMar>
        </w:tblPrEx>
        <w:trPr>
          <w:trHeight w:val="63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产出指标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在有限的资金内完成上级安排各项工作</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51000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46"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效果指标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完成好上级交办各项任务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637"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安全指标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保护好人民群众生命财产安全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46"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bidi="ar"/>
              </w:rPr>
              <w:t>提升人民群众认同感</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sz w:val="16"/>
                <w:szCs w:val="16"/>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946" w:hRule="atLeast"/>
          <w:jc w:val="center"/>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服务对象满意度指标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群众满意度</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color w:val="000000"/>
                <w:sz w:val="18"/>
                <w:szCs w:val="18"/>
              </w:rPr>
            </w:pPr>
            <w:r>
              <w:rPr>
                <w:rFonts w:hint="eastAsia" w:cs="宋体"/>
                <w:color w:val="000000"/>
                <w:kern w:val="0"/>
                <w:sz w:val="18"/>
                <w:szCs w:val="18"/>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96</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微软雅黑" w:cs="微软雅黑"/>
                <w:i/>
                <w:iCs/>
                <w:color w:val="000000"/>
                <w:sz w:val="16"/>
                <w:szCs w:val="16"/>
              </w:rPr>
            </w:pPr>
            <w:r>
              <w:rPr>
                <w:rFonts w:hint="eastAsia" w:eastAsia="微软雅黑" w:cs="微软雅黑"/>
                <w:i/>
                <w:iCs/>
                <w:color w:val="000000"/>
                <w:kern w:val="0"/>
                <w:sz w:val="16"/>
                <w:szCs w:val="16"/>
                <w:lang w:bidi="ar"/>
              </w:rPr>
              <w:t>98%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sz w:val="18"/>
                <w:szCs w:val="18"/>
              </w:rPr>
              <w:t>19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iCs/>
                <w:color w:val="000000"/>
                <w:sz w:val="16"/>
                <w:szCs w:val="16"/>
              </w:rPr>
            </w:pPr>
          </w:p>
        </w:tc>
      </w:tr>
      <w:tr>
        <w:tblPrEx>
          <w:tblCellMar>
            <w:top w:w="0" w:type="dxa"/>
            <w:left w:w="108" w:type="dxa"/>
            <w:bottom w:w="0" w:type="dxa"/>
            <w:right w:w="108" w:type="dxa"/>
          </w:tblCellMar>
        </w:tblPrEx>
        <w:trPr>
          <w:trHeight w:val="329" w:hRule="atLeast"/>
          <w:jc w:val="center"/>
        </w:trPr>
        <w:tc>
          <w:tcPr>
            <w:tcW w:w="65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合计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99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63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评价结论</w:t>
            </w:r>
          </w:p>
        </w:tc>
        <w:tc>
          <w:tcPr>
            <w:tcW w:w="8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项目全年预算数8.0万元，执行数为8.0万元，完成预算的100%</w:t>
            </w:r>
          </w:p>
        </w:tc>
      </w:tr>
      <w:tr>
        <w:tblPrEx>
          <w:tblCellMar>
            <w:top w:w="0" w:type="dxa"/>
            <w:left w:w="108" w:type="dxa"/>
            <w:bottom w:w="0" w:type="dxa"/>
            <w:right w:w="108" w:type="dxa"/>
          </w:tblCellMar>
        </w:tblPrEx>
        <w:trPr>
          <w:trHeight w:val="63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存在问题</w:t>
            </w:r>
          </w:p>
        </w:tc>
        <w:tc>
          <w:tcPr>
            <w:tcW w:w="8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采购物资时选择较多，难以从中选择质量价格的最优组合</w:t>
            </w:r>
          </w:p>
        </w:tc>
      </w:tr>
      <w:tr>
        <w:tblPrEx>
          <w:tblCellMar>
            <w:top w:w="0" w:type="dxa"/>
            <w:left w:w="108" w:type="dxa"/>
            <w:bottom w:w="0" w:type="dxa"/>
            <w:right w:w="108" w:type="dxa"/>
          </w:tblCellMar>
        </w:tblPrEx>
        <w:trPr>
          <w:trHeight w:val="63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lang w:bidi="ar"/>
              </w:rPr>
              <w:t>改进措施</w:t>
            </w:r>
          </w:p>
        </w:tc>
        <w:tc>
          <w:tcPr>
            <w:tcW w:w="8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kern w:val="0"/>
                <w:sz w:val="18"/>
                <w:szCs w:val="18"/>
                <w:lang w:bidi="ar"/>
              </w:rPr>
            </w:pPr>
            <w:r>
              <w:rPr>
                <w:rFonts w:hint="eastAsia" w:cs="宋体"/>
                <w:color w:val="000000"/>
                <w:kern w:val="0"/>
                <w:sz w:val="18"/>
                <w:szCs w:val="18"/>
                <w:lang w:bidi="ar"/>
              </w:rPr>
              <w:t>改进采购方法，多家对比，购买物美价廉的物资进行储备</w:t>
            </w:r>
          </w:p>
        </w:tc>
      </w:tr>
      <w:tr>
        <w:tblPrEx>
          <w:tblCellMar>
            <w:top w:w="0" w:type="dxa"/>
            <w:left w:w="108" w:type="dxa"/>
            <w:bottom w:w="0" w:type="dxa"/>
            <w:right w:w="108" w:type="dxa"/>
          </w:tblCellMar>
        </w:tblPrEx>
        <w:trPr>
          <w:trHeight w:val="349" w:hRule="atLeast"/>
          <w:jc w:val="center"/>
        </w:trPr>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项目负责人：常峻熙</w:t>
            </w:r>
          </w:p>
        </w:tc>
        <w:tc>
          <w:tcPr>
            <w:tcW w:w="46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黑体" w:cs="黑体"/>
                <w:color w:val="000000"/>
                <w:sz w:val="18"/>
                <w:szCs w:val="18"/>
              </w:rPr>
            </w:pPr>
            <w:r>
              <w:rPr>
                <w:rFonts w:hint="eastAsia" w:eastAsia="黑体" w:cs="黑体"/>
                <w:color w:val="000000"/>
                <w:kern w:val="0"/>
                <w:sz w:val="18"/>
                <w:szCs w:val="18"/>
                <w:lang w:bidi="ar"/>
              </w:rPr>
              <w:t>财务负责人：王华权</w:t>
            </w:r>
          </w:p>
        </w:tc>
      </w:tr>
    </w:tbl>
    <w:p>
      <w:pPr>
        <w:rPr>
          <w:rFonts w:eastAsia="黑体"/>
          <w:sz w:val="32"/>
          <w:szCs w:val="32"/>
        </w:rPr>
      </w:pPr>
      <w:r>
        <w:rPr>
          <w:rFonts w:hint="eastAsia" w:eastAsia="黑体"/>
          <w:sz w:val="32"/>
          <w:szCs w:val="32"/>
        </w:rPr>
        <w:br w:type="page"/>
      </w:r>
    </w:p>
    <w:p>
      <w:pPr>
        <w:spacing w:line="600" w:lineRule="exact"/>
        <w:jc w:val="center"/>
        <w:outlineLvl w:val="0"/>
        <w:rPr>
          <w:rStyle w:val="33"/>
          <w:rFonts w:eastAsia="黑体"/>
          <w:b w:val="0"/>
          <w:sz w:val="32"/>
          <w:szCs w:val="32"/>
        </w:rPr>
      </w:pPr>
      <w:r>
        <w:rPr>
          <w:rFonts w:hint="eastAsia" w:eastAsia="黑体"/>
          <w:sz w:val="32"/>
          <w:szCs w:val="32"/>
        </w:rPr>
        <w:t>第</w:t>
      </w:r>
      <w:r>
        <w:rPr>
          <w:rStyle w:val="33"/>
          <w:rFonts w:hint="eastAsia" w:eastAsia="黑体"/>
          <w:b w:val="0"/>
          <w:sz w:val="32"/>
          <w:szCs w:val="32"/>
        </w:rPr>
        <w:t>五部分 附表</w:t>
      </w:r>
      <w:bookmarkEnd w:id="54"/>
      <w:bookmarkEnd w:id="55"/>
      <w:bookmarkStart w:id="56" w:name="_Toc15396619"/>
    </w:p>
    <w:p>
      <w:pPr>
        <w:pStyle w:val="2"/>
        <w:spacing w:line="560" w:lineRule="exact"/>
      </w:pPr>
    </w:p>
    <w:p>
      <w:pPr>
        <w:pStyle w:val="6"/>
        <w:spacing w:line="560" w:lineRule="exact"/>
        <w:ind w:firstLine="640" w:firstLineChars="200"/>
        <w:rPr>
          <w:rFonts w:ascii="Times New Roman" w:hAnsi="Times New Roman" w:eastAsia="仿宋_GB2312" w:cs="仿宋_GB2312"/>
        </w:rPr>
      </w:pPr>
      <w:r>
        <w:rPr>
          <w:rFonts w:hint="eastAsia" w:ascii="Times New Roman" w:hAnsi="Times New Roman" w:eastAsia="仿宋_GB2312" w:cs="仿宋_GB2312"/>
          <w:b w:val="0"/>
        </w:rPr>
        <w:t>一、收</w:t>
      </w:r>
      <w:r>
        <w:rPr>
          <w:rStyle w:val="34"/>
          <w:rFonts w:hint="eastAsia" w:ascii="Times New Roman" w:hAnsi="Times New Roman" w:eastAsia="仿宋_GB2312" w:cs="仿宋_GB2312"/>
          <w:b w:val="0"/>
          <w:bCs w:val="0"/>
        </w:rPr>
        <w:t>入支出决算总表</w:t>
      </w:r>
      <w:bookmarkEnd w:id="56"/>
    </w:p>
    <w:p>
      <w:pPr>
        <w:pStyle w:val="6"/>
        <w:spacing w:line="560" w:lineRule="exact"/>
        <w:ind w:firstLine="640" w:firstLineChars="200"/>
        <w:rPr>
          <w:rFonts w:ascii="Times New Roman" w:hAnsi="Times New Roman" w:eastAsia="仿宋_GB2312" w:cs="仿宋_GB2312"/>
        </w:rPr>
      </w:pPr>
      <w:bookmarkStart w:id="57" w:name="_Toc15396620"/>
      <w:r>
        <w:rPr>
          <w:rFonts w:hint="eastAsia" w:ascii="Times New Roman" w:hAnsi="Times New Roman" w:eastAsia="仿宋_GB2312" w:cs="仿宋_GB2312"/>
          <w:b w:val="0"/>
        </w:rPr>
        <w:t>二、收</w:t>
      </w:r>
      <w:r>
        <w:rPr>
          <w:rStyle w:val="34"/>
          <w:rFonts w:hint="eastAsia" w:ascii="Times New Roman" w:hAnsi="Times New Roman" w:eastAsia="仿宋_GB2312" w:cs="仿宋_GB2312"/>
          <w:b w:val="0"/>
          <w:bCs w:val="0"/>
        </w:rPr>
        <w:t>入决算表</w:t>
      </w:r>
      <w:bookmarkEnd w:id="57"/>
    </w:p>
    <w:p>
      <w:pPr>
        <w:pStyle w:val="6"/>
        <w:spacing w:line="560" w:lineRule="exact"/>
        <w:ind w:firstLine="640" w:firstLineChars="200"/>
        <w:rPr>
          <w:rFonts w:ascii="Times New Roman" w:hAnsi="Times New Roman" w:eastAsia="仿宋_GB2312" w:cs="仿宋_GB2312"/>
        </w:rPr>
      </w:pPr>
      <w:bookmarkStart w:id="58" w:name="_Toc15396621"/>
      <w:r>
        <w:rPr>
          <w:rStyle w:val="34"/>
          <w:rFonts w:hint="eastAsia" w:ascii="Times New Roman" w:hAnsi="Times New Roman" w:eastAsia="仿宋_GB2312" w:cs="仿宋_GB2312"/>
          <w:b w:val="0"/>
          <w:bCs w:val="0"/>
        </w:rPr>
        <w:t>三、</w:t>
      </w:r>
      <w:r>
        <w:rPr>
          <w:rFonts w:hint="eastAsia" w:ascii="Times New Roman" w:hAnsi="Times New Roman" w:eastAsia="仿宋_GB2312" w:cs="仿宋_GB2312"/>
          <w:b w:val="0"/>
        </w:rPr>
        <w:t>支</w:t>
      </w:r>
      <w:r>
        <w:rPr>
          <w:rStyle w:val="34"/>
          <w:rFonts w:hint="eastAsia" w:ascii="Times New Roman" w:hAnsi="Times New Roman" w:eastAsia="仿宋_GB2312" w:cs="仿宋_GB2312"/>
          <w:b w:val="0"/>
          <w:bCs w:val="0"/>
        </w:rPr>
        <w:t>出决算表</w:t>
      </w:r>
      <w:bookmarkEnd w:id="58"/>
    </w:p>
    <w:p>
      <w:pPr>
        <w:pStyle w:val="6"/>
        <w:spacing w:line="560" w:lineRule="exact"/>
        <w:ind w:firstLine="640" w:firstLineChars="200"/>
        <w:rPr>
          <w:rFonts w:ascii="Times New Roman" w:hAnsi="Times New Roman" w:eastAsia="仿宋_GB2312" w:cs="仿宋_GB2312"/>
          <w:b w:val="0"/>
        </w:rPr>
      </w:pPr>
      <w:bookmarkStart w:id="59" w:name="_Toc15396622"/>
      <w:r>
        <w:rPr>
          <w:rStyle w:val="34"/>
          <w:rFonts w:hint="eastAsia" w:ascii="Times New Roman" w:hAnsi="Times New Roman" w:eastAsia="仿宋_GB2312" w:cs="仿宋_GB2312"/>
          <w:b w:val="0"/>
          <w:bCs w:val="0"/>
        </w:rPr>
        <w:t>四、</w:t>
      </w:r>
      <w:r>
        <w:rPr>
          <w:rFonts w:hint="eastAsia" w:ascii="Times New Roman" w:hAnsi="Times New Roman" w:eastAsia="仿宋_GB2312" w:cs="仿宋_GB2312"/>
          <w:b w:val="0"/>
        </w:rPr>
        <w:t>财</w:t>
      </w:r>
      <w:r>
        <w:rPr>
          <w:rStyle w:val="34"/>
          <w:rFonts w:hint="eastAsia" w:ascii="Times New Roman" w:hAnsi="Times New Roman" w:eastAsia="仿宋_GB2312" w:cs="仿宋_GB2312"/>
          <w:b w:val="0"/>
          <w:bCs w:val="0"/>
        </w:rPr>
        <w:t>政拨款收入支出决算总表</w:t>
      </w:r>
      <w:bookmarkEnd w:id="59"/>
    </w:p>
    <w:p>
      <w:pPr>
        <w:pStyle w:val="6"/>
        <w:spacing w:line="560" w:lineRule="exact"/>
        <w:ind w:firstLine="640" w:firstLineChars="200"/>
        <w:rPr>
          <w:rStyle w:val="34"/>
          <w:rFonts w:ascii="Times New Roman" w:hAnsi="Times New Roman" w:eastAsia="仿宋_GB2312" w:cs="仿宋_GB2312"/>
          <w:b w:val="0"/>
          <w:bCs w:val="0"/>
        </w:rPr>
      </w:pPr>
      <w:bookmarkStart w:id="60" w:name="_Toc15396623"/>
      <w:r>
        <w:rPr>
          <w:rStyle w:val="34"/>
          <w:rFonts w:hint="eastAsia" w:ascii="Times New Roman" w:hAnsi="Times New Roman" w:eastAsia="仿宋_GB2312" w:cs="仿宋_GB2312"/>
          <w:b w:val="0"/>
          <w:bCs w:val="0"/>
        </w:rPr>
        <w:t>五、</w:t>
      </w:r>
      <w:r>
        <w:rPr>
          <w:rFonts w:hint="eastAsia" w:ascii="Times New Roman" w:hAnsi="Times New Roman" w:eastAsia="仿宋_GB2312" w:cs="仿宋_GB2312"/>
          <w:b w:val="0"/>
        </w:rPr>
        <w:t>财</w:t>
      </w:r>
      <w:r>
        <w:rPr>
          <w:rStyle w:val="34"/>
          <w:rFonts w:hint="eastAsia" w:ascii="Times New Roman" w:hAnsi="Times New Roman" w:eastAsia="仿宋_GB2312" w:cs="仿宋_GB2312"/>
          <w:b w:val="0"/>
          <w:bCs w:val="0"/>
        </w:rPr>
        <w:t>政拨款支出决算明细表</w:t>
      </w:r>
      <w:bookmarkEnd w:id="60"/>
      <w:bookmarkStart w:id="61" w:name="_Toc15396624"/>
    </w:p>
    <w:p>
      <w:pPr>
        <w:pStyle w:val="6"/>
        <w:spacing w:line="560" w:lineRule="exact"/>
        <w:ind w:firstLine="640" w:firstLineChars="200"/>
        <w:rPr>
          <w:rFonts w:ascii="Times New Roman" w:hAnsi="Times New Roman" w:eastAsia="仿宋_GB2312" w:cs="仿宋_GB2312"/>
        </w:rPr>
      </w:pPr>
      <w:r>
        <w:rPr>
          <w:rStyle w:val="34"/>
          <w:rFonts w:hint="eastAsia" w:ascii="Times New Roman" w:hAnsi="Times New Roman" w:eastAsia="仿宋_GB2312" w:cs="仿宋_GB2312"/>
          <w:b w:val="0"/>
          <w:bCs w:val="0"/>
        </w:rPr>
        <w:t>六、</w:t>
      </w:r>
      <w:r>
        <w:rPr>
          <w:rFonts w:hint="eastAsia" w:ascii="Times New Roman" w:hAnsi="Times New Roman" w:eastAsia="仿宋_GB2312" w:cs="仿宋_GB2312"/>
          <w:b w:val="0"/>
        </w:rPr>
        <w:t>一</w:t>
      </w:r>
      <w:r>
        <w:rPr>
          <w:rStyle w:val="34"/>
          <w:rFonts w:hint="eastAsia" w:ascii="Times New Roman" w:hAnsi="Times New Roman" w:eastAsia="仿宋_GB2312" w:cs="仿宋_GB2312"/>
          <w:b w:val="0"/>
          <w:bCs w:val="0"/>
        </w:rPr>
        <w:t>般公共预算财政拨款支出决算表</w:t>
      </w:r>
      <w:bookmarkEnd w:id="61"/>
    </w:p>
    <w:p>
      <w:pPr>
        <w:pStyle w:val="6"/>
        <w:spacing w:line="560" w:lineRule="exact"/>
        <w:ind w:firstLine="640" w:firstLineChars="200"/>
        <w:rPr>
          <w:rFonts w:ascii="Times New Roman" w:hAnsi="Times New Roman" w:eastAsia="仿宋_GB2312" w:cs="仿宋_GB2312"/>
        </w:rPr>
      </w:pPr>
      <w:bookmarkStart w:id="62" w:name="_Toc15396625"/>
      <w:r>
        <w:rPr>
          <w:rStyle w:val="34"/>
          <w:rFonts w:hint="eastAsia" w:ascii="Times New Roman" w:hAnsi="Times New Roman" w:eastAsia="仿宋_GB2312" w:cs="仿宋_GB2312"/>
          <w:b w:val="0"/>
          <w:bCs w:val="0"/>
        </w:rPr>
        <w:t>七、</w:t>
      </w:r>
      <w:r>
        <w:rPr>
          <w:rFonts w:hint="eastAsia" w:ascii="Times New Roman" w:hAnsi="Times New Roman" w:eastAsia="仿宋_GB2312" w:cs="仿宋_GB2312"/>
          <w:b w:val="0"/>
        </w:rPr>
        <w:t>一</w:t>
      </w:r>
      <w:r>
        <w:rPr>
          <w:rStyle w:val="34"/>
          <w:rFonts w:hint="eastAsia" w:ascii="Times New Roman" w:hAnsi="Times New Roman" w:eastAsia="仿宋_GB2312" w:cs="仿宋_GB2312"/>
          <w:b w:val="0"/>
          <w:bCs w:val="0"/>
        </w:rPr>
        <w:t>般公共预算财政拨款支出决算明细表</w:t>
      </w:r>
      <w:bookmarkEnd w:id="62"/>
    </w:p>
    <w:p>
      <w:pPr>
        <w:pStyle w:val="6"/>
        <w:spacing w:line="560" w:lineRule="exact"/>
        <w:ind w:firstLine="640" w:firstLineChars="200"/>
        <w:rPr>
          <w:rFonts w:ascii="Times New Roman" w:hAnsi="Times New Roman" w:eastAsia="仿宋_GB2312" w:cs="仿宋_GB2312"/>
        </w:rPr>
      </w:pPr>
      <w:bookmarkStart w:id="63" w:name="_Toc15396626"/>
      <w:r>
        <w:rPr>
          <w:rStyle w:val="34"/>
          <w:rFonts w:hint="eastAsia" w:ascii="Times New Roman" w:hAnsi="Times New Roman" w:eastAsia="仿宋_GB2312" w:cs="仿宋_GB2312"/>
          <w:b w:val="0"/>
          <w:bCs w:val="0"/>
        </w:rPr>
        <w:t>八、</w:t>
      </w:r>
      <w:r>
        <w:rPr>
          <w:rFonts w:hint="eastAsia" w:ascii="Times New Roman" w:hAnsi="Times New Roman" w:eastAsia="仿宋_GB2312" w:cs="仿宋_GB2312"/>
          <w:b w:val="0"/>
        </w:rPr>
        <w:t>一</w:t>
      </w:r>
      <w:r>
        <w:rPr>
          <w:rStyle w:val="34"/>
          <w:rFonts w:hint="eastAsia" w:ascii="Times New Roman" w:hAnsi="Times New Roman" w:eastAsia="仿宋_GB2312" w:cs="仿宋_GB2312"/>
          <w:b w:val="0"/>
          <w:bCs w:val="0"/>
        </w:rPr>
        <w:t>般公共预算财政拨款基本支出决算表</w:t>
      </w:r>
      <w:bookmarkEnd w:id="63"/>
    </w:p>
    <w:p>
      <w:pPr>
        <w:pStyle w:val="6"/>
        <w:spacing w:line="560" w:lineRule="exact"/>
        <w:ind w:firstLine="640" w:firstLineChars="200"/>
        <w:rPr>
          <w:rFonts w:ascii="Times New Roman" w:hAnsi="Times New Roman" w:eastAsia="仿宋_GB2312" w:cs="仿宋_GB2312"/>
        </w:rPr>
      </w:pPr>
      <w:bookmarkStart w:id="64" w:name="_Toc15396627"/>
      <w:r>
        <w:rPr>
          <w:rStyle w:val="34"/>
          <w:rFonts w:hint="eastAsia" w:ascii="Times New Roman" w:hAnsi="Times New Roman" w:eastAsia="仿宋_GB2312" w:cs="仿宋_GB2312"/>
          <w:b w:val="0"/>
          <w:bCs w:val="0"/>
        </w:rPr>
        <w:t>九、</w:t>
      </w:r>
      <w:r>
        <w:rPr>
          <w:rFonts w:hint="eastAsia" w:ascii="Times New Roman" w:hAnsi="Times New Roman" w:eastAsia="仿宋_GB2312" w:cs="仿宋_GB2312"/>
          <w:b w:val="0"/>
        </w:rPr>
        <w:t>一</w:t>
      </w:r>
      <w:r>
        <w:rPr>
          <w:rStyle w:val="34"/>
          <w:rFonts w:hint="eastAsia" w:ascii="Times New Roman" w:hAnsi="Times New Roman" w:eastAsia="仿宋_GB2312" w:cs="仿宋_GB2312"/>
          <w:b w:val="0"/>
          <w:bCs w:val="0"/>
        </w:rPr>
        <w:t>般公共预算财政拨款项目支出决算表</w:t>
      </w:r>
      <w:bookmarkEnd w:id="64"/>
    </w:p>
    <w:p>
      <w:pPr>
        <w:pStyle w:val="6"/>
        <w:spacing w:line="560" w:lineRule="exact"/>
        <w:ind w:firstLine="640" w:firstLineChars="200"/>
        <w:rPr>
          <w:rFonts w:ascii="Times New Roman" w:hAnsi="Times New Roman" w:eastAsia="仿宋_GB2312" w:cs="仿宋_GB2312"/>
        </w:rPr>
      </w:pPr>
      <w:bookmarkStart w:id="65" w:name="_Toc15396628"/>
      <w:r>
        <w:rPr>
          <w:rStyle w:val="34"/>
          <w:rFonts w:hint="eastAsia" w:ascii="Times New Roman" w:hAnsi="Times New Roman" w:eastAsia="仿宋_GB2312" w:cs="仿宋_GB2312"/>
          <w:b w:val="0"/>
          <w:bCs w:val="0"/>
        </w:rPr>
        <w:t>十、</w:t>
      </w:r>
      <w:bookmarkEnd w:id="65"/>
      <w:r>
        <w:rPr>
          <w:rFonts w:hint="eastAsia" w:ascii="Times New Roman" w:hAnsi="Times New Roman" w:eastAsia="仿宋_GB2312" w:cs="仿宋_GB2312"/>
          <w:b w:val="0"/>
        </w:rPr>
        <w:t>政</w:t>
      </w:r>
      <w:r>
        <w:rPr>
          <w:rStyle w:val="34"/>
          <w:rFonts w:hint="eastAsia" w:ascii="Times New Roman" w:hAnsi="Times New Roman" w:eastAsia="仿宋_GB2312" w:cs="仿宋_GB2312"/>
          <w:b w:val="0"/>
          <w:bCs w:val="0"/>
        </w:rPr>
        <w:t>府性基金预算财政拨款收入支出决算表</w:t>
      </w:r>
    </w:p>
    <w:p>
      <w:pPr>
        <w:pStyle w:val="6"/>
        <w:spacing w:line="560" w:lineRule="exact"/>
        <w:ind w:firstLine="640" w:firstLineChars="200"/>
        <w:rPr>
          <w:rFonts w:ascii="Times New Roman" w:hAnsi="Times New Roman" w:eastAsia="仿宋_GB2312" w:cs="仿宋_GB2312"/>
        </w:rPr>
      </w:pPr>
      <w:bookmarkStart w:id="66" w:name="_Toc15396629"/>
      <w:r>
        <w:rPr>
          <w:rStyle w:val="34"/>
          <w:rFonts w:hint="eastAsia" w:ascii="Times New Roman" w:hAnsi="Times New Roman" w:eastAsia="仿宋_GB2312" w:cs="仿宋_GB2312"/>
          <w:b w:val="0"/>
          <w:bCs w:val="0"/>
        </w:rPr>
        <w:t>十一、</w:t>
      </w:r>
      <w:bookmarkEnd w:id="66"/>
      <w:r>
        <w:rPr>
          <w:rFonts w:hint="eastAsia" w:ascii="Times New Roman" w:hAnsi="Times New Roman" w:eastAsia="仿宋_GB2312" w:cs="仿宋_GB2312"/>
          <w:b w:val="0"/>
        </w:rPr>
        <w:t>国</w:t>
      </w:r>
      <w:r>
        <w:rPr>
          <w:rStyle w:val="34"/>
          <w:rFonts w:hint="eastAsia" w:ascii="Times New Roman" w:hAnsi="Times New Roman" w:eastAsia="仿宋_GB2312" w:cs="仿宋_GB2312"/>
          <w:b w:val="0"/>
          <w:bCs w:val="0"/>
        </w:rPr>
        <w:t>有资本经营预算财政拨款收入支出决算表</w:t>
      </w:r>
    </w:p>
    <w:p>
      <w:pPr>
        <w:pStyle w:val="6"/>
        <w:spacing w:line="560" w:lineRule="exact"/>
        <w:ind w:firstLine="640" w:firstLineChars="200"/>
        <w:rPr>
          <w:rFonts w:ascii="Times New Roman" w:hAnsi="Times New Roman" w:eastAsia="仿宋_GB2312" w:cs="仿宋_GB2312"/>
        </w:rPr>
      </w:pPr>
      <w:bookmarkStart w:id="67" w:name="_Toc15396630"/>
      <w:r>
        <w:rPr>
          <w:rStyle w:val="34"/>
          <w:rFonts w:hint="eastAsia" w:ascii="Times New Roman" w:hAnsi="Times New Roman" w:eastAsia="仿宋_GB2312" w:cs="仿宋_GB2312"/>
          <w:b w:val="0"/>
          <w:bCs w:val="0"/>
        </w:rPr>
        <w:t>十二、</w:t>
      </w:r>
      <w:bookmarkEnd w:id="67"/>
      <w:r>
        <w:rPr>
          <w:rStyle w:val="34"/>
          <w:rFonts w:hint="eastAsia" w:ascii="Times New Roman" w:hAnsi="Times New Roman" w:eastAsia="仿宋_GB2312" w:cs="仿宋_GB2312"/>
          <w:b w:val="0"/>
          <w:bCs w:val="0"/>
        </w:rPr>
        <w:t>国有资本经营预算财政拨款支出决算表</w:t>
      </w:r>
    </w:p>
    <w:p>
      <w:pPr>
        <w:pStyle w:val="6"/>
        <w:spacing w:line="560" w:lineRule="exact"/>
        <w:ind w:firstLine="640" w:firstLineChars="200"/>
        <w:rPr>
          <w:rFonts w:ascii="Times New Roman" w:hAnsi="Times New Roman" w:eastAsia="仿宋_GB2312" w:cs="仿宋_GB2312"/>
        </w:rPr>
      </w:pPr>
      <w:bookmarkStart w:id="68" w:name="_Toc15396631"/>
      <w:r>
        <w:rPr>
          <w:rStyle w:val="34"/>
          <w:rFonts w:hint="eastAsia" w:ascii="Times New Roman" w:hAnsi="Times New Roman" w:eastAsia="仿宋_GB2312" w:cs="仿宋_GB2312"/>
          <w:b w:val="0"/>
          <w:bCs w:val="0"/>
        </w:rPr>
        <w:t>十三、</w:t>
      </w:r>
      <w:bookmarkEnd w:id="68"/>
      <w:r>
        <w:rPr>
          <w:rStyle w:val="34"/>
          <w:rFonts w:hint="eastAsia" w:ascii="Times New Roman" w:hAnsi="Times New Roman" w:eastAsia="仿宋_GB2312" w:cs="仿宋_GB2312"/>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51</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C393F"/>
    <w:multiLevelType w:val="singleLevel"/>
    <w:tmpl w:val="877C393F"/>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80E325A"/>
    <w:multiLevelType w:val="singleLevel"/>
    <w:tmpl w:val="680E325A"/>
    <w:lvl w:ilvl="0" w:tentative="0">
      <w:start w:val="1"/>
      <w:numFmt w:val="decimal"/>
      <w:pStyle w:val="8"/>
      <w:lvlText w:val="%1."/>
      <w:lvlJc w:val="left"/>
      <w:pPr>
        <w:tabs>
          <w:tab w:val="left" w:pos="360"/>
        </w:tabs>
        <w:ind w:left="360" w:hanging="36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OGMxZTkwMDdhOGQ1MjIzZjU4NzYxNmNlN2JkZjMifQ=="/>
    <w:docVar w:name="KSO_WPS_MARK_KEY" w:val="fdb21631-80f2-4a3f-87bf-6125a3421f6a"/>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716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67C1C"/>
    <w:rsid w:val="0037013F"/>
    <w:rsid w:val="00380C92"/>
    <w:rsid w:val="003937CB"/>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266"/>
    <w:rsid w:val="004223DE"/>
    <w:rsid w:val="00434489"/>
    <w:rsid w:val="00437085"/>
    <w:rsid w:val="00443880"/>
    <w:rsid w:val="004464F4"/>
    <w:rsid w:val="00471401"/>
    <w:rsid w:val="00473F31"/>
    <w:rsid w:val="0048263A"/>
    <w:rsid w:val="00487E5D"/>
    <w:rsid w:val="004A711F"/>
    <w:rsid w:val="004B199D"/>
    <w:rsid w:val="004B4690"/>
    <w:rsid w:val="004C6B20"/>
    <w:rsid w:val="004E0A2D"/>
    <w:rsid w:val="004E206B"/>
    <w:rsid w:val="004E6DF7"/>
    <w:rsid w:val="004F07DB"/>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6372"/>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3328"/>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1C9C"/>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2E77"/>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C59"/>
    <w:rsid w:val="00D51276"/>
    <w:rsid w:val="00D7035F"/>
    <w:rsid w:val="00D84FE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A73"/>
    <w:rsid w:val="00E472B1"/>
    <w:rsid w:val="00E50624"/>
    <w:rsid w:val="00E568DF"/>
    <w:rsid w:val="00E64269"/>
    <w:rsid w:val="00E82267"/>
    <w:rsid w:val="00E853CE"/>
    <w:rsid w:val="00E867B6"/>
    <w:rsid w:val="00EA010F"/>
    <w:rsid w:val="00ED1B63"/>
    <w:rsid w:val="00ED3C1F"/>
    <w:rsid w:val="00ED4085"/>
    <w:rsid w:val="00ED420E"/>
    <w:rsid w:val="00ED6FBE"/>
    <w:rsid w:val="00EE1AB0"/>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2809"/>
    <w:rsid w:val="00FF30B4"/>
    <w:rsid w:val="012A6BDB"/>
    <w:rsid w:val="015975B8"/>
    <w:rsid w:val="01C75A4D"/>
    <w:rsid w:val="02143E91"/>
    <w:rsid w:val="02BE6986"/>
    <w:rsid w:val="02C03B42"/>
    <w:rsid w:val="03CB68E1"/>
    <w:rsid w:val="03CF5391"/>
    <w:rsid w:val="042B160D"/>
    <w:rsid w:val="04440CAB"/>
    <w:rsid w:val="04866910"/>
    <w:rsid w:val="04CE7484"/>
    <w:rsid w:val="04E807BB"/>
    <w:rsid w:val="05367335"/>
    <w:rsid w:val="05647704"/>
    <w:rsid w:val="058502C3"/>
    <w:rsid w:val="05B8498A"/>
    <w:rsid w:val="05F05BE6"/>
    <w:rsid w:val="0611686E"/>
    <w:rsid w:val="066E0107"/>
    <w:rsid w:val="0675626A"/>
    <w:rsid w:val="070502FB"/>
    <w:rsid w:val="07996F6E"/>
    <w:rsid w:val="07B15872"/>
    <w:rsid w:val="07C158AC"/>
    <w:rsid w:val="07FA78A0"/>
    <w:rsid w:val="08881B50"/>
    <w:rsid w:val="092B65A2"/>
    <w:rsid w:val="093932D6"/>
    <w:rsid w:val="09BE0A46"/>
    <w:rsid w:val="09CC66BA"/>
    <w:rsid w:val="09DA4EFD"/>
    <w:rsid w:val="0A2032A3"/>
    <w:rsid w:val="0A746827"/>
    <w:rsid w:val="0ABA442A"/>
    <w:rsid w:val="0B254928"/>
    <w:rsid w:val="0BF311FA"/>
    <w:rsid w:val="0F98263C"/>
    <w:rsid w:val="101860EC"/>
    <w:rsid w:val="106022C6"/>
    <w:rsid w:val="10C055FF"/>
    <w:rsid w:val="118107EC"/>
    <w:rsid w:val="123A4817"/>
    <w:rsid w:val="139E02E2"/>
    <w:rsid w:val="13A566CD"/>
    <w:rsid w:val="13D50BC4"/>
    <w:rsid w:val="14A04D08"/>
    <w:rsid w:val="15B1689C"/>
    <w:rsid w:val="16BB723D"/>
    <w:rsid w:val="17703E8A"/>
    <w:rsid w:val="179802C4"/>
    <w:rsid w:val="17A906A8"/>
    <w:rsid w:val="18822D0F"/>
    <w:rsid w:val="18C5687A"/>
    <w:rsid w:val="196662C9"/>
    <w:rsid w:val="19796E19"/>
    <w:rsid w:val="19DA7283"/>
    <w:rsid w:val="1A213A17"/>
    <w:rsid w:val="1AA81AAA"/>
    <w:rsid w:val="1AB654A0"/>
    <w:rsid w:val="1AC06517"/>
    <w:rsid w:val="1B453CF6"/>
    <w:rsid w:val="1B8E67A7"/>
    <w:rsid w:val="1BD614F5"/>
    <w:rsid w:val="1BE8440E"/>
    <w:rsid w:val="1C3311BB"/>
    <w:rsid w:val="1CB52B04"/>
    <w:rsid w:val="1D155CEE"/>
    <w:rsid w:val="1DB77BCC"/>
    <w:rsid w:val="1DD073FC"/>
    <w:rsid w:val="1E092BCE"/>
    <w:rsid w:val="1E157D0B"/>
    <w:rsid w:val="1F796231"/>
    <w:rsid w:val="1F950856"/>
    <w:rsid w:val="1FF35744"/>
    <w:rsid w:val="20966894"/>
    <w:rsid w:val="232526A4"/>
    <w:rsid w:val="237F47FB"/>
    <w:rsid w:val="23860B96"/>
    <w:rsid w:val="238B30B1"/>
    <w:rsid w:val="23AF56C3"/>
    <w:rsid w:val="23F46AFF"/>
    <w:rsid w:val="240371BF"/>
    <w:rsid w:val="24111A17"/>
    <w:rsid w:val="243050DE"/>
    <w:rsid w:val="261C78FD"/>
    <w:rsid w:val="26363E8E"/>
    <w:rsid w:val="266B4515"/>
    <w:rsid w:val="26D74EC9"/>
    <w:rsid w:val="2816205A"/>
    <w:rsid w:val="28314966"/>
    <w:rsid w:val="28433F5A"/>
    <w:rsid w:val="296A4684"/>
    <w:rsid w:val="29FD04D3"/>
    <w:rsid w:val="2A3224D8"/>
    <w:rsid w:val="2B951AA7"/>
    <w:rsid w:val="2C323639"/>
    <w:rsid w:val="2C344FBC"/>
    <w:rsid w:val="2C4200F0"/>
    <w:rsid w:val="2C6F2CA0"/>
    <w:rsid w:val="2C8A61B5"/>
    <w:rsid w:val="2CD648C1"/>
    <w:rsid w:val="2CF4664D"/>
    <w:rsid w:val="2DF04E50"/>
    <w:rsid w:val="2E2F78A6"/>
    <w:rsid w:val="2E6F7924"/>
    <w:rsid w:val="2E712472"/>
    <w:rsid w:val="2E9D1586"/>
    <w:rsid w:val="2EA87203"/>
    <w:rsid w:val="2EB21B28"/>
    <w:rsid w:val="2F040D46"/>
    <w:rsid w:val="2F4F6E1C"/>
    <w:rsid w:val="2F6D27A8"/>
    <w:rsid w:val="2F7D3C36"/>
    <w:rsid w:val="30446B52"/>
    <w:rsid w:val="30B8437E"/>
    <w:rsid w:val="319F7F4E"/>
    <w:rsid w:val="31D143D5"/>
    <w:rsid w:val="31D300F7"/>
    <w:rsid w:val="32975FB8"/>
    <w:rsid w:val="32AA0B39"/>
    <w:rsid w:val="3304709D"/>
    <w:rsid w:val="33081939"/>
    <w:rsid w:val="3407179C"/>
    <w:rsid w:val="34092B0C"/>
    <w:rsid w:val="341A04B7"/>
    <w:rsid w:val="34425A0E"/>
    <w:rsid w:val="354B12A8"/>
    <w:rsid w:val="35E7317D"/>
    <w:rsid w:val="36822CE3"/>
    <w:rsid w:val="368E6338"/>
    <w:rsid w:val="36AA5135"/>
    <w:rsid w:val="36FB4875"/>
    <w:rsid w:val="376D39B2"/>
    <w:rsid w:val="3799584F"/>
    <w:rsid w:val="37E16F03"/>
    <w:rsid w:val="37F005A4"/>
    <w:rsid w:val="3823285F"/>
    <w:rsid w:val="385B132B"/>
    <w:rsid w:val="38C72657"/>
    <w:rsid w:val="38D469F0"/>
    <w:rsid w:val="39426D09"/>
    <w:rsid w:val="3A2A2FF9"/>
    <w:rsid w:val="3AEB0E7F"/>
    <w:rsid w:val="3B1A09DE"/>
    <w:rsid w:val="3C6D38CF"/>
    <w:rsid w:val="3C9D1882"/>
    <w:rsid w:val="3CEB5AAE"/>
    <w:rsid w:val="3CFA5951"/>
    <w:rsid w:val="3D263EFE"/>
    <w:rsid w:val="3D71C836"/>
    <w:rsid w:val="3D98207C"/>
    <w:rsid w:val="3DADA222"/>
    <w:rsid w:val="3DE27ABA"/>
    <w:rsid w:val="3E78745D"/>
    <w:rsid w:val="3E7A2C64"/>
    <w:rsid w:val="3EAD6AED"/>
    <w:rsid w:val="3EAE16A5"/>
    <w:rsid w:val="3EF92891"/>
    <w:rsid w:val="3F4D0EE6"/>
    <w:rsid w:val="3FE630E6"/>
    <w:rsid w:val="40864A8C"/>
    <w:rsid w:val="40B90B9F"/>
    <w:rsid w:val="40E16085"/>
    <w:rsid w:val="41AA75A8"/>
    <w:rsid w:val="41AD24C5"/>
    <w:rsid w:val="42A769F7"/>
    <w:rsid w:val="42C249A4"/>
    <w:rsid w:val="4307448F"/>
    <w:rsid w:val="43E32B36"/>
    <w:rsid w:val="43FC0498"/>
    <w:rsid w:val="441250E1"/>
    <w:rsid w:val="444068C3"/>
    <w:rsid w:val="4491234E"/>
    <w:rsid w:val="44E268DA"/>
    <w:rsid w:val="44F05B1B"/>
    <w:rsid w:val="45B778DE"/>
    <w:rsid w:val="46FC6233"/>
    <w:rsid w:val="47211E86"/>
    <w:rsid w:val="47F2150E"/>
    <w:rsid w:val="480C0FFD"/>
    <w:rsid w:val="4845450D"/>
    <w:rsid w:val="490354E9"/>
    <w:rsid w:val="4A3B47D7"/>
    <w:rsid w:val="4A515B4A"/>
    <w:rsid w:val="4A622705"/>
    <w:rsid w:val="4A627F82"/>
    <w:rsid w:val="4A7E7809"/>
    <w:rsid w:val="4A7F5CBF"/>
    <w:rsid w:val="4B080A49"/>
    <w:rsid w:val="4B0E749A"/>
    <w:rsid w:val="4B4F25DA"/>
    <w:rsid w:val="4B622F97"/>
    <w:rsid w:val="4BE068DB"/>
    <w:rsid w:val="4D577224"/>
    <w:rsid w:val="4DFB3A84"/>
    <w:rsid w:val="4E781693"/>
    <w:rsid w:val="4EAB630A"/>
    <w:rsid w:val="4EC45545"/>
    <w:rsid w:val="4ECE2238"/>
    <w:rsid w:val="4F952A3E"/>
    <w:rsid w:val="504601DC"/>
    <w:rsid w:val="509140C1"/>
    <w:rsid w:val="50E92D92"/>
    <w:rsid w:val="50EC4809"/>
    <w:rsid w:val="51224298"/>
    <w:rsid w:val="51F745EF"/>
    <w:rsid w:val="52DA5DC8"/>
    <w:rsid w:val="52FDB963"/>
    <w:rsid w:val="537E6D0A"/>
    <w:rsid w:val="544935B6"/>
    <w:rsid w:val="54D413B8"/>
    <w:rsid w:val="54FA0336"/>
    <w:rsid w:val="552F3040"/>
    <w:rsid w:val="55413F6A"/>
    <w:rsid w:val="55457F4D"/>
    <w:rsid w:val="55E71B19"/>
    <w:rsid w:val="55EA1B9B"/>
    <w:rsid w:val="567E2963"/>
    <w:rsid w:val="56971868"/>
    <w:rsid w:val="56AC649B"/>
    <w:rsid w:val="56CE047A"/>
    <w:rsid w:val="576043D5"/>
    <w:rsid w:val="57D02F77"/>
    <w:rsid w:val="580A033D"/>
    <w:rsid w:val="59142F61"/>
    <w:rsid w:val="59C65C41"/>
    <w:rsid w:val="59D4243C"/>
    <w:rsid w:val="5A124433"/>
    <w:rsid w:val="5A2C10C4"/>
    <w:rsid w:val="5A805D54"/>
    <w:rsid w:val="5AF92295"/>
    <w:rsid w:val="5CB7F211"/>
    <w:rsid w:val="5CD71FC4"/>
    <w:rsid w:val="5E0771FD"/>
    <w:rsid w:val="5E153FC9"/>
    <w:rsid w:val="5EDB63D2"/>
    <w:rsid w:val="5F2B4D43"/>
    <w:rsid w:val="5F530EF2"/>
    <w:rsid w:val="5F8973F6"/>
    <w:rsid w:val="606049A2"/>
    <w:rsid w:val="60675D31"/>
    <w:rsid w:val="60DD1C50"/>
    <w:rsid w:val="629E4979"/>
    <w:rsid w:val="62A82EA9"/>
    <w:rsid w:val="63365020"/>
    <w:rsid w:val="63842F6B"/>
    <w:rsid w:val="64330A71"/>
    <w:rsid w:val="64505DEC"/>
    <w:rsid w:val="649A7612"/>
    <w:rsid w:val="64B8613A"/>
    <w:rsid w:val="64C20D07"/>
    <w:rsid w:val="64EF11D0"/>
    <w:rsid w:val="65372581"/>
    <w:rsid w:val="664E0E96"/>
    <w:rsid w:val="66F0116B"/>
    <w:rsid w:val="681E67AE"/>
    <w:rsid w:val="68896F73"/>
    <w:rsid w:val="689E075E"/>
    <w:rsid w:val="68ED0CA1"/>
    <w:rsid w:val="68F70149"/>
    <w:rsid w:val="692D2AF0"/>
    <w:rsid w:val="69A3595F"/>
    <w:rsid w:val="69DC09DF"/>
    <w:rsid w:val="6AB14F4C"/>
    <w:rsid w:val="6C0960CD"/>
    <w:rsid w:val="6C4A05C8"/>
    <w:rsid w:val="6C6F8FCC"/>
    <w:rsid w:val="6E7E3605"/>
    <w:rsid w:val="6F1F1118"/>
    <w:rsid w:val="6F3D6975"/>
    <w:rsid w:val="6FDE5616"/>
    <w:rsid w:val="6FF5CC65"/>
    <w:rsid w:val="6FFF4E73"/>
    <w:rsid w:val="70F02345"/>
    <w:rsid w:val="7140047C"/>
    <w:rsid w:val="714240C6"/>
    <w:rsid w:val="715C0E4B"/>
    <w:rsid w:val="71F108DD"/>
    <w:rsid w:val="72358780"/>
    <w:rsid w:val="72734D90"/>
    <w:rsid w:val="72EB6F74"/>
    <w:rsid w:val="72F738E6"/>
    <w:rsid w:val="73AD73D5"/>
    <w:rsid w:val="73B6EB34"/>
    <w:rsid w:val="744731E5"/>
    <w:rsid w:val="74517262"/>
    <w:rsid w:val="74F715CE"/>
    <w:rsid w:val="76A84E00"/>
    <w:rsid w:val="76E3355F"/>
    <w:rsid w:val="774310F4"/>
    <w:rsid w:val="778769C8"/>
    <w:rsid w:val="77A952CF"/>
    <w:rsid w:val="77E9106B"/>
    <w:rsid w:val="77F9065A"/>
    <w:rsid w:val="77FFFE49"/>
    <w:rsid w:val="780E7BCF"/>
    <w:rsid w:val="78C0045E"/>
    <w:rsid w:val="795F1383"/>
    <w:rsid w:val="797C665B"/>
    <w:rsid w:val="79865022"/>
    <w:rsid w:val="79A41CEA"/>
    <w:rsid w:val="79EE5BA4"/>
    <w:rsid w:val="7A894339"/>
    <w:rsid w:val="7AF7AB3F"/>
    <w:rsid w:val="7B053301"/>
    <w:rsid w:val="7B677372"/>
    <w:rsid w:val="7C816469"/>
    <w:rsid w:val="7DB00B43"/>
    <w:rsid w:val="7E480F94"/>
    <w:rsid w:val="7E6731D4"/>
    <w:rsid w:val="7E7F2464"/>
    <w:rsid w:val="7E7FB21D"/>
    <w:rsid w:val="7EBB3D9A"/>
    <w:rsid w:val="7EC42515"/>
    <w:rsid w:val="7ECB025F"/>
    <w:rsid w:val="7EEF11D3"/>
    <w:rsid w:val="7EEF71C5"/>
    <w:rsid w:val="7EF24714"/>
    <w:rsid w:val="7FA30C79"/>
    <w:rsid w:val="7FB7269E"/>
    <w:rsid w:val="7FC96657"/>
    <w:rsid w:val="AF5F2E24"/>
    <w:rsid w:val="BBFFF1C5"/>
    <w:rsid w:val="BF9F048A"/>
    <w:rsid w:val="BFBAD17D"/>
    <w:rsid w:val="BFEC64EC"/>
    <w:rsid w:val="D54F5ABB"/>
    <w:rsid w:val="D8D6DB89"/>
    <w:rsid w:val="DB6F4CAB"/>
    <w:rsid w:val="DBDBAD11"/>
    <w:rsid w:val="DCEA610E"/>
    <w:rsid w:val="DF6F9789"/>
    <w:rsid w:val="E1DF8FE1"/>
    <w:rsid w:val="F7EA06C3"/>
    <w:rsid w:val="FBFFB182"/>
    <w:rsid w:val="FDF723B0"/>
    <w:rsid w:val="FF5806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Body Text"/>
    <w:basedOn w:val="1"/>
    <w:link w:val="30"/>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rPr>
      <w:rFonts w:ascii="Calibri" w:hAnsi="Calibri"/>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jc w:val="left"/>
    </w:pPr>
    <w:rPr>
      <w:kern w:val="0"/>
      <w:sz w:val="24"/>
    </w:r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正文2"/>
    <w:basedOn w:val="1"/>
    <w:next w:val="1"/>
    <w:unhideWhenUsed/>
    <w:qFormat/>
    <w:uiPriority w:val="99"/>
    <w:rPr>
      <w:rFonts w:hint="eastAsia"/>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字符"/>
    <w:link w:val="9"/>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字符"/>
    <w:basedOn w:val="19"/>
    <w:link w:val="5"/>
    <w:qFormat/>
    <w:uiPriority w:val="9"/>
    <w:rPr>
      <w:rFonts w:ascii="Times New Roman" w:hAnsi="Times New Roman"/>
      <w:b/>
      <w:bCs/>
      <w:kern w:val="44"/>
      <w:sz w:val="44"/>
      <w:szCs w:val="44"/>
    </w:rPr>
  </w:style>
  <w:style w:type="character" w:customStyle="1" w:styleId="34">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19"/>
    <w:link w:val="11"/>
    <w:semiHidden/>
    <w:qFormat/>
    <w:uiPriority w:val="99"/>
    <w:rPr>
      <w:rFonts w:ascii="Times New Roman" w:hAnsi="Times New Roman"/>
      <w:kern w:val="2"/>
      <w:sz w:val="18"/>
      <w:szCs w:val="18"/>
    </w:rPr>
  </w:style>
  <w:style w:type="character" w:customStyle="1" w:styleId="37">
    <w:name w:val="标题 3 字符"/>
    <w:basedOn w:val="19"/>
    <w:link w:val="7"/>
    <w:qFormat/>
    <w:uiPriority w:val="9"/>
    <w:rPr>
      <w:rFonts w:ascii="Times New Roman" w:hAnsi="Times New Roman"/>
      <w:b/>
      <w:bCs/>
      <w:kern w:val="2"/>
      <w:sz w:val="32"/>
      <w:szCs w:val="32"/>
    </w:rPr>
  </w:style>
  <w:style w:type="paragraph" w:customStyle="1" w:styleId="38">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 w:type="paragraph" w:customStyle="1" w:styleId="40">
    <w:name w:val="章标题"/>
    <w:basedOn w:val="1"/>
    <w:next w:val="41"/>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41">
    <w:name w:val="节标题"/>
    <w:basedOn w:val="1"/>
    <w:next w:val="1"/>
    <w:qFormat/>
    <w:uiPriority w:val="99"/>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Workbook1.xls"/><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chartUserShapes" Target="../drawings/drawing2.xml"/><Relationship Id="rId1" Type="http://schemas.openxmlformats.org/officeDocument/2006/relationships/oleObject" Target="file:///E:\2024&#24180;&#23433;&#23621;&#21306;&#33073;&#36139;&#25143;&#21450;&#30417;&#27979;&#23545;&#35937;&#20135;&#19994;&#21040;&#25143;&#39033;&#30446;&#38656;&#27714;&#34920;&#32479;&#35745;&#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4920;%20&#22312;%202022&#24180;&#27178;&#23665;&#38215;&#20154;&#27665;&#25919;&#24220;&#37096;&#38376;&#20915;&#31639;&#25253;&#21578;.docx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4920;%20&#22312;%202022&#24180;&#27178;&#23665;&#38215;&#20154;&#27665;&#25919;&#24220;&#37096;&#38376;&#20915;&#31639;&#25253;&#21578;.docx2"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E:\2024&#24180;&#23433;&#23621;&#21306;&#33073;&#36139;&#25143;&#21450;&#30417;&#27979;&#23545;&#35937;&#20135;&#19994;&#21040;&#25143;&#39033;&#30446;&#38656;&#27714;&#34920;&#32479;&#35745;&#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2270;&#34920;%20&#22312;%202023&#24180;&#27178;&#23665;&#38215;&#20154;&#27665;&#25919;&#24220;&#37096;&#38376;&#20915;&#31639;&#25253;&#21578;.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charset="0"/>
                <a:ea typeface="Times New Roman" charset="0"/>
                <a:cs typeface="Times New Roman" charset="0"/>
                <a:sym typeface="Times New Roman" charset="0"/>
              </a:defRPr>
            </a:pPr>
            <a:r>
              <a:rPr lang="zh-CN" altLang="en-US">
                <a:latin typeface="Times New Roman" charset="0"/>
                <a:ea typeface="Times New Roman" charset="0"/>
                <a:cs typeface="Times New Roman" charset="0"/>
                <a:sym typeface="Times New Roman" charset="0"/>
              </a:rPr>
              <a:t>图</a:t>
            </a:r>
            <a:r>
              <a:rPr lang="en-US" altLang="zh-CN">
                <a:latin typeface="Times New Roman" charset="0"/>
                <a:ea typeface="Times New Roman" charset="0"/>
                <a:cs typeface="Times New Roman" charset="0"/>
                <a:sym typeface="Times New Roman" charset="0"/>
              </a:rPr>
              <a:t>1</a:t>
            </a:r>
            <a:r>
              <a:rPr lang="zh-CN" altLang="en-US">
                <a:latin typeface="Times New Roman" charset="0"/>
                <a:ea typeface="Times New Roman" charset="0"/>
                <a:cs typeface="Times New Roman" charset="0"/>
                <a:sym typeface="Times New Roman" charset="0"/>
              </a:rPr>
              <a:t>：收、支决算总计情况变化图</a:t>
            </a:r>
            <a:endParaRPr lang="zh-CN" altLang="en-US">
              <a:latin typeface="Times New Roman" charset="0"/>
              <a:ea typeface="Times New Roman" charset="0"/>
              <a:cs typeface="Times New Roman" charset="0"/>
              <a:sym typeface="Times New Roman" charset="0"/>
            </a:endParaRPr>
          </a:p>
        </c:rich>
      </c:tx>
      <c:layout>
        <c:manualLayout>
          <c:xMode val="edge"/>
          <c:yMode val="edge"/>
          <c:x val="0.246507955787684"/>
          <c:y val="0.00641025641025641"/>
        </c:manualLayout>
      </c:layout>
      <c:overlay val="0"/>
      <c:spPr>
        <a:noFill/>
        <a:ln>
          <a:noFill/>
        </a:ln>
        <a:effectLst/>
      </c:spPr>
    </c:title>
    <c:autoTitleDeleted val="0"/>
    <c:plotArea>
      <c:layout>
        <c:manualLayout>
          <c:layoutTarget val="inner"/>
          <c:xMode val="edge"/>
          <c:yMode val="edge"/>
          <c:x val="0.107842105263158"/>
          <c:y val="0.215277777777778"/>
          <c:w val="0.888210526315789"/>
          <c:h val="0.606111111111111"/>
        </c:manualLayout>
      </c:layout>
      <c:barChart>
        <c:barDir val="col"/>
        <c:grouping val="clustered"/>
        <c:varyColors val="0"/>
        <c:ser>
          <c:idx val="0"/>
          <c:order val="0"/>
          <c:tx>
            <c:strRef>
              <c:f>[2024年安居区脱贫户及监测对象产业到户项目需求表统计表.xlsx]Sheet1!$A$2</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[2024年安居区脱贫户及监测对象产业到户项目需求表统计表.xlsx]Sheet1!$B$1:$C$1</c:f>
              <c:strCache>
                <c:ptCount val="2"/>
                <c:pt idx="0">
                  <c:v>收入</c:v>
                </c:pt>
                <c:pt idx="1">
                  <c:v>支出</c:v>
                </c:pt>
              </c:strCache>
            </c:strRef>
          </c:cat>
          <c:val>
            <c:numRef>
              <c:f>[2024年安居区脱贫户及监测对象产业到户项目需求表统计表.xlsx]Sheet1!$B$2:$C$2</c:f>
              <c:numCache>
                <c:formatCode>General</c:formatCode>
                <c:ptCount val="2"/>
                <c:pt idx="0">
                  <c:v>2470.19</c:v>
                </c:pt>
                <c:pt idx="1">
                  <c:v>2470.19</c:v>
                </c:pt>
              </c:numCache>
            </c:numRef>
          </c:val>
        </c:ser>
        <c:ser>
          <c:idx val="1"/>
          <c:order val="1"/>
          <c:tx>
            <c:strRef>
              <c:f>[2024年安居区脱贫户及监测对象产业到户项目需求表统计表.xlsx]Sheet1!$A$3</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[2024年安居区脱贫户及监测对象产业到户项目需求表统计表.xlsx]Sheet1!$B$1:$C$1</c:f>
              <c:strCache>
                <c:ptCount val="2"/>
                <c:pt idx="0">
                  <c:v>收入</c:v>
                </c:pt>
                <c:pt idx="1">
                  <c:v>支出</c:v>
                </c:pt>
              </c:strCache>
            </c:strRef>
          </c:cat>
          <c:val>
            <c:numRef>
              <c:f>[2024年安居区脱贫户及监测对象产业到户项目需求表统计表.xlsx]Sheet1!$B$3:$C$3</c:f>
              <c:numCache>
                <c:formatCode>General</c:formatCode>
                <c:ptCount val="2"/>
                <c:pt idx="0">
                  <c:v>2662.37</c:v>
                </c:pt>
                <c:pt idx="1">
                  <c:v>2662.37</c:v>
                </c:pt>
              </c:numCache>
            </c:numRef>
          </c:val>
        </c:ser>
        <c:dLbls>
          <c:showLegendKey val="0"/>
          <c:showVal val="1"/>
          <c:showCatName val="0"/>
          <c:showSerName val="0"/>
          <c:showPercent val="0"/>
          <c:showBubbleSize val="0"/>
        </c:dLbls>
        <c:gapWidth val="219"/>
        <c:overlap val="-27"/>
        <c:axId val="729085586"/>
        <c:axId val="215773315"/>
      </c:barChart>
      <c:catAx>
        <c:axId val="72908558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crossAx val="215773315"/>
        <c:crosses val="autoZero"/>
        <c:auto val="1"/>
        <c:lblAlgn val="ctr"/>
        <c:lblOffset val="100"/>
        <c:noMultiLvlLbl val="0"/>
      </c:catAx>
      <c:valAx>
        <c:axId val="2157733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crossAx val="72908558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charset="0"/>
          <a:ea typeface="Times New Roman" charset="0"/>
          <a:cs typeface="Times New Roman" charset="0"/>
          <a:sym typeface="Times New Roman" charset="0"/>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zh-CN" altLang="en-US" b="0">
                <a:latin typeface="Times New Roman" charset="0"/>
                <a:ea typeface="Times New Roman" charset="0"/>
                <a:cs typeface="Times New Roman" charset="0"/>
                <a:sym typeface="Times New Roman" charset="0"/>
              </a:rPr>
              <a:t>图</a:t>
            </a:r>
            <a:r>
              <a:rPr lang="en-US" altLang="zh-CN" b="0">
                <a:latin typeface="Times New Roman" charset="0"/>
                <a:ea typeface="Times New Roman" charset="0"/>
                <a:cs typeface="Times New Roman" charset="0"/>
                <a:sym typeface="Times New Roman" charset="0"/>
              </a:rPr>
              <a:t>2</a:t>
            </a:r>
            <a:r>
              <a:rPr lang="zh-CN" altLang="en-US" b="0">
                <a:latin typeface="Times New Roman" charset="0"/>
                <a:ea typeface="Times New Roman" charset="0"/>
                <a:cs typeface="Times New Roman" charset="0"/>
                <a:sym typeface="Times New Roman" charset="0"/>
              </a:rPr>
              <a:t>：收入决算结构图</a:t>
            </a:r>
            <a:endParaRPr lang="zh-CN" altLang="en-US" b="0">
              <a:latin typeface="Times New Roman" charset="0"/>
              <a:ea typeface="Times New Roman" charset="0"/>
              <a:cs typeface="Times New Roman" charset="0"/>
              <a:sym typeface="Times New Roman" charset="0"/>
            </a:endParaRPr>
          </a:p>
        </c:rich>
      </c:tx>
      <c:layout>
        <c:manualLayout>
          <c:xMode val="edge"/>
          <c:yMode val="edge"/>
          <c:x val="0.301635884685964"/>
          <c:y val="0.034871244981475"/>
        </c:manualLayout>
      </c:layout>
      <c:overlay val="0"/>
      <c:spPr>
        <a:noFill/>
        <a:ln>
          <a:noFill/>
        </a:ln>
        <a:effectLst/>
      </c:spPr>
    </c:title>
    <c:autoTitleDeleted val="0"/>
    <c:plotArea>
      <c:layout/>
      <c:pieChart>
        <c:varyColors val="1"/>
        <c:ser>
          <c:idx val="0"/>
          <c:order val="0"/>
          <c:tx>
            <c:strRef>
              <c:f>'[工作表 在 2022年横山镇人民政府部门决算报告.docx1]Sheet1'!$B$1</c:f>
              <c:strCache>
                <c:ptCount val="1"/>
                <c:pt idx="0">
                  <c:v>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97.28%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150625642685125"/>
                  <c:y val="0.073523795494481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2.72%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'[工作表 在 2022年横山镇人民政府部门决算报告.docx1]Sheet1'!$A$2:$A$8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'[工作表 在 2022年横山镇人民政府部门决算报告.docx1]Sheet1'!$B$2:$B$8</c:f>
              <c:numCache>
                <c:formatCode>General</c:formatCode>
                <c:ptCount val="7"/>
                <c:pt idx="0">
                  <c:v>2589.96</c:v>
                </c:pt>
                <c:pt idx="1">
                  <c:v>72.41</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zh-CN" altLang="en-US" b="0">
                <a:latin typeface="Times New Roman" charset="0"/>
                <a:ea typeface="Times New Roman" charset="0"/>
                <a:cs typeface="Times New Roman" charset="0"/>
                <a:sym typeface="Times New Roman" charset="0"/>
              </a:rPr>
              <a:t>图</a:t>
            </a:r>
            <a:r>
              <a:rPr lang="en-US" altLang="zh-CN" b="0">
                <a:latin typeface="Times New Roman" charset="0"/>
                <a:ea typeface="Times New Roman" charset="0"/>
                <a:cs typeface="Times New Roman" charset="0"/>
                <a:sym typeface="Times New Roman" charset="0"/>
              </a:rPr>
              <a:t>3</a:t>
            </a:r>
            <a:r>
              <a:rPr lang="zh-CN" altLang="en-US" b="0">
                <a:latin typeface="Times New Roman" charset="0"/>
                <a:ea typeface="Times New Roman" charset="0"/>
                <a:cs typeface="Times New Roman" charset="0"/>
                <a:sym typeface="Times New Roman" charset="0"/>
              </a:rPr>
              <a:t>：支出决算结构图</a:t>
            </a:r>
            <a:endParaRPr lang="zh-CN" altLang="en-US" b="0">
              <a:latin typeface="Times New Roman" charset="0"/>
              <a:ea typeface="Times New Roman" charset="0"/>
              <a:cs typeface="Times New Roman" charset="0"/>
              <a:sym typeface="Times New Roman" charset="0"/>
            </a:endParaRPr>
          </a:p>
        </c:rich>
      </c:tx>
      <c:layout>
        <c:manualLayout>
          <c:xMode val="edge"/>
          <c:yMode val="edge"/>
          <c:x val="0.303893181179048"/>
          <c:y val="0.037554426705370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en-US" altLang="zh-CN">
                        <a:latin typeface="Times New Roman" charset="0"/>
                        <a:ea typeface="Times New Roman" charset="0"/>
                        <a:cs typeface="Times New Roman" charset="0"/>
                        <a:sym typeface="Times New Roman" charset="0"/>
                      </a:rPr>
                      <a:t>69.05%</a:t>
                    </a:r>
                    <a:endParaRPr lang="en-US" altLang="zh-CN">
                      <a:latin typeface="Times New Roman" charset="0"/>
                      <a:ea typeface="Times New Roman" charset="0"/>
                      <a:cs typeface="Times New Roman" charset="0"/>
                      <a:sym typeface="Times New Roman" charset="0"/>
                    </a:endParaRP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en-US" altLang="zh-CN">
                        <a:latin typeface="Times New Roman" charset="0"/>
                        <a:ea typeface="Times New Roman" charset="0"/>
                        <a:cs typeface="Times New Roman" charset="0"/>
                        <a:sym typeface="Times New Roman" charset="0"/>
                      </a:rPr>
                      <a:t>30.95%</a:t>
                    </a:r>
                    <a:endParaRPr lang="en-US" altLang="zh-CN">
                      <a:latin typeface="Times New Roman" charset="0"/>
                      <a:ea typeface="Times New Roman" charset="0"/>
                      <a:cs typeface="Times New Roman" charset="0"/>
                      <a:sym typeface="Times New Roman" charset="0"/>
                    </a:endParaRP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'[工作表 在 2022年横山镇人民政府部门决算报告.docx2]Sheet1'!$A$2:$A$6</c:f>
              <c:strCache>
                <c:ptCount val="5"/>
                <c:pt idx="0">
                  <c:v>基本支出</c:v>
                </c:pt>
                <c:pt idx="1">
                  <c:v>项目支出</c:v>
                </c:pt>
                <c:pt idx="2">
                  <c:v>上缴上级支出</c:v>
                </c:pt>
                <c:pt idx="3">
                  <c:v>经营支出</c:v>
                </c:pt>
                <c:pt idx="4">
                  <c:v>对附属单位补助支出</c:v>
                </c:pt>
              </c:strCache>
            </c:strRef>
          </c:cat>
          <c:val>
            <c:numRef>
              <c:f>'[工作表 在 2022年横山镇人民政府部门决算报告.docx2]Sheet1'!$B$2:$B$6</c:f>
              <c:numCache>
                <c:formatCode>#,##0.00</c:formatCode>
                <c:ptCount val="5"/>
                <c:pt idx="0">
                  <c:v>1838.44</c:v>
                </c:pt>
                <c:pt idx="1">
                  <c:v>823.92</c:v>
                </c:pt>
                <c:pt idx="2" c:formatCode="General">
                  <c:v>0</c:v>
                </c:pt>
                <c:pt idx="3" c:formatCode="General">
                  <c:v>0</c:v>
                </c:pt>
                <c:pt idx="4"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charset="0"/>
          <a:ea typeface="Times New Roman" charset="0"/>
          <a:cs typeface="Times New Roman" charset="0"/>
          <a:sym typeface="Times New Roman"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zh-CN" altLang="en-US" b="0">
                <a:latin typeface="Times New Roman" charset="0"/>
                <a:ea typeface="Times New Roman" charset="0"/>
                <a:cs typeface="Times New Roman" charset="0"/>
                <a:sym typeface="Times New Roman" charset="0"/>
              </a:rPr>
              <a:t>图</a:t>
            </a:r>
            <a:r>
              <a:rPr lang="en-US" altLang="zh-CN" b="0">
                <a:latin typeface="Times New Roman" charset="0"/>
                <a:ea typeface="Times New Roman" charset="0"/>
                <a:cs typeface="Times New Roman" charset="0"/>
                <a:sym typeface="Times New Roman" charset="0"/>
              </a:rPr>
              <a:t>4</a:t>
            </a:r>
            <a:r>
              <a:rPr lang="zh-CN" altLang="en-US" b="0">
                <a:latin typeface="Times New Roman" charset="0"/>
                <a:ea typeface="Times New Roman" charset="0"/>
                <a:cs typeface="Times New Roman" charset="0"/>
                <a:sym typeface="Times New Roman" charset="0"/>
              </a:rPr>
              <a:t>：财政收支拨款收、支决算总计情况变化图</a:t>
            </a:r>
            <a:endParaRPr lang="zh-CN" altLang="en-US" b="0">
              <a:latin typeface="Times New Roman" charset="0"/>
              <a:ea typeface="Times New Roman" charset="0"/>
              <a:cs typeface="Times New Roman" charset="0"/>
              <a:sym typeface="Times New Roman" charset="0"/>
            </a:endParaRPr>
          </a:p>
        </c:rich>
      </c:tx>
      <c:layout>
        <c:manualLayout>
          <c:xMode val="edge"/>
          <c:yMode val="edge"/>
          <c:x val="0.184078947368421"/>
          <c:y val="0.00694444444444444"/>
        </c:manualLayout>
      </c:layout>
      <c:overlay val="0"/>
      <c:spPr>
        <a:noFill/>
        <a:ln>
          <a:noFill/>
        </a:ln>
        <a:effectLst/>
      </c:spPr>
    </c:title>
    <c:autoTitleDeleted val="0"/>
    <c:plotArea>
      <c:layout>
        <c:manualLayout>
          <c:layoutTarget val="inner"/>
          <c:xMode val="edge"/>
          <c:yMode val="edge"/>
          <c:x val="0.107842105263158"/>
          <c:y val="0.215277777777778"/>
          <c:w val="0.888210526315789"/>
          <c:h val="0.606111111111111"/>
        </c:manualLayout>
      </c:layout>
      <c:barChart>
        <c:barDir val="col"/>
        <c:grouping val="clustered"/>
        <c:varyColors val="0"/>
        <c:ser>
          <c:idx val="0"/>
          <c:order val="0"/>
          <c:tx>
            <c:strRef>
              <c:f>[2024年安居区脱贫户及监测对象产业到户项目需求表统计表.xlsx]Sheet1!$A$2</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[2024年安居区脱贫户及监测对象产业到户项目需求表统计表.xlsx]Sheet1!$B$1:$C$1</c:f>
              <c:strCache>
                <c:ptCount val="2"/>
                <c:pt idx="0">
                  <c:v>收入</c:v>
                </c:pt>
                <c:pt idx="1">
                  <c:v>支出</c:v>
                </c:pt>
              </c:strCache>
            </c:strRef>
          </c:cat>
          <c:val>
            <c:numRef>
              <c:f>[2024年安居区脱贫户及监测对象产业到户项目需求表统计表.xlsx]Sheet1!$B$2:$C$2</c:f>
              <c:numCache>
                <c:formatCode>General</c:formatCode>
                <c:ptCount val="2"/>
                <c:pt idx="0">
                  <c:v>2470.19</c:v>
                </c:pt>
                <c:pt idx="1">
                  <c:v>2470.19</c:v>
                </c:pt>
              </c:numCache>
            </c:numRef>
          </c:val>
        </c:ser>
        <c:ser>
          <c:idx val="1"/>
          <c:order val="1"/>
          <c:tx>
            <c:strRef>
              <c:f>[2024年安居区脱贫户及监测对象产业到户项目需求表统计表.xlsx]Sheet1!$A$3</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[2024年安居区脱贫户及监测对象产业到户项目需求表统计表.xlsx]Sheet1!$B$1:$C$1</c:f>
              <c:strCache>
                <c:ptCount val="2"/>
                <c:pt idx="0">
                  <c:v>收入</c:v>
                </c:pt>
                <c:pt idx="1">
                  <c:v>支出</c:v>
                </c:pt>
              </c:strCache>
            </c:strRef>
          </c:cat>
          <c:val>
            <c:numRef>
              <c:f>[2024年安居区脱贫户及监测对象产业到户项目需求表统计表.xlsx]Sheet1!$B$3:$C$3</c:f>
              <c:numCache>
                <c:formatCode>General</c:formatCode>
                <c:ptCount val="2"/>
                <c:pt idx="0">
                  <c:v>2662.37</c:v>
                </c:pt>
                <c:pt idx="1">
                  <c:v>2662.37</c:v>
                </c:pt>
              </c:numCache>
            </c:numRef>
          </c:val>
        </c:ser>
        <c:dLbls>
          <c:showLegendKey val="0"/>
          <c:showVal val="1"/>
          <c:showCatName val="0"/>
          <c:showSerName val="0"/>
          <c:showPercent val="0"/>
          <c:showBubbleSize val="0"/>
        </c:dLbls>
        <c:gapWidth val="75"/>
        <c:axId val="729085586"/>
        <c:axId val="215773315"/>
      </c:barChart>
      <c:catAx>
        <c:axId val="72908558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773315"/>
        <c:crosses val="autoZero"/>
        <c:auto val="1"/>
        <c:lblAlgn val="ctr"/>
        <c:lblOffset val="100"/>
        <c:noMultiLvlLbl val="0"/>
      </c:catAx>
      <c:valAx>
        <c:axId val="21577331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0855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zh-CN" altLang="en-US" b="0">
                <a:latin typeface="Times New Roman" charset="0"/>
                <a:ea typeface="Times New Roman" charset="0"/>
                <a:cs typeface="Times New Roman" charset="0"/>
                <a:sym typeface="Times New Roman" charset="0"/>
              </a:rPr>
              <a:t>图</a:t>
            </a:r>
            <a:r>
              <a:rPr lang="en-US" altLang="zh-CN" b="0">
                <a:latin typeface="Times New Roman" charset="0"/>
                <a:ea typeface="Times New Roman" charset="0"/>
                <a:cs typeface="Times New Roman" charset="0"/>
                <a:sym typeface="Times New Roman" charset="0"/>
              </a:rPr>
              <a:t>5</a:t>
            </a:r>
            <a:r>
              <a:rPr lang="zh-CN" altLang="en-US" b="0">
                <a:latin typeface="Times New Roman" charset="0"/>
                <a:ea typeface="Times New Roman" charset="0"/>
                <a:cs typeface="Times New Roman" charset="0"/>
                <a:sym typeface="Times New Roman" charset="0"/>
              </a:rPr>
              <a:t>：一般公共预算财政拨款支出决算变动情况图</a:t>
            </a:r>
            <a:endParaRPr lang="zh-CN" altLang="en-US">
              <a:latin typeface="Times New Roman" charset="0"/>
              <a:ea typeface="Times New Roman" charset="0"/>
              <a:cs typeface="Times New Roman" charset="0"/>
              <a:sym typeface="Times New Roman" charset="0"/>
            </a:endParaRPr>
          </a:p>
          <a:p>
            <a:pPr defTabSz="914400">
              <a:defRPr lang="zh-CN" sz="1400" b="1"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endParaRPr lang="zh-CN" altLang="en-US">
              <a:latin typeface="Times New Roman" charset="0"/>
              <a:ea typeface="Times New Roman" charset="0"/>
              <a:cs typeface="Times New Roman" charset="0"/>
              <a:sym typeface="Times New Roman" charset="0"/>
            </a:endParaRPr>
          </a:p>
          <a:p>
            <a:pPr defTabSz="914400">
              <a:defRPr lang="zh-CN" sz="1400" b="1"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endParaRPr lang="zh-CN" altLang="en-US">
              <a:latin typeface="Times New Roman" charset="0"/>
              <a:ea typeface="Times New Roman" charset="0"/>
              <a:cs typeface="Times New Roman" charset="0"/>
              <a:sym typeface="Times New Roman" charset="0"/>
            </a:endParaRPr>
          </a:p>
        </c:rich>
      </c:tx>
      <c:layout>
        <c:manualLayout>
          <c:xMode val="edge"/>
          <c:yMode val="edge"/>
          <c:x val="0.123971509271767"/>
          <c:y val="0.020273694880892"/>
        </c:manualLayout>
      </c:layout>
      <c:overlay val="0"/>
      <c:spPr>
        <a:noFill/>
        <a:ln>
          <a:noFill/>
        </a:ln>
        <a:effectLst/>
      </c:spPr>
    </c:title>
    <c:autoTitleDeleted val="0"/>
    <c:plotArea>
      <c:layout>
        <c:manualLayout>
          <c:layoutTarget val="inner"/>
          <c:xMode val="edge"/>
          <c:yMode val="edge"/>
          <c:x val="0.0260346309713865"/>
          <c:y val="0.276989356310188"/>
          <c:w val="0.945965860248066"/>
          <c:h val="0.598428788646731"/>
        </c:manualLayout>
      </c:layout>
      <c:barChart>
        <c:barDir val="col"/>
        <c:grouping val="clustered"/>
        <c:varyColors val="0"/>
        <c:ser>
          <c:idx val="0"/>
          <c:order val="0"/>
          <c:tx>
            <c:strRef>
              <c:f>[工作簿2]Sheet1!$H$4</c:f>
              <c:strCache>
                <c:ptCount val="1"/>
                <c:pt idx="0">
                  <c:v>一般公共预算支出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[工作簿2]Sheet1!$I$3:$J$3</c:f>
              <c:strCache>
                <c:ptCount val="2"/>
                <c:pt idx="0">
                  <c:v>2022年</c:v>
                </c:pt>
                <c:pt idx="1">
                  <c:v>2023年</c:v>
                </c:pt>
              </c:strCache>
            </c:strRef>
          </c:cat>
          <c:val>
            <c:numRef>
              <c:f>[工作簿2]Sheet1!$I$4:$J$4</c:f>
              <c:numCache>
                <c:formatCode>General</c:formatCode>
                <c:ptCount val="2"/>
                <c:pt idx="0">
                  <c:v>2470.19</c:v>
                </c:pt>
                <c:pt idx="1">
                  <c:v>2662.37</c:v>
                </c:pt>
              </c:numCache>
            </c:numRef>
          </c:val>
        </c:ser>
        <c:dLbls>
          <c:showLegendKey val="0"/>
          <c:showVal val="1"/>
          <c:showCatName val="0"/>
          <c:showSerName val="0"/>
          <c:showPercent val="0"/>
          <c:showBubbleSize val="0"/>
        </c:dLbls>
        <c:gapWidth val="246"/>
        <c:overlap val="-28"/>
        <c:axId val="274715015"/>
        <c:axId val="434655174"/>
      </c:barChart>
      <c:catAx>
        <c:axId val="2747150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crossAx val="434655174"/>
        <c:crosses val="autoZero"/>
        <c:auto val="1"/>
        <c:lblAlgn val="ctr"/>
        <c:lblOffset val="100"/>
        <c:noMultiLvlLbl val="0"/>
      </c:catAx>
      <c:valAx>
        <c:axId val="43465517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crossAx val="274715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charset="0"/>
          <a:ea typeface="Times New Roman" charset="0"/>
          <a:cs typeface="Times New Roman" charset="0"/>
          <a:sym typeface="Times New Roman"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rPr lang="zh-CN" altLang="en-US" b="0">
                <a:latin typeface="Times New Roman" charset="0"/>
                <a:ea typeface="Times New Roman" charset="0"/>
                <a:cs typeface="Times New Roman" charset="0"/>
                <a:sym typeface="Times New Roman" charset="0"/>
              </a:rPr>
              <a:t>图</a:t>
            </a:r>
            <a:r>
              <a:rPr lang="en-US" altLang="zh-CN" b="0">
                <a:latin typeface="Times New Roman" charset="0"/>
                <a:ea typeface="Times New Roman" charset="0"/>
                <a:cs typeface="Times New Roman" charset="0"/>
                <a:sym typeface="Times New Roman" charset="0"/>
              </a:rPr>
              <a:t>6</a:t>
            </a:r>
            <a:r>
              <a:rPr lang="zh-CN" altLang="en-US" b="0">
                <a:latin typeface="Times New Roman" charset="0"/>
                <a:ea typeface="Times New Roman" charset="0"/>
                <a:cs typeface="Times New Roman" charset="0"/>
                <a:sym typeface="Times New Roman" charset="0"/>
              </a:rPr>
              <a:t>：一般公共预算财政拨款支出决算结构图</a:t>
            </a:r>
            <a:endParaRPr lang="zh-CN" altLang="en-US" b="0">
              <a:latin typeface="Times New Roman" charset="0"/>
              <a:ea typeface="Times New Roman" charset="0"/>
              <a:cs typeface="Times New Roman" charset="0"/>
              <a:sym typeface="Times New Roman" charset="0"/>
            </a:endParaRPr>
          </a:p>
        </c:rich>
      </c:tx>
      <c:layout/>
      <c:overlay val="0"/>
      <c:spPr>
        <a:noFill/>
        <a:ln>
          <a:noFill/>
        </a:ln>
        <a:effectLst/>
      </c:spPr>
    </c:title>
    <c:autoTitleDeleted val="0"/>
    <c:plotArea>
      <c:layout/>
      <c:pieChart>
        <c:varyColors val="1"/>
        <c:ser>
          <c:idx val="0"/>
          <c:order val="0"/>
          <c:tx>
            <c:strRef>
              <c:f>'[图表 在 2023年横山镇人民政府部门决算报告.docx]Sheet1'!$B$3</c:f>
              <c:strCache>
                <c:ptCount val="1"/>
                <c:pt idx="0">
                  <c:v>一般公共预算财政拨款支出决算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0"/>
              <c:layout>
                <c:manualLayout>
                  <c:x val="0.0430927542182764"/>
                  <c:y val="0.03212069940181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26658426339249"/>
                  <c:y val="-0.0091417519352255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84731976353202"/>
                  <c:y val="-0.03947875544752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993981118338166"/>
                  <c:y val="-0.058337060519915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69352146089228"/>
                  <c:y val="-0.0099818746963704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39623060916245"/>
                  <c:y val="-0.01215595297015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390526459929031"/>
                  <c:y val="-0.01627396540107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726753206208991"/>
                  <c:y val="0.024632084711477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102716019024407"/>
                  <c:y val="0.02594971804736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 在 2023年横山镇人民政府部门决算报告.docx]Sheet1'!$C$2:$K$2</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'[图表 在 2023年横山镇人民政府部门决算报告.docx]Sheet1'!$C$3:$K$3</c:f>
              <c:numCache>
                <c:formatCode>General</c:formatCode>
                <c:ptCount val="9"/>
                <c:pt idx="0">
                  <c:v>706.13</c:v>
                </c:pt>
                <c:pt idx="1">
                  <c:v>26.17</c:v>
                </c:pt>
                <c:pt idx="2">
                  <c:v>337.9</c:v>
                </c:pt>
                <c:pt idx="3">
                  <c:v>63.92</c:v>
                </c:pt>
                <c:pt idx="4">
                  <c:v>39.59</c:v>
                </c:pt>
                <c:pt idx="5">
                  <c:v>83.41</c:v>
                </c:pt>
                <c:pt idx="6">
                  <c:v>1292.39</c:v>
                </c:pt>
                <c:pt idx="7">
                  <c:v>76.3</c:v>
                </c:pt>
                <c:pt idx="8">
                  <c:v>36.56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egendEntry>
        <c:idx val="8"/>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charset="0"/>
          <a:ea typeface="Times New Roman" charset="0"/>
          <a:cs typeface="Times New Roman" charset="0"/>
          <a:sym typeface="Times New Roman"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0.02171</cdr:x>
      <cdr:y>0.06134</cdr:y>
    </cdr:from>
    <cdr:to>
      <cdr:x>0.22882</cdr:x>
      <cdr:y>0.21412</cdr:y>
    </cdr:to>
    <cdr:sp>
      <cdr:nvSpPr>
        <cdr:cNvPr id="2" name="矩形 1"/>
        <cdr:cNvSpPr/>
      </cdr:nvSpPr>
      <cdr:spPr xmlns:a="http://schemas.openxmlformats.org/drawingml/2006/main">
        <a:xfrm xmlns:a="http://schemas.openxmlformats.org/drawingml/2006/main">
          <a:off x="104775" y="168275"/>
          <a:ext cx="999490" cy="4191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0.02171</cdr:x>
      <cdr:y>0.06134</cdr:y>
    </cdr:from>
    <cdr:to>
      <cdr:x>0.22882</cdr:x>
      <cdr:y>0.21412</cdr:y>
    </cdr:to>
    <cdr:sp>
      <cdr:nvSpPr>
        <cdr:cNvPr id="2" name="矩形 1"/>
        <cdr:cNvSpPr/>
      </cdr:nvSpPr>
      <cdr:spPr xmlns:a="http://schemas.openxmlformats.org/drawingml/2006/main">
        <a:xfrm xmlns:a="http://schemas.openxmlformats.org/drawingml/2006/main">
          <a:off x="104775" y="168275"/>
          <a:ext cx="999490" cy="4191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19693</Words>
  <Characters>21827</Characters>
  <Lines>164</Lines>
  <Paragraphs>46</Paragraphs>
  <TotalTime>122</TotalTime>
  <ScaleCrop>false</ScaleCrop>
  <LinksUpToDate>false</LinksUpToDate>
  <CharactersWithSpaces>21866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XCKJ</cp:lastModifiedBy>
  <cp:lastPrinted>2024-08-26T09:24:00Z</cp:lastPrinted>
  <dcterms:modified xsi:type="dcterms:W3CDTF">2024-08-28T15:17:03Z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C0F1318221E40B88EFCECE66BCF45385</vt:lpwstr>
  </property>
</Properties>
</file>