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96597"/>
      <w:bookmarkStart w:id="5" w:name="_Toc15377193"/>
    </w:p>
    <w:p>
      <w:pPr>
        <w:adjustRightInd w:val="0"/>
        <w:snapToGrid w:val="0"/>
        <w:spacing w:line="360" w:lineRule="auto"/>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2023年度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b/>
          <w:bCs/>
          <w:sz w:val="44"/>
          <w:szCs w:val="44"/>
          <w:lang w:val="en-US" w:eastAsia="zh-CN"/>
        </w:rPr>
      </w:pPr>
      <w:bookmarkStart w:id="6" w:name="_Toc15396476"/>
      <w:bookmarkStart w:id="7" w:name="_Toc15377194"/>
      <w:bookmarkStart w:id="8" w:name="_Toc15378442"/>
      <w:bookmarkStart w:id="9" w:name="_Toc15396598"/>
      <w:bookmarkStart w:id="10" w:name="_Toc15377426"/>
      <w:r>
        <w:rPr>
          <w:rFonts w:hint="eastAsia" w:ascii="方正小标宋简体" w:hAnsi="方正小标宋简体" w:eastAsia="方正小标宋简体" w:cs="方正小标宋简体"/>
          <w:b/>
          <w:bCs/>
          <w:sz w:val="44"/>
          <w:szCs w:val="44"/>
        </w:rPr>
        <w:t>四川省</w:t>
      </w:r>
      <w:bookmarkEnd w:id="0"/>
      <w:bookmarkStart w:id="11" w:name="_Toc15306268"/>
      <w:r>
        <w:rPr>
          <w:rFonts w:hint="eastAsia" w:ascii="方正小标宋简体" w:hAnsi="方正小标宋简体" w:eastAsia="方正小标宋简体" w:cs="方正小标宋简体"/>
          <w:b/>
          <w:bCs/>
          <w:sz w:val="44"/>
          <w:szCs w:val="44"/>
          <w:lang w:val="en-US" w:eastAsia="zh-CN"/>
        </w:rPr>
        <w:t>遂宁市安居区玉丰镇中心幼儿园</w:t>
      </w:r>
    </w:p>
    <w:p>
      <w:pPr>
        <w:adjustRightInd w:val="0"/>
        <w:snapToGrid w:val="0"/>
        <w:spacing w:line="360" w:lineRule="auto"/>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部门</w:t>
      </w:r>
      <w:r>
        <w:rPr>
          <w:rFonts w:hint="eastAsia" w:ascii="方正小标宋简体" w:hAnsi="方正小标宋简体" w:eastAsia="方正小标宋简体" w:cs="方正小标宋简体"/>
          <w:b/>
          <w:bCs/>
          <w:sz w:val="44"/>
          <w:szCs w:val="44"/>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4"/>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-------------------------------------------------------------------------3</w:t>
      </w:r>
    </w:p>
    <w:p>
      <w:pPr>
        <w:pStyle w:val="14"/>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----------------------------------------------------------------------3-4</w:t>
      </w:r>
    </w:p>
    <w:p>
      <w:pPr>
        <w:pStyle w:val="12"/>
        <w:adjustRightInd w:val="0"/>
        <w:snapToGrid w:val="0"/>
        <w:spacing w:before="0" w:line="440" w:lineRule="exact"/>
        <w:jc w:val="left"/>
        <w:rPr>
          <w:sz w:val="24"/>
          <w:szCs w:val="24"/>
        </w:rPr>
      </w:pPr>
      <w:r>
        <w:rPr>
          <w:rFonts w:hint="eastAsia"/>
          <w:sz w:val="24"/>
        </w:rPr>
        <w:t>第二部分 2023年度单位决算情况说明</w:t>
      </w:r>
    </w:p>
    <w:p>
      <w:pPr>
        <w:pStyle w:val="14"/>
        <w:adjustRightInd w:val="0"/>
        <w:snapToGrid w:val="0"/>
        <w:spacing w:line="440" w:lineRule="exact"/>
        <w:jc w:val="left"/>
        <w:rPr>
          <w:rFonts w:hint="eastAsia"/>
          <w:sz w:val="24"/>
          <w:lang w:val="en-US" w:eastAsia="zh-CN"/>
        </w:rPr>
      </w:pPr>
      <w:r>
        <w:rPr>
          <w:rFonts w:hint="eastAsia"/>
          <w:sz w:val="24"/>
        </w:rPr>
        <w:t>一、收入支出决算总体情况说明</w:t>
      </w:r>
      <w:r>
        <w:rPr>
          <w:rFonts w:hint="eastAsia"/>
          <w:sz w:val="24"/>
          <w:lang w:val="en-US" w:eastAsia="zh-CN"/>
        </w:rPr>
        <w:t>------------------------------------------------4</w:t>
      </w:r>
    </w:p>
    <w:p>
      <w:pPr>
        <w:pStyle w:val="14"/>
        <w:adjustRightInd w:val="0"/>
        <w:snapToGrid w:val="0"/>
        <w:spacing w:line="440" w:lineRule="exact"/>
        <w:jc w:val="left"/>
        <w:rPr>
          <w:rFonts w:hint="eastAsia"/>
          <w:sz w:val="24"/>
          <w:lang w:val="en-US" w:eastAsia="zh-CN"/>
        </w:rPr>
      </w:pPr>
      <w:r>
        <w:rPr>
          <w:rFonts w:hint="eastAsia"/>
          <w:sz w:val="24"/>
        </w:rPr>
        <w:t>二、收入决算情况说明</w:t>
      </w:r>
      <w:r>
        <w:rPr>
          <w:rFonts w:hint="eastAsia"/>
          <w:sz w:val="24"/>
          <w:lang w:val="en-US" w:eastAsia="zh-CN"/>
        </w:rPr>
        <w:t>----------------------------------------------------------4-5</w:t>
      </w:r>
    </w:p>
    <w:p>
      <w:pPr>
        <w:pStyle w:val="14"/>
        <w:adjustRightInd w:val="0"/>
        <w:snapToGrid w:val="0"/>
        <w:spacing w:line="440" w:lineRule="exact"/>
        <w:jc w:val="left"/>
        <w:rPr>
          <w:rFonts w:hint="eastAsia"/>
          <w:sz w:val="24"/>
          <w:lang w:val="en-US" w:eastAsia="zh-CN"/>
        </w:rPr>
      </w:pPr>
      <w:r>
        <w:rPr>
          <w:rFonts w:hint="eastAsia"/>
          <w:sz w:val="24"/>
        </w:rPr>
        <w:t>三、支出决算情况说明</w:t>
      </w:r>
      <w:r>
        <w:rPr>
          <w:rFonts w:hint="eastAsia"/>
          <w:sz w:val="24"/>
          <w:lang w:val="en-US" w:eastAsia="zh-CN"/>
        </w:rPr>
        <w:t>------------------------------------------------------------5</w:t>
      </w:r>
    </w:p>
    <w:p>
      <w:pPr>
        <w:pStyle w:val="14"/>
        <w:adjustRightInd w:val="0"/>
        <w:snapToGrid w:val="0"/>
        <w:spacing w:line="440" w:lineRule="exact"/>
        <w:jc w:val="left"/>
        <w:rPr>
          <w:rFonts w:hint="eastAsia"/>
          <w:sz w:val="24"/>
          <w:lang w:val="en-US" w:eastAsia="zh-CN"/>
        </w:rPr>
      </w:pPr>
      <w:r>
        <w:rPr>
          <w:rFonts w:hint="eastAsia"/>
          <w:sz w:val="24"/>
        </w:rPr>
        <w:t>四、财政拨款收入支出决算总体情况说明</w:t>
      </w:r>
      <w:r>
        <w:rPr>
          <w:rFonts w:hint="eastAsia"/>
          <w:sz w:val="24"/>
          <w:lang w:val="en-US" w:eastAsia="zh-CN"/>
        </w:rPr>
        <w:t>---------------------------------5-6</w:t>
      </w:r>
    </w:p>
    <w:p>
      <w:pPr>
        <w:pStyle w:val="14"/>
        <w:adjustRightInd w:val="0"/>
        <w:snapToGrid w:val="0"/>
        <w:spacing w:line="440" w:lineRule="exact"/>
        <w:jc w:val="left"/>
        <w:rPr>
          <w:rFonts w:hint="eastAsia"/>
          <w:sz w:val="24"/>
          <w:lang w:val="en-US" w:eastAsia="zh-CN"/>
        </w:rPr>
      </w:pPr>
      <w:r>
        <w:rPr>
          <w:rFonts w:hint="eastAsia"/>
          <w:sz w:val="24"/>
        </w:rPr>
        <w:t>五、一般公共预算财政拨款支出决算情况说明</w:t>
      </w:r>
      <w:r>
        <w:rPr>
          <w:rFonts w:hint="eastAsia"/>
          <w:sz w:val="24"/>
          <w:lang w:val="en-US" w:eastAsia="zh-CN"/>
        </w:rPr>
        <w:t>-------------------------- 6-8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---------------------8-9</w:t>
      </w:r>
    </w:p>
    <w:p>
      <w:pPr>
        <w:pStyle w:val="14"/>
        <w:adjustRightInd w:val="0"/>
        <w:snapToGrid w:val="0"/>
        <w:spacing w:line="440" w:lineRule="exact"/>
        <w:jc w:val="left"/>
        <w:rPr>
          <w:rFonts w:hint="eastAsia"/>
          <w:sz w:val="24"/>
          <w:lang w:val="en-US" w:eastAsia="zh-CN"/>
        </w:rPr>
      </w:pPr>
      <w:r>
        <w:rPr>
          <w:rFonts w:hint="eastAsia"/>
          <w:sz w:val="24"/>
        </w:rPr>
        <w:t>七、财政拨款“三公”经费支出决算情况说明</w:t>
      </w:r>
      <w:r>
        <w:rPr>
          <w:rFonts w:hint="eastAsia"/>
          <w:sz w:val="24"/>
          <w:lang w:val="en-US" w:eastAsia="zh-CN"/>
        </w:rPr>
        <w:t>--------------------------9-11</w:t>
      </w:r>
    </w:p>
    <w:p>
      <w:pPr>
        <w:pStyle w:val="14"/>
        <w:adjustRightInd w:val="0"/>
        <w:snapToGrid w:val="0"/>
        <w:spacing w:line="440" w:lineRule="exact"/>
        <w:jc w:val="left"/>
        <w:rPr>
          <w:rFonts w:hint="eastAsia"/>
          <w:sz w:val="24"/>
          <w:lang w:val="en-US" w:eastAsia="zh-CN"/>
        </w:rPr>
      </w:pPr>
      <w:r>
        <w:rPr>
          <w:rFonts w:hint="eastAsia"/>
          <w:sz w:val="24"/>
        </w:rPr>
        <w:t>八、政府性基金预算支出决算情况说明</w:t>
      </w:r>
      <w:r>
        <w:rPr>
          <w:rFonts w:hint="eastAsia"/>
          <w:sz w:val="24"/>
          <w:lang w:val="en-US" w:eastAsia="zh-CN"/>
        </w:rPr>
        <w:t>-------------------------------------11</w:t>
      </w:r>
    </w:p>
    <w:p>
      <w:pPr>
        <w:pStyle w:val="14"/>
        <w:adjustRightInd w:val="0"/>
        <w:snapToGrid w:val="0"/>
        <w:spacing w:line="440" w:lineRule="exact"/>
        <w:jc w:val="left"/>
        <w:rPr>
          <w:rFonts w:hint="default"/>
          <w:sz w:val="24"/>
          <w:lang w:val="en-US" w:eastAsia="zh-CN"/>
        </w:rPr>
      </w:pPr>
      <w:r>
        <w:rPr>
          <w:rFonts w:hint="eastAsia"/>
          <w:sz w:val="24"/>
        </w:rPr>
        <w:t>九、国有资本经营预算支出决算情况说明</w:t>
      </w:r>
      <w:r>
        <w:rPr>
          <w:rFonts w:hint="eastAsia"/>
          <w:sz w:val="24"/>
          <w:lang w:val="en-US" w:eastAsia="zh-CN"/>
        </w:rPr>
        <w:t>----------------------------------11</w:t>
      </w:r>
    </w:p>
    <w:p>
      <w:pPr>
        <w:pStyle w:val="14"/>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----------------------------------------------11-12</w:t>
      </w:r>
    </w:p>
    <w:p>
      <w:pPr>
        <w:pStyle w:val="12"/>
        <w:adjustRightInd w:val="0"/>
        <w:snapToGrid w:val="0"/>
        <w:spacing w:before="0" w:line="440" w:lineRule="exact"/>
        <w:jc w:val="left"/>
        <w:rPr>
          <w:rFonts w:hint="eastAsia"/>
          <w:b w:val="0"/>
          <w:bCs w:val="0"/>
          <w:sz w:val="24"/>
          <w:lang w:val="en-US" w:eastAsia="zh-CN"/>
        </w:rPr>
      </w:pPr>
      <w:r>
        <w:rPr>
          <w:rFonts w:hint="eastAsia"/>
          <w:sz w:val="24"/>
        </w:rPr>
        <w:t>第三部分</w:t>
      </w:r>
      <w:r>
        <w:rPr>
          <w:sz w:val="24"/>
        </w:rPr>
        <w:t xml:space="preserve"> </w:t>
      </w:r>
      <w:r>
        <w:rPr>
          <w:rFonts w:hint="eastAsia"/>
          <w:sz w:val="24"/>
        </w:rPr>
        <w:t>名词解释</w:t>
      </w:r>
      <w:r>
        <w:rPr>
          <w:rFonts w:hint="eastAsia"/>
          <w:b w:val="0"/>
          <w:bCs w:val="0"/>
          <w:sz w:val="24"/>
          <w:lang w:val="en-US" w:eastAsia="zh-CN"/>
        </w:rPr>
        <w:t>-------------------------------------------13-16</w:t>
      </w:r>
    </w:p>
    <w:p>
      <w:pPr>
        <w:pStyle w:val="12"/>
        <w:adjustRightInd w:val="0"/>
        <w:snapToGrid w:val="0"/>
        <w:spacing w:before="0" w:line="440" w:lineRule="exact"/>
        <w:jc w:val="left"/>
        <w:rPr>
          <w:rFonts w:hint="eastAsia"/>
          <w:sz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-----------------------------------------------17-29</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-------------------------------------------------30</w:t>
      </w:r>
    </w:p>
    <w:p>
      <w:pPr>
        <w:pStyle w:val="14"/>
        <w:adjustRightInd w:val="0"/>
        <w:snapToGrid w:val="0"/>
        <w:spacing w:line="440" w:lineRule="exact"/>
        <w:jc w:val="left"/>
        <w:rPr>
          <w:rFonts w:hint="eastAsia"/>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sz w:val="24"/>
        </w:rPr>
      </w:pPr>
      <w:r>
        <w:rPr>
          <w:rFonts w:hint="eastAsia"/>
          <w:sz w:val="24"/>
        </w:rPr>
        <w:t>十三、财政拨款“三公”经费支出决算表</w:t>
      </w:r>
    </w:p>
    <w:p>
      <w:pPr>
        <w:pStyle w:val="3"/>
        <w:jc w:val="center"/>
        <w:rPr>
          <w:rStyle w:val="29"/>
          <w:rFonts w:ascii="黑体" w:hAnsi="黑体" w:eastAsia="黑体"/>
          <w:b/>
          <w:bCs w:val="0"/>
        </w:rPr>
      </w:pPr>
      <w:bookmarkStart w:id="12" w:name="_Toc15377196"/>
      <w:bookmarkStart w:id="13" w:name="_Toc15396599"/>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numPr>
          <w:ilvl w:val="0"/>
          <w:numId w:val="1"/>
        </w:numPr>
        <w:snapToGrid w:val="0"/>
        <w:spacing w:line="520" w:lineRule="exact"/>
        <w:ind w:left="-10" w:leftChars="0" w:firstLine="640" w:firstLineChars="0"/>
        <w:rPr>
          <w:rStyle w:val="30"/>
          <w:rFonts w:hint="eastAsia" w:ascii="黑体" w:hAnsi="黑体" w:eastAsia="黑体"/>
          <w:b w:val="0"/>
          <w:bCs w:val="0"/>
        </w:rPr>
      </w:pPr>
      <w:bookmarkStart w:id="14" w:name="_Toc15377197"/>
      <w:bookmarkStart w:id="15" w:name="_Toc15396600"/>
      <w:r>
        <w:rPr>
          <w:rStyle w:val="30"/>
          <w:rFonts w:hint="eastAsia" w:ascii="黑体" w:hAnsi="黑体" w:eastAsia="黑体"/>
          <w:b w:val="0"/>
          <w:bCs w:val="0"/>
        </w:rPr>
        <w:t>主要职责</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pPr>
        <w:ind w:firstLine="709"/>
        <w:rPr>
          <w:rFonts w:hint="eastAsia" w:ascii="仿宋_GB2312" w:hAnsi="仿宋" w:eastAsia="仿宋_GB2312" w:cs="仿宋"/>
          <w:bCs/>
          <w:color w:val="000000"/>
          <w:sz w:val="32"/>
          <w:szCs w:val="32"/>
        </w:rPr>
      </w:pPr>
      <w:r>
        <w:rPr>
          <w:rFonts w:hint="eastAsia" w:ascii="仿宋_GB2312" w:hAnsi="仿宋" w:eastAsia="仿宋_GB2312"/>
          <w:sz w:val="32"/>
          <w:szCs w:val="32"/>
        </w:rPr>
        <w:t>（7）做好安全防范，保证学生的人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rPr>
        <w:t>安全。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仿宋"/>
          <w:bCs/>
          <w:color w:val="000000"/>
          <w:sz w:val="32"/>
          <w:szCs w:val="32"/>
        </w:rPr>
        <w:t>2．机构情况，</w:t>
      </w:r>
      <w:r>
        <w:rPr>
          <w:rFonts w:hint="eastAsia" w:ascii="仿宋_GB2312" w:hAnsi="仿宋" w:eastAsia="仿宋_GB2312"/>
          <w:sz w:val="32"/>
          <w:szCs w:val="32"/>
        </w:rPr>
        <w:t>本单位是1个独立编</w:t>
      </w:r>
      <w:r>
        <w:rPr>
          <w:rFonts w:hint="eastAsia" w:ascii="仿宋_GB2312" w:eastAsia="仿宋_GB2312"/>
          <w:sz w:val="30"/>
        </w:rPr>
        <w:t>制单位，独立预算单位1个。</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仿宋"/>
          <w:bCs/>
          <w:color w:val="000000"/>
          <w:sz w:val="32"/>
          <w:szCs w:val="32"/>
        </w:rPr>
        <w:t>3．人员情况，</w:t>
      </w:r>
      <w:r>
        <w:rPr>
          <w:rFonts w:hint="eastAsia" w:ascii="仿宋_GB2312" w:hAnsi="仿宋" w:eastAsia="仿宋_GB2312"/>
          <w:sz w:val="32"/>
          <w:szCs w:val="32"/>
        </w:rPr>
        <w:t>本单位共有年末实有人员11人，比上年</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21.43%。</w:t>
      </w:r>
    </w:p>
    <w:p>
      <w:pPr>
        <w:snapToGrid w:val="0"/>
        <w:spacing w:line="520" w:lineRule="exact"/>
        <w:ind w:firstLine="640" w:firstLineChars="200"/>
        <w:rPr>
          <w:rFonts w:hint="eastAsia" w:ascii="黑体" w:hAnsi="黑体" w:eastAsia="黑体"/>
          <w:b w:val="0"/>
          <w:sz w:val="32"/>
          <w:szCs w:val="32"/>
        </w:rPr>
      </w:pPr>
      <w:r>
        <w:rPr>
          <w:rFonts w:hint="eastAsia" w:ascii="黑体" w:hAnsi="黑体" w:eastAsia="黑体"/>
          <w:b w:val="0"/>
          <w:sz w:val="32"/>
          <w:szCs w:val="32"/>
        </w:rPr>
        <w:t>二、机构设置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11</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ascii="仿宋_GB2312" w:hAnsi="仿宋" w:eastAsia="仿宋_GB2312"/>
          <w:sz w:val="32"/>
          <w:szCs w:val="32"/>
          <w:lang w:val="en-US" w:eastAsia="zh-CN"/>
        </w:rPr>
        <w:t>2人，</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84</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w:t>
      </w:r>
      <w:r>
        <w:rPr>
          <w:rFonts w:hint="eastAsia" w:ascii="仿宋_GB2312" w:hAnsi="仿宋" w:eastAsia="仿宋_GB2312"/>
          <w:sz w:val="32"/>
          <w:szCs w:val="32"/>
          <w:lang w:val="en-US" w:eastAsia="zh-CN"/>
        </w:rPr>
        <w:t>办公室</w:t>
      </w:r>
      <w:r>
        <w:rPr>
          <w:rFonts w:hint="eastAsia" w:ascii="仿宋_GB2312" w:hAnsi="仿宋" w:eastAsia="仿宋_GB2312"/>
          <w:sz w:val="32"/>
          <w:szCs w:val="32"/>
          <w:lang w:eastAsia="zh-CN"/>
        </w:rPr>
        <w:t>、教导</w:t>
      </w:r>
      <w:r>
        <w:rPr>
          <w:rFonts w:hint="eastAsia" w:ascii="仿宋_GB2312" w:hAnsi="仿宋" w:eastAsia="仿宋_GB2312"/>
          <w:sz w:val="32"/>
          <w:szCs w:val="32"/>
          <w:lang w:val="en-US" w:eastAsia="zh-CN"/>
        </w:rPr>
        <w:t>办公室</w:t>
      </w:r>
      <w:r>
        <w:rPr>
          <w:rFonts w:hint="eastAsia" w:ascii="仿宋_GB2312" w:hAnsi="仿宋" w:eastAsia="仿宋_GB2312"/>
          <w:sz w:val="32"/>
          <w:szCs w:val="32"/>
          <w:lang w:eastAsia="zh-CN"/>
        </w:rPr>
        <w:t>、后勤</w:t>
      </w:r>
      <w:r>
        <w:rPr>
          <w:rFonts w:hint="eastAsia" w:ascii="仿宋_GB2312" w:hAnsi="仿宋" w:eastAsia="仿宋_GB2312"/>
          <w:sz w:val="32"/>
          <w:szCs w:val="32"/>
          <w:lang w:val="en-US" w:eastAsia="zh-CN"/>
        </w:rPr>
        <w:t>办公室</w:t>
      </w:r>
      <w:r>
        <w:rPr>
          <w:rFonts w:hint="eastAsia" w:ascii="仿宋_GB2312" w:hAnsi="仿宋" w:eastAsia="仿宋_GB2312"/>
          <w:sz w:val="32"/>
          <w:szCs w:val="32"/>
          <w:lang w:eastAsia="zh-CN"/>
        </w:rPr>
        <w:t>等部门。</w:t>
      </w:r>
    </w:p>
    <w:bookmarkEnd w:id="14"/>
    <w:bookmarkEnd w:id="15"/>
    <w:p>
      <w:pPr>
        <w:pStyle w:val="4"/>
        <w:ind w:firstLine="440" w:firstLineChars="100"/>
        <w:rPr>
          <w:rStyle w:val="29"/>
          <w:rFonts w:ascii="黑体" w:hAnsi="黑体" w:eastAsia="黑体"/>
          <w:b w:val="0"/>
          <w:bCs/>
          <w:sz w:val="44"/>
          <w:szCs w:val="44"/>
        </w:rPr>
      </w:pPr>
      <w:bookmarkStart w:id="16" w:name="_Toc15396602"/>
      <w:bookmarkStart w:id="17" w:name="_Toc15377204"/>
      <w:r>
        <w:rPr>
          <w:rFonts w:hint="eastAsia" w:ascii="黑体" w:hAnsi="黑体" w:eastAsia="黑体"/>
          <w:b w:val="0"/>
          <w:sz w:val="44"/>
          <w:szCs w:val="44"/>
        </w:rPr>
        <w:t>第二部分 2023年度</w:t>
      </w:r>
      <w:r>
        <w:rPr>
          <w:rStyle w:val="29"/>
          <w:rFonts w:hint="eastAsia" w:ascii="黑体" w:hAnsi="黑体" w:eastAsia="黑体"/>
          <w:b w:val="0"/>
          <w:bCs/>
          <w:sz w:val="44"/>
          <w:szCs w:val="44"/>
        </w:rPr>
        <w:t>单位决算情况说明</w:t>
      </w:r>
      <w:bookmarkEnd w:id="16"/>
      <w:bookmarkEnd w:id="17"/>
    </w:p>
    <w:p>
      <w:pPr>
        <w:pStyle w:val="28"/>
        <w:numPr>
          <w:ilvl w:val="0"/>
          <w:numId w:val="0"/>
        </w:numPr>
        <w:spacing w:line="600" w:lineRule="exact"/>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lang w:val="en-US" w:eastAsia="zh-CN"/>
        </w:rPr>
        <w:t>一、</w:t>
      </w:r>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262.37</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26.98</w:t>
      </w:r>
      <w:r>
        <w:rPr>
          <w:rFonts w:hint="eastAsia" w:ascii="仿宋" w:hAnsi="仿宋" w:eastAsia="仿宋"/>
          <w:sz w:val="32"/>
          <w:szCs w:val="32"/>
        </w:rPr>
        <w:t>万元，下降</w:t>
      </w:r>
      <w:r>
        <w:rPr>
          <w:rFonts w:hint="eastAsia" w:ascii="仿宋" w:hAnsi="仿宋" w:eastAsia="仿宋"/>
          <w:sz w:val="32"/>
          <w:szCs w:val="32"/>
          <w:lang w:val="en-US" w:eastAsia="zh-CN"/>
        </w:rPr>
        <w:t>9.32</w:t>
      </w:r>
      <w:r>
        <w:rPr>
          <w:rFonts w:ascii="仿宋" w:hAnsi="仿宋" w:eastAsia="仿宋"/>
          <w:sz w:val="32"/>
          <w:szCs w:val="32"/>
        </w:rPr>
        <w:t>%</w:t>
      </w:r>
      <w:r>
        <w:rPr>
          <w:rFonts w:hint="eastAsia" w:ascii="仿宋" w:hAnsi="仿宋" w:eastAsia="仿宋"/>
          <w:sz w:val="32"/>
          <w:szCs w:val="32"/>
        </w:rPr>
        <w:t>。主要变动原因是财政经费发生变化。</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420" w:firstLineChars="200"/>
        <w:rPr>
          <w:rFonts w:hint="eastAsia" w:ascii="仿宋" w:hAnsi="仿宋" w:eastAsia="仿宋"/>
          <w:sz w:val="32"/>
          <w:szCs w:val="32"/>
        </w:rPr>
      </w:pPr>
      <w:r>
        <w:drawing>
          <wp:anchor distT="0" distB="0" distL="114300" distR="114300" simplePos="0" relativeHeight="251662336"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hrough wrapText="bothSides">
              <wp:wrapPolygon>
                <wp:start x="-21" y="-35"/>
                <wp:lineTo x="-21" y="21565"/>
                <wp:lineTo x="21579" y="21565"/>
                <wp:lineTo x="21579" y="-35"/>
                <wp:lineTo x="-21" y="-35"/>
              </wp:wrapPolygon>
            </wp:wrapThrough>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0"/>
        </w:numPr>
        <w:spacing w:line="600" w:lineRule="exact"/>
        <w:ind w:firstLine="320" w:firstLineChars="10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262.37</w:t>
      </w:r>
      <w:r>
        <w:rPr>
          <w:rFonts w:hint="eastAsia" w:ascii="仿宋" w:hAnsi="仿宋" w:eastAsia="仿宋"/>
          <w:sz w:val="32"/>
          <w:szCs w:val="32"/>
        </w:rPr>
        <w:t>万元，其中：一般公共预算财政拨款收入</w:t>
      </w:r>
      <w:r>
        <w:rPr>
          <w:rFonts w:ascii="仿宋" w:hAnsi="仿宋" w:eastAsia="仿宋"/>
          <w:b/>
          <w:sz w:val="32"/>
          <w:szCs w:val="32"/>
        </w:rPr>
        <w:t>262.37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w:t>
      </w: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0" w:firstLineChars="200"/>
        <w:outlineLvl w:val="1"/>
        <w:rPr>
          <w:rFonts w:hint="eastAsia" w:ascii="仿宋" w:hAnsi="仿宋" w:eastAsia="仿宋"/>
          <w:b/>
          <w:sz w:val="32"/>
          <w:szCs w:val="32"/>
        </w:rPr>
      </w:pPr>
      <w:r>
        <w:rPr>
          <w:rFonts w:hint="eastAsia" w:ascii="仿宋_GB2312" w:eastAsia="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412750</wp:posOffset>
            </wp:positionH>
            <wp:positionV relativeFrom="paragraph">
              <wp:posOffset>-9213215</wp:posOffset>
            </wp:positionV>
            <wp:extent cx="4676775" cy="2828925"/>
            <wp:effectExtent l="0" t="0" r="9525" b="9525"/>
            <wp:wrapSquare wrapText="bothSides"/>
            <wp:docPr id="2" name="图片 8" descr="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222222222"/>
                    <pic:cNvPicPr>
                      <a:picLocks noChangeAspect="1"/>
                    </pic:cNvPicPr>
                  </pic:nvPicPr>
                  <pic:blipFill>
                    <a:blip r:embed="rId7"/>
                    <a:stretch>
                      <a:fillRect/>
                    </a:stretch>
                  </pic:blipFill>
                  <pic:spPr>
                    <a:xfrm>
                      <a:off x="0" y="0"/>
                      <a:ext cx="4676775" cy="2828925"/>
                    </a:xfrm>
                    <a:prstGeom prst="rect">
                      <a:avLst/>
                    </a:prstGeom>
                    <a:noFill/>
                    <a:ln>
                      <a:noFill/>
                    </a:ln>
                  </pic:spPr>
                </pic:pic>
              </a:graphicData>
            </a:graphic>
          </wp:anchor>
        </w:drawing>
      </w: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1600" w:firstLineChars="500"/>
        <w:outlineLvl w:val="1"/>
        <w:rPr>
          <w:rFonts w:hint="eastAsia" w:ascii="仿宋" w:hAnsi="仿宋" w:eastAsia="仿宋"/>
          <w:sz w:val="32"/>
          <w:szCs w:val="32"/>
        </w:rPr>
      </w:pPr>
      <w:r>
        <w:rPr>
          <w:rFonts w:hint="eastAsia" w:ascii="仿宋" w:hAnsi="仿宋" w:eastAsia="仿宋"/>
          <w:sz w:val="32"/>
          <w:szCs w:val="32"/>
        </w:rPr>
        <w:t>（</w:t>
      </w:r>
    </w:p>
    <w:p>
      <w:pPr>
        <w:spacing w:line="600" w:lineRule="exact"/>
        <w:ind w:left="1277" w:leftChars="608" w:firstLine="0" w:firstLineChars="0"/>
        <w:outlineLvl w:val="1"/>
        <w:rPr>
          <w:rFonts w:ascii="仿宋" w:hAnsi="仿宋" w:eastAsia="仿宋"/>
          <w:sz w:val="32"/>
          <w:szCs w:val="32"/>
        </w:rPr>
      </w:pPr>
      <w:r>
        <w:rPr>
          <w:rFonts w:hint="eastAsia" w:ascii="仿宋" w:hAnsi="仿宋" w:eastAsia="仿宋"/>
          <w:sz w:val="32"/>
          <w:szCs w:val="32"/>
          <w:lang w:val="en-US" w:eastAsia="zh-CN"/>
        </w:rPr>
        <w:t>（图</w:t>
      </w:r>
      <w:r>
        <w:rPr>
          <w:rFonts w:hint="eastAsia" w:ascii="仿宋" w:hAnsi="仿宋" w:eastAsia="仿宋"/>
          <w:sz w:val="32"/>
          <w:szCs w:val="32"/>
        </w:rPr>
        <w:t>2：收入决算结构图）（饼状图）</w:t>
      </w:r>
    </w:p>
    <w:p>
      <w:pPr>
        <w:pStyle w:val="28"/>
        <w:numPr>
          <w:ilvl w:val="0"/>
          <w:numId w:val="0"/>
        </w:numPr>
        <w:spacing w:line="600" w:lineRule="exact"/>
        <w:ind w:firstLine="640" w:firstLineChars="20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262.37</w:t>
      </w:r>
      <w:r>
        <w:rPr>
          <w:rFonts w:hint="eastAsia" w:ascii="仿宋" w:hAnsi="仿宋" w:eastAsia="仿宋"/>
          <w:sz w:val="32"/>
          <w:szCs w:val="32"/>
        </w:rPr>
        <w:t>万元，其中：基本支出</w:t>
      </w:r>
      <w:r>
        <w:rPr>
          <w:rFonts w:ascii="仿宋" w:hAnsi="仿宋" w:eastAsia="仿宋"/>
          <w:b/>
          <w:sz w:val="32"/>
          <w:szCs w:val="32"/>
        </w:rPr>
        <w:t>235.6</w:t>
      </w:r>
      <w:r>
        <w:rPr>
          <w:rFonts w:hint="eastAsia" w:ascii="仿宋" w:hAnsi="仿宋" w:eastAsia="仿宋"/>
          <w:sz w:val="32"/>
          <w:szCs w:val="32"/>
        </w:rPr>
        <w:t>万元，占</w:t>
      </w:r>
      <w:r>
        <w:rPr>
          <w:rFonts w:ascii="仿宋" w:hAnsi="仿宋" w:eastAsia="仿宋"/>
          <w:b/>
          <w:sz w:val="32"/>
          <w:szCs w:val="32"/>
        </w:rPr>
        <w:t>89.79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26.77</w:t>
      </w:r>
      <w:r>
        <w:rPr>
          <w:rFonts w:hint="eastAsia" w:ascii="仿宋" w:hAnsi="仿宋" w:eastAsia="仿宋"/>
          <w:sz w:val="32"/>
          <w:szCs w:val="32"/>
        </w:rPr>
        <w:t>万元，占</w:t>
      </w:r>
      <w:r>
        <w:rPr>
          <w:rFonts w:ascii="仿宋" w:hAnsi="仿宋" w:eastAsia="仿宋"/>
          <w:b/>
          <w:sz w:val="32"/>
          <w:szCs w:val="32"/>
        </w:rPr>
        <w:t>10.2</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643" w:firstLineChars="200"/>
        <w:outlineLvl w:val="1"/>
        <w:rPr>
          <w:rFonts w:hint="eastAsia" w:ascii="仿宋" w:hAnsi="仿宋" w:eastAsia="仿宋"/>
          <w:b/>
          <w:sz w:val="32"/>
          <w:szCs w:val="32"/>
        </w:rPr>
      </w:pPr>
    </w:p>
    <w:p>
      <w:pPr>
        <w:spacing w:line="600" w:lineRule="exact"/>
        <w:ind w:firstLine="420" w:firstLineChars="200"/>
        <w:outlineLvl w:val="1"/>
        <w:rPr>
          <w:rFonts w:hint="eastAsia" w:ascii="仿宋" w:hAnsi="仿宋" w:eastAsia="仿宋"/>
          <w:b/>
          <w:sz w:val="32"/>
          <w:szCs w:val="32"/>
        </w:rPr>
      </w:pPr>
      <w:r>
        <w:drawing>
          <wp:anchor distT="0" distB="0" distL="114300" distR="114300" simplePos="0" relativeHeight="251659264"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hrough wrapText="bothSides">
              <wp:wrapPolygon>
                <wp:start x="-21" y="-35"/>
                <wp:lineTo x="-21" y="21565"/>
                <wp:lineTo x="21579" y="21565"/>
                <wp:lineTo x="21579" y="-35"/>
                <wp:lineTo x="-21" y="-35"/>
              </wp:wrapPolygon>
            </wp:wrapThrough>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2023年度财政拨款收、支总计均为</w:t>
      </w:r>
      <w:r>
        <w:rPr>
          <w:rFonts w:ascii="仿宋" w:hAnsi="仿宋" w:eastAsia="仿宋"/>
          <w:b/>
          <w:sz w:val="32"/>
          <w:szCs w:val="32"/>
        </w:rPr>
        <w:t>262.37</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26.98</w:t>
      </w:r>
      <w:r>
        <w:rPr>
          <w:rFonts w:hint="eastAsia" w:ascii="仿宋" w:hAnsi="仿宋" w:eastAsia="仿宋"/>
          <w:sz w:val="32"/>
          <w:szCs w:val="32"/>
        </w:rPr>
        <w:t>万元，下降</w:t>
      </w:r>
      <w:r>
        <w:rPr>
          <w:rFonts w:hint="eastAsia" w:ascii="仿宋" w:hAnsi="仿宋" w:eastAsia="仿宋"/>
          <w:sz w:val="32"/>
          <w:szCs w:val="32"/>
          <w:lang w:val="en-US" w:eastAsia="zh-CN"/>
        </w:rPr>
        <w:t>9.32</w:t>
      </w:r>
      <w:r>
        <w:rPr>
          <w:rFonts w:ascii="仿宋" w:hAnsi="仿宋" w:eastAsia="仿宋"/>
          <w:sz w:val="32"/>
          <w:szCs w:val="32"/>
        </w:rPr>
        <w:t>%</w:t>
      </w:r>
      <w:r>
        <w:rPr>
          <w:rFonts w:hint="eastAsia" w:ascii="仿宋" w:hAnsi="仿宋" w:eastAsia="仿宋"/>
          <w:sz w:val="32"/>
          <w:szCs w:val="32"/>
        </w:rPr>
        <w:t>。主要变动原因是财政经费发生变化</w:t>
      </w:r>
      <w:r>
        <w:rPr>
          <w:rFonts w:hint="eastAsia" w:ascii="仿宋" w:hAnsi="仿宋" w:eastAsia="仿宋"/>
          <w:sz w:val="32"/>
          <w:szCs w:val="32"/>
          <w:lang w:eastAsia="zh-CN"/>
        </w:rPr>
        <w:t>。</w:t>
      </w:r>
    </w:p>
    <w:p>
      <w:pPr>
        <w:spacing w:line="600" w:lineRule="exact"/>
        <w:ind w:firstLine="640"/>
        <w:rPr>
          <w:rFonts w:hint="eastAsia" w:ascii="仿宋" w:hAnsi="仿宋" w:eastAsia="仿宋"/>
          <w:b/>
          <w:sz w:val="32"/>
          <w:szCs w:val="32"/>
        </w:rPr>
      </w:pPr>
      <w:r>
        <w:drawing>
          <wp:anchor distT="0" distB="0" distL="114300" distR="114300" simplePos="0" relativeHeight="251664384" behindDoc="1" locked="0" layoutInCell="1" allowOverlap="1">
            <wp:simplePos x="0" y="0"/>
            <wp:positionH relativeFrom="column">
              <wp:posOffset>531495</wp:posOffset>
            </wp:positionH>
            <wp:positionV relativeFrom="paragraph">
              <wp:posOffset>80645</wp:posOffset>
            </wp:positionV>
            <wp:extent cx="4572000" cy="2743200"/>
            <wp:effectExtent l="4445" t="4445" r="14605" b="14605"/>
            <wp:wrapThrough wrapText="bothSides">
              <wp:wrapPolygon>
                <wp:start x="-21" y="-35"/>
                <wp:lineTo x="-21" y="21565"/>
                <wp:lineTo x="21579" y="21565"/>
                <wp:lineTo x="21579" y="-35"/>
                <wp:lineTo x="-21" y="-35"/>
              </wp:wrapPolygon>
            </wp:wrapThrough>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2023年度一般公共预算财政拨款支出</w:t>
      </w:r>
      <w:r>
        <w:rPr>
          <w:rFonts w:ascii="仿宋" w:hAnsi="仿宋" w:eastAsia="仿宋"/>
          <w:b/>
          <w:sz w:val="32"/>
          <w:szCs w:val="32"/>
        </w:rPr>
        <w:t>262.37</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26.98</w:t>
      </w:r>
      <w:r>
        <w:rPr>
          <w:rFonts w:hint="eastAsia" w:ascii="仿宋" w:hAnsi="仿宋" w:eastAsia="仿宋"/>
          <w:sz w:val="32"/>
          <w:szCs w:val="32"/>
        </w:rPr>
        <w:t>万元，下降</w:t>
      </w:r>
      <w:r>
        <w:rPr>
          <w:rFonts w:hint="eastAsia" w:ascii="仿宋" w:hAnsi="仿宋" w:eastAsia="仿宋"/>
          <w:sz w:val="32"/>
          <w:szCs w:val="32"/>
          <w:lang w:val="en-US" w:eastAsia="zh-CN"/>
        </w:rPr>
        <w:t>9.32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人员经费</w:t>
      </w:r>
      <w:r>
        <w:rPr>
          <w:rFonts w:hint="eastAsia" w:ascii="仿宋" w:hAnsi="仿宋" w:eastAsia="仿宋"/>
          <w:color w:val="auto"/>
          <w:sz w:val="32"/>
          <w:szCs w:val="32"/>
          <w:highlight w:val="none"/>
          <w:lang w:val="en-US" w:eastAsia="zh-CN"/>
        </w:rPr>
        <w:t>和</w:t>
      </w:r>
      <w:r>
        <w:rPr>
          <w:rFonts w:hint="eastAsia" w:ascii="仿宋" w:hAnsi="仿宋" w:eastAsia="仿宋"/>
          <w:color w:val="auto"/>
          <w:sz w:val="32"/>
          <w:szCs w:val="32"/>
          <w:highlight w:val="none"/>
          <w:lang w:eastAsia="zh-CN"/>
        </w:rPr>
        <w:t>工资福利</w:t>
      </w:r>
      <w:r>
        <w:rPr>
          <w:rFonts w:hint="eastAsia" w:ascii="仿宋" w:hAnsi="仿宋" w:eastAsia="仿宋"/>
          <w:color w:val="auto"/>
          <w:sz w:val="32"/>
          <w:szCs w:val="32"/>
          <w:highlight w:val="none"/>
          <w:lang w:val="en-US" w:eastAsia="zh-CN"/>
        </w:rPr>
        <w:t>减少减少</w:t>
      </w:r>
      <w:r>
        <w:rPr>
          <w:rFonts w:hint="eastAsia" w:ascii="仿宋" w:hAnsi="仿宋" w:eastAsia="仿宋"/>
          <w:color w:val="auto"/>
          <w:sz w:val="32"/>
          <w:szCs w:val="32"/>
          <w:highlight w:val="none"/>
          <w:lang w:eastAsia="zh-CN"/>
        </w:rPr>
        <w:t>。</w:t>
      </w:r>
    </w:p>
    <w:p>
      <w:pPr>
        <w:spacing w:line="600" w:lineRule="exact"/>
        <w:ind w:firstLine="640"/>
        <w:rPr>
          <w:rFonts w:hint="eastAsia" w:ascii="仿宋" w:hAnsi="仿宋" w:eastAsia="仿宋"/>
          <w:b/>
          <w:sz w:val="32"/>
          <w:szCs w:val="32"/>
        </w:rPr>
      </w:pPr>
      <w:r>
        <w:drawing>
          <wp:anchor distT="0" distB="0" distL="114300" distR="114300" simplePos="0" relativeHeight="251660288" behindDoc="1" locked="0" layoutInCell="1" allowOverlap="1">
            <wp:simplePos x="0" y="0"/>
            <wp:positionH relativeFrom="column">
              <wp:posOffset>734060</wp:posOffset>
            </wp:positionH>
            <wp:positionV relativeFrom="paragraph">
              <wp:posOffset>49530</wp:posOffset>
            </wp:positionV>
            <wp:extent cx="4187825" cy="2200275"/>
            <wp:effectExtent l="4445" t="4445" r="17780" b="5080"/>
            <wp:wrapThrough wrapText="bothSides">
              <wp:wrapPolygon>
                <wp:start x="-23" y="-44"/>
                <wp:lineTo x="-23" y="21463"/>
                <wp:lineTo x="21495" y="21463"/>
                <wp:lineTo x="21495" y="-44"/>
                <wp:lineTo x="-23" y="-44"/>
              </wp:wrapPolygon>
            </wp:wrapThrough>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262.37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209.02</w:t>
      </w:r>
      <w:r>
        <w:rPr>
          <w:rFonts w:hint="eastAsia" w:ascii="仿宋" w:hAnsi="仿宋" w:eastAsia="仿宋"/>
          <w:sz w:val="32"/>
          <w:szCs w:val="32"/>
        </w:rPr>
        <w:t>万元，占</w:t>
      </w:r>
      <w:r>
        <w:rPr>
          <w:rFonts w:hint="eastAsia" w:ascii="仿宋" w:hAnsi="仿宋" w:eastAsia="仿宋"/>
          <w:sz w:val="32"/>
          <w:szCs w:val="32"/>
          <w:lang w:val="en-US" w:eastAsia="zh-CN"/>
        </w:rPr>
        <w:t>79.67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23.54</w:t>
      </w:r>
      <w:r>
        <w:rPr>
          <w:rFonts w:hint="eastAsia" w:ascii="仿宋" w:hAnsi="仿宋" w:eastAsia="仿宋"/>
          <w:sz w:val="32"/>
          <w:szCs w:val="32"/>
        </w:rPr>
        <w:t>万元，占</w:t>
      </w:r>
      <w:r>
        <w:rPr>
          <w:rFonts w:hint="eastAsia" w:ascii="仿宋" w:hAnsi="仿宋" w:eastAsia="仿宋"/>
          <w:sz w:val="32"/>
          <w:szCs w:val="32"/>
          <w:lang w:val="en-US" w:eastAsia="zh-CN"/>
        </w:rPr>
        <w:t>8.97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10.37</w:t>
      </w:r>
      <w:r>
        <w:rPr>
          <w:rFonts w:hint="eastAsia" w:ascii="仿宋" w:hAnsi="仿宋" w:eastAsia="仿宋"/>
          <w:sz w:val="32"/>
          <w:szCs w:val="32"/>
        </w:rPr>
        <w:t>万元，占</w:t>
      </w:r>
      <w:r>
        <w:rPr>
          <w:rFonts w:hint="eastAsia" w:ascii="仿宋" w:hAnsi="仿宋" w:eastAsia="仿宋"/>
          <w:sz w:val="32"/>
          <w:szCs w:val="32"/>
          <w:lang w:val="en-US" w:eastAsia="zh-CN"/>
        </w:rPr>
        <w:t>3.95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19.44</w:t>
      </w:r>
      <w:r>
        <w:rPr>
          <w:rFonts w:hint="eastAsia" w:ascii="仿宋" w:hAnsi="仿宋" w:eastAsia="仿宋"/>
          <w:sz w:val="32"/>
          <w:szCs w:val="32"/>
        </w:rPr>
        <w:t>万元，占</w:t>
      </w:r>
      <w:r>
        <w:rPr>
          <w:rFonts w:hint="eastAsia" w:ascii="仿宋" w:hAnsi="仿宋" w:eastAsia="仿宋"/>
          <w:sz w:val="32"/>
          <w:szCs w:val="32"/>
          <w:lang w:val="en-US" w:eastAsia="zh-CN"/>
        </w:rPr>
        <w:t>7.41</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b/>
          <w:sz w:val="32"/>
          <w:szCs w:val="32"/>
        </w:rPr>
      </w:pPr>
    </w:p>
    <w:p>
      <w:pPr>
        <w:spacing w:line="600" w:lineRule="exact"/>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pStyle w:val="2"/>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-2453005</wp:posOffset>
            </wp:positionV>
            <wp:extent cx="4572000" cy="2743200"/>
            <wp:effectExtent l="4445" t="4445" r="14605" b="14605"/>
            <wp:wrapThrough wrapText="bothSides">
              <wp:wrapPolygon>
                <wp:start x="-21" y="-35"/>
                <wp:lineTo x="-21" y="21565"/>
                <wp:lineTo x="21579" y="21565"/>
                <wp:lineTo x="21579" y="-35"/>
                <wp:lineTo x="-21" y="-35"/>
              </wp:wrapPolygon>
            </wp:wrapThrough>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rFonts w:ascii="仿宋" w:hAnsi="仿宋" w:eastAsia="仿宋"/>
          <w:b/>
          <w:sz w:val="32"/>
          <w:szCs w:val="32"/>
        </w:rPr>
        <w:t>262.37</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numPr>
          <w:ilvl w:val="0"/>
          <w:numId w:val="2"/>
        </w:num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rPr>
        <w:t>教育支出</w:t>
      </w:r>
      <w:r>
        <w:rPr>
          <w:rStyle w:val="18"/>
          <w:rFonts w:hint="eastAsia" w:ascii="仿宋" w:hAnsi="仿宋" w:eastAsia="仿宋"/>
          <w:bCs/>
          <w:sz w:val="32"/>
          <w:szCs w:val="32"/>
          <w:lang w:val="en-US" w:eastAsia="zh-CN"/>
        </w:rPr>
        <w:t>205</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02</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01</w:t>
      </w:r>
      <w:r>
        <w:rPr>
          <w:rStyle w:val="18"/>
          <w:rFonts w:hint="eastAsia" w:ascii="仿宋" w:hAnsi="仿宋" w:eastAsia="仿宋"/>
          <w:bCs/>
          <w:sz w:val="32"/>
          <w:szCs w:val="32"/>
        </w:rPr>
        <w:t>学前教育（项）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195.14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lang w:eastAsia="zh-CN"/>
        </w:rPr>
        <w:t>学前教育</w:t>
      </w:r>
      <w:r>
        <w:rPr>
          <w:rStyle w:val="18"/>
          <w:rFonts w:hint="eastAsia" w:ascii="仿宋" w:hAnsi="仿宋" w:eastAsia="仿宋"/>
          <w:b w:val="0"/>
          <w:bCs/>
          <w:color w:val="000000"/>
          <w:sz w:val="32"/>
          <w:szCs w:val="32"/>
          <w:lang w:val="en-US" w:eastAsia="zh-CN"/>
        </w:rPr>
        <w:t>基本工资、津贴补贴、绩效工资</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lang w:val="en-US" w:eastAsia="zh-CN"/>
        </w:rPr>
        <w:t>其他工资福利支出、办公费、印刷费、手续费、水费、电费、邮电费、物业管理费、旅差费、维修（护）费、租赁费、培训费等</w:t>
      </w:r>
      <w:r>
        <w:rPr>
          <w:rStyle w:val="18"/>
          <w:rFonts w:hint="eastAsia" w:ascii="仿宋" w:hAnsi="仿宋" w:eastAsia="仿宋"/>
          <w:b w:val="0"/>
          <w:bCs/>
          <w:color w:val="000000"/>
          <w:sz w:val="32"/>
          <w:szCs w:val="32"/>
          <w:lang w:eastAsia="zh-CN"/>
        </w:rPr>
        <w:t>。</w:t>
      </w:r>
    </w:p>
    <w:p>
      <w:pPr>
        <w:numPr>
          <w:ilvl w:val="0"/>
          <w:numId w:val="0"/>
        </w:numPr>
        <w:spacing w:line="600" w:lineRule="exact"/>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val="0"/>
          <w:bCs/>
          <w:color w:val="000000"/>
          <w:sz w:val="32"/>
          <w:szCs w:val="32"/>
          <w:lang w:val="en-US" w:eastAsia="zh-CN"/>
        </w:rPr>
        <w:t>2.教育费附加安排的支出205</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09</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w:t>
      </w:r>
      <w:r>
        <w:rPr>
          <w:rStyle w:val="18"/>
          <w:rFonts w:hint="eastAsia" w:ascii="仿宋" w:hAnsi="仿宋" w:eastAsia="仿宋"/>
          <w:b w:val="0"/>
          <w:bCs/>
          <w:color w:val="000000"/>
          <w:sz w:val="32"/>
          <w:szCs w:val="32"/>
          <w:lang w:val="en-US" w:eastAsia="zh-CN"/>
        </w:rPr>
        <w:t>教育费附加安排的支出99</w:t>
      </w:r>
      <w:r>
        <w:rPr>
          <w:rStyle w:val="18"/>
          <w:rFonts w:hint="eastAsia" w:ascii="仿宋" w:hAnsi="仿宋" w:eastAsia="仿宋"/>
          <w:bCs/>
          <w:sz w:val="32"/>
          <w:szCs w:val="32"/>
        </w:rPr>
        <w:t>（项）</w:t>
      </w:r>
      <w:r>
        <w:rPr>
          <w:rStyle w:val="18"/>
          <w:rFonts w:hint="eastAsia" w:ascii="仿宋" w:hAnsi="仿宋" w:eastAsia="仿宋"/>
          <w:bCs/>
          <w:color w:val="000000"/>
          <w:sz w:val="32"/>
          <w:szCs w:val="32"/>
          <w:lang w:val="en-US" w:eastAsia="zh-CN"/>
        </w:rPr>
        <w:t>2023年</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13.88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lang w:val="en-US" w:eastAsia="zh-CN"/>
        </w:rPr>
        <w:t>维修（护）费。</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val="en-US" w:eastAsia="zh-CN"/>
        </w:rPr>
        <w:t>208</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行政事业单位养老</w:t>
      </w:r>
      <w:r>
        <w:rPr>
          <w:rStyle w:val="18"/>
          <w:rFonts w:hint="eastAsia" w:ascii="仿宋" w:hAnsi="仿宋" w:eastAsia="仿宋"/>
          <w:bCs/>
          <w:sz w:val="32"/>
          <w:szCs w:val="32"/>
        </w:rPr>
        <w:t>支出</w:t>
      </w:r>
      <w:r>
        <w:rPr>
          <w:rStyle w:val="18"/>
          <w:rFonts w:hint="eastAsia" w:ascii="仿宋" w:hAnsi="仿宋" w:eastAsia="仿宋"/>
          <w:bCs/>
          <w:sz w:val="32"/>
          <w:szCs w:val="32"/>
          <w:lang w:val="en-US" w:eastAsia="zh-CN"/>
        </w:rPr>
        <w:t>05</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机关事业单位基本养老保险缴费</w:t>
      </w:r>
      <w:r>
        <w:rPr>
          <w:rStyle w:val="18"/>
          <w:rFonts w:hint="eastAsia" w:ascii="仿宋" w:hAnsi="仿宋" w:eastAsia="仿宋"/>
          <w:bCs/>
          <w:sz w:val="32"/>
          <w:szCs w:val="32"/>
        </w:rPr>
        <w:t>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b/>
          <w:bCs/>
          <w:sz w:val="32"/>
          <w:szCs w:val="32"/>
          <w:lang w:val="en-US" w:eastAsia="zh-CN"/>
        </w:rPr>
        <w:t>22.45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，机关事业单位基本养老保险缴费</w:t>
      </w:r>
      <w:r>
        <w:rPr>
          <w:rStyle w:val="18"/>
          <w:rFonts w:hint="eastAsia" w:ascii="仿宋" w:hAnsi="仿宋" w:eastAsia="仿宋"/>
          <w:b w:val="0"/>
          <w:bCs/>
          <w:sz w:val="32"/>
          <w:szCs w:val="32"/>
          <w:lang w:eastAsia="zh-CN"/>
        </w:rPr>
        <w:t>。</w:t>
      </w:r>
    </w:p>
    <w:p>
      <w:pPr>
        <w:pStyle w:val="13"/>
        <w:ind w:firstLine="640" w:firstLineChars="200"/>
        <w:rPr>
          <w:rFonts w:hint="default" w:eastAsia="仿宋"/>
          <w:lang w:val="en-US" w:eastAsia="zh-CN"/>
        </w:rPr>
      </w:pPr>
      <w:r>
        <w:rPr>
          <w:rStyle w:val="18"/>
          <w:rFonts w:hint="eastAsia" w:ascii="仿宋" w:hAnsi="仿宋" w:eastAsia="仿宋"/>
          <w:b w:val="0"/>
          <w:bCs/>
          <w:sz w:val="32"/>
          <w:szCs w:val="32"/>
          <w:lang w:val="en-US" w:eastAsia="zh-CN"/>
        </w:rPr>
        <w:t>4.</w:t>
      </w:r>
      <w:r>
        <w:rPr>
          <w:rStyle w:val="18"/>
          <w:rFonts w:hint="eastAsia" w:ascii="仿宋" w:hAnsi="仿宋" w:eastAsia="仿宋"/>
          <w:bCs/>
          <w:sz w:val="32"/>
          <w:szCs w:val="32"/>
        </w:rPr>
        <w:t>社会保障和就业</w:t>
      </w:r>
      <w:r>
        <w:rPr>
          <w:rStyle w:val="18"/>
          <w:rFonts w:hint="eastAsia" w:ascii="仿宋" w:hAnsi="仿宋" w:eastAsia="仿宋"/>
          <w:bCs/>
          <w:sz w:val="32"/>
          <w:szCs w:val="32"/>
          <w:lang w:val="en-US" w:eastAsia="zh-CN"/>
        </w:rPr>
        <w:t>208</w:t>
      </w:r>
      <w:r>
        <w:rPr>
          <w:rStyle w:val="18"/>
          <w:rFonts w:hint="eastAsia" w:ascii="仿宋" w:hAnsi="仿宋" w:eastAsia="仿宋"/>
          <w:bCs/>
          <w:sz w:val="32"/>
          <w:szCs w:val="32"/>
        </w:rPr>
        <w:t>（类）</w:t>
      </w:r>
      <w:r>
        <w:rPr>
          <w:rStyle w:val="18"/>
          <w:rFonts w:hint="eastAsia" w:ascii="仿宋" w:hAnsi="仿宋" w:eastAsia="仿宋"/>
          <w:b w:val="0"/>
          <w:bCs/>
          <w:sz w:val="32"/>
          <w:szCs w:val="32"/>
          <w:lang w:val="en-US" w:eastAsia="zh-CN"/>
        </w:rPr>
        <w:t>其他社会保障和就业支出99</w:t>
      </w:r>
      <w:r>
        <w:rPr>
          <w:rStyle w:val="18"/>
          <w:rFonts w:hint="eastAsia" w:ascii="仿宋" w:hAnsi="仿宋" w:eastAsia="仿宋"/>
          <w:bCs/>
          <w:sz w:val="32"/>
          <w:szCs w:val="32"/>
        </w:rPr>
        <w:t>（款）其他社会保障和就业支出</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rPr>
        <w:t>（项）</w:t>
      </w:r>
      <w:r>
        <w:rPr>
          <w:rStyle w:val="18"/>
          <w:rFonts w:hint="eastAsia" w:ascii="仿宋" w:hAnsi="仿宋" w:eastAsia="仿宋"/>
          <w:b w:val="0"/>
          <w:bCs/>
          <w:sz w:val="32"/>
          <w:szCs w:val="32"/>
        </w:rPr>
        <w:t>支出决算为</w:t>
      </w:r>
      <w:r>
        <w:rPr>
          <w:rFonts w:hint="eastAsia" w:ascii="仿宋" w:hAnsi="仿宋" w:eastAsia="仿宋"/>
          <w:b/>
          <w:bCs/>
          <w:sz w:val="32"/>
          <w:szCs w:val="32"/>
          <w:lang w:val="en-US" w:eastAsia="zh-CN"/>
        </w:rPr>
        <w:t>1.08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，其他社会保障缴费</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Fonts w:hint="eastAsia" w:ascii="仿宋" w:hAnsi="仿宋" w:eastAsia="仿宋"/>
          <w:b/>
          <w:bCs/>
          <w:sz w:val="32"/>
          <w:szCs w:val="32"/>
        </w:rPr>
        <w:t>卫生健康210</w:t>
      </w:r>
      <w:r>
        <w:rPr>
          <w:rStyle w:val="18"/>
          <w:rFonts w:hint="eastAsia" w:ascii="仿宋" w:hAnsi="仿宋" w:eastAsia="仿宋"/>
          <w:bCs/>
          <w:sz w:val="32"/>
          <w:szCs w:val="32"/>
        </w:rPr>
        <w:t>（类）行政事业单位医疗</w:t>
      </w:r>
      <w:r>
        <w:rPr>
          <w:rStyle w:val="18"/>
          <w:rFonts w:hint="eastAsia" w:ascii="仿宋" w:hAnsi="仿宋" w:eastAsia="仿宋"/>
          <w:bCs/>
          <w:sz w:val="32"/>
          <w:szCs w:val="32"/>
          <w:lang w:val="en-US" w:eastAsia="zh-CN"/>
        </w:rPr>
        <w:t>11</w:t>
      </w:r>
      <w:r>
        <w:rPr>
          <w:rStyle w:val="18"/>
          <w:rFonts w:hint="eastAsia" w:ascii="仿宋" w:hAnsi="仿宋" w:eastAsia="仿宋"/>
          <w:bCs/>
          <w:sz w:val="32"/>
          <w:szCs w:val="32"/>
        </w:rPr>
        <w:t>（款）事业单位医疗</w:t>
      </w:r>
      <w:r>
        <w:rPr>
          <w:rStyle w:val="18"/>
          <w:rFonts w:hint="eastAsia" w:ascii="仿宋" w:hAnsi="仿宋" w:eastAsia="仿宋"/>
          <w:bCs/>
          <w:sz w:val="32"/>
          <w:szCs w:val="32"/>
          <w:lang w:val="en-US" w:eastAsia="zh-CN"/>
        </w:rPr>
        <w:t>02</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10.37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，职工基本医疗保险缴费</w:t>
      </w:r>
      <w:r>
        <w:rPr>
          <w:rStyle w:val="18"/>
          <w:rFonts w:hint="eastAsia" w:ascii="仿宋" w:hAnsi="仿宋" w:eastAsia="仿宋"/>
          <w:b w:val="0"/>
          <w:bCs/>
          <w:sz w:val="32"/>
          <w:szCs w:val="32"/>
          <w:lang w:eastAsia="zh-CN"/>
        </w:rPr>
        <w:t>。</w:t>
      </w:r>
    </w:p>
    <w:p>
      <w:p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rPr>
        <w:t>住房保障221</w:t>
      </w:r>
      <w:r>
        <w:rPr>
          <w:rStyle w:val="18"/>
          <w:rFonts w:hint="eastAsia" w:ascii="仿宋" w:hAnsi="仿宋" w:eastAsia="仿宋"/>
          <w:bCs/>
          <w:sz w:val="32"/>
          <w:szCs w:val="32"/>
        </w:rPr>
        <w:t>（类）住房改革支出</w:t>
      </w:r>
      <w:r>
        <w:rPr>
          <w:rStyle w:val="18"/>
          <w:rFonts w:hint="eastAsia" w:ascii="仿宋" w:hAnsi="仿宋" w:eastAsia="仿宋"/>
          <w:bCs/>
          <w:sz w:val="32"/>
          <w:szCs w:val="32"/>
          <w:lang w:val="en-US" w:eastAsia="zh-CN"/>
        </w:rPr>
        <w:t>02</w:t>
      </w:r>
      <w:r>
        <w:rPr>
          <w:rStyle w:val="18"/>
          <w:rFonts w:hint="eastAsia" w:ascii="仿宋" w:hAnsi="仿宋" w:eastAsia="仿宋"/>
          <w:bCs/>
          <w:sz w:val="32"/>
          <w:szCs w:val="32"/>
        </w:rPr>
        <w:t>（款）住房公积金</w:t>
      </w:r>
      <w:r>
        <w:rPr>
          <w:rStyle w:val="18"/>
          <w:rFonts w:hint="eastAsia" w:ascii="仿宋" w:hAnsi="仿宋" w:eastAsia="仿宋"/>
          <w:bCs/>
          <w:sz w:val="32"/>
          <w:szCs w:val="32"/>
          <w:lang w:val="en-US" w:eastAsia="zh-CN"/>
        </w:rPr>
        <w:t>01</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19.44</w:t>
      </w:r>
      <w:r>
        <w:rPr>
          <w:rFonts w:hint="eastAsia" w:ascii="仿宋" w:hAnsi="仿宋" w:eastAsia="仿宋"/>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，住房公积金</w:t>
      </w:r>
      <w:r>
        <w:rPr>
          <w:rStyle w:val="18"/>
          <w:rFonts w:hint="eastAsia" w:ascii="仿宋" w:hAnsi="仿宋" w:eastAsia="仿宋"/>
          <w:b w:val="0"/>
          <w:bCs/>
          <w:sz w:val="32"/>
          <w:szCs w:val="32"/>
          <w:lang w:eastAsia="zh-CN"/>
        </w:rPr>
        <w:t>。</w:t>
      </w:r>
    </w:p>
    <w:p>
      <w:pPr>
        <w:tabs>
          <w:tab w:val="right" w:pos="8306"/>
        </w:tabs>
        <w:spacing w:line="600" w:lineRule="exact"/>
        <w:ind w:firstLine="640" w:firstLineChars="20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235.6</w:t>
      </w:r>
      <w:r>
        <w:rPr>
          <w:rFonts w:hint="eastAsia" w:ascii="仿宋" w:hAnsi="仿宋" w:eastAsia="仿宋"/>
          <w:b/>
          <w:sz w:val="32"/>
          <w:szCs w:val="32"/>
          <w:lang w:val="en-US" w:eastAsia="zh-CN"/>
        </w:rPr>
        <w:t>1</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220.53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15.08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bookmarkStart w:id="39" w:name="_Toc15396610"/>
      <w:bookmarkStart w:id="40" w:name="_Toc15377218"/>
      <w:r>
        <w:rPr>
          <w:rFonts w:hint="eastAsia" w:ascii="仿宋" w:hAnsi="仿宋" w:eastAsia="仿宋"/>
          <w:b/>
          <w:sz w:val="32"/>
          <w:szCs w:val="32"/>
        </w:rPr>
        <w:t>（一）“三公”经费财政拨款支出决算总体情况说明</w:t>
      </w:r>
      <w:bookmarkEnd w:id="38"/>
    </w:p>
    <w:p>
      <w:pPr>
        <w:spacing w:line="600" w:lineRule="exact"/>
        <w:ind w:firstLine="640"/>
        <w:outlineLvl w:val="2"/>
        <w:rPr>
          <w:rFonts w:hint="eastAsia" w:ascii="仿宋" w:hAnsi="仿宋" w:eastAsia="仿宋"/>
          <w:sz w:val="32"/>
          <w:szCs w:val="32"/>
          <w:lang w:val="en-US" w:eastAsia="zh-CN"/>
        </w:rPr>
      </w:pPr>
      <w:bookmarkStart w:id="41"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eastAsia="宋体" w:cs="宋体"/>
          <w:sz w:val="24"/>
          <w:szCs w:val="24"/>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Cs/>
          <w:sz w:val="32"/>
          <w:szCs w:val="32"/>
        </w:rPr>
        <w:t>完成预算</w:t>
      </w:r>
      <w:r>
        <w:rPr>
          <w:sz w:val="32"/>
          <w:szCs w:val="32"/>
        </w:rPr>
        <w:t>0</w:t>
      </w:r>
      <w:r>
        <w:rPr>
          <w:rStyle w:val="18"/>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8"/>
          <w:rFonts w:hint="eastAsia" w:ascii="仿宋" w:hAnsi="仿宋" w:eastAsia="仿宋"/>
          <w:bCs/>
          <w:sz w:val="32"/>
          <w:szCs w:val="32"/>
        </w:rPr>
        <w:t>完成预算</w:t>
      </w:r>
      <w:r>
        <w:rPr>
          <w:sz w:val="32"/>
          <w:szCs w:val="32"/>
        </w:rPr>
        <w:t>0</w:t>
      </w:r>
      <w:r>
        <w:rPr>
          <w:rStyle w:val="18"/>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numPr>
          <w:ilvl w:val="0"/>
          <w:numId w:val="3"/>
        </w:numPr>
        <w:spacing w:line="600" w:lineRule="exact"/>
        <w:ind w:firstLine="640"/>
        <w:rPr>
          <w:rFonts w:hint="eastAsia"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w:t>
      </w:r>
      <w:r>
        <w:rPr>
          <w:rFonts w:hint="eastAsia" w:ascii="仿宋_GB2312" w:eastAsia="仿宋_GB2312"/>
          <w:b/>
          <w:sz w:val="32"/>
          <w:szCs w:val="32"/>
          <w:lang w:val="en-US" w:eastAsia="zh-CN"/>
        </w:rPr>
        <w:t>100</w:t>
      </w:r>
      <w:r>
        <w:rPr>
          <w:rFonts w:hint="eastAsia" w:ascii="仿宋_GB2312" w:eastAsia="仿宋_GB2312"/>
          <w:b/>
          <w:sz w:val="32"/>
          <w:szCs w:val="32"/>
        </w:rPr>
        <w:t>%。公务接待费支出决算与2022年度持平。其中：</w:t>
      </w:r>
    </w:p>
    <w:p>
      <w:pPr>
        <w:numPr>
          <w:ilvl w:val="0"/>
          <w:numId w:val="0"/>
        </w:num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外事接待支出0万元。外事接待0批次，0人次（不包括陪同人员），共计支出0万元。</w:t>
      </w:r>
    </w:p>
    <w:p>
      <w:pPr>
        <w:spacing w:line="600" w:lineRule="exact"/>
        <w:ind w:firstLine="640" w:firstLineChars="20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color w:val="auto"/>
          <w:sz w:val="32"/>
          <w:szCs w:val="32"/>
        </w:rPr>
      </w:pPr>
      <w:bookmarkStart w:id="42" w:name="_Toc15396611"/>
      <w:bookmarkStart w:id="43" w:name="_Toc15377219"/>
      <w:r>
        <w:rPr>
          <w:rFonts w:ascii="仿宋_GB2312" w:eastAsia="仿宋_GB2312"/>
          <w:color w:val="auto"/>
          <w:sz w:val="32"/>
          <w:szCs w:val="32"/>
        </w:rPr>
        <w:t>20</w:t>
      </w:r>
      <w:r>
        <w:rPr>
          <w:rFonts w:hint="eastAsia" w:ascii="仿宋_GB2312" w:eastAsia="仿宋_GB2312"/>
          <w:color w:val="auto"/>
          <w:sz w:val="32"/>
          <w:szCs w:val="32"/>
        </w:rPr>
        <w:t>23年政府性基金预算财政拨款支出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0"/>
        </w:numPr>
        <w:spacing w:line="600" w:lineRule="exact"/>
        <w:ind w:firstLine="640" w:firstLineChars="200"/>
        <w:outlineLvl w:val="1"/>
        <w:rPr>
          <w:rStyle w:val="30"/>
          <w:rFonts w:ascii="黑体" w:hAnsi="黑体" w:eastAsia="黑体"/>
          <w:b w:val="0"/>
        </w:rPr>
      </w:pPr>
      <w:r>
        <w:rPr>
          <w:rStyle w:val="30"/>
          <w:rFonts w:hint="eastAsia" w:ascii="黑体" w:hAnsi="黑体" w:eastAsia="黑体"/>
          <w:b w:val="0"/>
          <w:lang w:val="en-US" w:eastAsia="zh-CN"/>
        </w:rPr>
        <w:t>九、</w:t>
      </w:r>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numPr>
          <w:ilvl w:val="0"/>
          <w:numId w:val="0"/>
        </w:numPr>
        <w:spacing w:line="600" w:lineRule="exact"/>
        <w:ind w:firstLine="640" w:firstLineChars="20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lang w:val="en-US" w:eastAsia="zh-CN"/>
        </w:rPr>
        <w:t>十、</w:t>
      </w:r>
      <w:r>
        <w:rPr>
          <w:rStyle w:val="30"/>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auto"/>
          <w:sz w:val="32"/>
          <w:szCs w:val="32"/>
        </w:rPr>
        <w:t>遂宁市安居区</w:t>
      </w:r>
      <w:r>
        <w:rPr>
          <w:rFonts w:hint="eastAsia" w:ascii="仿宋_GB2312" w:eastAsia="仿宋_GB2312"/>
          <w:color w:val="auto"/>
          <w:sz w:val="32"/>
          <w:szCs w:val="32"/>
          <w:lang w:val="en-US" w:eastAsia="zh-CN"/>
        </w:rPr>
        <w:t>玉丰镇中心</w:t>
      </w:r>
      <w:r>
        <w:rPr>
          <w:rFonts w:hint="eastAsia" w:ascii="仿宋_GB2312" w:eastAsia="仿宋_GB2312"/>
          <w:color w:val="auto"/>
          <w:sz w:val="32"/>
          <w:szCs w:val="32"/>
        </w:rPr>
        <w:t>幼儿园机</w:t>
      </w:r>
      <w:r>
        <w:rPr>
          <w:rFonts w:hint="eastAsia" w:ascii="仿宋_GB2312" w:eastAsia="仿宋_GB2312"/>
          <w:sz w:val="32"/>
          <w:szCs w:val="32"/>
        </w:rPr>
        <w:t>关运行经费支出0万元。与2022年度决算数持平。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2023年度，</w:t>
      </w:r>
      <w:r>
        <w:rPr>
          <w:rFonts w:hint="eastAsia" w:ascii="仿宋_GB2312" w:eastAsia="仿宋_GB2312"/>
          <w:color w:val="auto"/>
          <w:sz w:val="32"/>
          <w:szCs w:val="32"/>
        </w:rPr>
        <w:t>遂宁市安居区</w:t>
      </w:r>
      <w:r>
        <w:rPr>
          <w:rFonts w:hint="eastAsia" w:ascii="仿宋_GB2312" w:eastAsia="仿宋_GB2312"/>
          <w:color w:val="auto"/>
          <w:sz w:val="32"/>
          <w:szCs w:val="32"/>
          <w:lang w:val="en-US" w:eastAsia="zh-CN"/>
        </w:rPr>
        <w:t>玉丰镇中心</w:t>
      </w:r>
      <w:r>
        <w:rPr>
          <w:rFonts w:hint="eastAsia" w:ascii="仿宋_GB2312" w:eastAsia="仿宋_GB2312"/>
          <w:color w:val="auto"/>
          <w:sz w:val="32"/>
          <w:szCs w:val="32"/>
        </w:rPr>
        <w:t>幼儿园</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color w:val="auto"/>
          <w:sz w:val="32"/>
          <w:szCs w:val="32"/>
        </w:rPr>
        <w:t>遂宁市安居区</w:t>
      </w:r>
      <w:r>
        <w:rPr>
          <w:rFonts w:hint="eastAsia" w:ascii="仿宋_GB2312" w:eastAsia="仿宋_GB2312"/>
          <w:color w:val="auto"/>
          <w:sz w:val="32"/>
          <w:szCs w:val="32"/>
          <w:lang w:val="en-US" w:eastAsia="zh-CN"/>
        </w:rPr>
        <w:t>玉丰镇中心</w:t>
      </w:r>
      <w:r>
        <w:rPr>
          <w:rFonts w:hint="eastAsia" w:ascii="仿宋_GB2312" w:eastAsia="仿宋_GB2312"/>
          <w:color w:val="auto"/>
          <w:sz w:val="32"/>
          <w:szCs w:val="32"/>
        </w:rPr>
        <w:t>幼儿园</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pStyle w:val="4"/>
        <w:rPr>
          <w:rFonts w:eastAsia="仿宋"/>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highlight w:val="none"/>
        </w:rPr>
      </w:pPr>
      <w:bookmarkStart w:id="51" w:name="_Toc15396614"/>
      <w:bookmarkStart w:id="52"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 w:hAnsi="仿宋" w:eastAsia="仿宋"/>
          <w:sz w:val="32"/>
          <w:szCs w:val="32"/>
        </w:rPr>
        <w:t>学前教育保教费收入</w:t>
      </w:r>
      <w:r>
        <w:rPr>
          <w:rFonts w:hint="eastAsia" w:ascii="仿宋_GB2312" w:eastAsia="仿宋_GB2312"/>
          <w:color w:val="auto"/>
          <w:sz w:val="32"/>
          <w:szCs w:val="32"/>
          <w:highlight w:val="none"/>
        </w:rPr>
        <w:t>等。</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hint="eastAsia" w:ascii="仿宋" w:hAnsi="仿宋" w:eastAsia="仿宋"/>
          <w:sz w:val="32"/>
          <w:szCs w:val="32"/>
        </w:rPr>
        <w:t>主要是利息收入、捐赠收入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 w:hAnsi="仿宋" w:eastAsia="仿宋"/>
          <w:sz w:val="32"/>
          <w:szCs w:val="32"/>
        </w:rPr>
        <w:t>一般公共服务（201类）政府办公厅（室）及相关机构事务（03款）其他政府办公厅（室）及相关机构事务支出（99项）</w:t>
      </w:r>
      <w:r>
        <w:rPr>
          <w:rFonts w:ascii="仿宋" w:hAnsi="仿宋" w:eastAsia="仿宋"/>
          <w:sz w:val="32"/>
          <w:szCs w:val="32"/>
        </w:rPr>
        <w:t xml:space="preserve">: </w:t>
      </w:r>
      <w:r>
        <w:rPr>
          <w:rFonts w:hint="eastAsia" w:ascii="仿宋" w:hAnsi="仿宋" w:eastAsia="仿宋"/>
          <w:sz w:val="32"/>
          <w:szCs w:val="32"/>
        </w:rPr>
        <w:t>反映除上述项目以外的其它政府办公厅（室）及相关机构事务支出。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 w:hAnsi="仿宋" w:eastAsia="仿宋"/>
          <w:sz w:val="32"/>
          <w:szCs w:val="32"/>
        </w:rPr>
        <w:t>一般公共服务（201类）知识产权事务（14款）专利试点和产业化推进（06项）</w:t>
      </w:r>
      <w:r>
        <w:rPr>
          <w:rFonts w:ascii="仿宋" w:hAnsi="仿宋" w:eastAsia="仿宋"/>
          <w:sz w:val="32"/>
          <w:szCs w:val="32"/>
        </w:rPr>
        <w:t xml:space="preserve">: </w:t>
      </w:r>
      <w:r>
        <w:rPr>
          <w:rFonts w:hint="eastAsia" w:ascii="仿宋" w:hAnsi="仿宋" w:eastAsia="仿宋"/>
          <w:sz w:val="32"/>
          <w:szCs w:val="32"/>
        </w:rPr>
        <w:t>反映专利分类试点以及实施国家专利产业化工程、扶植拥有自主知识产权的新技术及其产业化等方面的支出。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 w:hAnsi="仿宋" w:eastAsia="仿宋"/>
          <w:sz w:val="32"/>
          <w:szCs w:val="32"/>
        </w:rPr>
        <w:t>教育（205类）教育管理事务（01款）行政运行（01项）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反映行政单位（包括实行公务员管理的事业单位）的基本支出。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 w:hAnsi="仿宋" w:eastAsia="仿宋"/>
          <w:sz w:val="32"/>
          <w:szCs w:val="32"/>
        </w:rPr>
        <w:t>教育（205类）教育管理事务（01款）一般行政管理事务（02项）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反映行政单位（包括实行公务员管理的事业单位）未单独设置项级科目的其</w:t>
      </w:r>
      <w:r>
        <w:rPr>
          <w:rFonts w:hint="eastAsia" w:ascii="仿宋" w:hAnsi="仿宋" w:eastAsia="仿宋"/>
          <w:sz w:val="32"/>
          <w:szCs w:val="32"/>
          <w:lang w:val="en-US" w:eastAsia="zh-CN"/>
        </w:rPr>
        <w:t>他</w:t>
      </w:r>
      <w:r>
        <w:rPr>
          <w:rFonts w:hint="eastAsia" w:ascii="仿宋" w:hAnsi="仿宋" w:eastAsia="仿宋"/>
          <w:sz w:val="32"/>
          <w:szCs w:val="32"/>
        </w:rPr>
        <w:t>项目支出。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 w:hAnsi="仿宋" w:eastAsia="仿宋"/>
          <w:sz w:val="32"/>
          <w:szCs w:val="32"/>
        </w:rPr>
        <w:t>教育（205类）教育管理事务（01款）其他教育管理事务支出（99项）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用于教育管理事务方面的支出。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 w:hAnsi="仿宋" w:eastAsia="仿宋"/>
          <w:sz w:val="32"/>
          <w:szCs w:val="32"/>
        </w:rPr>
        <w:t>教育（205类）普通教育（02款）小学教育（02项）</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11.</w:t>
      </w:r>
      <w:r>
        <w:rPr>
          <w:rFonts w:hint="eastAsia" w:ascii="仿宋" w:hAnsi="仿宋" w:eastAsia="仿宋"/>
          <w:sz w:val="32"/>
          <w:szCs w:val="32"/>
        </w:rPr>
        <w:t>教育（205类）普通教育（02款）其他普通教育支出（99项）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用于普通教育方面的支出。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12.</w:t>
      </w:r>
      <w:r>
        <w:rPr>
          <w:rFonts w:hint="eastAsia" w:ascii="仿宋" w:hAnsi="仿宋" w:eastAsia="仿宋"/>
          <w:sz w:val="32"/>
          <w:szCs w:val="32"/>
        </w:rPr>
        <w:t>教育（205类）其他教育支出（</w:t>
      </w:r>
      <w:r>
        <w:rPr>
          <w:rFonts w:hint="eastAsia" w:ascii="仿宋" w:hAnsi="仿宋" w:eastAsia="仿宋"/>
          <w:sz w:val="32"/>
          <w:szCs w:val="32"/>
          <w:lang w:val="en-US" w:eastAsia="zh-CN"/>
        </w:rPr>
        <w:t>0</w:t>
      </w:r>
      <w:r>
        <w:rPr>
          <w:rFonts w:hint="eastAsia" w:ascii="仿宋" w:hAnsi="仿宋" w:eastAsia="仿宋"/>
          <w:sz w:val="32"/>
          <w:szCs w:val="32"/>
        </w:rPr>
        <w:t>9款）其他教育支出（99项）</w:t>
      </w:r>
      <w:r>
        <w:rPr>
          <w:rFonts w:ascii="仿宋" w:hAnsi="仿宋" w:eastAsia="仿宋"/>
          <w:sz w:val="32"/>
          <w:szCs w:val="32"/>
        </w:rPr>
        <w:t xml:space="preserve">: </w:t>
      </w:r>
      <w:r>
        <w:rPr>
          <w:rFonts w:hint="eastAsia" w:ascii="仿宋" w:hAnsi="仿宋" w:eastAsia="仿宋"/>
          <w:sz w:val="32"/>
          <w:szCs w:val="32"/>
        </w:rPr>
        <w:t>反映除上述项目以外其他教育费附加安排的支出。</w:t>
      </w:r>
    </w:p>
    <w:p>
      <w:pPr>
        <w:ind w:firstLine="640" w:firstLineChars="200"/>
        <w:rPr>
          <w:rFonts w:hint="eastAsia" w:ascii="仿宋" w:hAnsi="仿宋" w:eastAsia="仿宋"/>
          <w:sz w:val="32"/>
          <w:szCs w:val="32"/>
        </w:rPr>
      </w:pPr>
      <w:r>
        <w:rPr>
          <w:rFonts w:hint="eastAsia" w:ascii="仿宋_GB2312" w:eastAsia="仿宋_GB2312"/>
          <w:color w:val="auto"/>
          <w:sz w:val="32"/>
          <w:szCs w:val="32"/>
          <w:highlight w:val="none"/>
          <w:lang w:val="en-US" w:eastAsia="zh-CN"/>
        </w:rPr>
        <w:t>13.</w:t>
      </w:r>
      <w:r>
        <w:rPr>
          <w:rFonts w:hint="eastAsia" w:ascii="仿宋" w:hAnsi="仿宋" w:eastAsia="仿宋"/>
          <w:sz w:val="32"/>
          <w:szCs w:val="32"/>
        </w:rPr>
        <w:t>教育（205类）其他教育支出（99款）其他教育支出（99项）</w:t>
      </w:r>
      <w:r>
        <w:rPr>
          <w:rFonts w:ascii="仿宋" w:hAnsi="仿宋" w:eastAsia="仿宋"/>
          <w:sz w:val="32"/>
          <w:szCs w:val="32"/>
        </w:rPr>
        <w:t xml:space="preserve">: </w:t>
      </w:r>
      <w:r>
        <w:rPr>
          <w:rFonts w:hint="eastAsia" w:ascii="仿宋" w:hAnsi="仿宋" w:eastAsia="仿宋"/>
          <w:sz w:val="32"/>
          <w:szCs w:val="32"/>
        </w:rPr>
        <w:t>反映除上述项目以外其</w:t>
      </w:r>
      <w:r>
        <w:rPr>
          <w:rFonts w:hint="eastAsia" w:ascii="仿宋" w:hAnsi="仿宋" w:eastAsia="仿宋"/>
          <w:sz w:val="32"/>
          <w:szCs w:val="32"/>
          <w:lang w:val="en-US" w:eastAsia="zh-CN"/>
        </w:rPr>
        <w:t>他</w:t>
      </w:r>
      <w:r>
        <w:rPr>
          <w:rFonts w:hint="eastAsia" w:ascii="仿宋" w:hAnsi="仿宋" w:eastAsia="仿宋"/>
          <w:sz w:val="32"/>
          <w:szCs w:val="32"/>
        </w:rPr>
        <w:t>教育方面的支出。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社会保障和就业（208类）行政事业单位养老支出（05款）事业单位离退休（0</w:t>
      </w:r>
      <w:r>
        <w:rPr>
          <w:rFonts w:hint="eastAsia" w:ascii="仿宋" w:hAnsi="仿宋" w:eastAsia="仿宋"/>
          <w:sz w:val="32"/>
          <w:szCs w:val="32"/>
          <w:lang w:val="en-US" w:eastAsia="zh-CN"/>
        </w:rPr>
        <w:t>2</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反映机关事业单位实施事业单位离退支出。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社会保障和就业（208类）行政事业单位养老支出（05款）机关事业单位基本养老保险缴费支出（05项）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社会保障和就业（208类）行政事业单位养老支出（05款）其他行政事业单位养老支出（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反映机关事业单位实施养老保险制度其他行政事业单位养老支出支出。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17.</w:t>
      </w:r>
      <w:r>
        <w:rPr>
          <w:rFonts w:hint="eastAsia" w:ascii="仿宋" w:hAnsi="仿宋" w:eastAsia="仿宋"/>
          <w:sz w:val="32"/>
          <w:szCs w:val="32"/>
        </w:rPr>
        <w:t>社会保障和就业（208类）其他社会保障和就业支出（99款）其他社会保障和就业支出（</w:t>
      </w:r>
      <w:r>
        <w:rPr>
          <w:rFonts w:hint="eastAsia" w:ascii="仿宋" w:hAnsi="仿宋" w:eastAsia="仿宋"/>
          <w:sz w:val="32"/>
          <w:szCs w:val="32"/>
          <w:lang w:val="en-US" w:eastAsia="zh-CN"/>
        </w:rPr>
        <w:t>99</w:t>
      </w:r>
      <w:r>
        <w:rPr>
          <w:rFonts w:hint="eastAsia" w:ascii="仿宋" w:hAnsi="仿宋" w:eastAsia="仿宋"/>
          <w:sz w:val="32"/>
          <w:szCs w:val="32"/>
        </w:rPr>
        <w:t>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 w:hAnsi="仿宋" w:eastAsia="仿宋"/>
          <w:sz w:val="32"/>
          <w:szCs w:val="32"/>
        </w:rPr>
        <w:t>卫生健康支出（210类）行政事业单位医疗（11款）事业单位医疗（02项）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ascii="仿宋" w:hAnsi="仿宋" w:eastAsia="仿宋"/>
          <w:sz w:val="32"/>
          <w:szCs w:val="32"/>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24</w:t>
      </w:r>
      <w:r>
        <w:rPr>
          <w:rFonts w:hint="eastAsia" w:ascii="仿宋" w:hAnsi="仿宋" w:eastAsia="仿宋"/>
          <w:sz w:val="32"/>
          <w:szCs w:val="32"/>
        </w:rPr>
        <w:t>.工资福利：反映单位开支的在职职工和编制外长期聘用人员的各类劳动报酬，以及为上述人员缴纳的各项社会保险费等。</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25</w:t>
      </w:r>
      <w:r>
        <w:rPr>
          <w:rFonts w:hint="eastAsia" w:ascii="仿宋" w:hAnsi="仿宋" w:eastAsia="仿宋"/>
          <w:sz w:val="32"/>
          <w:szCs w:val="32"/>
        </w:rPr>
        <w:t>.商品和服务：反映单位购买商品和服务的支出，不包括用于购置固定资产、战略性和应急性物资储备等资本支出。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26</w:t>
      </w:r>
      <w:r>
        <w:rPr>
          <w:rFonts w:hint="eastAsia" w:ascii="仿宋" w:hAnsi="仿宋" w:eastAsia="仿宋"/>
          <w:sz w:val="32"/>
          <w:szCs w:val="32"/>
        </w:rPr>
        <w:t>.对个人和家庭的补助：反映政府用于对个</w:t>
      </w:r>
      <w:r>
        <w:rPr>
          <w:rFonts w:hint="eastAsia" w:ascii="仿宋" w:hAnsi="仿宋" w:eastAsia="仿宋"/>
          <w:sz w:val="32"/>
          <w:szCs w:val="32"/>
          <w:lang w:val="en-US" w:eastAsia="zh-CN"/>
        </w:rPr>
        <w:t>人</w:t>
      </w:r>
      <w:r>
        <w:rPr>
          <w:rFonts w:hint="eastAsia" w:ascii="仿宋" w:hAnsi="仿宋" w:eastAsia="仿宋"/>
          <w:sz w:val="32"/>
          <w:szCs w:val="32"/>
        </w:rPr>
        <w:t>和家庭的补助支出。</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US" w:eastAsia="zh-CN"/>
        </w:rPr>
        <w:t>27</w:t>
      </w:r>
      <w:r>
        <w:rPr>
          <w:rFonts w:hint="eastAsia" w:ascii="仿宋" w:hAnsi="仿宋" w:eastAsia="仿宋"/>
          <w:sz w:val="32"/>
          <w:szCs w:val="32"/>
        </w:rPr>
        <w:t>.资本性支出：反映各单位安排的资本性支出。切块由发展改革部门安排的基本建设支出不在此科目反映。</w:t>
      </w:r>
    </w:p>
    <w:p>
      <w:pPr>
        <w:spacing w:line="600" w:lineRule="exact"/>
        <w:jc w:val="center"/>
        <w:outlineLvl w:val="0"/>
        <w:rPr>
          <w:rStyle w:val="29"/>
          <w:rFonts w:ascii="黑体" w:hAnsi="黑体" w:eastAsia="黑体"/>
          <w:b w:val="0"/>
        </w:rPr>
      </w:pPr>
      <w:r>
        <w:rPr>
          <w:rFonts w:ascii="宋体"/>
          <w:b/>
          <w:color w:val="auto"/>
          <w:sz w:val="44"/>
          <w:szCs w:val="44"/>
          <w:highlight w:val="none"/>
        </w:rPr>
        <w:br w:type="page"/>
      </w:r>
      <w:r>
        <w:rPr>
          <w:rFonts w:hint="eastAsia" w:ascii="黑体" w:hAnsi="黑体" w:eastAsia="黑体"/>
          <w:sz w:val="44"/>
          <w:szCs w:val="44"/>
        </w:rPr>
        <w:t>第</w:t>
      </w:r>
      <w:r>
        <w:rPr>
          <w:rStyle w:val="29"/>
          <w:rFonts w:hint="eastAsia" w:ascii="黑体" w:hAnsi="黑体" w:eastAsia="黑体"/>
          <w:b w:val="0"/>
        </w:rPr>
        <w:t>四部分 附件</w:t>
      </w:r>
      <w:bookmarkEnd w:id="51"/>
    </w:p>
    <w:p>
      <w:pPr>
        <w:spacing w:line="600" w:lineRule="exact"/>
        <w:jc w:val="center"/>
        <w:outlineLvl w:val="0"/>
        <w:rPr>
          <w:rFonts w:hint="eastAsia" w:ascii="方正小标宋_GBK" w:hAnsi="方正小标宋_GBK" w:eastAsia="方正小标宋_GBK" w:cs="方正小标宋_GBK"/>
          <w:color w:val="000000"/>
          <w:kern w:val="0"/>
          <w:sz w:val="40"/>
          <w:szCs w:val="44"/>
          <w:lang w:val="zh-CN"/>
        </w:rPr>
      </w:pPr>
      <w:r>
        <w:rPr>
          <w:rFonts w:hint="eastAsia" w:ascii="方正小标宋_GBK" w:hAnsi="方正小标宋_GBK" w:eastAsia="方正小标宋_GBK" w:cs="方正小标宋_GBK"/>
          <w:color w:val="000000"/>
          <w:kern w:val="0"/>
          <w:sz w:val="40"/>
          <w:szCs w:val="44"/>
        </w:rPr>
        <w:t>2023年部门</w:t>
      </w:r>
      <w:r>
        <w:rPr>
          <w:rFonts w:hint="eastAsia" w:ascii="方正小标宋_GBK" w:hAnsi="方正小标宋_GBK" w:eastAsia="方正小标宋_GBK" w:cs="方正小标宋_GBK"/>
          <w:color w:val="000000"/>
          <w:kern w:val="0"/>
          <w:sz w:val="40"/>
          <w:szCs w:val="44"/>
          <w:lang w:val="zh-CN"/>
        </w:rPr>
        <w:t>整体支出绩效评价报告</w:t>
      </w:r>
    </w:p>
    <w:p>
      <w:pPr>
        <w:pStyle w:val="2"/>
        <w:rPr>
          <w:rFonts w:hint="eastAsia"/>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．体艺部</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玉丰</w:t>
      </w:r>
      <w:r>
        <w:rPr>
          <w:rFonts w:hint="eastAsia" w:ascii="仿宋" w:hAnsi="仿宋" w:eastAsia="仿宋"/>
          <w:sz w:val="32"/>
          <w:szCs w:val="32"/>
        </w:rPr>
        <w:t>镇</w:t>
      </w:r>
      <w:r>
        <w:rPr>
          <w:rFonts w:hint="eastAsia" w:ascii="仿宋" w:hAnsi="仿宋" w:eastAsia="仿宋"/>
          <w:sz w:val="32"/>
          <w:szCs w:val="32"/>
          <w:lang w:eastAsia="zh-CN"/>
        </w:rPr>
        <w:t>中心</w:t>
      </w:r>
      <w:r>
        <w:rPr>
          <w:rFonts w:hint="eastAsia" w:ascii="仿宋" w:hAnsi="仿宋" w:eastAsia="仿宋"/>
          <w:sz w:val="32"/>
          <w:szCs w:val="32"/>
          <w:lang w:val="en-US" w:eastAsia="zh-CN"/>
        </w:rPr>
        <w:t>幼儿园</w:t>
      </w:r>
      <w:r>
        <w:rPr>
          <w:rFonts w:hint="eastAsia" w:ascii="仿宋" w:hAnsi="仿宋" w:eastAsia="仿宋"/>
          <w:sz w:val="32"/>
          <w:szCs w:val="32"/>
        </w:rPr>
        <w:t>共设有</w:t>
      </w:r>
      <w:r>
        <w:rPr>
          <w:rFonts w:hint="eastAsia" w:ascii="仿宋" w:hAnsi="仿宋" w:eastAsia="仿宋"/>
          <w:sz w:val="32"/>
          <w:szCs w:val="32"/>
          <w:lang w:val="en-US" w:eastAsia="zh-CN"/>
        </w:rPr>
        <w:t>6</w:t>
      </w:r>
      <w:r>
        <w:rPr>
          <w:rFonts w:hint="eastAsia" w:ascii="仿宋" w:hAnsi="仿宋" w:eastAsia="仿宋"/>
          <w:sz w:val="32"/>
          <w:szCs w:val="32"/>
        </w:rPr>
        <w:t>个内设部门。</w:t>
      </w:r>
    </w:p>
    <w:p>
      <w:pPr>
        <w:widowControl/>
        <w:adjustRightInd w:val="0"/>
        <w:snapToGrid w:val="0"/>
        <w:spacing w:line="560" w:lineRule="exact"/>
        <w:ind w:firstLine="640" w:firstLineChars="200"/>
        <w:contextualSpacing/>
        <w:jc w:val="left"/>
        <w:rPr>
          <w:rFonts w:hint="eastAsia" w:ascii="仿宋" w:hAnsi="仿宋" w:eastAsia="仿宋"/>
          <w:sz w:val="32"/>
          <w:szCs w:val="32"/>
        </w:rPr>
      </w:pP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pPr>
        <w:jc w:val="center"/>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t>行政办公室工作职责</w:t>
      </w:r>
    </w:p>
    <w:p>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做好供水、供电、医疗卫生工作，努力创造良好的生活环境，方便师生生活；定期进行卫生检查，预防事故发生，不断提高服务质量。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jc w:val="center"/>
        <w:rPr>
          <w:rFonts w:ascii="仿宋" w:hAnsi="仿宋" w:eastAsia="仿宋"/>
          <w:sz w:val="32"/>
          <w:szCs w:val="32"/>
        </w:rPr>
      </w:pPr>
    </w:p>
    <w:p>
      <w:pPr>
        <w:jc w:val="center"/>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jc w:val="center"/>
        <w:rPr>
          <w:rFonts w:hint="eastAsia"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w:t>
      </w:r>
      <w:r>
        <w:rPr>
          <w:rFonts w:hint="eastAsia" w:ascii="仿宋" w:hAnsi="仿宋" w:eastAsia="仿宋"/>
          <w:sz w:val="32"/>
          <w:szCs w:val="32"/>
          <w:lang w:val="en-US" w:eastAsia="zh-CN"/>
        </w:rPr>
        <w:t>内</w:t>
      </w:r>
      <w:r>
        <w:rPr>
          <w:rFonts w:ascii="仿宋" w:hAnsi="仿宋" w:eastAsia="仿宋"/>
          <w:sz w:val="32"/>
          <w:szCs w:val="32"/>
        </w:rPr>
        <w:t>会议布置的其</w:t>
      </w:r>
      <w:r>
        <w:rPr>
          <w:rFonts w:hint="eastAsia" w:ascii="仿宋" w:hAnsi="仿宋" w:eastAsia="仿宋"/>
          <w:sz w:val="32"/>
          <w:szCs w:val="32"/>
          <w:lang w:val="en-US" w:eastAsia="zh-CN"/>
        </w:rPr>
        <w:t>他</w:t>
      </w:r>
      <w:r>
        <w:rPr>
          <w:rFonts w:ascii="仿宋" w:hAnsi="仿宋" w:eastAsia="仿宋"/>
          <w:sz w:val="32"/>
          <w:szCs w:val="32"/>
        </w:rPr>
        <w:t>工作。</w:t>
      </w:r>
    </w:p>
    <w:p>
      <w:pPr>
        <w:jc w:val="center"/>
        <w:rPr>
          <w:rFonts w:hint="eastAsia"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pPr>
        <w:spacing w:line="580" w:lineRule="exact"/>
        <w:jc w:val="center"/>
        <w:rPr>
          <w:rFonts w:ascii="仿宋" w:hAnsi="仿宋" w:eastAsia="仿宋"/>
          <w:sz w:val="32"/>
          <w:szCs w:val="32"/>
        </w:rPr>
      </w:pPr>
    </w:p>
    <w:p>
      <w:pPr>
        <w:spacing w:line="580" w:lineRule="exact"/>
        <w:jc w:val="center"/>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r>
        <w:rPr>
          <w:rFonts w:ascii="仿宋" w:hAnsi="仿宋" w:eastAsia="仿宋"/>
          <w:sz w:val="32"/>
          <w:szCs w:val="32"/>
        </w:rPr>
        <w:t>观念，预防和减少</w:t>
      </w:r>
      <w:bookmarkStart w:id="67" w:name="_GoBack"/>
      <w:bookmarkEnd w:id="67"/>
      <w:r>
        <w:rPr>
          <w:rFonts w:ascii="仿宋" w:hAnsi="仿宋" w:eastAsia="仿宋"/>
          <w:sz w:val="32"/>
          <w:szCs w:val="32"/>
        </w:rPr>
        <w:t>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玉丰</w:t>
      </w:r>
      <w:r>
        <w:rPr>
          <w:rFonts w:hint="eastAsia" w:ascii="仿宋" w:hAnsi="仿宋" w:eastAsia="仿宋"/>
          <w:sz w:val="32"/>
          <w:szCs w:val="32"/>
        </w:rPr>
        <w:t>镇</w:t>
      </w:r>
      <w:r>
        <w:rPr>
          <w:rFonts w:hint="eastAsia" w:ascii="仿宋" w:hAnsi="仿宋" w:eastAsia="仿宋"/>
          <w:sz w:val="32"/>
          <w:szCs w:val="32"/>
          <w:lang w:eastAsia="zh-CN"/>
        </w:rPr>
        <w:t>中心</w:t>
      </w:r>
      <w:r>
        <w:rPr>
          <w:rFonts w:hint="eastAsia" w:ascii="仿宋" w:hAnsi="仿宋" w:eastAsia="仿宋"/>
          <w:sz w:val="32"/>
          <w:szCs w:val="32"/>
          <w:lang w:val="en-US" w:eastAsia="zh-CN"/>
        </w:rPr>
        <w:t>幼儿园</w:t>
      </w:r>
      <w:r>
        <w:rPr>
          <w:rFonts w:hint="eastAsia" w:ascii="仿宋" w:hAnsi="仿宋" w:eastAsia="仿宋"/>
          <w:sz w:val="32"/>
          <w:szCs w:val="32"/>
        </w:rPr>
        <w:t>年末在职教师</w:t>
      </w:r>
      <w:r>
        <w:rPr>
          <w:rFonts w:hint="eastAsia" w:ascii="仿宋" w:hAnsi="仿宋" w:eastAsia="仿宋"/>
          <w:sz w:val="32"/>
          <w:szCs w:val="32"/>
          <w:lang w:val="en-US" w:eastAsia="zh-CN"/>
        </w:rPr>
        <w:t>11</w:t>
      </w:r>
      <w:r>
        <w:rPr>
          <w:rFonts w:ascii="仿宋" w:hAnsi="仿宋" w:eastAsia="仿宋"/>
          <w:sz w:val="32"/>
          <w:szCs w:val="32"/>
        </w:rPr>
        <w:t>人</w:t>
      </w:r>
      <w:r>
        <w:rPr>
          <w:rFonts w:hint="eastAsia" w:ascii="仿宋" w:hAnsi="仿宋" w:eastAsia="仿宋"/>
          <w:sz w:val="32"/>
          <w:szCs w:val="32"/>
        </w:rPr>
        <w:t>，年末退休教师</w:t>
      </w:r>
      <w:r>
        <w:rPr>
          <w:rFonts w:hint="eastAsia" w:ascii="仿宋" w:hAnsi="仿宋" w:eastAsia="仿宋"/>
          <w:sz w:val="32"/>
          <w:szCs w:val="32"/>
          <w:lang w:val="en-US" w:eastAsia="zh-CN"/>
        </w:rPr>
        <w:t>2</w:t>
      </w:r>
      <w:r>
        <w:rPr>
          <w:rFonts w:hint="eastAsia" w:ascii="仿宋" w:hAnsi="仿宋" w:eastAsia="仿宋"/>
          <w:sz w:val="32"/>
          <w:szCs w:val="32"/>
        </w:rPr>
        <w:t>人</w:t>
      </w:r>
      <w:r>
        <w:rPr>
          <w:rFonts w:ascii="仿宋" w:hAnsi="仿宋" w:eastAsia="仿宋"/>
          <w:sz w:val="32"/>
          <w:szCs w:val="32"/>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ascii="仿宋" w:hAnsi="仿宋" w:eastAsia="仿宋"/>
          <w:b/>
          <w:sz w:val="32"/>
          <w:szCs w:val="32"/>
        </w:rPr>
        <w:t>262.37</w:t>
      </w:r>
      <w:r>
        <w:rPr>
          <w:rFonts w:hint="eastAsia" w:ascii="仿宋" w:hAnsi="仿宋" w:eastAsia="仿宋"/>
          <w:color w:val="000000"/>
          <w:sz w:val="32"/>
          <w:szCs w:val="32"/>
        </w:rPr>
        <w:t>万元，其中：一般公共预算财政拨款收入</w:t>
      </w:r>
      <w:r>
        <w:rPr>
          <w:rFonts w:ascii="仿宋" w:hAnsi="仿宋" w:eastAsia="仿宋"/>
          <w:b/>
          <w:sz w:val="32"/>
          <w:szCs w:val="32"/>
        </w:rPr>
        <w:t>262.37</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5"/>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ascii="仿宋" w:hAnsi="仿宋" w:eastAsia="仿宋"/>
          <w:b/>
          <w:sz w:val="32"/>
          <w:szCs w:val="32"/>
        </w:rPr>
        <w:t>262.37</w:t>
      </w:r>
      <w:r>
        <w:rPr>
          <w:rFonts w:hint="eastAsia" w:ascii="仿宋" w:hAnsi="仿宋" w:eastAsia="仿宋"/>
          <w:color w:val="000000"/>
          <w:sz w:val="32"/>
          <w:szCs w:val="32"/>
        </w:rPr>
        <w:t>万元，其中：教育支出</w:t>
      </w:r>
      <w:r>
        <w:rPr>
          <w:rFonts w:hint="eastAsia" w:ascii="仿宋" w:hAnsi="仿宋" w:eastAsia="仿宋"/>
          <w:sz w:val="32"/>
          <w:szCs w:val="32"/>
          <w:lang w:val="en-US" w:eastAsia="zh-CN"/>
        </w:rPr>
        <w:t>209.02</w:t>
      </w:r>
      <w:r>
        <w:rPr>
          <w:rFonts w:hint="eastAsia" w:ascii="仿宋" w:hAnsi="仿宋" w:eastAsia="仿宋"/>
          <w:color w:val="000000"/>
          <w:sz w:val="32"/>
          <w:szCs w:val="32"/>
        </w:rPr>
        <w:t>万元，占</w:t>
      </w:r>
      <w:r>
        <w:rPr>
          <w:rFonts w:hint="eastAsia" w:ascii="仿宋" w:hAnsi="仿宋" w:eastAsia="仿宋"/>
          <w:sz w:val="32"/>
          <w:szCs w:val="32"/>
          <w:lang w:val="en-US" w:eastAsia="zh-CN"/>
        </w:rPr>
        <w:t>79.67</w:t>
      </w:r>
      <w:r>
        <w:rPr>
          <w:rFonts w:ascii="仿宋" w:hAnsi="仿宋" w:eastAsia="仿宋"/>
          <w:sz w:val="32"/>
          <w:szCs w:val="32"/>
        </w:rPr>
        <w:t>%</w:t>
      </w:r>
      <w:r>
        <w:rPr>
          <w:rFonts w:hint="eastAsia" w:ascii="仿宋" w:hAnsi="仿宋" w:eastAsia="仿宋"/>
          <w:color w:val="000000"/>
          <w:sz w:val="32"/>
          <w:szCs w:val="32"/>
        </w:rPr>
        <w:t>；社会保障和就业支出</w:t>
      </w:r>
      <w:r>
        <w:rPr>
          <w:rFonts w:hint="eastAsia" w:ascii="仿宋" w:hAnsi="仿宋" w:eastAsia="仿宋"/>
          <w:b/>
          <w:bCs/>
          <w:sz w:val="32"/>
          <w:szCs w:val="32"/>
          <w:lang w:val="en-US" w:eastAsia="zh-CN"/>
        </w:rPr>
        <w:t>23.54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8.97</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sz w:val="32"/>
          <w:szCs w:val="32"/>
          <w:lang w:val="en-US" w:eastAsia="zh-CN"/>
        </w:rPr>
        <w:t>10.37</w:t>
      </w:r>
      <w:r>
        <w:rPr>
          <w:rFonts w:hint="eastAsia" w:ascii="仿宋" w:hAnsi="仿宋" w:eastAsia="仿宋"/>
          <w:color w:val="000000"/>
          <w:sz w:val="32"/>
          <w:szCs w:val="32"/>
        </w:rPr>
        <w:t>万元，占3.</w:t>
      </w:r>
      <w:r>
        <w:rPr>
          <w:rFonts w:hint="eastAsia" w:ascii="仿宋" w:hAnsi="仿宋" w:eastAsia="仿宋"/>
          <w:color w:val="000000"/>
          <w:sz w:val="32"/>
          <w:szCs w:val="32"/>
          <w:lang w:val="en-US" w:eastAsia="zh-CN"/>
        </w:rPr>
        <w:t>95</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sz w:val="32"/>
          <w:szCs w:val="32"/>
          <w:lang w:val="en-US" w:eastAsia="zh-CN"/>
        </w:rPr>
        <w:t>19.44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7.41</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玉丰</w:t>
      </w:r>
      <w:r>
        <w:rPr>
          <w:rFonts w:hint="eastAsia" w:ascii="仿宋" w:hAnsi="仿宋" w:eastAsia="仿宋"/>
          <w:sz w:val="32"/>
          <w:szCs w:val="32"/>
        </w:rPr>
        <w:t>镇</w:t>
      </w:r>
      <w:r>
        <w:rPr>
          <w:rFonts w:hint="eastAsia" w:ascii="仿宋" w:hAnsi="仿宋" w:eastAsia="仿宋"/>
          <w:sz w:val="32"/>
          <w:szCs w:val="32"/>
          <w:lang w:eastAsia="zh-CN"/>
        </w:rPr>
        <w:t>中心</w:t>
      </w:r>
      <w:r>
        <w:rPr>
          <w:rFonts w:hint="eastAsia" w:ascii="仿宋" w:hAnsi="仿宋" w:eastAsia="仿宋"/>
          <w:sz w:val="32"/>
          <w:szCs w:val="32"/>
          <w:lang w:val="en-US" w:eastAsia="zh-CN"/>
        </w:rPr>
        <w:t>幼儿园</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年度预算编制，是根据安居区财政局的安排，在区财政局</w:t>
      </w:r>
      <w:r>
        <w:rPr>
          <w:rFonts w:hint="eastAsia" w:ascii="仿宋" w:hAnsi="仿宋" w:eastAsia="仿宋"/>
          <w:sz w:val="32"/>
          <w:szCs w:val="32"/>
          <w:lang w:eastAsia="zh-CN"/>
        </w:rPr>
        <w:t>社事</w:t>
      </w:r>
      <w:r>
        <w:rPr>
          <w:rFonts w:hint="eastAsia" w:ascii="仿宋" w:hAnsi="仿宋" w:eastAsia="仿宋"/>
          <w:sz w:val="32"/>
          <w:szCs w:val="32"/>
        </w:rPr>
        <w:t>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玉丰</w:t>
      </w:r>
      <w:r>
        <w:rPr>
          <w:rFonts w:hint="eastAsia" w:ascii="仿宋" w:hAnsi="仿宋" w:eastAsia="仿宋"/>
          <w:sz w:val="32"/>
          <w:szCs w:val="32"/>
        </w:rPr>
        <w:t>镇</w:t>
      </w:r>
      <w:r>
        <w:rPr>
          <w:rFonts w:hint="eastAsia" w:ascii="仿宋" w:hAnsi="仿宋" w:eastAsia="仿宋"/>
          <w:sz w:val="32"/>
          <w:szCs w:val="32"/>
          <w:lang w:eastAsia="zh-CN"/>
        </w:rPr>
        <w:t>中心</w:t>
      </w:r>
      <w:r>
        <w:rPr>
          <w:rFonts w:hint="eastAsia" w:ascii="仿宋" w:hAnsi="仿宋" w:eastAsia="仿宋"/>
          <w:sz w:val="32"/>
          <w:szCs w:val="32"/>
          <w:lang w:val="en-US" w:eastAsia="zh-CN"/>
        </w:rPr>
        <w:t>幼儿园</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w:t>
      </w:r>
      <w:r>
        <w:rPr>
          <w:rFonts w:hint="eastAsia" w:ascii="仿宋" w:hAnsi="仿宋" w:eastAsia="仿宋"/>
          <w:sz w:val="32"/>
          <w:szCs w:val="32"/>
          <w:lang w:val="en-US" w:eastAsia="zh-CN"/>
        </w:rPr>
        <w:t>3</w:t>
      </w:r>
      <w:r>
        <w:rPr>
          <w:rFonts w:hint="eastAsia" w:ascii="仿宋" w:hAnsi="仿宋" w:eastAsia="仿宋"/>
          <w:sz w:val="32"/>
          <w:szCs w:val="32"/>
        </w:rPr>
        <w:t>年的目标任务。</w:t>
      </w:r>
    </w:p>
    <w:p>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pPr>
        <w:pStyle w:val="27"/>
        <w:spacing w:line="560" w:lineRule="exact"/>
        <w:ind w:firstLine="640" w:firstLineChars="200"/>
        <w:rPr>
          <w:rFonts w:ascii="仿宋_GB2312" w:eastAsia="仿宋_GB2312"/>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w:t>
      </w:r>
      <w:r>
        <w:rPr>
          <w:rFonts w:hint="eastAsia" w:ascii="仿宋_GB2312" w:eastAsia="仿宋_GB2312"/>
          <w:sz w:val="32"/>
          <w:szCs w:val="32"/>
          <w:lang w:val="en-US" w:eastAsia="zh-CN"/>
        </w:rPr>
        <w:t>94</w:t>
      </w:r>
      <w:r>
        <w:rPr>
          <w:rFonts w:hint="eastAsia" w:ascii="仿宋_GB2312" w:eastAsia="仿宋_GB2312"/>
          <w:sz w:val="32"/>
          <w:szCs w:val="32"/>
        </w:rPr>
        <w:t>分</w:t>
      </w:r>
      <w:r>
        <w:rPr>
          <w:rFonts w:ascii="仿宋_GB2312" w:eastAsia="仿宋_GB2312"/>
          <w:sz w:val="32"/>
          <w:szCs w:val="32"/>
        </w:rPr>
        <w:t xml:space="preserve"> 。</w:t>
      </w:r>
    </w:p>
    <w:p>
      <w:pPr>
        <w:widowControl/>
        <w:numPr>
          <w:ilvl w:val="0"/>
          <w:numId w:val="5"/>
        </w:numPr>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存在问题。</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学校地处农村，生源少。</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（四）改进建议。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p>
      <w:pPr>
        <w:pStyle w:val="2"/>
        <w:rPr>
          <w:rFonts w:hint="eastAsia"/>
        </w:rPr>
      </w:pP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b/>
          <w:bCs/>
          <w:color w:val="FF0000"/>
          <w:sz w:val="44"/>
          <w:szCs w:val="44"/>
        </w:rPr>
      </w:pPr>
      <w:bookmarkStart w:id="53" w:name="_Toc15396618"/>
      <w:r>
        <w:rPr>
          <w:rFonts w:hint="eastAsia"/>
          <w:b/>
          <w:bCs/>
          <w:sz w:val="32"/>
          <w:szCs w:val="32"/>
        </w:rPr>
        <w:t>部门预算项目支出绩效自评表（2023年度）</w:t>
      </w:r>
    </w:p>
    <w:p>
      <w:pPr>
        <w:pStyle w:val="7"/>
        <w:spacing w:line="560" w:lineRule="exact"/>
        <w:ind w:left="0" w:leftChars="0" w:firstLine="640"/>
        <w:rPr>
          <w:b/>
          <w:bCs/>
          <w:sz w:val="32"/>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9"/>
        <w:gridCol w:w="862"/>
        <w:gridCol w:w="1188"/>
        <w:gridCol w:w="400"/>
        <w:gridCol w:w="808"/>
        <w:gridCol w:w="396"/>
        <w:gridCol w:w="847"/>
        <w:gridCol w:w="487"/>
        <w:gridCol w:w="487"/>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51090422T000005735187-2020市学前教育资金｛遂财教[2019]3/104｝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4"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遂宁市安居区玉丰镇中心幼儿园部门</w:t>
            </w:r>
          </w:p>
        </w:tc>
        <w:tc>
          <w:tcPr>
            <w:tcW w:w="50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屋顶治漏及装修保证正常教学</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严格执行预算，及时申请支付资金，保障</w:t>
            </w:r>
            <w:r>
              <w:rPr>
                <w:rFonts w:hint="eastAsia" w:ascii="宋体" w:hAnsi="宋体" w:cs="宋体"/>
                <w:i w:val="0"/>
                <w:iCs w:val="0"/>
                <w:color w:val="000000"/>
                <w:kern w:val="2"/>
                <w:sz w:val="18"/>
                <w:szCs w:val="18"/>
                <w:u w:val="none"/>
                <w:lang w:val="en-US" w:eastAsia="zh-CN" w:bidi="ar-SA"/>
              </w:rPr>
              <w:t>项目</w:t>
            </w:r>
            <w:r>
              <w:rPr>
                <w:rFonts w:hint="eastAsia" w:ascii="宋体" w:hAnsi="宋体" w:eastAsia="宋体" w:cs="宋体"/>
                <w:i w:val="0"/>
                <w:iCs w:val="0"/>
                <w:color w:val="000000"/>
                <w:kern w:val="2"/>
                <w:sz w:val="18"/>
                <w:szCs w:val="18"/>
                <w:u w:val="none"/>
                <w:lang w:val="en-US" w:eastAsia="zh-CN" w:bidi="ar-SA"/>
              </w:rPr>
              <w:t>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及时申报经费，保障学校正常运转，保障</w:t>
            </w:r>
            <w:r>
              <w:rPr>
                <w:rFonts w:hint="eastAsia" w:ascii="宋体" w:hAnsi="宋体" w:cs="宋体"/>
                <w:i w:val="0"/>
                <w:iCs w:val="0"/>
                <w:color w:val="000000"/>
                <w:kern w:val="2"/>
                <w:sz w:val="18"/>
                <w:szCs w:val="18"/>
                <w:u w:val="none"/>
                <w:lang w:val="en-US" w:eastAsia="zh-CN" w:bidi="ar-SA"/>
              </w:rPr>
              <w:t>项目</w:t>
            </w:r>
            <w:r>
              <w:rPr>
                <w:rFonts w:hint="eastAsia" w:ascii="宋体" w:hAnsi="宋体" w:eastAsia="宋体" w:cs="宋体"/>
                <w:i w:val="0"/>
                <w:iCs w:val="0"/>
                <w:color w:val="000000"/>
                <w:kern w:val="2"/>
                <w:sz w:val="18"/>
                <w:szCs w:val="18"/>
                <w:u w:val="none"/>
                <w:lang w:val="en-US" w:eastAsia="zh-CN" w:bidi="ar-SA"/>
              </w:rPr>
              <w:t>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w:t>
            </w:r>
            <w:r>
              <w:rPr>
                <w:rFonts w:hint="eastAsia" w:ascii="宋体" w:hAnsi="宋体" w:cs="宋体"/>
                <w:i w:val="0"/>
                <w:iCs w:val="0"/>
                <w:color w:val="000000"/>
                <w:kern w:val="0"/>
                <w:sz w:val="18"/>
                <w:szCs w:val="18"/>
                <w:u w:val="none"/>
                <w:lang w:val="en-US" w:eastAsia="zh-CN" w:bidi="ar"/>
              </w:rPr>
              <w:t>、学生</w:t>
            </w:r>
            <w:r>
              <w:rPr>
                <w:rFonts w:ascii="宋体" w:hAnsi="宋体" w:eastAsia="宋体" w:cs="宋体"/>
                <w:i w:val="0"/>
                <w:iCs w:val="0"/>
                <w:color w:val="000000"/>
                <w:kern w:val="0"/>
                <w:sz w:val="18"/>
                <w:szCs w:val="18"/>
                <w:u w:val="none"/>
                <w:lang w:val="en-US" w:eastAsia="zh-CN" w:bidi="ar"/>
              </w:rPr>
              <w:t>满意度指标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6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根据该项目预算执行率、 绩效目标实现指标自评得分100.00分，自评等次为：优，严格执行相关政策，按要求支付，保障</w:t>
            </w:r>
            <w:r>
              <w:rPr>
                <w:rFonts w:hint="eastAsia" w:ascii="宋体" w:hAnsi="宋体" w:eastAsia="宋体" w:cs="宋体"/>
                <w:i w:val="0"/>
                <w:iCs w:val="0"/>
                <w:color w:val="000000"/>
                <w:kern w:val="2"/>
                <w:sz w:val="18"/>
                <w:szCs w:val="18"/>
                <w:u w:val="none"/>
                <w:lang w:val="en-US" w:eastAsia="zh-CN" w:bidi="ar-SA"/>
              </w:rPr>
              <w:t>项目正常开展</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iCs/>
                <w:color w:val="000000"/>
                <w:kern w:val="0"/>
                <w:sz w:val="16"/>
                <w:szCs w:val="16"/>
                <w:u w:val="none"/>
                <w:lang w:val="en-US" w:eastAsia="zh-CN" w:bidi="ar"/>
              </w:rPr>
              <w:t>已投入使用。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项目负责人：廖梅梅</w:t>
            </w:r>
          </w:p>
        </w:tc>
        <w:tc>
          <w:tcPr>
            <w:tcW w:w="25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遂宁市安居区玉丰镇中心幼儿园部门</w:t>
            </w:r>
          </w:p>
        </w:tc>
        <w:tc>
          <w:tcPr>
            <w:tcW w:w="50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遂宁市安居区玉丰镇中心幼儿园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促进附设幼儿园健康发展，提高预算编制质量，严格执行预算，</w:t>
            </w:r>
            <w:r>
              <w:rPr>
                <w:rFonts w:ascii="宋体" w:hAnsi="宋体" w:eastAsia="宋体" w:cs="宋体"/>
                <w:i w:val="0"/>
                <w:iCs w:val="0"/>
                <w:color w:val="000000"/>
                <w:kern w:val="0"/>
                <w:sz w:val="18"/>
                <w:szCs w:val="18"/>
                <w:u w:val="none"/>
                <w:lang w:val="en-US" w:eastAsia="zh-CN" w:bidi="ar"/>
              </w:rPr>
              <w:t>减少结余资金</w:t>
            </w:r>
            <w:r>
              <w:rPr>
                <w:rFonts w:hint="eastAsia" w:ascii="宋体" w:hAnsi="宋体" w:eastAsia="宋体" w:cs="宋体"/>
                <w:i w:val="0"/>
                <w:iCs w:val="0"/>
                <w:color w:val="000000"/>
                <w:kern w:val="2"/>
                <w:sz w:val="18"/>
                <w:szCs w:val="18"/>
                <w:u w:val="none"/>
                <w:lang w:val="en-US" w:eastAsia="zh-CN" w:bidi="ar-SA"/>
              </w:rPr>
              <w:t>。</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18"/>
                <w:szCs w:val="18"/>
                <w:u w:val="none"/>
                <w:lang w:val="en-US" w:eastAsia="zh-CN" w:bidi="ar-SA"/>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50.67</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50.67</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6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根据该项目预算执行率</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 xml:space="preserve"> 绩效目标实现指标自评得分100.00分</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自评等次为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优，严格执行相关政策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按要求支付</w:t>
            </w:r>
            <w:r>
              <w:rPr>
                <w:rFonts w:hint="eastAsia" w:ascii="宋体" w:hAnsi="宋体" w:eastAsia="宋体" w:cs="宋体"/>
                <w:i w:val="0"/>
                <w:iCs w:val="0"/>
                <w:color w:val="000000"/>
                <w:kern w:val="0"/>
                <w:sz w:val="18"/>
                <w:szCs w:val="18"/>
                <w:u w:val="none"/>
                <w:lang w:val="en-US" w:eastAsia="zh-CN" w:bidi="ar"/>
              </w:rPr>
              <w:t>，促进附设幼儿园健康发展。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项目负责人：廖梅梅</w:t>
            </w:r>
          </w:p>
        </w:tc>
        <w:tc>
          <w:tcPr>
            <w:tcW w:w="25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财务负责人：王多志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2"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8E96C892"/>
    <w:multiLevelType w:val="singleLevel"/>
    <w:tmpl w:val="8E96C892"/>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2D72EDE9"/>
    <w:multiLevelType w:val="singleLevel"/>
    <w:tmpl w:val="2D72EDE9"/>
    <w:lvl w:ilvl="0" w:tentative="0">
      <w:start w:val="3"/>
      <w:numFmt w:val="decimal"/>
      <w:lvlText w:val="%1."/>
      <w:lvlJc w:val="left"/>
      <w:pPr>
        <w:tabs>
          <w:tab w:val="left" w:pos="312"/>
        </w:tabs>
      </w:pPr>
    </w:lvl>
  </w:abstractNum>
  <w:abstractNum w:abstractNumId="4">
    <w:nsid w:val="6BCAC9C1"/>
    <w:multiLevelType w:val="singleLevel"/>
    <w:tmpl w:val="6BCAC9C1"/>
    <w:lvl w:ilvl="0" w:tentative="0">
      <w:start w:val="1"/>
      <w:numFmt w:val="chineseCounting"/>
      <w:suff w:val="nothing"/>
      <w:lvlText w:val="%1、"/>
      <w:lvlJc w:val="left"/>
      <w:pPr>
        <w:ind w:left="-1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0339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05241"/>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45A5"/>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1157"/>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1261"/>
    <w:rsid w:val="036916A9"/>
    <w:rsid w:val="03CC5ECA"/>
    <w:rsid w:val="03DC2831"/>
    <w:rsid w:val="05FF12E2"/>
    <w:rsid w:val="080829BC"/>
    <w:rsid w:val="081B5E94"/>
    <w:rsid w:val="09B94900"/>
    <w:rsid w:val="0A072AEE"/>
    <w:rsid w:val="0A2032A3"/>
    <w:rsid w:val="0A371854"/>
    <w:rsid w:val="0AB24F2C"/>
    <w:rsid w:val="0B0645A2"/>
    <w:rsid w:val="0B8A37D8"/>
    <w:rsid w:val="0C1002D8"/>
    <w:rsid w:val="0D5D56EF"/>
    <w:rsid w:val="0E05748E"/>
    <w:rsid w:val="0F5FFB2F"/>
    <w:rsid w:val="0FFFCF60"/>
    <w:rsid w:val="103272CC"/>
    <w:rsid w:val="10591EE1"/>
    <w:rsid w:val="10C055FF"/>
    <w:rsid w:val="111E2F24"/>
    <w:rsid w:val="118107EC"/>
    <w:rsid w:val="11CE52C6"/>
    <w:rsid w:val="11DD6519"/>
    <w:rsid w:val="144A1DD6"/>
    <w:rsid w:val="14D47A12"/>
    <w:rsid w:val="157F3010"/>
    <w:rsid w:val="15A46B90"/>
    <w:rsid w:val="1623001D"/>
    <w:rsid w:val="16BB723D"/>
    <w:rsid w:val="1745083A"/>
    <w:rsid w:val="17AD6F65"/>
    <w:rsid w:val="18015F3F"/>
    <w:rsid w:val="18F44CFE"/>
    <w:rsid w:val="190A7075"/>
    <w:rsid w:val="194C318E"/>
    <w:rsid w:val="195902A5"/>
    <w:rsid w:val="1AE81CB5"/>
    <w:rsid w:val="1BE8440E"/>
    <w:rsid w:val="1C1945A6"/>
    <w:rsid w:val="1D155CEE"/>
    <w:rsid w:val="1D744D2F"/>
    <w:rsid w:val="1FAF670B"/>
    <w:rsid w:val="1FDBBF84"/>
    <w:rsid w:val="1FF90331"/>
    <w:rsid w:val="20F57F95"/>
    <w:rsid w:val="211F05E9"/>
    <w:rsid w:val="219F5BB6"/>
    <w:rsid w:val="22081D62"/>
    <w:rsid w:val="22777E18"/>
    <w:rsid w:val="239D347E"/>
    <w:rsid w:val="23C81D43"/>
    <w:rsid w:val="23FB7CF9"/>
    <w:rsid w:val="240371BF"/>
    <w:rsid w:val="243954FA"/>
    <w:rsid w:val="24D4317A"/>
    <w:rsid w:val="24FC303A"/>
    <w:rsid w:val="253F2829"/>
    <w:rsid w:val="25711CC6"/>
    <w:rsid w:val="25C741E6"/>
    <w:rsid w:val="261F1E98"/>
    <w:rsid w:val="276F80C0"/>
    <w:rsid w:val="27842671"/>
    <w:rsid w:val="28474D20"/>
    <w:rsid w:val="28D5368A"/>
    <w:rsid w:val="2982317E"/>
    <w:rsid w:val="29FD04D3"/>
    <w:rsid w:val="2ABE7A3E"/>
    <w:rsid w:val="2AFF09B6"/>
    <w:rsid w:val="2B1E7D4C"/>
    <w:rsid w:val="2B8354F2"/>
    <w:rsid w:val="2C0C567B"/>
    <w:rsid w:val="2C7A1E78"/>
    <w:rsid w:val="2C7F4490"/>
    <w:rsid w:val="2C80668E"/>
    <w:rsid w:val="2CA234A8"/>
    <w:rsid w:val="2E4D5985"/>
    <w:rsid w:val="2EB540B0"/>
    <w:rsid w:val="2EFA178C"/>
    <w:rsid w:val="2EFDF86C"/>
    <w:rsid w:val="2F767D86"/>
    <w:rsid w:val="2F9D17E1"/>
    <w:rsid w:val="2FE40D79"/>
    <w:rsid w:val="30B46D73"/>
    <w:rsid w:val="319F7F4E"/>
    <w:rsid w:val="33371696"/>
    <w:rsid w:val="356A28F1"/>
    <w:rsid w:val="357C035A"/>
    <w:rsid w:val="35D231D8"/>
    <w:rsid w:val="368E000D"/>
    <w:rsid w:val="37460B3B"/>
    <w:rsid w:val="383D272C"/>
    <w:rsid w:val="38AB2126"/>
    <w:rsid w:val="395A3084"/>
    <w:rsid w:val="39AE70AB"/>
    <w:rsid w:val="3A116A50"/>
    <w:rsid w:val="3A215A2B"/>
    <w:rsid w:val="3A4DCE41"/>
    <w:rsid w:val="3A7737D9"/>
    <w:rsid w:val="3BCB56FA"/>
    <w:rsid w:val="3C0C0783"/>
    <w:rsid w:val="3C5D5BCE"/>
    <w:rsid w:val="3C6C2B7E"/>
    <w:rsid w:val="3DF30697"/>
    <w:rsid w:val="3EE7C2F4"/>
    <w:rsid w:val="3F141A96"/>
    <w:rsid w:val="3F371B56"/>
    <w:rsid w:val="3F792ED8"/>
    <w:rsid w:val="3F9F3A96"/>
    <w:rsid w:val="3FB55092"/>
    <w:rsid w:val="3FECA4B2"/>
    <w:rsid w:val="3FF58C48"/>
    <w:rsid w:val="40272430"/>
    <w:rsid w:val="40CF6E64"/>
    <w:rsid w:val="41366A1E"/>
    <w:rsid w:val="41C75D77"/>
    <w:rsid w:val="41F4634D"/>
    <w:rsid w:val="421019EE"/>
    <w:rsid w:val="427A361C"/>
    <w:rsid w:val="42BE4111"/>
    <w:rsid w:val="42FF6694"/>
    <w:rsid w:val="43AA1770"/>
    <w:rsid w:val="43BB74AB"/>
    <w:rsid w:val="447D6881"/>
    <w:rsid w:val="44B616E2"/>
    <w:rsid w:val="44FB6B58"/>
    <w:rsid w:val="45004DD1"/>
    <w:rsid w:val="452C1C8C"/>
    <w:rsid w:val="45FA7D5B"/>
    <w:rsid w:val="46077070"/>
    <w:rsid w:val="4698695F"/>
    <w:rsid w:val="48BF60AB"/>
    <w:rsid w:val="492E308A"/>
    <w:rsid w:val="493C27E9"/>
    <w:rsid w:val="496F39ED"/>
    <w:rsid w:val="499C7ED1"/>
    <w:rsid w:val="49FF41D3"/>
    <w:rsid w:val="4A5C292C"/>
    <w:rsid w:val="4B0632E0"/>
    <w:rsid w:val="4B976D36"/>
    <w:rsid w:val="4BC230D9"/>
    <w:rsid w:val="4BE068DB"/>
    <w:rsid w:val="4BF6002B"/>
    <w:rsid w:val="4BFFC6BE"/>
    <w:rsid w:val="4C095A4C"/>
    <w:rsid w:val="4CCD100D"/>
    <w:rsid w:val="4CE9093D"/>
    <w:rsid w:val="4ECE2238"/>
    <w:rsid w:val="4F673CE5"/>
    <w:rsid w:val="4FB94ED8"/>
    <w:rsid w:val="500267C5"/>
    <w:rsid w:val="50BA60D8"/>
    <w:rsid w:val="51334745"/>
    <w:rsid w:val="51DB4B86"/>
    <w:rsid w:val="51F64DB0"/>
    <w:rsid w:val="52892AF8"/>
    <w:rsid w:val="532729ED"/>
    <w:rsid w:val="545974F0"/>
    <w:rsid w:val="54B23402"/>
    <w:rsid w:val="552B7848"/>
    <w:rsid w:val="55333C3E"/>
    <w:rsid w:val="5560096D"/>
    <w:rsid w:val="55720393"/>
    <w:rsid w:val="558859E4"/>
    <w:rsid w:val="57B353BD"/>
    <w:rsid w:val="58F75052"/>
    <w:rsid w:val="591326B2"/>
    <w:rsid w:val="59704FCA"/>
    <w:rsid w:val="5B220213"/>
    <w:rsid w:val="5BDF3A05"/>
    <w:rsid w:val="5CA11989"/>
    <w:rsid w:val="5D89500B"/>
    <w:rsid w:val="5E892119"/>
    <w:rsid w:val="5F67802D"/>
    <w:rsid w:val="5F7DC4F2"/>
    <w:rsid w:val="5FB36814"/>
    <w:rsid w:val="5FBB8E56"/>
    <w:rsid w:val="5FFB5535"/>
    <w:rsid w:val="612D61FA"/>
    <w:rsid w:val="61B01398"/>
    <w:rsid w:val="64212D54"/>
    <w:rsid w:val="64235E10"/>
    <w:rsid w:val="645A0930"/>
    <w:rsid w:val="64CA39A1"/>
    <w:rsid w:val="65B8721D"/>
    <w:rsid w:val="669F4BA5"/>
    <w:rsid w:val="67444B7B"/>
    <w:rsid w:val="689F3B33"/>
    <w:rsid w:val="69630ADE"/>
    <w:rsid w:val="699266B6"/>
    <w:rsid w:val="69BD5F13"/>
    <w:rsid w:val="69F820EF"/>
    <w:rsid w:val="69FB0B4B"/>
    <w:rsid w:val="6B1D1948"/>
    <w:rsid w:val="6B307678"/>
    <w:rsid w:val="6B766D7C"/>
    <w:rsid w:val="6B9A5C5F"/>
    <w:rsid w:val="6BCF2A70"/>
    <w:rsid w:val="6BD626DB"/>
    <w:rsid w:val="6BFFE1FB"/>
    <w:rsid w:val="6C417326"/>
    <w:rsid w:val="6C4A05C8"/>
    <w:rsid w:val="6C4E553D"/>
    <w:rsid w:val="6C776701"/>
    <w:rsid w:val="6CB63C68"/>
    <w:rsid w:val="6D0B49F7"/>
    <w:rsid w:val="6D3B1A89"/>
    <w:rsid w:val="6D6124E4"/>
    <w:rsid w:val="6DB7D8A3"/>
    <w:rsid w:val="6DE852DE"/>
    <w:rsid w:val="6EC78701"/>
    <w:rsid w:val="6F7A5481"/>
    <w:rsid w:val="6FFE07A9"/>
    <w:rsid w:val="717D06BD"/>
    <w:rsid w:val="71BF4EC2"/>
    <w:rsid w:val="71EE3A45"/>
    <w:rsid w:val="72734D90"/>
    <w:rsid w:val="7349280F"/>
    <w:rsid w:val="73E75B71"/>
    <w:rsid w:val="7412278C"/>
    <w:rsid w:val="74B455AC"/>
    <w:rsid w:val="75DDCDA9"/>
    <w:rsid w:val="75FF44B1"/>
    <w:rsid w:val="76396D82"/>
    <w:rsid w:val="76BB3AD8"/>
    <w:rsid w:val="77670518"/>
    <w:rsid w:val="777FA627"/>
    <w:rsid w:val="77DE0738"/>
    <w:rsid w:val="77DF1B5F"/>
    <w:rsid w:val="77EF2D9D"/>
    <w:rsid w:val="78424BD9"/>
    <w:rsid w:val="79E7B28D"/>
    <w:rsid w:val="7AA926F3"/>
    <w:rsid w:val="7ACFF0C2"/>
    <w:rsid w:val="7AFB9108"/>
    <w:rsid w:val="7BD5340C"/>
    <w:rsid w:val="7BFB19D2"/>
    <w:rsid w:val="7BFD1750"/>
    <w:rsid w:val="7BFDAA1B"/>
    <w:rsid w:val="7C425627"/>
    <w:rsid w:val="7CA5738C"/>
    <w:rsid w:val="7CDF9A82"/>
    <w:rsid w:val="7CFFA1BD"/>
    <w:rsid w:val="7D2E3F7A"/>
    <w:rsid w:val="7D8E5713"/>
    <w:rsid w:val="7DE03890"/>
    <w:rsid w:val="7DED9490"/>
    <w:rsid w:val="7DFF4872"/>
    <w:rsid w:val="7E230E82"/>
    <w:rsid w:val="7E7487E6"/>
    <w:rsid w:val="7E7C2A54"/>
    <w:rsid w:val="7EEEFD72"/>
    <w:rsid w:val="7F1D517C"/>
    <w:rsid w:val="7F5DA057"/>
    <w:rsid w:val="7F6C2237"/>
    <w:rsid w:val="7F7F319B"/>
    <w:rsid w:val="7F8A2DBE"/>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a:t>
            </a:r>
            <a:r>
              <a:rPr lang="en-US" altLang="zh-CN"/>
              <a:t>2023</a:t>
            </a:r>
            <a:r>
              <a:rPr altLang="en-US"/>
              <a:t>年收、支决算变动情况图</a:t>
            </a:r>
            <a:endParaRPr altLang="en-US"/>
          </a:p>
        </c:rich>
      </c:tx>
      <c:layout>
        <c:manualLayout>
          <c:xMode val="edge"/>
          <c:yMode val="edge"/>
          <c:x val="0.199166666666667"/>
          <c:y val="0.0324074074074074"/>
        </c:manualLayout>
      </c:layout>
      <c:overlay val="0"/>
      <c:spPr>
        <a:noFill/>
        <a:ln>
          <a:noFill/>
        </a:ln>
        <a:effectLst/>
      </c:spPr>
    </c:title>
    <c:autoTitleDeleted val="0"/>
    <c:plotArea>
      <c:layout/>
      <c:barChart>
        <c:barDir val="col"/>
        <c:grouping val="clustered"/>
        <c:varyColors val="0"/>
        <c:ser>
          <c:idx val="0"/>
          <c:order val="0"/>
          <c:tx>
            <c:strRef>
              <c:f>[工作簿1]Sheet1!$D$11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[工作簿1]Sheet1!$E$10:$F$10</c:f>
              <c:strCache>
                <c:ptCount val="2"/>
                <c:pt idx="0">
                  <c:v>收入</c:v>
                </c:pt>
                <c:pt idx="1">
                  <c:v>支出</c:v>
                </c:pt>
              </c:strCache>
            </c:strRef>
          </c:cat>
          <c:val>
            <c:numRef>
              <c:f>[工作簿1]Sheet1!$E$11:$F$11</c:f>
              <c:numCache>
                <c:formatCode>General</c:formatCode>
                <c:ptCount val="2"/>
                <c:pt idx="0">
                  <c:v>289.35</c:v>
                </c:pt>
                <c:pt idx="1">
                  <c:v>289.35</c:v>
                </c:pt>
              </c:numCache>
            </c:numRef>
          </c:val>
        </c:ser>
        <c:ser>
          <c:idx val="1"/>
          <c:order val="1"/>
          <c:tx>
            <c:strRef>
              <c:f>[工作簿1]Sheet1!$D$12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[工作簿1]Sheet1!$E$10:$F$10</c:f>
              <c:strCache>
                <c:ptCount val="2"/>
                <c:pt idx="0">
                  <c:v>收入</c:v>
                </c:pt>
                <c:pt idx="1">
                  <c:v>支出</c:v>
                </c:pt>
              </c:strCache>
            </c:strRef>
          </c:cat>
          <c:val>
            <c:numRef>
              <c:f>[工作簿1]Sheet1!$E$12:$F$12</c:f>
              <c:numCache>
                <c:formatCode>General</c:formatCode>
                <c:ptCount val="2"/>
                <c:pt idx="0">
                  <c:v>262.37</c:v>
                </c:pt>
                <c:pt idx="1">
                  <c:v>262.37</c:v>
                </c:pt>
              </c:numCache>
            </c:numRef>
          </c:val>
        </c:ser>
        <c:dLbls>
          <c:showLegendKey val="0"/>
          <c:showVal val="1"/>
          <c:showCatName val="0"/>
          <c:showSerName val="0"/>
          <c:showPercent val="0"/>
          <c:showBubbleSize val="0"/>
        </c:dLbls>
        <c:gapWidth val="219"/>
        <c:overlap val="-27"/>
        <c:axId val="536060005"/>
        <c:axId val="548007697"/>
      </c:barChart>
      <c:catAx>
        <c:axId val="5360600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007697"/>
        <c:crosses val="autoZero"/>
        <c:auto val="1"/>
        <c:lblAlgn val="ctr"/>
        <c:lblOffset val="100"/>
        <c:noMultiLvlLbl val="0"/>
      </c:catAx>
      <c:valAx>
        <c:axId val="5480076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0600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支出情况结构图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[工作簿2]Sheet1!$H$47:$H$48</c:f>
              <c:strCache>
                <c:ptCount val="2"/>
                <c:pt idx="0">
                  <c:v>基本支出：（235.6万元）</c:v>
                </c:pt>
                <c:pt idx="1">
                  <c:v>项目支出：（26.77万元）</c:v>
                </c:pt>
              </c:strCache>
            </c:strRef>
          </c:cat>
          <c:val>
            <c:numRef>
              <c:f>[工作簿2]Sheet1!$I$47:$I$48</c:f>
              <c:numCache>
                <c:formatCode>0.00%</c:formatCode>
                <c:ptCount val="2"/>
                <c:pt idx="0">
                  <c:v>0.8979</c:v>
                </c:pt>
                <c:pt idx="1">
                  <c:v>0.102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80069444444444"/>
          <c:y val="0.91550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lang="en-US" altLang="zh-CN" sz="1200"/>
              <a:t>2022</a:t>
            </a:r>
            <a:r>
              <a:rPr altLang="en-US" sz="1200"/>
              <a:t>年、</a:t>
            </a:r>
            <a:r>
              <a:rPr lang="en-US" altLang="zh-CN" sz="1200"/>
              <a:t>2023</a:t>
            </a:r>
            <a:r>
              <a:rPr altLang="en-US" sz="1200"/>
              <a:t>年财政拨款收、支决算总计变动情况</a:t>
            </a:r>
            <a:endParaRPr sz="1200"/>
          </a:p>
        </c:rich>
      </c:tx>
      <c:layout/>
      <c:overlay val="0"/>
      <c:spPr>
        <a:noFill/>
        <a:ln>
          <a:noFill/>
        </a:ln>
        <a:effectLst/>
      </c:spPr>
    </c:title>
    <c:autoTitleDeleted val="0"/>
    <c:plotArea>
      <c:layout/>
      <c:barChart>
        <c:barDir val="col"/>
        <c:grouping val="clustered"/>
        <c:varyColors val="0"/>
        <c:ser>
          <c:idx val="0"/>
          <c:order val="0"/>
          <c:tx>
            <c:strRef>
              <c:f>[工作簿1]Sheet1!$D$11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[工作簿1]Sheet1!$E$10:$F$10</c:f>
              <c:strCache>
                <c:ptCount val="2"/>
                <c:pt idx="0">
                  <c:v>收入</c:v>
                </c:pt>
                <c:pt idx="1">
                  <c:v>支出</c:v>
                </c:pt>
              </c:strCache>
            </c:strRef>
          </c:cat>
          <c:val>
            <c:numRef>
              <c:f>[工作簿1]Sheet1!$E$11:$F$11</c:f>
              <c:numCache>
                <c:formatCode>General</c:formatCode>
                <c:ptCount val="2"/>
                <c:pt idx="0">
                  <c:v>289.35</c:v>
                </c:pt>
                <c:pt idx="1">
                  <c:v>289.35</c:v>
                </c:pt>
              </c:numCache>
            </c:numRef>
          </c:val>
        </c:ser>
        <c:ser>
          <c:idx val="1"/>
          <c:order val="1"/>
          <c:tx>
            <c:strRef>
              <c:f>[工作簿1]Sheet1!$D$12</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[工作簿1]Sheet1!$E$10:$F$10</c:f>
              <c:strCache>
                <c:ptCount val="2"/>
                <c:pt idx="0">
                  <c:v>收入</c:v>
                </c:pt>
                <c:pt idx="1">
                  <c:v>支出</c:v>
                </c:pt>
              </c:strCache>
            </c:strRef>
          </c:cat>
          <c:val>
            <c:numRef>
              <c:f>[工作簿1]Sheet1!$E$12:$F$12</c:f>
              <c:numCache>
                <c:formatCode>General</c:formatCode>
                <c:ptCount val="2"/>
                <c:pt idx="0">
                  <c:v>262.37</c:v>
                </c:pt>
                <c:pt idx="1">
                  <c:v>262.37</c:v>
                </c:pt>
              </c:numCache>
            </c:numRef>
          </c:val>
        </c:ser>
        <c:dLbls>
          <c:showLegendKey val="0"/>
          <c:showVal val="1"/>
          <c:showCatName val="0"/>
          <c:showSerName val="0"/>
          <c:showPercent val="0"/>
          <c:showBubbleSize val="0"/>
        </c:dLbls>
        <c:gapWidth val="219"/>
        <c:overlap val="-27"/>
        <c:axId val="536060005"/>
        <c:axId val="548007697"/>
      </c:barChart>
      <c:catAx>
        <c:axId val="5360600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8007697"/>
        <c:crosses val="autoZero"/>
        <c:auto val="1"/>
        <c:lblAlgn val="ctr"/>
        <c:lblOffset val="100"/>
        <c:noMultiLvlLbl val="0"/>
      </c:catAx>
      <c:valAx>
        <c:axId val="5480076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0600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altLang="en-US"/>
              <a:t>一般公共预算财政拨款</a:t>
            </a:r>
            <a:r>
              <a:t>支出决算变动情况图</a:t>
            </a:r>
            <a:r>
              <a:rPr lang="en-US" altLang="zh-CN"/>
              <a:t>       </a:t>
            </a:r>
            <a:r>
              <a:rPr sz="900"/>
              <a:t>（单位：万元）</a:t>
            </a:r>
            <a:endParaRPr sz="900"/>
          </a:p>
        </c:rich>
      </c:tx>
      <c:layout/>
      <c:overlay val="0"/>
      <c:spPr>
        <a:noFill/>
        <a:ln>
          <a:noFill/>
        </a:ln>
        <a:effectLst/>
      </c:spPr>
    </c:title>
    <c:autoTitleDeleted val="0"/>
    <c:plotArea>
      <c:layout>
        <c:manualLayout>
          <c:layoutTarget val="inner"/>
          <c:xMode val="edge"/>
          <c:yMode val="edge"/>
          <c:x val="0.0772186895217031"/>
          <c:y val="0.172294172062905"/>
          <c:w val="0.895134089024053"/>
          <c:h val="0.711239592969473"/>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[工作簿2]Sheet1!$F$13:$F$14</c:f>
              <c:strCache>
                <c:ptCount val="2"/>
                <c:pt idx="0">
                  <c:v>2022年</c:v>
                </c:pt>
                <c:pt idx="1">
                  <c:v>2023年</c:v>
                </c:pt>
              </c:strCache>
            </c:strRef>
          </c:cat>
          <c:val>
            <c:numRef>
              <c:f>[工作簿2]Sheet1!$G$13:$G$14</c:f>
              <c:numCache>
                <c:formatCode>General</c:formatCode>
                <c:ptCount val="2"/>
                <c:pt idx="0">
                  <c:v>289.35</c:v>
                </c:pt>
                <c:pt idx="1">
                  <c:v>262.37</c:v>
                </c:pt>
              </c:numCache>
            </c:numRef>
          </c:val>
        </c:ser>
        <c:dLbls>
          <c:showLegendKey val="0"/>
          <c:showVal val="1"/>
          <c:showCatName val="0"/>
          <c:showSerName val="0"/>
          <c:showPercent val="0"/>
          <c:showBubbleSize val="0"/>
        </c:dLbls>
        <c:gapWidth val="150"/>
        <c:overlap val="100"/>
        <c:axId val="894606597"/>
        <c:axId val="149968239"/>
      </c:barChart>
      <c:catAx>
        <c:axId val="8946065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968239"/>
        <c:crosses val="autoZero"/>
        <c:auto val="1"/>
        <c:lblAlgn val="ctr"/>
        <c:lblOffset val="100"/>
        <c:noMultiLvlLbl val="0"/>
      </c:catAx>
      <c:valAx>
        <c:axId val="149968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6065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[工作簿2]Sheet1!$C$65:$C$68</c:f>
              <c:strCache>
                <c:ptCount val="4"/>
                <c:pt idx="0">
                  <c:v>教育支出（209.02万元）</c:v>
                </c:pt>
                <c:pt idx="1">
                  <c:v>社会保障和就业支出（23.54万元）</c:v>
                </c:pt>
                <c:pt idx="2">
                  <c:v>卫生健康支出（10.37万元）</c:v>
                </c:pt>
                <c:pt idx="3">
                  <c:v>住房保障支出（19.44万元）</c:v>
                </c:pt>
              </c:strCache>
            </c:strRef>
          </c:cat>
          <c:val>
            <c:numRef>
              <c:f>[工作簿2]Sheet1!$D$65:$D$68</c:f>
              <c:numCache>
                <c:formatCode>0.00%</c:formatCode>
                <c:ptCount val="4"/>
                <c:pt idx="0">
                  <c:v>0.7967</c:v>
                </c:pt>
                <c:pt idx="1">
                  <c:v>0.0897</c:v>
                </c:pt>
                <c:pt idx="2">
                  <c:v>0.0395</c:v>
                </c:pt>
                <c:pt idx="3">
                  <c:v>0.0741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14337</Words>
  <Characters>17085</Characters>
  <Lines>42</Lines>
  <Paragraphs>11</Paragraphs>
  <TotalTime>0</TotalTime>
  <ScaleCrop>false</ScaleCrop>
  <LinksUpToDate>false</LinksUpToDate>
  <CharactersWithSpaces>17143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2024-08-17T08:26:00Z</dcterms:created>
  <dc:creator>曹颖</dc:creator>
  <cp:lastModifiedBy>Lenovo</cp:lastModifiedBy>
  <cp:lastPrinted>2023-08-03T02:35:00Z</cp:lastPrinted>
  <dcterms:modified xsi:type="dcterms:W3CDTF">2024-08-28T08:02:54Z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05AC39DBBAEE4DB59DF0355235221A5D</vt:lpwstr>
  </property>
</Properties>
</file>