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FE2C4">
      <w:pPr>
        <w:spacing w:line="600" w:lineRule="exact"/>
        <w:jc w:val="center"/>
        <w:outlineLvl w:val="0"/>
        <w:rPr>
          <w:rFonts w:ascii="方正小标宋简体" w:hAnsi="宋体" w:eastAsia="方正小标宋简体"/>
          <w:sz w:val="72"/>
          <w:szCs w:val="72"/>
        </w:rPr>
      </w:pPr>
      <w:bookmarkStart w:id="0" w:name="_Toc15396475"/>
      <w:bookmarkStart w:id="1" w:name="_Toc15377425"/>
      <w:bookmarkStart w:id="2" w:name="_Toc15396597"/>
      <w:bookmarkStart w:id="3" w:name="_Toc15378441"/>
      <w:bookmarkStart w:id="4" w:name="_Toc15377193"/>
      <w:bookmarkStart w:id="5" w:name="_Toc15306267"/>
    </w:p>
    <w:p w14:paraId="595DBACE">
      <w:pPr>
        <w:spacing w:line="600" w:lineRule="exact"/>
        <w:jc w:val="center"/>
        <w:outlineLvl w:val="0"/>
        <w:rPr>
          <w:rFonts w:ascii="方正小标宋简体" w:hAnsi="宋体" w:eastAsia="方正小标宋简体"/>
          <w:sz w:val="72"/>
          <w:szCs w:val="72"/>
        </w:rPr>
      </w:pPr>
    </w:p>
    <w:p w14:paraId="773D468A">
      <w:pPr>
        <w:spacing w:line="600" w:lineRule="exact"/>
        <w:jc w:val="center"/>
        <w:outlineLvl w:val="0"/>
        <w:rPr>
          <w:rFonts w:ascii="方正小标宋简体" w:hAnsi="宋体" w:eastAsia="方正小标宋简体"/>
          <w:sz w:val="72"/>
          <w:szCs w:val="72"/>
        </w:rPr>
      </w:pPr>
    </w:p>
    <w:p w14:paraId="719B9F39">
      <w:pPr>
        <w:adjustRightInd w:val="0"/>
        <w:snapToGrid w:val="0"/>
        <w:spacing w:line="360" w:lineRule="auto"/>
        <w:jc w:val="center"/>
        <w:outlineLvl w:val="0"/>
        <w:rPr>
          <w:rFonts w:hint="eastAsia" w:ascii="方正小标宋简体" w:hAnsi="方正小标宋简体" w:eastAsia="方正小标宋简体" w:cs="方正小标宋简体"/>
          <w:sz w:val="56"/>
          <w:szCs w:val="56"/>
        </w:rPr>
      </w:pPr>
      <w:r>
        <w:rPr>
          <w:rFonts w:hint="eastAsia" w:ascii="方正小标宋简体" w:hAnsi="方正小标宋简体" w:eastAsia="方正小标宋简体" w:cs="方正小标宋简体"/>
          <w:sz w:val="56"/>
          <w:szCs w:val="56"/>
        </w:rPr>
        <w:t>202</w:t>
      </w:r>
      <w:r>
        <w:rPr>
          <w:rFonts w:hint="eastAsia" w:ascii="方正小标宋简体" w:hAnsi="方正小标宋简体" w:eastAsia="方正小标宋简体" w:cs="方正小标宋简体"/>
          <w:sz w:val="56"/>
          <w:szCs w:val="56"/>
          <w:lang w:val="en-US" w:eastAsia="zh-CN"/>
        </w:rPr>
        <w:t>3</w:t>
      </w:r>
      <w:r>
        <w:rPr>
          <w:rFonts w:hint="eastAsia" w:ascii="方正小标宋简体" w:hAnsi="方正小标宋简体" w:eastAsia="方正小标宋简体" w:cs="方正小标宋简体"/>
          <w:sz w:val="56"/>
          <w:szCs w:val="56"/>
        </w:rPr>
        <w:t>年度</w:t>
      </w:r>
      <w:bookmarkEnd w:id="0"/>
      <w:bookmarkEnd w:id="1"/>
      <w:bookmarkEnd w:id="2"/>
      <w:bookmarkEnd w:id="3"/>
      <w:bookmarkEnd w:id="4"/>
      <w:bookmarkStart w:id="6" w:name="_Toc15377426"/>
      <w:bookmarkStart w:id="7" w:name="_Toc15396598"/>
      <w:bookmarkStart w:id="8" w:name="_Toc15378442"/>
      <w:bookmarkStart w:id="9" w:name="_Toc15377194"/>
      <w:bookmarkStart w:id="10" w:name="_Toc15396476"/>
    </w:p>
    <w:p w14:paraId="0BD568D3">
      <w:pPr>
        <w:adjustRightInd w:val="0"/>
        <w:snapToGrid w:val="0"/>
        <w:spacing w:line="360" w:lineRule="auto"/>
        <w:jc w:val="center"/>
        <w:outlineLvl w:val="0"/>
        <w:rPr>
          <w:rFonts w:hint="eastAsia" w:ascii="方正小标宋简体" w:hAnsi="方正小标宋简体" w:eastAsia="方正小标宋简体" w:cs="方正小标宋简体"/>
          <w:sz w:val="56"/>
          <w:szCs w:val="56"/>
        </w:rPr>
      </w:pPr>
      <w:r>
        <w:rPr>
          <w:rFonts w:hint="eastAsia" w:ascii="方正小标宋简体" w:hAnsi="方正小标宋简体" w:eastAsia="方正小标宋简体" w:cs="方正小标宋简体"/>
          <w:sz w:val="56"/>
          <w:szCs w:val="56"/>
        </w:rPr>
        <w:t>四川省</w:t>
      </w:r>
      <w:bookmarkEnd w:id="5"/>
      <w:bookmarkStart w:id="11" w:name="_Toc15306268"/>
      <w:r>
        <w:rPr>
          <w:rFonts w:hint="eastAsia" w:ascii="方正小标宋简体" w:hAnsi="方正小标宋简体" w:eastAsia="方正小标宋简体" w:cs="方正小标宋简体"/>
          <w:sz w:val="56"/>
          <w:szCs w:val="56"/>
        </w:rPr>
        <w:t>遂宁市安居区红十字会</w:t>
      </w:r>
    </w:p>
    <w:p w14:paraId="5F69BF98">
      <w:pPr>
        <w:adjustRightInd w:val="0"/>
        <w:snapToGrid w:val="0"/>
        <w:spacing w:line="360" w:lineRule="auto"/>
        <w:jc w:val="center"/>
        <w:outlineLvl w:val="0"/>
        <w:rPr>
          <w:rFonts w:ascii="方正小标宋简体" w:hAnsi="方正小标宋简体" w:eastAsia="方正小标宋简体" w:cs="方正小标宋简体"/>
          <w:sz w:val="56"/>
          <w:szCs w:val="56"/>
        </w:rPr>
      </w:pPr>
      <w:r>
        <w:rPr>
          <w:rFonts w:hint="eastAsia" w:ascii="方正小标宋简体" w:hAnsi="方正小标宋简体" w:eastAsia="方正小标宋简体" w:cs="方正小标宋简体"/>
          <w:sz w:val="56"/>
          <w:szCs w:val="56"/>
        </w:rPr>
        <w:t>部门决算</w:t>
      </w:r>
      <w:bookmarkEnd w:id="6"/>
      <w:bookmarkEnd w:id="7"/>
      <w:bookmarkEnd w:id="8"/>
      <w:bookmarkEnd w:id="9"/>
      <w:bookmarkEnd w:id="10"/>
      <w:bookmarkEnd w:id="11"/>
    </w:p>
    <w:p w14:paraId="0EC75D6F">
      <w:pPr>
        <w:widowControl/>
        <w:jc w:val="center"/>
        <w:rPr>
          <w:rFonts w:ascii="黑体" w:hAnsi="黑体" w:eastAsia="黑体"/>
          <w:sz w:val="48"/>
          <w:szCs w:val="48"/>
        </w:rPr>
      </w:pPr>
      <w:r>
        <w:rPr>
          <w:rFonts w:ascii="方正小标宋简体" w:hAnsi="宋体" w:eastAsia="方正小标宋简体"/>
          <w:sz w:val="36"/>
          <w:szCs w:val="36"/>
        </w:rPr>
        <w:br w:type="page"/>
      </w:r>
      <w:bookmarkStart w:id="12" w:name="_Toc15377196"/>
      <w:bookmarkStart w:id="13" w:name="_Toc15396599"/>
      <w:r>
        <w:rPr>
          <w:rFonts w:hint="eastAsia" w:ascii="黑体" w:hAnsi="黑体" w:eastAsia="黑体"/>
          <w:sz w:val="48"/>
          <w:szCs w:val="48"/>
        </w:rPr>
        <w:t>目录</w:t>
      </w:r>
    </w:p>
    <w:p w14:paraId="43CB9EB4">
      <w:pPr>
        <w:widowControl/>
        <w:jc w:val="center"/>
        <w:rPr>
          <w:rFonts w:ascii="黑体" w:hAnsi="黑体" w:eastAsia="黑体" w:cstheme="minorBidi"/>
          <w:sz w:val="28"/>
          <w:szCs w:val="28"/>
        </w:rPr>
      </w:pPr>
    </w:p>
    <w:p w14:paraId="694DA0FF">
      <w:pPr>
        <w:pStyle w:val="17"/>
      </w:pPr>
      <w:r>
        <w:rPr>
          <w:rFonts w:hint="eastAsia"/>
        </w:rPr>
        <w:t>公开时间：202</w:t>
      </w:r>
      <w:r>
        <w:rPr>
          <w:rFonts w:hint="eastAsia"/>
          <w:lang w:val="en-US" w:eastAsia="zh-CN"/>
        </w:rPr>
        <w:t>4</w:t>
      </w:r>
      <w:r>
        <w:rPr>
          <w:rFonts w:hint="eastAsia"/>
        </w:rPr>
        <w:t>年8月2</w:t>
      </w:r>
      <w:r>
        <w:rPr>
          <w:rFonts w:hint="eastAsia"/>
          <w:lang w:val="en-US" w:eastAsia="zh-CN"/>
        </w:rPr>
        <w:t>8</w:t>
      </w:r>
      <w:r>
        <w:rPr>
          <w:rFonts w:hint="eastAsia"/>
        </w:rPr>
        <w:t>日</w:t>
      </w:r>
    </w:p>
    <w:p w14:paraId="33F9A629"/>
    <w:p w14:paraId="4F02E846">
      <w:pPr>
        <w:pStyle w:val="17"/>
        <w:adjustRightInd w:val="0"/>
        <w:snapToGrid w:val="0"/>
        <w:spacing w:before="0" w:line="440" w:lineRule="exact"/>
        <w:jc w:val="left"/>
        <w:rPr>
          <w:rFonts w:ascii="Times New Roman" w:hAnsi="Times New Roman" w:eastAsia="宋体"/>
          <w:sz w:val="24"/>
          <w:szCs w:val="24"/>
        </w:rPr>
      </w:pPr>
      <w:r>
        <w:rPr>
          <w:rFonts w:hint="eastAsia"/>
          <w:b/>
          <w:bCs/>
          <w:sz w:val="24"/>
        </w:rPr>
        <w:t>第一部分</w:t>
      </w:r>
      <w:r>
        <w:rPr>
          <w:b/>
          <w:bCs/>
          <w:sz w:val="24"/>
        </w:rPr>
        <w:t xml:space="preserve"> </w:t>
      </w:r>
      <w:r>
        <w:rPr>
          <w:rFonts w:hint="eastAsia"/>
          <w:b/>
          <w:bCs/>
          <w:sz w:val="24"/>
        </w:rPr>
        <w:t>部门概况</w:t>
      </w:r>
      <w:r>
        <w:rPr>
          <w:rFonts w:hint="eastAsia" w:ascii="Times New Roman" w:hAnsi="Times New Roman" w:eastAsia="宋体"/>
          <w:b/>
          <w:bCs/>
          <w:sz w:val="24"/>
          <w:szCs w:val="24"/>
        </w:rPr>
        <w:t>.........................</w:t>
      </w:r>
      <w:r>
        <w:rPr>
          <w:rFonts w:ascii="Times New Roman" w:hAnsi="Times New Roman" w:eastAsia="宋体"/>
          <w:b/>
          <w:bCs/>
          <w:sz w:val="24"/>
          <w:szCs w:val="24"/>
        </w:rPr>
        <w:t>..................................................................</w:t>
      </w:r>
      <w:r>
        <w:rPr>
          <w:rFonts w:hint="eastAsia" w:ascii="Times New Roman" w:hAnsi="Times New Roman" w:eastAsia="宋体"/>
          <w:b/>
          <w:bCs/>
          <w:sz w:val="24"/>
          <w:szCs w:val="24"/>
        </w:rPr>
        <w:t>.........</w:t>
      </w:r>
      <w:r>
        <w:rPr>
          <w:rFonts w:hint="eastAsia" w:ascii="Times New Roman" w:hAnsi="Times New Roman" w:eastAsia="宋体"/>
          <w:sz w:val="24"/>
          <w:szCs w:val="24"/>
        </w:rPr>
        <w:t>.4</w:t>
      </w:r>
    </w:p>
    <w:p w14:paraId="420BF156">
      <w:pPr>
        <w:pStyle w:val="18"/>
        <w:adjustRightInd w:val="0"/>
        <w:snapToGrid w:val="0"/>
        <w:spacing w:line="440" w:lineRule="exact"/>
        <w:jc w:val="left"/>
        <w:rPr>
          <w:rFonts w:ascii="仿宋" w:hAnsi="仿宋"/>
          <w:sz w:val="24"/>
        </w:rPr>
      </w:pPr>
      <w:r>
        <w:rPr>
          <w:rFonts w:hint="eastAsia" w:ascii="仿宋" w:hAnsi="仿宋" w:eastAsia="仿宋"/>
          <w:sz w:val="24"/>
          <w:szCs w:val="28"/>
        </w:rPr>
        <w:t>一、部门职责</w:t>
      </w:r>
      <w:r>
        <w:rPr>
          <w:rFonts w:hint="eastAsia"/>
          <w:sz w:val="24"/>
        </w:rPr>
        <w:t>.....................................................................................................</w:t>
      </w:r>
      <w:r>
        <w:rPr>
          <w:sz w:val="24"/>
        </w:rPr>
        <w:t>.</w:t>
      </w:r>
      <w:r>
        <w:rPr>
          <w:rFonts w:hint="eastAsia"/>
          <w:sz w:val="24"/>
        </w:rPr>
        <w:t>..4</w:t>
      </w:r>
    </w:p>
    <w:p w14:paraId="00DEEF42">
      <w:pPr>
        <w:pStyle w:val="18"/>
        <w:adjustRightInd w:val="0"/>
        <w:snapToGrid w:val="0"/>
        <w:spacing w:line="440" w:lineRule="exact"/>
        <w:jc w:val="left"/>
        <w:rPr>
          <w:rFonts w:ascii="仿宋" w:hAnsi="仿宋" w:cstheme="minorBidi"/>
          <w:sz w:val="24"/>
        </w:rPr>
      </w:pPr>
      <w:r>
        <w:rPr>
          <w:rFonts w:hint="eastAsia" w:ascii="仿宋" w:hAnsi="仿宋" w:eastAsia="仿宋"/>
          <w:sz w:val="24"/>
          <w:szCs w:val="28"/>
        </w:rPr>
        <w:t>二、机构设置</w:t>
      </w:r>
      <w:r>
        <w:rPr>
          <w:rFonts w:hint="eastAsia"/>
          <w:sz w:val="24"/>
        </w:rPr>
        <w:t>.......................................................................................................</w:t>
      </w:r>
      <w:r>
        <w:rPr>
          <w:sz w:val="24"/>
        </w:rPr>
        <w:t>.</w:t>
      </w:r>
      <w:r>
        <w:rPr>
          <w:rFonts w:hint="eastAsia"/>
          <w:sz w:val="24"/>
        </w:rPr>
        <w:t>4</w:t>
      </w:r>
    </w:p>
    <w:p w14:paraId="3C53C1DB">
      <w:pPr>
        <w:pStyle w:val="17"/>
        <w:adjustRightInd w:val="0"/>
        <w:snapToGrid w:val="0"/>
        <w:spacing w:before="0" w:line="440" w:lineRule="exact"/>
        <w:jc w:val="left"/>
        <w:rPr>
          <w:sz w:val="24"/>
          <w:szCs w:val="24"/>
        </w:rPr>
      </w:pPr>
      <w:r>
        <w:rPr>
          <w:rFonts w:hint="default"/>
          <w:b/>
          <w:bCs/>
          <w:sz w:val="24"/>
        </w:rPr>
        <w:t>第二部分 202</w:t>
      </w:r>
      <w:r>
        <w:rPr>
          <w:rFonts w:hint="default"/>
          <w:b/>
          <w:bCs/>
          <w:sz w:val="24"/>
          <w:lang w:val="en-US" w:eastAsia="zh-CN"/>
        </w:rPr>
        <w:t>3</w:t>
      </w:r>
      <w:r>
        <w:rPr>
          <w:rFonts w:hint="default"/>
          <w:b/>
          <w:bCs/>
          <w:sz w:val="24"/>
        </w:rPr>
        <w:t>年度部门决算情况说明</w:t>
      </w:r>
      <w:r>
        <w:rPr>
          <w:rFonts w:hint="eastAsia" w:ascii="Times New Roman" w:hAnsi="Times New Roman" w:eastAsia="宋体"/>
          <w:b/>
          <w:bCs/>
          <w:sz w:val="24"/>
          <w:szCs w:val="24"/>
        </w:rPr>
        <w:t>.....................</w:t>
      </w:r>
      <w:r>
        <w:rPr>
          <w:rFonts w:ascii="Times New Roman" w:hAnsi="Times New Roman" w:eastAsia="宋体"/>
          <w:b/>
          <w:bCs/>
          <w:sz w:val="24"/>
          <w:szCs w:val="24"/>
        </w:rPr>
        <w:t>.....................................</w:t>
      </w:r>
      <w:r>
        <w:rPr>
          <w:rFonts w:hint="eastAsia" w:ascii="Times New Roman" w:hAnsi="Times New Roman" w:eastAsia="宋体"/>
          <w:b/>
          <w:bCs/>
          <w:sz w:val="24"/>
          <w:szCs w:val="24"/>
        </w:rPr>
        <w:t>..........</w:t>
      </w:r>
      <w:r>
        <w:rPr>
          <w:rFonts w:hint="eastAsia" w:ascii="Times New Roman" w:hAnsi="Times New Roman" w:eastAsia="宋体"/>
          <w:sz w:val="24"/>
          <w:szCs w:val="24"/>
        </w:rPr>
        <w:t>5</w:t>
      </w:r>
    </w:p>
    <w:p w14:paraId="7A1B542B">
      <w:pPr>
        <w:pStyle w:val="18"/>
        <w:adjustRightInd w:val="0"/>
        <w:snapToGrid w:val="0"/>
        <w:spacing w:line="440" w:lineRule="exact"/>
        <w:jc w:val="left"/>
        <w:rPr>
          <w:rFonts w:ascii="仿宋" w:hAnsi="仿宋" w:cstheme="minorBidi"/>
          <w:sz w:val="24"/>
        </w:rPr>
      </w:pPr>
      <w:r>
        <w:rPr>
          <w:rFonts w:hint="eastAsia" w:ascii="仿宋" w:hAnsi="仿宋" w:eastAsia="仿宋"/>
          <w:sz w:val="24"/>
          <w:szCs w:val="28"/>
        </w:rPr>
        <w:t>一、收入支出决算总体情况说明</w:t>
      </w:r>
      <w:r>
        <w:rPr>
          <w:rFonts w:hint="eastAsia"/>
          <w:sz w:val="24"/>
        </w:rPr>
        <w:t>........................................................................5</w:t>
      </w:r>
    </w:p>
    <w:p w14:paraId="0C041465">
      <w:pPr>
        <w:pStyle w:val="18"/>
        <w:adjustRightInd w:val="0"/>
        <w:snapToGrid w:val="0"/>
        <w:spacing w:line="440" w:lineRule="exact"/>
        <w:jc w:val="left"/>
        <w:rPr>
          <w:rFonts w:ascii="仿宋" w:hAnsi="仿宋" w:cstheme="minorBidi"/>
          <w:sz w:val="24"/>
        </w:rPr>
      </w:pPr>
      <w:r>
        <w:rPr>
          <w:rFonts w:hint="eastAsia" w:ascii="仿宋" w:hAnsi="仿宋" w:eastAsia="仿宋"/>
          <w:sz w:val="24"/>
          <w:szCs w:val="28"/>
        </w:rPr>
        <w:t>二、收入决算情况说明</w:t>
      </w:r>
      <w:r>
        <w:rPr>
          <w:rFonts w:hint="eastAsia"/>
          <w:sz w:val="24"/>
        </w:rPr>
        <w:t>........................................................................................</w:t>
      </w:r>
      <w:r>
        <w:rPr>
          <w:rFonts w:hint="eastAsia"/>
          <w:sz w:val="24"/>
          <w:lang w:val="en-US" w:eastAsia="zh-CN"/>
        </w:rPr>
        <w:t>5</w:t>
      </w:r>
    </w:p>
    <w:p w14:paraId="3832A01C">
      <w:pPr>
        <w:pStyle w:val="18"/>
        <w:adjustRightInd w:val="0"/>
        <w:snapToGrid w:val="0"/>
        <w:spacing w:line="440" w:lineRule="exact"/>
        <w:jc w:val="left"/>
        <w:rPr>
          <w:rFonts w:ascii="仿宋" w:hAnsi="仿宋" w:cstheme="minorBidi"/>
          <w:sz w:val="24"/>
        </w:rPr>
      </w:pPr>
      <w:r>
        <w:rPr>
          <w:rFonts w:hint="eastAsia" w:ascii="仿宋" w:hAnsi="仿宋" w:eastAsia="仿宋"/>
          <w:sz w:val="24"/>
          <w:szCs w:val="28"/>
        </w:rPr>
        <w:t>三、支出决算情况说明</w:t>
      </w:r>
      <w:r>
        <w:rPr>
          <w:rFonts w:hint="eastAsia"/>
          <w:sz w:val="24"/>
        </w:rPr>
        <w:t>........................................................................................6</w:t>
      </w:r>
    </w:p>
    <w:p w14:paraId="62E1C485">
      <w:pPr>
        <w:pStyle w:val="18"/>
        <w:adjustRightInd w:val="0"/>
        <w:snapToGrid w:val="0"/>
        <w:spacing w:line="440" w:lineRule="exact"/>
        <w:jc w:val="left"/>
        <w:rPr>
          <w:rFonts w:ascii="仿宋" w:hAnsi="仿宋" w:eastAsia="仿宋" w:cstheme="minorBidi"/>
          <w:sz w:val="24"/>
        </w:rPr>
      </w:pPr>
      <w:r>
        <w:rPr>
          <w:rFonts w:hint="eastAsia" w:ascii="仿宋" w:hAnsi="仿宋" w:eastAsia="仿宋"/>
          <w:sz w:val="24"/>
          <w:szCs w:val="28"/>
        </w:rPr>
        <w:t>四、财政拨款收入支出决算总体情况说明</w:t>
      </w:r>
      <w:r>
        <w:rPr>
          <w:rFonts w:hint="eastAsia"/>
          <w:sz w:val="24"/>
        </w:rPr>
        <w:t>........................................................7</w:t>
      </w:r>
    </w:p>
    <w:p w14:paraId="3A75481C">
      <w:pPr>
        <w:pStyle w:val="18"/>
        <w:adjustRightInd w:val="0"/>
        <w:snapToGrid w:val="0"/>
        <w:spacing w:line="440" w:lineRule="exact"/>
        <w:jc w:val="left"/>
        <w:rPr>
          <w:rFonts w:ascii="仿宋" w:hAnsi="仿宋" w:eastAsia="仿宋" w:cstheme="minorBidi"/>
          <w:sz w:val="24"/>
        </w:rPr>
      </w:pPr>
      <w:r>
        <w:rPr>
          <w:rFonts w:hint="eastAsia" w:ascii="仿宋" w:hAnsi="仿宋" w:eastAsia="仿宋"/>
          <w:sz w:val="24"/>
          <w:szCs w:val="28"/>
        </w:rPr>
        <w:t>五、一般公共预算财政拨款支出决算情况说明</w:t>
      </w:r>
      <w:r>
        <w:rPr>
          <w:rFonts w:hint="eastAsia"/>
          <w:sz w:val="24"/>
        </w:rPr>
        <w:t>................................................</w:t>
      </w:r>
      <w:r>
        <w:rPr>
          <w:rFonts w:hint="eastAsia"/>
          <w:sz w:val="24"/>
          <w:lang w:val="en-US" w:eastAsia="zh-CN"/>
        </w:rPr>
        <w:t>8</w:t>
      </w:r>
    </w:p>
    <w:p w14:paraId="5C8EDB90">
      <w:pPr>
        <w:pStyle w:val="18"/>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szCs w:val="28"/>
        </w:rPr>
        <w:t>六、一般公共预算财政拨款基本支出决算情况说明</w:t>
      </w:r>
      <w:r>
        <w:rPr>
          <w:rFonts w:hint="eastAsia"/>
          <w:sz w:val="24"/>
        </w:rPr>
        <w:t>....................................</w:t>
      </w:r>
      <w:r>
        <w:rPr>
          <w:rFonts w:hint="eastAsia"/>
          <w:sz w:val="24"/>
          <w:lang w:val="en-US" w:eastAsia="zh-CN"/>
        </w:rPr>
        <w:t>.</w:t>
      </w:r>
      <w:r>
        <w:rPr>
          <w:rFonts w:hint="eastAsia"/>
          <w:sz w:val="24"/>
        </w:rPr>
        <w:t>..</w:t>
      </w:r>
      <w:r>
        <w:rPr>
          <w:rFonts w:hint="eastAsia"/>
          <w:sz w:val="24"/>
          <w:lang w:val="en-US" w:eastAsia="zh-CN"/>
        </w:rPr>
        <w:t>10</w:t>
      </w:r>
    </w:p>
    <w:p w14:paraId="4D06E7BC">
      <w:pPr>
        <w:pStyle w:val="18"/>
        <w:adjustRightInd w:val="0"/>
        <w:snapToGrid w:val="0"/>
        <w:spacing w:line="440" w:lineRule="exact"/>
        <w:jc w:val="left"/>
        <w:rPr>
          <w:rFonts w:ascii="仿宋" w:hAnsi="仿宋" w:eastAsia="仿宋" w:cstheme="minorBidi"/>
          <w:sz w:val="24"/>
        </w:rPr>
      </w:pPr>
      <w:r>
        <w:rPr>
          <w:rFonts w:hint="eastAsia" w:ascii="仿宋" w:hAnsi="仿宋" w:eastAsia="仿宋"/>
          <w:sz w:val="24"/>
          <w:szCs w:val="28"/>
        </w:rPr>
        <w:t>七、财政拨款“三公”经费支出决算情况说明</w:t>
      </w:r>
      <w:r>
        <w:rPr>
          <w:rFonts w:hint="eastAsia"/>
          <w:sz w:val="24"/>
        </w:rPr>
        <w:t>...............................................1</w:t>
      </w:r>
      <w:r>
        <w:rPr>
          <w:rFonts w:hint="eastAsia"/>
          <w:sz w:val="24"/>
          <w:lang w:val="en-US" w:eastAsia="zh-CN"/>
        </w:rPr>
        <w:t>0</w:t>
      </w:r>
    </w:p>
    <w:p w14:paraId="4FF2BFD4">
      <w:pPr>
        <w:pStyle w:val="18"/>
        <w:adjustRightInd w:val="0"/>
        <w:snapToGrid w:val="0"/>
        <w:spacing w:line="440" w:lineRule="exact"/>
        <w:jc w:val="left"/>
        <w:rPr>
          <w:rFonts w:ascii="仿宋" w:hAnsi="仿宋" w:eastAsia="仿宋" w:cstheme="minorBidi"/>
          <w:sz w:val="24"/>
        </w:rPr>
      </w:pPr>
      <w:r>
        <w:rPr>
          <w:rFonts w:hint="eastAsia" w:ascii="仿宋" w:hAnsi="仿宋" w:eastAsia="仿宋"/>
          <w:sz w:val="24"/>
          <w:szCs w:val="28"/>
        </w:rPr>
        <w:t>八、政府性基金预算支出决算情况说明</w:t>
      </w:r>
      <w:r>
        <w:rPr>
          <w:rFonts w:hint="eastAsia"/>
          <w:sz w:val="24"/>
        </w:rPr>
        <w:t>...........................................................12</w:t>
      </w:r>
    </w:p>
    <w:p w14:paraId="716FE23A">
      <w:pPr>
        <w:pStyle w:val="18"/>
        <w:adjustRightInd w:val="0"/>
        <w:snapToGrid w:val="0"/>
        <w:spacing w:line="440" w:lineRule="exact"/>
        <w:ind w:leftChars="0"/>
        <w:jc w:val="left"/>
        <w:rPr>
          <w:rFonts w:asciiTheme="minorEastAsia" w:hAnsiTheme="minorEastAsia" w:eastAsiaTheme="minorEastAsia" w:cstheme="minorEastAsia"/>
          <w:sz w:val="24"/>
        </w:rPr>
      </w:pPr>
      <w:r>
        <w:rPr>
          <w:rFonts w:hint="eastAsia" w:ascii="仿宋" w:hAnsi="仿宋" w:eastAsia="仿宋" w:cs="Times New Roman"/>
          <w:sz w:val="24"/>
          <w:szCs w:val="28"/>
        </w:rPr>
        <w:t>九、国有资本经营预算支出决算情况说明</w:t>
      </w:r>
      <w:r>
        <w:rPr>
          <w:rFonts w:hint="eastAsia"/>
          <w:sz w:val="24"/>
        </w:rPr>
        <w:t>.......................................................12</w:t>
      </w:r>
    </w:p>
    <w:p w14:paraId="243248BD">
      <w:pPr>
        <w:adjustRightInd w:val="0"/>
        <w:snapToGrid w:val="0"/>
        <w:spacing w:line="440" w:lineRule="exact"/>
        <w:ind w:firstLine="420" w:firstLineChars="175"/>
        <w:jc w:val="left"/>
        <w:rPr>
          <w:rFonts w:asciiTheme="minorEastAsia" w:hAnsiTheme="minorEastAsia" w:eastAsiaTheme="minorEastAsia" w:cstheme="minorEastAsia"/>
          <w:sz w:val="24"/>
        </w:rPr>
      </w:pPr>
      <w:r>
        <w:rPr>
          <w:rFonts w:hint="eastAsia" w:ascii="仿宋" w:hAnsi="仿宋" w:eastAsia="仿宋" w:cs="Times New Roman"/>
          <w:sz w:val="24"/>
          <w:szCs w:val="28"/>
          <w:u w:val="none"/>
        </w:rPr>
        <w:t>十、</w:t>
      </w:r>
      <w:r>
        <w:rPr>
          <w:rFonts w:hint="eastAsia" w:ascii="仿宋" w:hAnsi="仿宋" w:eastAsia="仿宋" w:cs="Times New Roman"/>
          <w:sz w:val="24"/>
          <w:szCs w:val="28"/>
        </w:rPr>
        <w:t>其他重要事项的情况说明</w:t>
      </w:r>
      <w:r>
        <w:rPr>
          <w:rFonts w:hint="eastAsia"/>
          <w:sz w:val="24"/>
        </w:rPr>
        <w:t>...........................................................................12</w:t>
      </w:r>
    </w:p>
    <w:p w14:paraId="6C0188C3">
      <w:pPr>
        <w:pStyle w:val="17"/>
        <w:adjustRightInd w:val="0"/>
        <w:snapToGrid w:val="0"/>
        <w:spacing w:before="0" w:line="440" w:lineRule="exact"/>
        <w:jc w:val="left"/>
        <w:rPr>
          <w:rFonts w:hint="eastAsia" w:ascii="Times New Roman" w:hAnsi="Times New Roman" w:eastAsia="宋体"/>
          <w:sz w:val="24"/>
          <w:szCs w:val="24"/>
          <w:lang w:eastAsia="zh-CN"/>
        </w:rPr>
      </w:pPr>
      <w:r>
        <w:rPr>
          <w:rFonts w:hint="default"/>
          <w:b/>
          <w:bCs/>
          <w:sz w:val="24"/>
        </w:rPr>
        <w:t>第三部分</w:t>
      </w:r>
      <w:r>
        <w:rPr>
          <w:b/>
          <w:bCs/>
          <w:sz w:val="24"/>
        </w:rPr>
        <w:t xml:space="preserve"> </w:t>
      </w:r>
      <w:r>
        <w:rPr>
          <w:rFonts w:hint="default"/>
          <w:b/>
          <w:bCs/>
          <w:sz w:val="24"/>
        </w:rPr>
        <w:t>名词解释</w:t>
      </w:r>
      <w:r>
        <w:rPr>
          <w:rFonts w:hint="eastAsia" w:ascii="Times New Roman" w:hAnsi="Times New Roman" w:eastAsia="宋体"/>
          <w:b/>
          <w:bCs/>
          <w:sz w:val="24"/>
          <w:szCs w:val="24"/>
        </w:rPr>
        <w:t>...................</w:t>
      </w:r>
      <w:r>
        <w:rPr>
          <w:rFonts w:ascii="Times New Roman" w:hAnsi="Times New Roman" w:eastAsia="宋体"/>
          <w:b/>
          <w:bCs/>
          <w:sz w:val="24"/>
          <w:szCs w:val="24"/>
        </w:rPr>
        <w:t>..............................................................</w:t>
      </w:r>
      <w:r>
        <w:rPr>
          <w:rFonts w:hint="eastAsia" w:ascii="Times New Roman" w:hAnsi="Times New Roman" w:eastAsia="宋体"/>
          <w:b/>
          <w:bCs/>
          <w:sz w:val="24"/>
          <w:szCs w:val="24"/>
        </w:rPr>
        <w:t>...................</w:t>
      </w:r>
      <w:r>
        <w:rPr>
          <w:rFonts w:hint="eastAsia" w:ascii="Times New Roman" w:hAnsi="Times New Roman" w:eastAsia="宋体"/>
          <w:sz w:val="24"/>
          <w:szCs w:val="24"/>
        </w:rPr>
        <w:t>1</w:t>
      </w:r>
      <w:r>
        <w:rPr>
          <w:rFonts w:hint="eastAsia" w:ascii="Times New Roman" w:hAnsi="Times New Roman" w:eastAsia="宋体"/>
          <w:sz w:val="24"/>
          <w:szCs w:val="24"/>
          <w:lang w:val="en-US" w:eastAsia="zh-CN"/>
        </w:rPr>
        <w:t>4</w:t>
      </w:r>
    </w:p>
    <w:p w14:paraId="4EA1F46B">
      <w:pPr>
        <w:pStyle w:val="18"/>
        <w:adjustRightInd w:val="0"/>
        <w:snapToGrid w:val="0"/>
        <w:spacing w:line="440" w:lineRule="exact"/>
        <w:ind w:left="0" w:leftChars="0"/>
        <w:jc w:val="left"/>
        <w:rPr>
          <w:rFonts w:hint="eastAsia" w:eastAsia="宋体" w:asciiTheme="minorEastAsia" w:hAnsiTheme="minorEastAsia" w:cstheme="minorEastAsia"/>
          <w:sz w:val="24"/>
          <w:lang w:eastAsia="zh-CN"/>
        </w:rPr>
      </w:pPr>
      <w:r>
        <w:rPr>
          <w:rFonts w:hint="default" w:ascii="仿宋" w:hAnsi="仿宋" w:eastAsia="仿宋"/>
          <w:b/>
          <w:bCs/>
          <w:sz w:val="24"/>
          <w:szCs w:val="28"/>
        </w:rPr>
        <w:t>第四部分 附件</w:t>
      </w:r>
      <w:r>
        <w:rPr>
          <w:rFonts w:hint="eastAsia"/>
          <w:b/>
          <w:bCs/>
          <w:sz w:val="24"/>
        </w:rPr>
        <w:t>..........................................</w:t>
      </w:r>
      <w:r>
        <w:rPr>
          <w:b/>
          <w:bCs/>
          <w:sz w:val="24"/>
        </w:rPr>
        <w:t>.....................</w:t>
      </w:r>
      <w:r>
        <w:rPr>
          <w:rFonts w:hint="eastAsia"/>
          <w:b/>
          <w:bCs/>
          <w:sz w:val="24"/>
          <w:lang w:val="en-US" w:eastAsia="zh-CN"/>
        </w:rPr>
        <w:t>..</w:t>
      </w:r>
      <w:r>
        <w:rPr>
          <w:b/>
          <w:bCs/>
          <w:sz w:val="24"/>
        </w:rPr>
        <w:t>...............................</w:t>
      </w:r>
      <w:r>
        <w:rPr>
          <w:rFonts w:hint="eastAsia"/>
          <w:b/>
          <w:bCs/>
          <w:sz w:val="24"/>
        </w:rPr>
        <w:t>............</w:t>
      </w:r>
      <w:r>
        <w:rPr>
          <w:rFonts w:hint="eastAsia"/>
          <w:sz w:val="24"/>
        </w:rPr>
        <w:t>1</w:t>
      </w:r>
      <w:r>
        <w:rPr>
          <w:rFonts w:hint="eastAsia"/>
          <w:sz w:val="24"/>
          <w:lang w:val="en-US" w:eastAsia="zh-CN"/>
        </w:rPr>
        <w:t>8</w:t>
      </w:r>
    </w:p>
    <w:p w14:paraId="7718FB2A">
      <w:pPr>
        <w:pStyle w:val="17"/>
        <w:adjustRightInd w:val="0"/>
        <w:snapToGrid w:val="0"/>
        <w:spacing w:before="0" w:line="440" w:lineRule="exact"/>
        <w:jc w:val="left"/>
        <w:rPr>
          <w:rFonts w:hint="default" w:ascii="Times New Roman" w:hAnsi="Times New Roman" w:eastAsia="宋体"/>
          <w:sz w:val="24"/>
          <w:szCs w:val="24"/>
          <w:lang w:val="en-US" w:eastAsia="zh-CN"/>
        </w:rPr>
      </w:pPr>
      <w:r>
        <w:rPr>
          <w:rFonts w:hint="default"/>
          <w:b/>
          <w:bCs/>
          <w:sz w:val="24"/>
        </w:rPr>
        <w:t>第五部分</w:t>
      </w:r>
      <w:r>
        <w:rPr>
          <w:b/>
          <w:bCs/>
          <w:sz w:val="24"/>
        </w:rPr>
        <w:t xml:space="preserve"> </w:t>
      </w:r>
      <w:r>
        <w:rPr>
          <w:rFonts w:hint="default"/>
          <w:b/>
          <w:bCs/>
          <w:sz w:val="24"/>
        </w:rPr>
        <w:t>附表</w:t>
      </w:r>
      <w:r>
        <w:rPr>
          <w:rFonts w:hint="eastAsia" w:ascii="Times New Roman" w:hAnsi="Times New Roman" w:eastAsia="宋体"/>
          <w:b/>
          <w:bCs/>
          <w:sz w:val="24"/>
          <w:szCs w:val="24"/>
        </w:rPr>
        <w:t>........</w:t>
      </w:r>
      <w:r>
        <w:rPr>
          <w:rFonts w:ascii="Times New Roman" w:hAnsi="Times New Roman" w:eastAsia="宋体"/>
          <w:b/>
          <w:bCs/>
          <w:sz w:val="24"/>
          <w:szCs w:val="24"/>
        </w:rPr>
        <w:t>..........................................................................</w:t>
      </w:r>
      <w:r>
        <w:rPr>
          <w:rFonts w:hint="eastAsia" w:ascii="Times New Roman" w:hAnsi="Times New Roman" w:eastAsia="宋体"/>
          <w:b/>
          <w:bCs/>
          <w:sz w:val="24"/>
          <w:szCs w:val="24"/>
        </w:rPr>
        <w:t>..........................</w:t>
      </w:r>
      <w:r>
        <w:rPr>
          <w:rFonts w:hint="eastAsia" w:ascii="Times New Roman" w:hAnsi="Times New Roman" w:eastAsia="宋体"/>
          <w:sz w:val="24"/>
          <w:szCs w:val="24"/>
          <w:lang w:val="en-US" w:eastAsia="zh-CN"/>
        </w:rPr>
        <w:t>33</w:t>
      </w:r>
    </w:p>
    <w:p w14:paraId="65D628CD">
      <w:pPr>
        <w:pStyle w:val="18"/>
        <w:adjustRightInd w:val="0"/>
        <w:snapToGrid w:val="0"/>
        <w:spacing w:line="440" w:lineRule="exact"/>
        <w:jc w:val="left"/>
        <w:rPr>
          <w:rFonts w:hint="default" w:eastAsia="宋体"/>
          <w:sz w:val="24"/>
          <w:lang w:val="en-US" w:eastAsia="zh-CN"/>
        </w:rPr>
      </w:pPr>
      <w:r>
        <w:rPr>
          <w:rFonts w:hint="eastAsia" w:ascii="仿宋" w:hAnsi="仿宋" w:eastAsia="仿宋"/>
          <w:sz w:val="24"/>
          <w:szCs w:val="28"/>
        </w:rPr>
        <w:t>一、收入支出决算总表</w:t>
      </w:r>
      <w:r>
        <w:rPr>
          <w:rFonts w:hint="eastAsia"/>
          <w:sz w:val="24"/>
        </w:rPr>
        <w:t>.......................................................................................</w:t>
      </w:r>
      <w:r>
        <w:rPr>
          <w:rFonts w:hint="eastAsia"/>
          <w:sz w:val="24"/>
          <w:lang w:val="en-US" w:eastAsia="zh-CN"/>
        </w:rPr>
        <w:t>33</w:t>
      </w:r>
    </w:p>
    <w:p w14:paraId="18CABD6D">
      <w:pPr>
        <w:pStyle w:val="18"/>
        <w:adjustRightInd w:val="0"/>
        <w:snapToGrid w:val="0"/>
        <w:spacing w:line="440" w:lineRule="exact"/>
        <w:jc w:val="left"/>
        <w:rPr>
          <w:rFonts w:hint="default" w:eastAsia="宋体"/>
          <w:sz w:val="24"/>
          <w:lang w:val="en-US" w:eastAsia="zh-CN"/>
        </w:rPr>
      </w:pPr>
      <w:r>
        <w:rPr>
          <w:rFonts w:hint="eastAsia" w:ascii="仿宋" w:hAnsi="仿宋" w:eastAsia="仿宋"/>
          <w:sz w:val="24"/>
          <w:szCs w:val="28"/>
        </w:rPr>
        <w:t>二、收入决算表</w:t>
      </w:r>
      <w:r>
        <w:rPr>
          <w:rFonts w:hint="eastAsia"/>
          <w:sz w:val="24"/>
        </w:rPr>
        <w:t>...................................................................................................</w:t>
      </w:r>
      <w:r>
        <w:rPr>
          <w:rFonts w:hint="eastAsia"/>
          <w:sz w:val="24"/>
          <w:lang w:val="en-US" w:eastAsia="zh-CN"/>
        </w:rPr>
        <w:t>33</w:t>
      </w:r>
    </w:p>
    <w:p w14:paraId="1C887CE9">
      <w:pPr>
        <w:pStyle w:val="18"/>
        <w:adjustRightInd w:val="0"/>
        <w:snapToGrid w:val="0"/>
        <w:spacing w:line="440" w:lineRule="exact"/>
        <w:jc w:val="left"/>
        <w:rPr>
          <w:rFonts w:hint="default" w:eastAsia="宋体"/>
          <w:sz w:val="24"/>
          <w:lang w:val="en-US" w:eastAsia="zh-CN"/>
        </w:rPr>
      </w:pPr>
      <w:r>
        <w:rPr>
          <w:rFonts w:hint="eastAsia" w:ascii="仿宋" w:hAnsi="仿宋" w:eastAsia="仿宋"/>
          <w:sz w:val="24"/>
          <w:szCs w:val="28"/>
        </w:rPr>
        <w:t>三、支出决算表</w:t>
      </w:r>
      <w:r>
        <w:rPr>
          <w:rFonts w:hint="eastAsia"/>
          <w:sz w:val="24"/>
        </w:rPr>
        <w:t>...................................................................................................</w:t>
      </w:r>
      <w:r>
        <w:rPr>
          <w:rFonts w:hint="eastAsia"/>
          <w:sz w:val="24"/>
          <w:lang w:val="en-US" w:eastAsia="zh-CN"/>
        </w:rPr>
        <w:t>33</w:t>
      </w:r>
    </w:p>
    <w:p w14:paraId="41B8F579">
      <w:pPr>
        <w:pStyle w:val="18"/>
        <w:adjustRightInd w:val="0"/>
        <w:snapToGrid w:val="0"/>
        <w:spacing w:line="440" w:lineRule="exact"/>
        <w:jc w:val="left"/>
        <w:rPr>
          <w:rFonts w:hint="default" w:eastAsia="宋体"/>
          <w:sz w:val="24"/>
          <w:lang w:val="en-US" w:eastAsia="zh-CN"/>
        </w:rPr>
      </w:pPr>
      <w:r>
        <w:rPr>
          <w:rFonts w:hint="eastAsia" w:ascii="仿宋" w:hAnsi="仿宋" w:eastAsia="仿宋"/>
          <w:sz w:val="24"/>
          <w:szCs w:val="28"/>
        </w:rPr>
        <w:t>四、财政拨款收入支出决算总表</w:t>
      </w:r>
      <w:r>
        <w:rPr>
          <w:rFonts w:hint="eastAsia"/>
          <w:sz w:val="24"/>
        </w:rPr>
        <w:t>.......................................................................</w:t>
      </w:r>
      <w:r>
        <w:rPr>
          <w:rFonts w:hint="eastAsia"/>
          <w:sz w:val="24"/>
          <w:lang w:val="en-US" w:eastAsia="zh-CN"/>
        </w:rPr>
        <w:t>33</w:t>
      </w:r>
    </w:p>
    <w:p w14:paraId="085CAA94">
      <w:pPr>
        <w:pStyle w:val="18"/>
        <w:adjustRightInd w:val="0"/>
        <w:snapToGrid w:val="0"/>
        <w:spacing w:line="440" w:lineRule="exact"/>
        <w:jc w:val="left"/>
        <w:rPr>
          <w:rFonts w:hint="default" w:eastAsia="宋体"/>
          <w:sz w:val="24"/>
          <w:lang w:val="en-US" w:eastAsia="zh-CN"/>
        </w:rPr>
      </w:pPr>
      <w:r>
        <w:rPr>
          <w:rFonts w:hint="eastAsia" w:ascii="仿宋" w:hAnsi="仿宋" w:eastAsia="仿宋"/>
          <w:sz w:val="24"/>
          <w:szCs w:val="28"/>
        </w:rPr>
        <w:t>五、财政拨款支出决算明细表</w:t>
      </w:r>
      <w:r>
        <w:rPr>
          <w:rFonts w:hint="eastAsia"/>
          <w:sz w:val="24"/>
        </w:rPr>
        <w:t>............................................................................</w:t>
      </w:r>
      <w:r>
        <w:rPr>
          <w:rFonts w:hint="eastAsia"/>
          <w:sz w:val="24"/>
          <w:lang w:val="en-US" w:eastAsia="zh-CN"/>
        </w:rPr>
        <w:t>33</w:t>
      </w:r>
    </w:p>
    <w:p w14:paraId="770C7130">
      <w:pPr>
        <w:pStyle w:val="18"/>
        <w:adjustRightInd w:val="0"/>
        <w:snapToGrid w:val="0"/>
        <w:spacing w:line="440" w:lineRule="exact"/>
        <w:jc w:val="left"/>
        <w:rPr>
          <w:rFonts w:hint="default" w:eastAsia="宋体"/>
          <w:sz w:val="24"/>
          <w:lang w:val="en-US" w:eastAsia="zh-CN"/>
        </w:rPr>
      </w:pPr>
      <w:r>
        <w:rPr>
          <w:rFonts w:hint="eastAsia" w:ascii="仿宋" w:hAnsi="仿宋" w:eastAsia="仿宋"/>
          <w:sz w:val="24"/>
          <w:szCs w:val="28"/>
        </w:rPr>
        <w:t>六、一般公共预算财政拨款支出决算表</w:t>
      </w:r>
      <w:r>
        <w:rPr>
          <w:rFonts w:hint="eastAsia"/>
          <w:sz w:val="24"/>
        </w:rPr>
        <w:t>............................................................</w:t>
      </w:r>
      <w:r>
        <w:rPr>
          <w:rFonts w:hint="eastAsia"/>
          <w:sz w:val="24"/>
          <w:lang w:val="en-US" w:eastAsia="zh-CN"/>
        </w:rPr>
        <w:t>33</w:t>
      </w:r>
    </w:p>
    <w:p w14:paraId="3E82199C">
      <w:pPr>
        <w:pStyle w:val="18"/>
        <w:adjustRightInd w:val="0"/>
        <w:snapToGrid w:val="0"/>
        <w:spacing w:line="440" w:lineRule="exact"/>
        <w:jc w:val="left"/>
        <w:rPr>
          <w:rFonts w:hint="default" w:eastAsia="宋体"/>
          <w:sz w:val="24"/>
          <w:lang w:val="en-US" w:eastAsia="zh-CN"/>
        </w:rPr>
      </w:pPr>
      <w:r>
        <w:rPr>
          <w:rFonts w:hint="eastAsia" w:ascii="仿宋" w:hAnsi="仿宋" w:eastAsia="仿宋"/>
          <w:sz w:val="24"/>
          <w:szCs w:val="28"/>
        </w:rPr>
        <w:t>七、一般公共预算财政拨款支出决算明细表</w:t>
      </w:r>
      <w:r>
        <w:rPr>
          <w:rFonts w:hint="eastAsia"/>
          <w:sz w:val="24"/>
        </w:rPr>
        <w:t>...................................................</w:t>
      </w:r>
      <w:r>
        <w:rPr>
          <w:rFonts w:hint="eastAsia"/>
          <w:sz w:val="24"/>
          <w:lang w:val="en-US" w:eastAsia="zh-CN"/>
        </w:rPr>
        <w:t>33</w:t>
      </w:r>
    </w:p>
    <w:p w14:paraId="34FE6022">
      <w:pPr>
        <w:pStyle w:val="18"/>
        <w:adjustRightInd w:val="0"/>
        <w:snapToGrid w:val="0"/>
        <w:spacing w:line="440" w:lineRule="exact"/>
        <w:jc w:val="left"/>
        <w:rPr>
          <w:rFonts w:hint="default" w:eastAsia="宋体"/>
          <w:sz w:val="24"/>
          <w:lang w:val="en-US" w:eastAsia="zh-CN"/>
        </w:rPr>
      </w:pPr>
      <w:r>
        <w:rPr>
          <w:rFonts w:hint="eastAsia" w:ascii="仿宋" w:hAnsi="仿宋" w:eastAsia="仿宋"/>
          <w:sz w:val="24"/>
          <w:szCs w:val="28"/>
        </w:rPr>
        <w:t>八、一般公共预算财政拨款基本支出决算明细表</w:t>
      </w:r>
      <w:r>
        <w:rPr>
          <w:rFonts w:hint="eastAsia"/>
          <w:sz w:val="24"/>
        </w:rPr>
        <w:t>...........................................</w:t>
      </w:r>
      <w:r>
        <w:rPr>
          <w:rFonts w:hint="eastAsia"/>
          <w:sz w:val="24"/>
          <w:lang w:val="en-US" w:eastAsia="zh-CN"/>
        </w:rPr>
        <w:t>33</w:t>
      </w:r>
    </w:p>
    <w:p w14:paraId="5FA8D3D2">
      <w:pPr>
        <w:pStyle w:val="18"/>
        <w:adjustRightInd w:val="0"/>
        <w:snapToGrid w:val="0"/>
        <w:spacing w:line="440" w:lineRule="exact"/>
        <w:jc w:val="left"/>
        <w:rPr>
          <w:rFonts w:hint="default" w:eastAsia="宋体"/>
          <w:sz w:val="24"/>
          <w:lang w:val="en-US" w:eastAsia="zh-CN"/>
        </w:rPr>
      </w:pPr>
      <w:r>
        <w:rPr>
          <w:rFonts w:hint="eastAsia" w:ascii="仿宋" w:hAnsi="仿宋" w:eastAsia="仿宋"/>
          <w:sz w:val="24"/>
          <w:szCs w:val="28"/>
        </w:rPr>
        <w:t>九、一般公共预算财政拨款项目支出决算表</w:t>
      </w:r>
      <w:r>
        <w:rPr>
          <w:rFonts w:hint="eastAsia"/>
          <w:sz w:val="24"/>
        </w:rPr>
        <w:t>...................................................</w:t>
      </w:r>
      <w:r>
        <w:rPr>
          <w:rFonts w:hint="eastAsia"/>
          <w:sz w:val="24"/>
          <w:lang w:val="en-US" w:eastAsia="zh-CN"/>
        </w:rPr>
        <w:t>33</w:t>
      </w:r>
    </w:p>
    <w:p w14:paraId="1105AED8">
      <w:pPr>
        <w:pStyle w:val="18"/>
        <w:adjustRightInd w:val="0"/>
        <w:snapToGrid w:val="0"/>
        <w:spacing w:line="440" w:lineRule="exact"/>
        <w:jc w:val="left"/>
        <w:rPr>
          <w:rFonts w:hint="default" w:eastAsia="宋体"/>
          <w:sz w:val="24"/>
          <w:lang w:val="en-US" w:eastAsia="zh-CN"/>
        </w:rPr>
      </w:pPr>
      <w:r>
        <w:rPr>
          <w:rFonts w:hint="eastAsia" w:ascii="仿宋" w:hAnsi="仿宋" w:eastAsia="仿宋"/>
          <w:sz w:val="24"/>
          <w:szCs w:val="28"/>
        </w:rPr>
        <w:t>十、政府性基金预算财政拨款收入支出决算表</w:t>
      </w:r>
      <w:r>
        <w:rPr>
          <w:rFonts w:hint="eastAsia"/>
          <w:sz w:val="24"/>
        </w:rPr>
        <w:t>................................................</w:t>
      </w:r>
      <w:r>
        <w:rPr>
          <w:rFonts w:hint="eastAsia"/>
          <w:sz w:val="24"/>
          <w:lang w:val="en-US" w:eastAsia="zh-CN"/>
        </w:rPr>
        <w:t>33</w:t>
      </w:r>
    </w:p>
    <w:p w14:paraId="76095C4C">
      <w:pPr>
        <w:pStyle w:val="18"/>
        <w:adjustRightInd w:val="0"/>
        <w:snapToGrid w:val="0"/>
        <w:spacing w:line="440" w:lineRule="exact"/>
        <w:jc w:val="left"/>
        <w:rPr>
          <w:rFonts w:hint="default" w:eastAsia="宋体"/>
          <w:sz w:val="24"/>
          <w:lang w:val="en-US" w:eastAsia="zh-CN"/>
        </w:rPr>
      </w:pPr>
      <w:r>
        <w:rPr>
          <w:rFonts w:hint="eastAsia" w:ascii="仿宋" w:hAnsi="仿宋" w:eastAsia="仿宋"/>
          <w:sz w:val="24"/>
          <w:szCs w:val="28"/>
        </w:rPr>
        <w:t>十一、国有资本经营预算财政拨款收入支出决算表</w:t>
      </w:r>
      <w:r>
        <w:rPr>
          <w:rFonts w:hint="eastAsia"/>
          <w:sz w:val="24"/>
        </w:rPr>
        <w:t>........................................</w:t>
      </w:r>
      <w:r>
        <w:rPr>
          <w:rFonts w:hint="eastAsia"/>
          <w:sz w:val="24"/>
          <w:lang w:val="en-US" w:eastAsia="zh-CN"/>
        </w:rPr>
        <w:t>33</w:t>
      </w:r>
    </w:p>
    <w:p w14:paraId="6B5144B0">
      <w:pPr>
        <w:pStyle w:val="18"/>
        <w:adjustRightInd w:val="0"/>
        <w:snapToGrid w:val="0"/>
        <w:spacing w:line="440" w:lineRule="exact"/>
        <w:jc w:val="left"/>
        <w:rPr>
          <w:rFonts w:hint="default" w:eastAsia="宋体"/>
          <w:sz w:val="24"/>
          <w:lang w:val="en-US" w:eastAsia="zh-CN"/>
        </w:rPr>
      </w:pPr>
      <w:r>
        <w:rPr>
          <w:rFonts w:hint="eastAsia" w:ascii="仿宋" w:hAnsi="仿宋" w:eastAsia="仿宋"/>
          <w:sz w:val="24"/>
          <w:szCs w:val="28"/>
        </w:rPr>
        <w:t>十二、国有资本经营预算财政拨款支出决算表</w:t>
      </w:r>
      <w:r>
        <w:rPr>
          <w:rFonts w:hint="eastAsia"/>
          <w:sz w:val="24"/>
        </w:rPr>
        <w:t>................................................</w:t>
      </w:r>
      <w:r>
        <w:rPr>
          <w:rFonts w:hint="eastAsia"/>
          <w:sz w:val="24"/>
          <w:lang w:val="en-US" w:eastAsia="zh-CN"/>
        </w:rPr>
        <w:t>33</w:t>
      </w:r>
    </w:p>
    <w:p w14:paraId="2DA4D83F">
      <w:pPr>
        <w:pStyle w:val="18"/>
        <w:adjustRightInd w:val="0"/>
        <w:snapToGrid w:val="0"/>
        <w:spacing w:line="440" w:lineRule="exact"/>
        <w:jc w:val="left"/>
        <w:rPr>
          <w:rFonts w:hint="default" w:eastAsia="宋体" w:asciiTheme="minorEastAsia" w:hAnsiTheme="minorEastAsia" w:cstheme="minorEastAsia"/>
          <w:sz w:val="24"/>
          <w:lang w:val="en-US" w:eastAsia="zh-CN"/>
        </w:rPr>
      </w:pPr>
      <w:r>
        <w:rPr>
          <w:rFonts w:hint="eastAsia" w:ascii="仿宋" w:hAnsi="仿宋" w:eastAsia="仿宋"/>
          <w:sz w:val="24"/>
          <w:szCs w:val="28"/>
        </w:rPr>
        <w:t>十三、财政拨款“三公”经费支出决算表</w:t>
      </w:r>
      <w:r>
        <w:rPr>
          <w:rFonts w:hint="eastAsia"/>
          <w:sz w:val="24"/>
        </w:rPr>
        <w:t>.........................................................</w:t>
      </w:r>
      <w:r>
        <w:rPr>
          <w:rFonts w:hint="eastAsia"/>
          <w:sz w:val="24"/>
          <w:lang w:val="en-US" w:eastAsia="zh-CN"/>
        </w:rPr>
        <w:t>33</w:t>
      </w:r>
    </w:p>
    <w:p w14:paraId="4F500BDA">
      <w:pPr>
        <w:widowControl/>
        <w:spacing w:line="440" w:lineRule="exact"/>
        <w:jc w:val="left"/>
        <w:rPr>
          <w:rFonts w:ascii="仿宋" w:hAnsi="仿宋" w:eastAsia="仿宋"/>
          <w:bCs/>
          <w:kern w:val="44"/>
          <w:sz w:val="24"/>
        </w:rPr>
      </w:pPr>
      <w:r>
        <w:rPr>
          <w:rFonts w:ascii="仿宋" w:hAnsi="仿宋" w:eastAsia="仿宋"/>
          <w:b/>
          <w:sz w:val="24"/>
        </w:rPr>
        <w:br w:type="page"/>
      </w:r>
    </w:p>
    <w:p w14:paraId="7816DE9F">
      <w:pPr>
        <w:pStyle w:val="5"/>
        <w:numPr>
          <w:ilvl w:val="0"/>
          <w:numId w:val="2"/>
        </w:numPr>
        <w:spacing w:before="0" w:beforeLines="0" w:after="0" w:line="560" w:lineRule="exact"/>
        <w:ind w:firstLine="880" w:firstLineChars="200"/>
        <w:jc w:val="center"/>
        <w:rPr>
          <w:rStyle w:val="33"/>
          <w:rFonts w:hint="eastAsia" w:ascii="黑体" w:hAnsi="黑体" w:eastAsia="黑体"/>
          <w:b w:val="0"/>
          <w:bCs w:val="0"/>
        </w:rPr>
      </w:pPr>
      <w:r>
        <w:rPr>
          <w:rStyle w:val="33"/>
          <w:rFonts w:hint="eastAsia" w:ascii="黑体" w:hAnsi="黑体" w:eastAsia="黑体"/>
          <w:b w:val="0"/>
          <w:bCs w:val="0"/>
        </w:rPr>
        <w:t>部门概况</w:t>
      </w:r>
      <w:bookmarkEnd w:id="12"/>
      <w:bookmarkEnd w:id="13"/>
    </w:p>
    <w:p w14:paraId="015D38D9">
      <w:pPr>
        <w:pStyle w:val="5"/>
        <w:numPr>
          <w:ilvl w:val="-1"/>
          <w:numId w:val="0"/>
        </w:numPr>
        <w:spacing w:before="0" w:beforeLines="0" w:after="0" w:line="560" w:lineRule="exact"/>
        <w:ind w:firstLine="0" w:firstLineChars="0"/>
        <w:jc w:val="both"/>
        <w:rPr>
          <w:rStyle w:val="33"/>
          <w:rFonts w:hint="eastAsia" w:ascii="黑体" w:hAnsi="黑体" w:eastAsia="黑体"/>
          <w:b w:val="0"/>
          <w:bCs w:val="0"/>
        </w:rPr>
      </w:pPr>
    </w:p>
    <w:p w14:paraId="7A5DCB66">
      <w:pPr>
        <w:pStyle w:val="6"/>
        <w:numPr>
          <w:ilvl w:val="0"/>
          <w:numId w:val="3"/>
        </w:numPr>
        <w:spacing w:before="0" w:beforeLines="0" w:after="0" w:line="560" w:lineRule="exact"/>
        <w:ind w:firstLine="640" w:firstLineChars="200"/>
        <w:rPr>
          <w:rFonts w:ascii="黑体" w:hAnsi="黑体" w:eastAsia="黑体"/>
          <w:b w:val="0"/>
        </w:rPr>
      </w:pPr>
      <w:r>
        <w:rPr>
          <w:rFonts w:hint="eastAsia" w:ascii="黑体" w:hAnsi="黑体" w:eastAsia="黑体"/>
          <w:b w:val="0"/>
        </w:rPr>
        <w:t>部门职责</w:t>
      </w:r>
    </w:p>
    <w:p w14:paraId="0CC020FD">
      <w:pPr>
        <w:spacing w:beforeLines="0" w:line="560" w:lineRule="exact"/>
        <w:ind w:firstLine="640" w:firstLineChars="200"/>
        <w:rPr>
          <w:rFonts w:ascii="仿宋" w:hAnsi="仿宋" w:eastAsia="仿宋"/>
          <w:sz w:val="32"/>
          <w:szCs w:val="32"/>
        </w:rPr>
      </w:pPr>
      <w:r>
        <w:rPr>
          <w:rFonts w:hint="eastAsia" w:ascii="仿宋" w:hAnsi="仿宋" w:eastAsia="仿宋"/>
          <w:sz w:val="32"/>
          <w:szCs w:val="32"/>
        </w:rPr>
        <w:t>1.主要职能</w:t>
      </w:r>
    </w:p>
    <w:p w14:paraId="0B95349A">
      <w:pPr>
        <w:spacing w:beforeLines="0" w:line="560" w:lineRule="exact"/>
        <w:ind w:firstLine="640" w:firstLineChars="200"/>
        <w:rPr>
          <w:rFonts w:ascii="仿宋" w:hAnsi="仿宋" w:eastAsia="仿宋"/>
          <w:sz w:val="32"/>
          <w:szCs w:val="32"/>
        </w:rPr>
      </w:pPr>
      <w:r>
        <w:rPr>
          <w:rFonts w:hint="eastAsia" w:ascii="仿宋" w:hAnsi="仿宋" w:eastAsia="仿宋"/>
          <w:sz w:val="32"/>
          <w:szCs w:val="32"/>
        </w:rPr>
        <w:t>（1）开展救援、救灾的相关工作，建立红十字应急救援体系。在自然灾害、事故灾难、公共卫生事件等突发事件中，对伤病人员和其他受害者提供紧急救援和人道救助；</w:t>
      </w:r>
    </w:p>
    <w:p w14:paraId="02AF0206">
      <w:pPr>
        <w:spacing w:beforeLines="0" w:line="560" w:lineRule="exact"/>
        <w:ind w:firstLine="640" w:firstLineChars="200"/>
        <w:rPr>
          <w:rFonts w:ascii="仿宋" w:hAnsi="仿宋" w:eastAsia="仿宋"/>
          <w:sz w:val="32"/>
          <w:szCs w:val="32"/>
        </w:rPr>
      </w:pPr>
      <w:r>
        <w:rPr>
          <w:rFonts w:hint="eastAsia" w:ascii="仿宋" w:hAnsi="仿宋" w:eastAsia="仿宋"/>
          <w:sz w:val="32"/>
          <w:szCs w:val="32"/>
        </w:rPr>
        <w:t>（2）开展应急救护培训，普及应急救护、防灾避险和卫生健康知识，组织志愿者参与现场救护；</w:t>
      </w:r>
    </w:p>
    <w:p w14:paraId="1A15B02D">
      <w:pPr>
        <w:spacing w:beforeLines="0" w:line="560" w:lineRule="exact"/>
        <w:ind w:firstLine="640" w:firstLineChars="200"/>
        <w:rPr>
          <w:rFonts w:ascii="仿宋" w:hAnsi="仿宋" w:eastAsia="仿宋"/>
          <w:sz w:val="32"/>
          <w:szCs w:val="32"/>
        </w:rPr>
      </w:pPr>
      <w:r>
        <w:rPr>
          <w:rFonts w:hint="eastAsia" w:ascii="仿宋" w:hAnsi="仿宋" w:eastAsia="仿宋"/>
          <w:sz w:val="32"/>
          <w:szCs w:val="32"/>
        </w:rPr>
        <w:t>（3）参与、推动无偿献血、遗体和人体器官捐献工作，参与开展造血干细胞捐献的相关工作；</w:t>
      </w:r>
    </w:p>
    <w:p w14:paraId="5FB32308">
      <w:pPr>
        <w:spacing w:beforeLines="0" w:line="560" w:lineRule="exact"/>
        <w:ind w:firstLine="640" w:firstLineChars="200"/>
        <w:rPr>
          <w:rFonts w:ascii="仿宋" w:hAnsi="仿宋" w:eastAsia="仿宋"/>
          <w:sz w:val="32"/>
          <w:szCs w:val="32"/>
        </w:rPr>
      </w:pPr>
      <w:r>
        <w:rPr>
          <w:rFonts w:hint="eastAsia" w:ascii="仿宋" w:hAnsi="仿宋" w:eastAsia="仿宋"/>
          <w:sz w:val="32"/>
          <w:szCs w:val="32"/>
        </w:rPr>
        <w:t>（4）组织开展红十字志愿服务、红十字青少年工作；</w:t>
      </w:r>
    </w:p>
    <w:p w14:paraId="0D449245">
      <w:pPr>
        <w:spacing w:beforeLines="0" w:line="560" w:lineRule="exact"/>
        <w:ind w:firstLine="640" w:firstLineChars="200"/>
      </w:pPr>
      <w:r>
        <w:rPr>
          <w:rFonts w:hint="eastAsia" w:ascii="仿宋" w:hAnsi="仿宋" w:eastAsia="仿宋"/>
          <w:sz w:val="32"/>
          <w:szCs w:val="32"/>
        </w:rPr>
        <w:t>（5）协助人民政府开展与其职责相关的其他人道主义服务活动。</w:t>
      </w:r>
    </w:p>
    <w:p w14:paraId="58346725">
      <w:pPr>
        <w:pStyle w:val="6"/>
        <w:spacing w:before="0" w:beforeLines="0" w:after="0" w:line="560" w:lineRule="exact"/>
        <w:ind w:firstLine="640" w:firstLineChars="200"/>
        <w:rPr>
          <w:rStyle w:val="34"/>
          <w:b w:val="0"/>
          <w:bCs w:val="0"/>
        </w:rPr>
      </w:pPr>
      <w:bookmarkStart w:id="14" w:name="_Toc15396601"/>
      <w:bookmarkStart w:id="15" w:name="_Toc15377200"/>
      <w:r>
        <w:rPr>
          <w:rFonts w:hint="eastAsia" w:ascii="黑体" w:eastAsia="黑体"/>
          <w:b w:val="0"/>
        </w:rPr>
        <w:t>二、</w:t>
      </w:r>
      <w:r>
        <w:rPr>
          <w:rFonts w:hint="eastAsia" w:ascii="黑体" w:hAnsi="黑体" w:eastAsia="黑体"/>
          <w:b w:val="0"/>
        </w:rPr>
        <w:t>机</w:t>
      </w:r>
      <w:r>
        <w:rPr>
          <w:rStyle w:val="34"/>
          <w:rFonts w:hint="eastAsia" w:ascii="黑体" w:hAnsi="黑体" w:eastAsia="黑体"/>
          <w:b w:val="0"/>
          <w:bCs w:val="0"/>
        </w:rPr>
        <w:t>构设置</w:t>
      </w:r>
      <w:bookmarkEnd w:id="14"/>
      <w:bookmarkEnd w:id="15"/>
    </w:p>
    <w:p w14:paraId="5ABF2BC0">
      <w:pPr>
        <w:spacing w:beforeLines="0" w:line="560" w:lineRule="exact"/>
        <w:ind w:firstLine="640" w:firstLineChars="200"/>
        <w:rPr>
          <w:rFonts w:ascii="仿宋" w:hAnsi="仿宋" w:eastAsia="仿宋"/>
          <w:sz w:val="32"/>
          <w:szCs w:val="32"/>
        </w:rPr>
      </w:pPr>
      <w:r>
        <w:rPr>
          <w:rFonts w:hint="eastAsia" w:ascii="仿宋" w:hAnsi="仿宋" w:eastAsia="仿宋"/>
          <w:sz w:val="32"/>
          <w:szCs w:val="32"/>
        </w:rPr>
        <w:t>遂宁市安居区红十字会下属二级预算单位0个，其中行政单位0个，参照公务员法管理的事业单位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个，其他事业单位0个。</w:t>
      </w:r>
    </w:p>
    <w:p w14:paraId="278C7862">
      <w:pPr>
        <w:pStyle w:val="12"/>
        <w:adjustRightInd w:val="0"/>
        <w:snapToGrid w:val="0"/>
        <w:spacing w:before="0" w:beforeLines="0" w:line="56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纳入本单位202</w:t>
      </w:r>
      <w:r>
        <w:rPr>
          <w:rFonts w:hint="eastAsia" w:ascii="仿宋" w:hAnsi="仿宋" w:eastAsia="仿宋"/>
          <w:sz w:val="32"/>
          <w:szCs w:val="32"/>
          <w:lang w:val="en-US" w:eastAsia="zh-CN"/>
        </w:rPr>
        <w:t>3</w:t>
      </w:r>
      <w:r>
        <w:rPr>
          <w:rFonts w:hint="eastAsia" w:ascii="仿宋" w:hAnsi="仿宋" w:eastAsia="仿宋"/>
          <w:sz w:val="32"/>
          <w:szCs w:val="32"/>
        </w:rPr>
        <w:t>年度部门决算编制范围的二级预算单位包括：0个</w:t>
      </w:r>
      <w:r>
        <w:rPr>
          <w:rFonts w:hint="eastAsia" w:ascii="仿宋" w:hAnsi="仿宋" w:eastAsia="仿宋"/>
          <w:sz w:val="32"/>
          <w:szCs w:val="32"/>
          <w:lang w:eastAsia="zh-CN"/>
        </w:rPr>
        <w:t>。</w:t>
      </w:r>
    </w:p>
    <w:p w14:paraId="3BCE4E2A">
      <w:pPr>
        <w:pStyle w:val="12"/>
        <w:adjustRightInd w:val="0"/>
        <w:snapToGrid w:val="0"/>
        <w:spacing w:before="0" w:beforeLines="0" w:line="560" w:lineRule="exact"/>
        <w:ind w:firstLine="640" w:firstLineChars="200"/>
        <w:rPr>
          <w:rFonts w:hint="eastAsia" w:ascii="仿宋" w:hAnsi="仿宋" w:eastAsia="仿宋"/>
          <w:sz w:val="32"/>
          <w:szCs w:val="32"/>
          <w:lang w:eastAsia="zh-CN"/>
        </w:rPr>
      </w:pPr>
    </w:p>
    <w:p w14:paraId="55582DDF">
      <w:pPr>
        <w:pStyle w:val="12"/>
        <w:adjustRightInd w:val="0"/>
        <w:snapToGrid w:val="0"/>
        <w:spacing w:before="0" w:beforeLines="0" w:line="560" w:lineRule="exact"/>
        <w:ind w:firstLine="640" w:firstLineChars="200"/>
        <w:rPr>
          <w:rFonts w:hint="eastAsia" w:ascii="仿宋" w:hAnsi="仿宋" w:eastAsia="仿宋"/>
          <w:sz w:val="32"/>
          <w:szCs w:val="32"/>
          <w:lang w:eastAsia="zh-CN"/>
        </w:rPr>
      </w:pPr>
    </w:p>
    <w:p w14:paraId="6924DC33">
      <w:pPr>
        <w:pStyle w:val="12"/>
        <w:adjustRightInd w:val="0"/>
        <w:snapToGrid w:val="0"/>
        <w:spacing w:before="0" w:beforeLines="0" w:line="560" w:lineRule="exact"/>
        <w:ind w:firstLine="640" w:firstLineChars="200"/>
        <w:rPr>
          <w:rFonts w:hint="eastAsia" w:ascii="仿宋" w:hAnsi="仿宋" w:eastAsia="仿宋"/>
          <w:sz w:val="32"/>
          <w:szCs w:val="32"/>
          <w:lang w:eastAsia="zh-CN"/>
        </w:rPr>
      </w:pPr>
    </w:p>
    <w:p w14:paraId="61BADF6D">
      <w:pPr>
        <w:pStyle w:val="5"/>
        <w:numPr>
          <w:ilvl w:val="0"/>
          <w:numId w:val="2"/>
        </w:numPr>
        <w:spacing w:before="0" w:after="0" w:line="560" w:lineRule="exact"/>
        <w:ind w:right="0" w:firstLine="880" w:firstLineChars="200"/>
        <w:jc w:val="both"/>
        <w:rPr>
          <w:rStyle w:val="33"/>
          <w:rFonts w:hint="eastAsia" w:ascii="黑体" w:hAnsi="黑体" w:eastAsia="黑体"/>
          <w:b w:val="0"/>
          <w:bCs/>
        </w:rPr>
      </w:pPr>
      <w:bookmarkStart w:id="16" w:name="_Toc15377204"/>
      <w:bookmarkStart w:id="17" w:name="_Toc15396602"/>
      <w:r>
        <w:rPr>
          <w:rFonts w:hint="eastAsia" w:ascii="黑体" w:hAnsi="黑体" w:eastAsia="黑体"/>
          <w:b w:val="0"/>
        </w:rPr>
        <w:t>202</w:t>
      </w:r>
      <w:r>
        <w:rPr>
          <w:rFonts w:hint="eastAsia" w:ascii="黑体" w:hAnsi="黑体" w:eastAsia="黑体"/>
          <w:b w:val="0"/>
          <w:lang w:val="en-US" w:eastAsia="zh-CN"/>
        </w:rPr>
        <w:t>3</w:t>
      </w:r>
      <w:r>
        <w:rPr>
          <w:rFonts w:hint="eastAsia" w:ascii="黑体" w:hAnsi="黑体" w:eastAsia="黑体"/>
          <w:b w:val="0"/>
        </w:rPr>
        <w:t>年度</w:t>
      </w:r>
      <w:r>
        <w:rPr>
          <w:rStyle w:val="33"/>
          <w:rFonts w:hint="eastAsia" w:ascii="黑体" w:hAnsi="黑体" w:eastAsia="黑体"/>
          <w:b w:val="0"/>
          <w:bCs/>
        </w:rPr>
        <w:t>部门决算情况说明</w:t>
      </w:r>
      <w:bookmarkEnd w:id="16"/>
      <w:bookmarkEnd w:id="17"/>
    </w:p>
    <w:p w14:paraId="25851A3E">
      <w:pPr>
        <w:pStyle w:val="5"/>
        <w:spacing w:before="0" w:after="0" w:line="560" w:lineRule="exact"/>
        <w:ind w:right="0" w:firstLine="883" w:firstLineChars="200"/>
        <w:jc w:val="center"/>
      </w:pPr>
    </w:p>
    <w:p w14:paraId="2F9B1BBD">
      <w:pPr>
        <w:pStyle w:val="32"/>
        <w:numPr>
          <w:ilvl w:val="-1"/>
          <w:numId w:val="0"/>
        </w:numPr>
        <w:spacing w:line="560" w:lineRule="exact"/>
        <w:ind w:left="420" w:leftChars="200" w:firstLine="320" w:firstLineChars="100"/>
        <w:outlineLvl w:val="1"/>
        <w:rPr>
          <w:rStyle w:val="34"/>
          <w:rFonts w:ascii="黑体" w:hAnsi="黑体" w:eastAsia="黑体"/>
          <w:b w:val="0"/>
        </w:rPr>
      </w:pPr>
      <w:bookmarkStart w:id="18" w:name="_Toc15396603"/>
      <w:bookmarkStart w:id="19" w:name="_Toc15377205"/>
      <w:r>
        <w:rPr>
          <w:rFonts w:hint="eastAsia" w:ascii="黑体" w:hAnsi="黑体" w:eastAsia="黑体"/>
          <w:sz w:val="32"/>
          <w:szCs w:val="32"/>
          <w:lang w:val="en-US" w:eastAsia="zh-CN"/>
        </w:rPr>
        <w:t>一、</w:t>
      </w:r>
      <w:r>
        <w:rPr>
          <w:rFonts w:hint="eastAsia" w:ascii="黑体" w:hAnsi="黑体" w:eastAsia="黑体"/>
          <w:sz w:val="32"/>
          <w:szCs w:val="32"/>
        </w:rPr>
        <w:t>收</w:t>
      </w:r>
      <w:r>
        <w:rPr>
          <w:rStyle w:val="34"/>
          <w:rFonts w:hint="eastAsia" w:ascii="黑体" w:hAnsi="黑体" w:eastAsia="黑体"/>
          <w:b w:val="0"/>
        </w:rPr>
        <w:t>入支出决算总体情况说明</w:t>
      </w:r>
      <w:bookmarkEnd w:id="18"/>
      <w:bookmarkEnd w:id="19"/>
    </w:p>
    <w:p w14:paraId="5E958214">
      <w:pPr>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年度收、支总计</w:t>
      </w:r>
      <w:r>
        <w:rPr>
          <w:rFonts w:hint="eastAsia" w:ascii="仿宋" w:hAnsi="仿宋" w:eastAsia="仿宋"/>
          <w:sz w:val="32"/>
          <w:szCs w:val="32"/>
          <w:lang w:val="en-US" w:eastAsia="zh-CN"/>
        </w:rPr>
        <w:t>69.25</w:t>
      </w:r>
      <w:r>
        <w:rPr>
          <w:rFonts w:hint="eastAsia" w:ascii="仿宋" w:hAnsi="仿宋" w:eastAsia="仿宋"/>
          <w:sz w:val="32"/>
          <w:szCs w:val="32"/>
        </w:rPr>
        <w:t>万元。与202</w:t>
      </w:r>
      <w:r>
        <w:rPr>
          <w:rFonts w:hint="eastAsia" w:ascii="仿宋" w:hAnsi="仿宋" w:eastAsia="仿宋"/>
          <w:sz w:val="32"/>
          <w:szCs w:val="32"/>
          <w:lang w:val="en-US" w:eastAsia="zh-CN"/>
        </w:rPr>
        <w:t>2</w:t>
      </w:r>
      <w:r>
        <w:rPr>
          <w:rFonts w:hint="eastAsia" w:ascii="仿宋" w:hAnsi="仿宋" w:eastAsia="仿宋"/>
          <w:sz w:val="32"/>
          <w:szCs w:val="32"/>
        </w:rPr>
        <w:t>年相比，收、支总计各</w:t>
      </w:r>
      <w:bookmarkStart w:id="20" w:name="OLE_LINK2"/>
      <w:r>
        <w:rPr>
          <w:rFonts w:hint="eastAsia" w:ascii="仿宋" w:hAnsi="仿宋" w:eastAsia="仿宋"/>
          <w:sz w:val="32"/>
          <w:szCs w:val="32"/>
        </w:rPr>
        <w:t>增加</w:t>
      </w:r>
      <w:r>
        <w:rPr>
          <w:rFonts w:hint="eastAsia" w:ascii="仿宋" w:hAnsi="仿宋" w:eastAsia="仿宋"/>
          <w:sz w:val="32"/>
          <w:szCs w:val="32"/>
          <w:lang w:val="en-US" w:eastAsia="zh-CN"/>
        </w:rPr>
        <w:t>25.83</w:t>
      </w:r>
      <w:r>
        <w:rPr>
          <w:rFonts w:hint="eastAsia" w:ascii="仿宋" w:hAnsi="仿宋" w:eastAsia="仿宋"/>
          <w:sz w:val="32"/>
          <w:szCs w:val="32"/>
        </w:rPr>
        <w:t>万元，增长</w:t>
      </w:r>
      <w:r>
        <w:rPr>
          <w:rFonts w:hint="eastAsia" w:ascii="仿宋" w:hAnsi="仿宋" w:eastAsia="仿宋"/>
          <w:sz w:val="32"/>
          <w:szCs w:val="32"/>
          <w:lang w:val="en-US" w:eastAsia="zh-CN"/>
        </w:rPr>
        <w:t>59.49</w:t>
      </w:r>
      <w:r>
        <w:rPr>
          <w:rFonts w:ascii="仿宋" w:hAnsi="仿宋" w:eastAsia="仿宋"/>
          <w:sz w:val="32"/>
          <w:szCs w:val="32"/>
        </w:rPr>
        <w:t>%</w:t>
      </w:r>
      <w:bookmarkEnd w:id="20"/>
      <w:r>
        <w:rPr>
          <w:rFonts w:hint="eastAsia" w:ascii="仿宋" w:hAnsi="仿宋" w:eastAsia="仿宋"/>
          <w:sz w:val="32"/>
          <w:szCs w:val="32"/>
        </w:rPr>
        <w:t>。</w:t>
      </w:r>
      <w:bookmarkStart w:id="21" w:name="OLE_LINK1"/>
      <w:r>
        <w:rPr>
          <w:rFonts w:hint="eastAsia" w:ascii="仿宋" w:hAnsi="仿宋" w:eastAsia="仿宋"/>
          <w:sz w:val="32"/>
          <w:szCs w:val="32"/>
        </w:rPr>
        <w:t>主要原因是</w:t>
      </w:r>
      <w:r>
        <w:rPr>
          <w:rFonts w:hint="eastAsia" w:ascii="仿宋" w:hAnsi="仿宋" w:eastAsia="仿宋"/>
          <w:sz w:val="32"/>
          <w:szCs w:val="32"/>
          <w:lang w:val="en-US" w:eastAsia="zh-CN"/>
        </w:rPr>
        <w:t>人员经费及项目资金增加</w:t>
      </w:r>
      <w:r>
        <w:rPr>
          <w:rFonts w:hint="eastAsia" w:ascii="仿宋" w:hAnsi="仿宋" w:eastAsia="仿宋"/>
          <w:sz w:val="32"/>
          <w:szCs w:val="32"/>
        </w:rPr>
        <w:t>。</w:t>
      </w:r>
      <w:bookmarkEnd w:id="21"/>
    </w:p>
    <w:p w14:paraId="15EDF7E8">
      <w:pPr>
        <w:pStyle w:val="3"/>
        <w:ind w:left="0"/>
        <w:rPr>
          <w:rFonts w:hint="eastAsia" w:ascii="仿宋" w:hAnsi="仿宋" w:eastAsia="仿宋"/>
          <w:sz w:val="32"/>
          <w:szCs w:val="32"/>
        </w:rPr>
      </w:pPr>
      <w:r>
        <w:drawing>
          <wp:inline distT="0" distB="0" distL="114300" distR="114300">
            <wp:extent cx="5265420" cy="2988310"/>
            <wp:effectExtent l="5080" t="4445" r="6350" b="1714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10B3B14">
      <w:pPr>
        <w:spacing w:line="600" w:lineRule="exact"/>
        <w:ind w:left="640" w:leftChars="0"/>
        <w:jc w:val="center"/>
        <w:outlineLvl w:val="1"/>
        <w:rPr>
          <w:rFonts w:hint="eastAsia" w:ascii="黑体" w:hAnsi="黑体" w:eastAsia="黑体"/>
          <w:sz w:val="32"/>
          <w:szCs w:val="32"/>
          <w:lang w:val="en-US" w:eastAsia="zh-CN"/>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bookmarkStart w:id="22" w:name="_Toc15377206"/>
      <w:bookmarkStart w:id="23" w:name="_Toc15396604"/>
    </w:p>
    <w:p w14:paraId="3AAF792A">
      <w:pPr>
        <w:pStyle w:val="32"/>
        <w:numPr>
          <w:ilvl w:val="0"/>
          <w:numId w:val="0"/>
        </w:numPr>
        <w:spacing w:line="560" w:lineRule="exact"/>
        <w:ind w:left="0" w:leftChars="0" w:firstLine="640"/>
        <w:outlineLvl w:val="1"/>
        <w:rPr>
          <w:rStyle w:val="34"/>
          <w:rFonts w:ascii="黑体" w:hAnsi="黑体" w:eastAsia="黑体"/>
          <w:b w:val="0"/>
        </w:rPr>
      </w:pPr>
      <w:r>
        <w:rPr>
          <w:rFonts w:hint="eastAsia" w:ascii="黑体" w:hAnsi="黑体" w:eastAsia="黑体"/>
          <w:sz w:val="32"/>
          <w:szCs w:val="32"/>
          <w:lang w:val="en-US" w:eastAsia="zh-CN"/>
        </w:rPr>
        <w:t>二、</w:t>
      </w:r>
      <w:r>
        <w:rPr>
          <w:rFonts w:hint="eastAsia" w:ascii="黑体" w:hAnsi="黑体" w:eastAsia="黑体"/>
          <w:sz w:val="32"/>
          <w:szCs w:val="32"/>
        </w:rPr>
        <w:t>收</w:t>
      </w:r>
      <w:r>
        <w:rPr>
          <w:rStyle w:val="34"/>
          <w:rFonts w:hint="eastAsia" w:ascii="黑体" w:hAnsi="黑体" w:eastAsia="黑体"/>
          <w:b w:val="0"/>
        </w:rPr>
        <w:t>入决算情况说明</w:t>
      </w:r>
      <w:bookmarkEnd w:id="22"/>
      <w:bookmarkEnd w:id="23"/>
    </w:p>
    <w:p w14:paraId="45F1CF0A">
      <w:pPr>
        <w:spacing w:line="560" w:lineRule="exact"/>
        <w:ind w:firstLine="640" w:firstLineChars="200"/>
        <w:outlineLvl w:val="1"/>
        <w:rPr>
          <w:rFonts w:hint="eastAsia" w:ascii="仿宋" w:hAnsi="仿宋" w:eastAsia="仿宋"/>
          <w:sz w:val="32"/>
          <w:szCs w:val="32"/>
          <w:lang w:val="en-US" w:eastAsia="zh-CN"/>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年本年收入合计</w:t>
      </w:r>
      <w:r>
        <w:rPr>
          <w:rFonts w:hint="eastAsia" w:ascii="仿宋" w:hAnsi="仿宋" w:eastAsia="仿宋"/>
          <w:sz w:val="32"/>
          <w:szCs w:val="32"/>
          <w:lang w:val="en-US" w:eastAsia="zh-CN"/>
        </w:rPr>
        <w:t>69.25</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69.25</w:t>
      </w:r>
      <w:r>
        <w:rPr>
          <w:rFonts w:hint="eastAsia" w:ascii="仿宋" w:hAnsi="仿宋" w:eastAsia="仿宋"/>
          <w:sz w:val="32"/>
          <w:szCs w:val="32"/>
        </w:rPr>
        <w:t>万元，占100</w:t>
      </w:r>
      <w:r>
        <w:rPr>
          <w:rFonts w:ascii="仿宋" w:hAnsi="仿宋" w:eastAsia="仿宋"/>
          <w:sz w:val="32"/>
          <w:szCs w:val="32"/>
        </w:rPr>
        <w:t>%</w:t>
      </w:r>
      <w:r>
        <w:rPr>
          <w:rFonts w:hint="eastAsia" w:ascii="仿宋" w:hAnsi="仿宋" w:eastAsia="仿宋"/>
          <w:sz w:val="32"/>
          <w:szCs w:val="32"/>
        </w:rPr>
        <w:t>；政府性基金预算财政拨款收入0万元，占0</w:t>
      </w:r>
      <w:r>
        <w:rPr>
          <w:rFonts w:ascii="仿宋" w:hAnsi="仿宋" w:eastAsia="仿宋"/>
          <w:sz w:val="32"/>
          <w:szCs w:val="32"/>
        </w:rPr>
        <w:t>%</w:t>
      </w:r>
      <w:r>
        <w:rPr>
          <w:rFonts w:hint="eastAsia" w:ascii="仿宋" w:hAnsi="仿宋" w:eastAsia="仿宋"/>
          <w:sz w:val="32"/>
          <w:szCs w:val="32"/>
        </w:rPr>
        <w:t>；国有资本经营预算财政拨款收入0万元，占0</w:t>
      </w:r>
      <w:r>
        <w:rPr>
          <w:rFonts w:ascii="仿宋" w:hAnsi="仿宋" w:eastAsia="仿宋"/>
          <w:sz w:val="32"/>
          <w:szCs w:val="32"/>
        </w:rPr>
        <w:t>%</w:t>
      </w:r>
      <w:r>
        <w:rPr>
          <w:rFonts w:hint="eastAsia" w:ascii="仿宋" w:hAnsi="仿宋" w:eastAsia="仿宋"/>
          <w:sz w:val="32"/>
          <w:szCs w:val="32"/>
        </w:rPr>
        <w:t>；上级补助收入0万元，占0</w:t>
      </w:r>
      <w:r>
        <w:rPr>
          <w:rFonts w:ascii="仿宋" w:hAnsi="仿宋" w:eastAsia="仿宋"/>
          <w:sz w:val="32"/>
          <w:szCs w:val="32"/>
        </w:rPr>
        <w:t>%</w:t>
      </w:r>
      <w:r>
        <w:rPr>
          <w:rFonts w:hint="eastAsia" w:ascii="仿宋" w:hAnsi="仿宋" w:eastAsia="仿宋"/>
          <w:sz w:val="32"/>
          <w:szCs w:val="32"/>
        </w:rPr>
        <w:t>；事业收入0万元，占0</w:t>
      </w:r>
      <w:r>
        <w:rPr>
          <w:rFonts w:ascii="仿宋" w:hAnsi="仿宋" w:eastAsia="仿宋"/>
          <w:sz w:val="32"/>
          <w:szCs w:val="32"/>
        </w:rPr>
        <w:t>%</w:t>
      </w:r>
      <w:r>
        <w:rPr>
          <w:rFonts w:hint="eastAsia" w:ascii="仿宋" w:hAnsi="仿宋" w:eastAsia="仿宋"/>
          <w:sz w:val="32"/>
          <w:szCs w:val="32"/>
        </w:rPr>
        <w:t>；经营收入0万元，占0</w:t>
      </w:r>
      <w:r>
        <w:rPr>
          <w:rFonts w:ascii="仿宋" w:hAnsi="仿宋" w:eastAsia="仿宋"/>
          <w:sz w:val="32"/>
          <w:szCs w:val="32"/>
        </w:rPr>
        <w:t>%</w:t>
      </w:r>
      <w:r>
        <w:rPr>
          <w:rFonts w:hint="eastAsia" w:ascii="仿宋" w:hAnsi="仿宋" w:eastAsia="仿宋"/>
          <w:sz w:val="32"/>
          <w:szCs w:val="32"/>
        </w:rPr>
        <w:t>；附属单位上缴收入0万元，占0</w:t>
      </w:r>
      <w:r>
        <w:rPr>
          <w:rFonts w:ascii="仿宋" w:hAnsi="仿宋" w:eastAsia="仿宋"/>
          <w:sz w:val="32"/>
          <w:szCs w:val="32"/>
        </w:rPr>
        <w:t>%</w:t>
      </w:r>
      <w:r>
        <w:rPr>
          <w:rFonts w:hint="eastAsia" w:ascii="仿宋" w:hAnsi="仿宋" w:eastAsia="仿宋"/>
          <w:sz w:val="32"/>
          <w:szCs w:val="32"/>
        </w:rPr>
        <w:t>；其他收入0万元，占0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sz w:val="32"/>
          <w:szCs w:val="32"/>
          <w:lang w:val="en-US" w:eastAsia="zh-CN"/>
        </w:rPr>
        <w:t xml:space="preserve"> </w:t>
      </w:r>
    </w:p>
    <w:p w14:paraId="53C955CD">
      <w:pPr>
        <w:pStyle w:val="2"/>
        <w:rPr>
          <w:rFonts w:hint="eastAsia" w:ascii="仿宋" w:hAnsi="仿宋" w:eastAsia="仿宋"/>
          <w:sz w:val="32"/>
          <w:szCs w:val="32"/>
          <w:lang w:val="en-US" w:eastAsia="zh-CN"/>
        </w:rPr>
      </w:pPr>
    </w:p>
    <w:p w14:paraId="4F9D9E4D">
      <w:pPr>
        <w:pStyle w:val="3"/>
        <w:rPr>
          <w:rFonts w:hint="eastAsia" w:ascii="仿宋" w:hAnsi="仿宋" w:eastAsia="仿宋"/>
          <w:sz w:val="32"/>
          <w:szCs w:val="32"/>
          <w:lang w:val="en-US" w:eastAsia="zh-CN"/>
        </w:rPr>
      </w:pPr>
    </w:p>
    <w:p w14:paraId="4DBB22F7">
      <w:pPr>
        <w:pStyle w:val="3"/>
        <w:rPr>
          <w:rFonts w:hint="eastAsia" w:ascii="仿宋" w:hAnsi="仿宋" w:eastAsia="仿宋"/>
          <w:sz w:val="32"/>
          <w:szCs w:val="32"/>
          <w:lang w:val="en-US" w:eastAsia="zh-CN"/>
        </w:rPr>
      </w:pPr>
    </w:p>
    <w:p w14:paraId="0375BC01">
      <w:pPr>
        <w:pStyle w:val="2"/>
        <w:spacing w:line="560" w:lineRule="exact"/>
        <w:ind w:firstLine="640" w:firstLineChars="200"/>
      </w:pPr>
      <w:r>
        <w:rPr>
          <w:rFonts w:hint="eastAsia"/>
          <w:color w:val="FF0000"/>
          <w:sz w:val="32"/>
          <w:szCs w:val="32"/>
        </w:rPr>
        <w:drawing>
          <wp:anchor distT="0" distB="0" distL="114300" distR="114300" simplePos="0" relativeHeight="251659264" behindDoc="0" locked="0" layoutInCell="1" allowOverlap="1">
            <wp:simplePos x="0" y="0"/>
            <wp:positionH relativeFrom="column">
              <wp:posOffset>262255</wp:posOffset>
            </wp:positionH>
            <wp:positionV relativeFrom="paragraph">
              <wp:posOffset>74295</wp:posOffset>
            </wp:positionV>
            <wp:extent cx="4182745" cy="3864610"/>
            <wp:effectExtent l="4445" t="4445" r="22860" b="17145"/>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598BBABB">
      <w:pPr>
        <w:spacing w:line="600" w:lineRule="exact"/>
        <w:ind w:firstLine="640" w:firstLineChars="200"/>
        <w:rPr>
          <w:rFonts w:ascii="仿宋" w:hAnsi="仿宋" w:eastAsia="仿宋"/>
          <w:sz w:val="32"/>
          <w:szCs w:val="32"/>
          <w:highlight w:val="yellow"/>
        </w:rPr>
      </w:pPr>
    </w:p>
    <w:p w14:paraId="3AD91901">
      <w:pPr>
        <w:pStyle w:val="9"/>
        <w:numPr>
          <w:ilvl w:val="0"/>
          <w:numId w:val="0"/>
        </w:numPr>
        <w:rPr>
          <w:rFonts w:ascii="仿宋" w:hAnsi="仿宋" w:eastAsia="仿宋"/>
          <w:sz w:val="32"/>
          <w:szCs w:val="32"/>
          <w:highlight w:val="yellow"/>
        </w:rPr>
      </w:pPr>
    </w:p>
    <w:p w14:paraId="608999AE">
      <w:pPr>
        <w:pStyle w:val="9"/>
        <w:numPr>
          <w:ilvl w:val="0"/>
          <w:numId w:val="0"/>
        </w:numPr>
        <w:rPr>
          <w:rFonts w:ascii="仿宋" w:hAnsi="仿宋" w:eastAsia="仿宋"/>
          <w:sz w:val="32"/>
          <w:szCs w:val="32"/>
          <w:highlight w:val="yellow"/>
        </w:rPr>
      </w:pPr>
    </w:p>
    <w:p w14:paraId="651A3B07">
      <w:pPr>
        <w:pStyle w:val="9"/>
        <w:numPr>
          <w:ilvl w:val="0"/>
          <w:numId w:val="0"/>
        </w:numPr>
        <w:rPr>
          <w:rFonts w:ascii="仿宋" w:hAnsi="仿宋" w:eastAsia="仿宋"/>
          <w:sz w:val="32"/>
          <w:szCs w:val="32"/>
          <w:highlight w:val="yellow"/>
        </w:rPr>
      </w:pPr>
    </w:p>
    <w:p w14:paraId="29273E74">
      <w:pPr>
        <w:pStyle w:val="9"/>
        <w:numPr>
          <w:ilvl w:val="0"/>
          <w:numId w:val="0"/>
        </w:numPr>
        <w:rPr>
          <w:rFonts w:ascii="仿宋" w:hAnsi="仿宋" w:eastAsia="仿宋"/>
          <w:sz w:val="32"/>
          <w:szCs w:val="32"/>
          <w:highlight w:val="yellow"/>
        </w:rPr>
      </w:pPr>
    </w:p>
    <w:p w14:paraId="5CC693E4">
      <w:pPr>
        <w:pStyle w:val="9"/>
        <w:numPr>
          <w:ilvl w:val="0"/>
          <w:numId w:val="0"/>
        </w:numPr>
        <w:rPr>
          <w:rFonts w:ascii="仿宋" w:hAnsi="仿宋" w:eastAsia="仿宋"/>
          <w:sz w:val="32"/>
          <w:szCs w:val="32"/>
          <w:highlight w:val="yellow"/>
        </w:rPr>
      </w:pPr>
    </w:p>
    <w:p w14:paraId="29458006">
      <w:pPr>
        <w:spacing w:line="600" w:lineRule="exact"/>
        <w:rPr>
          <w:rFonts w:ascii="仿宋" w:hAnsi="仿宋" w:eastAsia="仿宋"/>
          <w:sz w:val="32"/>
          <w:szCs w:val="32"/>
          <w:highlight w:val="yellow"/>
        </w:rPr>
      </w:pPr>
    </w:p>
    <w:p w14:paraId="238331A7">
      <w:pPr>
        <w:spacing w:line="600" w:lineRule="exact"/>
        <w:rPr>
          <w:rFonts w:ascii="仿宋" w:hAnsi="仿宋" w:eastAsia="仿宋"/>
          <w:sz w:val="32"/>
          <w:szCs w:val="32"/>
        </w:rPr>
      </w:pPr>
    </w:p>
    <w:p w14:paraId="689B1045">
      <w:pPr>
        <w:pStyle w:val="9"/>
        <w:numPr>
          <w:ilvl w:val="0"/>
          <w:numId w:val="0"/>
        </w:numPr>
      </w:pPr>
    </w:p>
    <w:p w14:paraId="2555BA33">
      <w:pPr>
        <w:pStyle w:val="3"/>
        <w:ind w:left="0" w:leftChars="0" w:firstLine="0" w:firstLineChars="0"/>
        <w:rPr>
          <w:rFonts w:hint="eastAsia"/>
        </w:rPr>
      </w:pPr>
    </w:p>
    <w:p w14:paraId="50563D70">
      <w:pPr>
        <w:spacing w:line="600" w:lineRule="exact"/>
        <w:ind w:firstLine="640" w:firstLineChars="200"/>
        <w:rPr>
          <w:rFonts w:ascii="仿宋_GB2312" w:eastAsia="仿宋_GB2312"/>
          <w:sz w:val="32"/>
          <w:szCs w:val="32"/>
        </w:rPr>
      </w:pPr>
      <w:r>
        <w:rPr>
          <w:rFonts w:hint="eastAsia" w:ascii="仿宋" w:hAnsi="仿宋" w:eastAsia="仿宋"/>
          <w:sz w:val="32"/>
          <w:szCs w:val="32"/>
        </w:rPr>
        <w:t>（图2：收入决算结构图）</w:t>
      </w:r>
    </w:p>
    <w:p w14:paraId="0D57CE91">
      <w:pPr>
        <w:pStyle w:val="32"/>
        <w:numPr>
          <w:ilvl w:val="0"/>
          <w:numId w:val="0"/>
        </w:numPr>
        <w:spacing w:line="560" w:lineRule="exact"/>
        <w:ind w:left="0" w:leftChars="0" w:firstLine="640"/>
        <w:outlineLvl w:val="1"/>
        <w:rPr>
          <w:rFonts w:ascii="仿宋" w:hAnsi="仿宋" w:eastAsia="仿宋"/>
          <w:sz w:val="32"/>
          <w:szCs w:val="32"/>
        </w:rPr>
      </w:pPr>
      <w:bookmarkStart w:id="24" w:name="_Toc15377207"/>
      <w:bookmarkStart w:id="25" w:name="_Toc15396605"/>
      <w:r>
        <w:rPr>
          <w:rFonts w:hint="eastAsia" w:ascii="黑体" w:hAnsi="黑体" w:eastAsia="黑体"/>
          <w:sz w:val="32"/>
          <w:szCs w:val="32"/>
          <w:lang w:val="en-US" w:eastAsia="zh-CN"/>
        </w:rPr>
        <w:t>三、</w:t>
      </w:r>
      <w:r>
        <w:rPr>
          <w:rFonts w:hint="eastAsia" w:ascii="黑体" w:hAnsi="黑体" w:eastAsia="黑体"/>
          <w:sz w:val="32"/>
          <w:szCs w:val="32"/>
        </w:rPr>
        <w:t>支</w:t>
      </w:r>
      <w:r>
        <w:rPr>
          <w:rStyle w:val="34"/>
          <w:rFonts w:hint="eastAsia" w:ascii="黑体" w:hAnsi="黑体" w:eastAsia="黑体"/>
          <w:b w:val="0"/>
        </w:rPr>
        <w:t>出决算情况说明</w:t>
      </w:r>
      <w:bookmarkEnd w:id="24"/>
      <w:bookmarkEnd w:id="25"/>
    </w:p>
    <w:p w14:paraId="2D46C4B9">
      <w:pPr>
        <w:spacing w:line="560" w:lineRule="exact"/>
        <w:ind w:firstLine="640" w:firstLineChars="200"/>
        <w:outlineLvl w:val="1"/>
        <w:rPr>
          <w:rFonts w:ascii="仿宋" w:hAnsi="仿宋" w:eastAsia="仿宋"/>
          <w:sz w:val="32"/>
          <w:szCs w:val="32"/>
          <w:highlight w:val="yellow"/>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年本年支出合计</w:t>
      </w:r>
      <w:r>
        <w:rPr>
          <w:rFonts w:hint="eastAsia" w:ascii="仿宋" w:hAnsi="仿宋" w:eastAsia="仿宋"/>
          <w:sz w:val="32"/>
          <w:szCs w:val="32"/>
          <w:lang w:val="en-US" w:eastAsia="zh-CN"/>
        </w:rPr>
        <w:t>69.25</w:t>
      </w:r>
      <w:r>
        <w:rPr>
          <w:rFonts w:hint="eastAsia" w:ascii="仿宋" w:hAnsi="仿宋" w:eastAsia="仿宋"/>
          <w:sz w:val="32"/>
          <w:szCs w:val="32"/>
        </w:rPr>
        <w:t>万元，其中：基本支出</w:t>
      </w:r>
      <w:r>
        <w:rPr>
          <w:rFonts w:hint="eastAsia" w:ascii="仿宋" w:hAnsi="仿宋" w:eastAsia="仿宋"/>
          <w:sz w:val="32"/>
          <w:szCs w:val="32"/>
          <w:lang w:val="en-US" w:eastAsia="zh-CN"/>
        </w:rPr>
        <w:t>57.73</w:t>
      </w:r>
      <w:r>
        <w:rPr>
          <w:rFonts w:hint="eastAsia" w:ascii="仿宋" w:hAnsi="仿宋" w:eastAsia="仿宋"/>
          <w:sz w:val="32"/>
          <w:szCs w:val="32"/>
        </w:rPr>
        <w:t>万元，占90.79</w:t>
      </w:r>
      <w:r>
        <w:rPr>
          <w:rFonts w:ascii="仿宋" w:hAnsi="仿宋" w:eastAsia="仿宋"/>
          <w:sz w:val="32"/>
          <w:szCs w:val="32"/>
        </w:rPr>
        <w:t>%</w:t>
      </w:r>
      <w:r>
        <w:rPr>
          <w:rFonts w:hint="eastAsia" w:ascii="仿宋" w:hAnsi="仿宋" w:eastAsia="仿宋"/>
          <w:sz w:val="32"/>
          <w:szCs w:val="32"/>
        </w:rPr>
        <w:t>；项目支出4万元，占9.21</w:t>
      </w:r>
      <w:r>
        <w:rPr>
          <w:rFonts w:ascii="仿宋" w:hAnsi="仿宋" w:eastAsia="仿宋"/>
          <w:sz w:val="32"/>
          <w:szCs w:val="32"/>
        </w:rPr>
        <w:t>%</w:t>
      </w:r>
      <w:r>
        <w:rPr>
          <w:rFonts w:hint="eastAsia" w:ascii="仿宋" w:hAnsi="仿宋" w:eastAsia="仿宋"/>
          <w:sz w:val="32"/>
          <w:szCs w:val="32"/>
        </w:rPr>
        <w:t>；上缴上级支出0万元，占0</w:t>
      </w:r>
      <w:r>
        <w:rPr>
          <w:rFonts w:ascii="仿宋" w:hAnsi="仿宋" w:eastAsia="仿宋"/>
          <w:sz w:val="32"/>
          <w:szCs w:val="32"/>
        </w:rPr>
        <w:t>%</w:t>
      </w:r>
      <w:r>
        <w:rPr>
          <w:rFonts w:hint="eastAsia" w:ascii="仿宋" w:hAnsi="仿宋" w:eastAsia="仿宋"/>
          <w:sz w:val="32"/>
          <w:szCs w:val="32"/>
        </w:rPr>
        <w:t>；经营支出0万元，占0</w:t>
      </w:r>
      <w:r>
        <w:rPr>
          <w:rFonts w:ascii="仿宋" w:hAnsi="仿宋" w:eastAsia="仿宋"/>
          <w:sz w:val="32"/>
          <w:szCs w:val="32"/>
        </w:rPr>
        <w:t>%</w:t>
      </w:r>
      <w:r>
        <w:rPr>
          <w:rFonts w:hint="eastAsia" w:ascii="仿宋" w:hAnsi="仿宋" w:eastAsia="仿宋"/>
          <w:sz w:val="32"/>
          <w:szCs w:val="32"/>
        </w:rPr>
        <w:t>；对附属单位补助支出0万元，占0</w:t>
      </w:r>
      <w:r>
        <w:rPr>
          <w:rFonts w:ascii="仿宋" w:hAnsi="仿宋" w:eastAsia="仿宋"/>
          <w:sz w:val="32"/>
          <w:szCs w:val="32"/>
        </w:rPr>
        <w:t>%</w:t>
      </w:r>
      <w:r>
        <w:rPr>
          <w:rFonts w:hint="eastAsia" w:ascii="仿宋" w:hAnsi="仿宋" w:eastAsia="仿宋"/>
          <w:sz w:val="32"/>
          <w:szCs w:val="32"/>
        </w:rPr>
        <w:t>。</w:t>
      </w:r>
    </w:p>
    <w:p w14:paraId="3821A8BB">
      <w:pPr>
        <w:pStyle w:val="9"/>
        <w:numPr>
          <w:ilvl w:val="0"/>
          <w:numId w:val="0"/>
        </w:numPr>
        <w:rPr>
          <w:rFonts w:ascii="仿宋" w:hAnsi="仿宋" w:eastAsia="仿宋"/>
          <w:sz w:val="32"/>
          <w:szCs w:val="32"/>
          <w:highlight w:val="yellow"/>
        </w:rPr>
      </w:pPr>
      <w:r>
        <w:drawing>
          <wp:inline distT="0" distB="0" distL="114300" distR="114300">
            <wp:extent cx="5325110" cy="2296160"/>
            <wp:effectExtent l="5080" t="4445" r="22860" b="23495"/>
            <wp:docPr id="15"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3E9F4E7">
      <w:pPr>
        <w:spacing w:line="560" w:lineRule="exact"/>
        <w:ind w:firstLine="640" w:firstLineChars="200"/>
        <w:rPr>
          <w:rFonts w:ascii="仿宋_GB2312" w:eastAsia="仿宋_GB2312"/>
          <w:sz w:val="32"/>
          <w:szCs w:val="32"/>
        </w:rPr>
      </w:pPr>
      <w:r>
        <w:rPr>
          <w:rFonts w:hint="eastAsia" w:ascii="仿宋" w:hAnsi="仿宋" w:eastAsia="仿宋"/>
          <w:sz w:val="32"/>
          <w:szCs w:val="32"/>
        </w:rPr>
        <w:t>（图3：支出决算结构图）</w:t>
      </w:r>
    </w:p>
    <w:p w14:paraId="05D854BA">
      <w:pPr>
        <w:spacing w:line="560" w:lineRule="exact"/>
        <w:ind w:firstLine="640" w:firstLineChars="200"/>
        <w:outlineLvl w:val="1"/>
        <w:rPr>
          <w:rStyle w:val="34"/>
          <w:rFonts w:ascii="黑体" w:hAnsi="黑体" w:eastAsia="黑体"/>
          <w:b w:val="0"/>
        </w:rPr>
      </w:pPr>
      <w:bookmarkStart w:id="26" w:name="_Toc15396606"/>
      <w:bookmarkStart w:id="27" w:name="_Toc15377208"/>
      <w:r>
        <w:rPr>
          <w:rFonts w:hint="eastAsia" w:ascii="黑体" w:hAnsi="黑体" w:eastAsia="黑体"/>
          <w:sz w:val="32"/>
          <w:szCs w:val="32"/>
        </w:rPr>
        <w:t>四、财</w:t>
      </w:r>
      <w:r>
        <w:rPr>
          <w:rStyle w:val="34"/>
          <w:rFonts w:hint="eastAsia" w:ascii="黑体" w:hAnsi="黑体" w:eastAsia="黑体"/>
          <w:b w:val="0"/>
        </w:rPr>
        <w:t>政拨款收入支出决算总体情况说明</w:t>
      </w:r>
      <w:bookmarkEnd w:id="26"/>
      <w:bookmarkEnd w:id="27"/>
    </w:p>
    <w:p w14:paraId="7CDDE4FE">
      <w:pPr>
        <w:spacing w:line="56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年财政拨款收、支总计</w:t>
      </w:r>
      <w:r>
        <w:rPr>
          <w:rFonts w:hint="eastAsia" w:ascii="仿宋" w:hAnsi="仿宋" w:eastAsia="仿宋"/>
          <w:sz w:val="32"/>
          <w:szCs w:val="32"/>
          <w:lang w:val="en-US" w:eastAsia="zh-CN"/>
        </w:rPr>
        <w:t>69.25</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年相比，财政拨款收、支总计各增加</w:t>
      </w:r>
      <w:r>
        <w:rPr>
          <w:rFonts w:hint="eastAsia" w:ascii="仿宋" w:hAnsi="仿宋" w:eastAsia="仿宋"/>
          <w:sz w:val="32"/>
          <w:szCs w:val="32"/>
          <w:lang w:val="en-US" w:eastAsia="zh-CN"/>
        </w:rPr>
        <w:t>25.83</w:t>
      </w:r>
      <w:r>
        <w:rPr>
          <w:rFonts w:hint="eastAsia" w:ascii="仿宋" w:hAnsi="仿宋" w:eastAsia="仿宋"/>
          <w:sz w:val="32"/>
          <w:szCs w:val="32"/>
        </w:rPr>
        <w:t>万元，增长</w:t>
      </w:r>
      <w:r>
        <w:rPr>
          <w:rFonts w:hint="eastAsia" w:ascii="仿宋" w:hAnsi="仿宋" w:eastAsia="仿宋"/>
          <w:sz w:val="32"/>
          <w:szCs w:val="32"/>
          <w:lang w:val="en-US" w:eastAsia="zh-CN"/>
        </w:rPr>
        <w:t>59.49</w:t>
      </w:r>
      <w:r>
        <w:rPr>
          <w:rFonts w:ascii="仿宋" w:hAnsi="仿宋" w:eastAsia="仿宋"/>
          <w:sz w:val="32"/>
          <w:szCs w:val="32"/>
        </w:rPr>
        <w:t>%</w:t>
      </w:r>
      <w:r>
        <w:rPr>
          <w:rFonts w:hint="eastAsia" w:ascii="仿宋" w:hAnsi="仿宋" w:eastAsia="仿宋"/>
          <w:sz w:val="32"/>
          <w:szCs w:val="32"/>
        </w:rPr>
        <w:t>。</w:t>
      </w:r>
      <w:bookmarkStart w:id="28" w:name="OLE_LINK3"/>
      <w:r>
        <w:rPr>
          <w:rFonts w:hint="eastAsia" w:ascii="仿宋" w:hAnsi="仿宋" w:eastAsia="仿宋"/>
          <w:sz w:val="32"/>
          <w:szCs w:val="32"/>
        </w:rPr>
        <w:t>主要原因是</w:t>
      </w:r>
      <w:r>
        <w:rPr>
          <w:rFonts w:hint="eastAsia" w:ascii="仿宋" w:hAnsi="仿宋" w:eastAsia="仿宋"/>
          <w:sz w:val="32"/>
          <w:szCs w:val="32"/>
          <w:lang w:val="en-US" w:eastAsia="zh-CN"/>
        </w:rPr>
        <w:t>人员经费及项目资金增加</w:t>
      </w:r>
      <w:r>
        <w:rPr>
          <w:rFonts w:hint="eastAsia" w:ascii="仿宋" w:hAnsi="仿宋" w:eastAsia="仿宋"/>
          <w:sz w:val="32"/>
          <w:szCs w:val="32"/>
        </w:rPr>
        <w:t>。</w:t>
      </w:r>
      <w:bookmarkEnd w:id="28"/>
    </w:p>
    <w:p w14:paraId="2BC383F0">
      <w:pPr>
        <w:pStyle w:val="9"/>
        <w:numPr>
          <w:ilvl w:val="0"/>
          <w:numId w:val="0"/>
        </w:numPr>
        <w:rPr>
          <w:rFonts w:ascii="仿宋" w:hAnsi="仿宋" w:eastAsia="仿宋"/>
          <w:sz w:val="32"/>
          <w:szCs w:val="32"/>
        </w:rPr>
      </w:pPr>
    </w:p>
    <w:p w14:paraId="06A2A911">
      <w:pPr>
        <w:pStyle w:val="3"/>
        <w:ind w:left="0" w:leftChars="0" w:firstLine="0" w:firstLineChars="0"/>
      </w:pPr>
      <w:r>
        <w:drawing>
          <wp:inline distT="0" distB="0" distL="114300" distR="114300">
            <wp:extent cx="5256530" cy="2988310"/>
            <wp:effectExtent l="5080" t="4445" r="15240" b="1714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6AC2644">
      <w:pPr>
        <w:pStyle w:val="3"/>
        <w:ind w:left="0" w:leftChars="0" w:firstLine="0" w:firstLineChars="0"/>
        <w:rPr>
          <w:rFonts w:hint="eastAsia" w:ascii="仿宋" w:hAnsi="仿宋" w:eastAsia="仿宋"/>
          <w:sz w:val="32"/>
          <w:szCs w:val="32"/>
        </w:rPr>
      </w:pPr>
    </w:p>
    <w:p w14:paraId="0C00F24A">
      <w:pPr>
        <w:spacing w:line="560" w:lineRule="exact"/>
        <w:ind w:firstLine="640" w:firstLineChars="200"/>
        <w:outlineLvl w:val="1"/>
        <w:rPr>
          <w:rFonts w:ascii="仿宋" w:hAnsi="仿宋" w:eastAsia="仿宋"/>
          <w:sz w:val="32"/>
          <w:szCs w:val="32"/>
        </w:rPr>
      </w:pPr>
      <w:r>
        <w:rPr>
          <w:rFonts w:hint="eastAsia" w:ascii="仿宋" w:hAnsi="仿宋" w:eastAsia="仿宋"/>
          <w:sz w:val="32"/>
          <w:szCs w:val="32"/>
        </w:rPr>
        <w:t>（图4：财政拨款收、支决算总计变动情况）</w:t>
      </w:r>
      <w:bookmarkStart w:id="29" w:name="_Toc15396607"/>
      <w:bookmarkStart w:id="30" w:name="_Toc15377209"/>
    </w:p>
    <w:p w14:paraId="1FEAAAB2">
      <w:pPr>
        <w:spacing w:line="560" w:lineRule="exact"/>
        <w:ind w:firstLine="640" w:firstLineChars="200"/>
        <w:outlineLvl w:val="1"/>
        <w:rPr>
          <w:rStyle w:val="34"/>
          <w:rFonts w:ascii="黑体" w:hAnsi="黑体" w:eastAsia="黑体"/>
          <w:b w:val="0"/>
        </w:rPr>
      </w:pPr>
      <w:r>
        <w:rPr>
          <w:rFonts w:hint="eastAsia" w:ascii="黑体" w:hAnsi="黑体" w:eastAsia="黑体"/>
          <w:sz w:val="32"/>
          <w:szCs w:val="32"/>
        </w:rPr>
        <w:t>五、</w:t>
      </w:r>
      <w:r>
        <w:rPr>
          <w:rFonts w:hint="eastAsia" w:ascii="黑体" w:hAnsi="黑体" w:eastAsia="黑体"/>
          <w:b/>
          <w:sz w:val="32"/>
          <w:szCs w:val="32"/>
        </w:rPr>
        <w:t>一</w:t>
      </w:r>
      <w:r>
        <w:rPr>
          <w:rStyle w:val="34"/>
          <w:rFonts w:hint="eastAsia" w:ascii="黑体" w:hAnsi="黑体" w:eastAsia="黑体"/>
          <w:b w:val="0"/>
        </w:rPr>
        <w:t>般公共预算财政拨款支出决算情况说明</w:t>
      </w:r>
      <w:bookmarkEnd w:id="29"/>
      <w:bookmarkEnd w:id="30"/>
    </w:p>
    <w:p w14:paraId="3B800090">
      <w:pPr>
        <w:spacing w:line="560" w:lineRule="exact"/>
        <w:ind w:firstLine="643" w:firstLineChars="200"/>
        <w:outlineLvl w:val="2"/>
        <w:rPr>
          <w:rFonts w:ascii="仿宋" w:hAnsi="仿宋" w:eastAsia="仿宋"/>
          <w:b/>
          <w:sz w:val="32"/>
          <w:szCs w:val="32"/>
        </w:rPr>
      </w:pPr>
      <w:bookmarkStart w:id="31" w:name="_Toc15377210"/>
      <w:r>
        <w:rPr>
          <w:rFonts w:hint="eastAsia" w:ascii="仿宋" w:hAnsi="仿宋" w:eastAsia="仿宋"/>
          <w:b/>
          <w:sz w:val="32"/>
          <w:szCs w:val="32"/>
        </w:rPr>
        <w:t>（一）一般公共预算财政拨款支出决算总体情况</w:t>
      </w:r>
      <w:bookmarkEnd w:id="31"/>
    </w:p>
    <w:p w14:paraId="7DDE3D70">
      <w:pPr>
        <w:spacing w:line="560" w:lineRule="exact"/>
        <w:ind w:firstLine="640" w:firstLineChars="20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年一般公共预算财政拨款支出</w:t>
      </w:r>
      <w:r>
        <w:rPr>
          <w:rFonts w:hint="eastAsia" w:ascii="仿宋" w:hAnsi="仿宋" w:eastAsia="仿宋"/>
          <w:sz w:val="32"/>
          <w:szCs w:val="32"/>
          <w:lang w:val="en-US" w:eastAsia="zh-CN"/>
        </w:rPr>
        <w:t>69.25</w:t>
      </w:r>
      <w:r>
        <w:rPr>
          <w:rFonts w:hint="eastAsia" w:ascii="仿宋" w:hAnsi="仿宋" w:eastAsia="仿宋"/>
          <w:sz w:val="32"/>
          <w:szCs w:val="32"/>
        </w:rPr>
        <w:t>万元，占本年支出合计的100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年相比，一般公共预算财政拨款支出增加</w:t>
      </w:r>
      <w:r>
        <w:rPr>
          <w:rFonts w:hint="eastAsia" w:ascii="仿宋" w:hAnsi="仿宋" w:eastAsia="仿宋"/>
          <w:sz w:val="32"/>
          <w:szCs w:val="32"/>
          <w:lang w:val="en-US" w:eastAsia="zh-CN"/>
        </w:rPr>
        <w:t>25.83</w:t>
      </w:r>
      <w:r>
        <w:rPr>
          <w:rFonts w:hint="eastAsia" w:ascii="仿宋" w:hAnsi="仿宋" w:eastAsia="仿宋"/>
          <w:sz w:val="32"/>
          <w:szCs w:val="32"/>
        </w:rPr>
        <w:t>万元，增长</w:t>
      </w:r>
      <w:r>
        <w:rPr>
          <w:rFonts w:hint="eastAsia" w:ascii="仿宋" w:hAnsi="仿宋" w:eastAsia="仿宋"/>
          <w:sz w:val="32"/>
          <w:szCs w:val="32"/>
          <w:lang w:val="en-US" w:eastAsia="zh-CN"/>
        </w:rPr>
        <w:t>59.49</w:t>
      </w:r>
      <w:r>
        <w:rPr>
          <w:rFonts w:ascii="仿宋" w:hAnsi="仿宋" w:eastAsia="仿宋"/>
          <w:sz w:val="32"/>
          <w:szCs w:val="32"/>
        </w:rPr>
        <w:t>%</w:t>
      </w:r>
      <w:r>
        <w:rPr>
          <w:rFonts w:hint="eastAsia" w:ascii="仿宋" w:hAnsi="仿宋" w:eastAsia="仿宋"/>
          <w:sz w:val="32"/>
          <w:szCs w:val="32"/>
        </w:rPr>
        <w:t>。主要</w:t>
      </w:r>
      <w:r>
        <w:rPr>
          <w:rFonts w:hint="eastAsia" w:ascii="仿宋" w:hAnsi="仿宋" w:eastAsia="仿宋"/>
          <w:sz w:val="32"/>
          <w:szCs w:val="32"/>
          <w:lang w:val="en-US" w:eastAsia="zh-CN"/>
        </w:rPr>
        <w:t>变动</w:t>
      </w:r>
      <w:r>
        <w:rPr>
          <w:rFonts w:hint="eastAsia" w:ascii="仿宋" w:hAnsi="仿宋" w:eastAsia="仿宋"/>
          <w:sz w:val="32"/>
          <w:szCs w:val="32"/>
        </w:rPr>
        <w:t>原因是</w:t>
      </w:r>
      <w:r>
        <w:rPr>
          <w:rFonts w:hint="eastAsia" w:ascii="仿宋" w:hAnsi="仿宋" w:eastAsia="仿宋"/>
          <w:sz w:val="32"/>
          <w:szCs w:val="32"/>
          <w:lang w:val="en-US" w:eastAsia="zh-CN"/>
        </w:rPr>
        <w:t>人员经费及项目资金增加</w:t>
      </w:r>
      <w:r>
        <w:rPr>
          <w:rFonts w:hint="eastAsia" w:ascii="仿宋" w:hAnsi="仿宋" w:eastAsia="仿宋"/>
          <w:sz w:val="32"/>
          <w:szCs w:val="32"/>
        </w:rPr>
        <w:t>。</w:t>
      </w:r>
    </w:p>
    <w:p w14:paraId="024665A8">
      <w:pPr>
        <w:spacing w:line="560" w:lineRule="exact"/>
        <w:ind w:firstLine="420" w:firstLineChars="200"/>
        <w:rPr>
          <w:rFonts w:ascii="仿宋" w:hAnsi="仿宋" w:eastAsia="仿宋"/>
          <w:sz w:val="32"/>
          <w:szCs w:val="32"/>
          <w:highlight w:val="yellow"/>
        </w:rPr>
      </w:pPr>
      <w:r>
        <w:drawing>
          <wp:anchor distT="0" distB="0" distL="114300" distR="114300" simplePos="0" relativeHeight="251661312" behindDoc="0" locked="0" layoutInCell="1" allowOverlap="1">
            <wp:simplePos x="0" y="0"/>
            <wp:positionH relativeFrom="column">
              <wp:posOffset>61595</wp:posOffset>
            </wp:positionH>
            <wp:positionV relativeFrom="paragraph">
              <wp:posOffset>166370</wp:posOffset>
            </wp:positionV>
            <wp:extent cx="5135245" cy="1998980"/>
            <wp:effectExtent l="4445" t="4445" r="22860" b="15875"/>
            <wp:wrapSquare wrapText="bothSides"/>
            <wp:docPr id="2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73ED0356">
      <w:pPr>
        <w:spacing w:line="600" w:lineRule="exact"/>
        <w:rPr>
          <w:rFonts w:ascii="仿宋" w:hAnsi="仿宋" w:eastAsia="仿宋"/>
          <w:sz w:val="32"/>
          <w:szCs w:val="32"/>
        </w:rPr>
      </w:pPr>
      <w:r>
        <w:rPr>
          <w:rFonts w:hint="eastAsia" w:ascii="仿宋" w:hAnsi="仿宋" w:eastAsia="仿宋"/>
          <w:sz w:val="32"/>
          <w:szCs w:val="32"/>
        </w:rPr>
        <w:t>　（图5：</w:t>
      </w:r>
      <w:bookmarkStart w:id="32" w:name="OLE_LINK4"/>
      <w:r>
        <w:rPr>
          <w:rFonts w:hint="eastAsia" w:ascii="仿宋" w:hAnsi="仿宋" w:eastAsia="仿宋"/>
          <w:sz w:val="32"/>
          <w:szCs w:val="32"/>
        </w:rPr>
        <w:t>一般公共预算财政拨款支出决算变动情况</w:t>
      </w:r>
      <w:bookmarkEnd w:id="32"/>
      <w:r>
        <w:rPr>
          <w:rFonts w:hint="eastAsia" w:ascii="仿宋" w:hAnsi="仿宋" w:eastAsia="仿宋"/>
          <w:sz w:val="32"/>
          <w:szCs w:val="32"/>
        </w:rPr>
        <w:t>）</w:t>
      </w:r>
    </w:p>
    <w:p w14:paraId="77571610">
      <w:pPr>
        <w:spacing w:line="560" w:lineRule="exact"/>
        <w:ind w:firstLine="643" w:firstLineChars="200"/>
        <w:outlineLvl w:val="2"/>
        <w:rPr>
          <w:rFonts w:ascii="仿宋" w:hAnsi="仿宋" w:eastAsia="仿宋"/>
          <w:b/>
          <w:sz w:val="32"/>
          <w:szCs w:val="32"/>
        </w:rPr>
      </w:pPr>
      <w:bookmarkStart w:id="33" w:name="_Toc15377211"/>
      <w:r>
        <w:rPr>
          <w:rFonts w:hint="eastAsia" w:ascii="仿宋" w:hAnsi="仿宋" w:eastAsia="仿宋"/>
          <w:b/>
          <w:sz w:val="32"/>
          <w:szCs w:val="32"/>
        </w:rPr>
        <w:t>（二）一般公共预算财政拨款支出决算结构情况</w:t>
      </w:r>
      <w:bookmarkEnd w:id="33"/>
    </w:p>
    <w:p w14:paraId="183C61B3">
      <w:pPr>
        <w:spacing w:line="560" w:lineRule="exact"/>
        <w:ind w:firstLine="640" w:firstLineChars="200"/>
        <w:rPr>
          <w:rFonts w:ascii="仿宋" w:hAnsi="仿宋" w:eastAsia="仿宋"/>
          <w:sz w:val="32"/>
          <w:szCs w:val="32"/>
          <w:highlight w:val="yellow"/>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年一般公共预算财政拨款支出</w:t>
      </w:r>
      <w:r>
        <w:rPr>
          <w:rFonts w:hint="eastAsia" w:ascii="仿宋" w:hAnsi="仿宋" w:eastAsia="仿宋"/>
          <w:sz w:val="32"/>
          <w:szCs w:val="32"/>
          <w:lang w:val="en-US" w:eastAsia="zh-CN"/>
        </w:rPr>
        <w:t>69.25</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0.1</w:t>
      </w:r>
      <w:r>
        <w:rPr>
          <w:rFonts w:hint="eastAsia" w:ascii="仿宋" w:hAnsi="仿宋" w:eastAsia="仿宋"/>
          <w:sz w:val="32"/>
          <w:szCs w:val="32"/>
        </w:rPr>
        <w:t>万元，占</w:t>
      </w:r>
      <w:r>
        <w:rPr>
          <w:rFonts w:hint="eastAsia" w:ascii="仿宋" w:hAnsi="仿宋" w:eastAsia="仿宋"/>
          <w:sz w:val="32"/>
          <w:szCs w:val="32"/>
          <w:lang w:val="en-US" w:eastAsia="zh-CN"/>
        </w:rPr>
        <w:t>0.14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61.97</w:t>
      </w:r>
      <w:r>
        <w:rPr>
          <w:rFonts w:hint="eastAsia" w:ascii="仿宋" w:hAnsi="仿宋" w:eastAsia="仿宋"/>
          <w:sz w:val="32"/>
          <w:szCs w:val="32"/>
        </w:rPr>
        <w:t>万元，占</w:t>
      </w:r>
      <w:r>
        <w:rPr>
          <w:rFonts w:hint="eastAsia" w:ascii="仿宋" w:hAnsi="仿宋" w:eastAsia="仿宋"/>
          <w:sz w:val="32"/>
          <w:szCs w:val="32"/>
          <w:lang w:val="en-US" w:eastAsia="zh-CN"/>
        </w:rPr>
        <w:t>89.49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b/>
          <w:bCs/>
          <w:sz w:val="32"/>
          <w:szCs w:val="32"/>
          <w:lang w:val="en-US" w:eastAsia="zh-CN"/>
        </w:rPr>
        <w:t>2.92</w:t>
      </w:r>
      <w:r>
        <w:rPr>
          <w:rFonts w:hint="eastAsia" w:ascii="仿宋" w:hAnsi="仿宋" w:eastAsia="仿宋"/>
          <w:sz w:val="32"/>
          <w:szCs w:val="32"/>
        </w:rPr>
        <w:t>万元，占</w:t>
      </w:r>
      <w:r>
        <w:rPr>
          <w:rFonts w:hint="eastAsia" w:ascii="仿宋" w:hAnsi="仿宋" w:eastAsia="仿宋"/>
          <w:sz w:val="32"/>
          <w:szCs w:val="32"/>
          <w:lang w:val="en-US" w:eastAsia="zh-CN"/>
        </w:rPr>
        <w:t>4.21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4.26</w:t>
      </w:r>
      <w:r>
        <w:rPr>
          <w:rFonts w:hint="eastAsia" w:ascii="仿宋" w:hAnsi="仿宋" w:eastAsia="仿宋"/>
          <w:sz w:val="32"/>
          <w:szCs w:val="32"/>
        </w:rPr>
        <w:t>万元，占</w:t>
      </w:r>
      <w:r>
        <w:rPr>
          <w:rFonts w:hint="eastAsia" w:ascii="仿宋" w:hAnsi="仿宋" w:eastAsia="仿宋"/>
          <w:sz w:val="32"/>
          <w:szCs w:val="32"/>
          <w:lang w:val="en-US" w:eastAsia="zh-CN"/>
        </w:rPr>
        <w:t>6.16</w:t>
      </w:r>
      <w:r>
        <w:rPr>
          <w:rFonts w:ascii="仿宋" w:hAnsi="仿宋" w:eastAsia="仿宋"/>
          <w:sz w:val="32"/>
          <w:szCs w:val="32"/>
        </w:rPr>
        <w:t>%</w:t>
      </w:r>
      <w:r>
        <w:rPr>
          <w:rFonts w:hint="eastAsia" w:ascii="仿宋" w:hAnsi="仿宋" w:eastAsia="仿宋"/>
          <w:sz w:val="32"/>
          <w:szCs w:val="32"/>
        </w:rPr>
        <w:t>。</w:t>
      </w:r>
    </w:p>
    <w:p w14:paraId="15455899">
      <w:pPr>
        <w:spacing w:line="600" w:lineRule="exact"/>
        <w:ind w:firstLine="420" w:firstLineChars="200"/>
        <w:rPr>
          <w:rFonts w:ascii="仿宋" w:hAnsi="仿宋" w:eastAsia="仿宋"/>
          <w:sz w:val="32"/>
          <w:szCs w:val="32"/>
          <w:highlight w:val="yellow"/>
        </w:rPr>
      </w:pPr>
      <w:r>
        <w:drawing>
          <wp:anchor distT="0" distB="0" distL="114300" distR="114300" simplePos="0" relativeHeight="251662336" behindDoc="0" locked="0" layoutInCell="1" allowOverlap="1">
            <wp:simplePos x="0" y="0"/>
            <wp:positionH relativeFrom="column">
              <wp:posOffset>375920</wp:posOffset>
            </wp:positionH>
            <wp:positionV relativeFrom="paragraph">
              <wp:posOffset>102235</wp:posOffset>
            </wp:positionV>
            <wp:extent cx="4744720" cy="2529840"/>
            <wp:effectExtent l="4445" t="4445" r="13335" b="18415"/>
            <wp:wrapSquare wrapText="bothSides"/>
            <wp:docPr id="2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50AA81AA">
      <w:pPr>
        <w:spacing w:line="600" w:lineRule="exact"/>
        <w:ind w:firstLine="640" w:firstLineChars="200"/>
        <w:rPr>
          <w:rFonts w:ascii="仿宋" w:hAnsi="仿宋" w:eastAsia="仿宋"/>
          <w:sz w:val="32"/>
          <w:szCs w:val="32"/>
          <w:highlight w:val="yellow"/>
        </w:rPr>
      </w:pPr>
    </w:p>
    <w:p w14:paraId="1C43D93C">
      <w:pPr>
        <w:spacing w:line="600" w:lineRule="exact"/>
        <w:ind w:firstLine="640" w:firstLineChars="200"/>
        <w:rPr>
          <w:rFonts w:ascii="仿宋" w:hAnsi="仿宋" w:eastAsia="仿宋"/>
          <w:sz w:val="32"/>
          <w:szCs w:val="32"/>
          <w:highlight w:val="yellow"/>
        </w:rPr>
      </w:pPr>
    </w:p>
    <w:p w14:paraId="7D909EBB">
      <w:pPr>
        <w:spacing w:line="600" w:lineRule="exact"/>
        <w:ind w:firstLine="640" w:firstLineChars="200"/>
        <w:rPr>
          <w:rFonts w:ascii="仿宋" w:hAnsi="仿宋" w:eastAsia="仿宋"/>
          <w:sz w:val="32"/>
          <w:szCs w:val="32"/>
          <w:highlight w:val="yellow"/>
        </w:rPr>
      </w:pPr>
    </w:p>
    <w:p w14:paraId="24E33219">
      <w:pPr>
        <w:spacing w:line="600" w:lineRule="exact"/>
        <w:ind w:firstLine="640" w:firstLineChars="200"/>
        <w:rPr>
          <w:rFonts w:ascii="仿宋" w:hAnsi="仿宋" w:eastAsia="仿宋"/>
          <w:sz w:val="32"/>
          <w:szCs w:val="32"/>
          <w:highlight w:val="yellow"/>
        </w:rPr>
      </w:pPr>
    </w:p>
    <w:p w14:paraId="0EF4FC66">
      <w:pPr>
        <w:spacing w:line="600" w:lineRule="exact"/>
        <w:ind w:firstLine="640" w:firstLineChars="200"/>
        <w:rPr>
          <w:rFonts w:hint="eastAsia" w:ascii="仿宋" w:hAnsi="仿宋" w:eastAsia="仿宋"/>
          <w:sz w:val="32"/>
          <w:szCs w:val="32"/>
          <w:highlight w:val="yellow"/>
        </w:rPr>
      </w:pPr>
    </w:p>
    <w:p w14:paraId="5DF0F18F">
      <w:pPr>
        <w:pStyle w:val="9"/>
        <w:numPr>
          <w:ilvl w:val="0"/>
          <w:numId w:val="0"/>
        </w:numPr>
        <w:ind w:left="360" w:hanging="360"/>
        <w:rPr>
          <w:rFonts w:hint="eastAsia"/>
          <w:highlight w:val="yellow"/>
        </w:rPr>
      </w:pPr>
    </w:p>
    <w:p w14:paraId="04D64A19">
      <w:pPr>
        <w:spacing w:line="560" w:lineRule="exact"/>
        <w:ind w:firstLine="640" w:firstLineChars="200"/>
        <w:rPr>
          <w:rFonts w:hint="eastAsia" w:ascii="仿宋" w:hAnsi="仿宋" w:eastAsia="仿宋"/>
          <w:sz w:val="32"/>
          <w:szCs w:val="32"/>
        </w:rPr>
      </w:pPr>
    </w:p>
    <w:p w14:paraId="4E109202">
      <w:pPr>
        <w:spacing w:line="56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w:t>
      </w:r>
    </w:p>
    <w:p w14:paraId="6DEFA43C">
      <w:pPr>
        <w:spacing w:line="560" w:lineRule="exact"/>
        <w:ind w:firstLine="643" w:firstLineChars="200"/>
        <w:outlineLvl w:val="2"/>
        <w:rPr>
          <w:rFonts w:ascii="仿宋" w:hAnsi="仿宋" w:eastAsia="仿宋"/>
          <w:b/>
          <w:sz w:val="32"/>
          <w:szCs w:val="32"/>
        </w:rPr>
      </w:pPr>
      <w:bookmarkStart w:id="34" w:name="_Toc15377212"/>
      <w:r>
        <w:rPr>
          <w:rFonts w:hint="eastAsia" w:ascii="仿宋" w:hAnsi="仿宋" w:eastAsia="仿宋"/>
          <w:b/>
          <w:sz w:val="32"/>
          <w:szCs w:val="32"/>
        </w:rPr>
        <w:t>（三）一般公共预算财政拨款支出决算具体情况</w:t>
      </w:r>
      <w:bookmarkEnd w:id="34"/>
    </w:p>
    <w:p w14:paraId="20F357E2">
      <w:pPr>
        <w:spacing w:line="560" w:lineRule="exact"/>
        <w:ind w:firstLine="643" w:firstLineChars="200"/>
        <w:outlineLvl w:val="2"/>
        <w:rPr>
          <w:rFonts w:ascii="仿宋" w:hAnsi="仿宋" w:eastAsia="仿宋"/>
          <w:sz w:val="32"/>
          <w:szCs w:val="32"/>
        </w:rPr>
      </w:pPr>
      <w:bookmarkStart w:id="35" w:name="_Toc15377213"/>
      <w:bookmarkStart w:id="36" w:name="_Toc15378460"/>
      <w:bookmarkStart w:id="37" w:name="_Toc15377444"/>
      <w:r>
        <w:rPr>
          <w:rFonts w:hint="eastAsia" w:ascii="仿宋" w:hAnsi="仿宋" w:eastAsia="仿宋"/>
          <w:b/>
          <w:sz w:val="32"/>
          <w:szCs w:val="32"/>
        </w:rPr>
        <w:t>202</w:t>
      </w:r>
      <w:r>
        <w:rPr>
          <w:rFonts w:hint="eastAsia" w:ascii="仿宋" w:hAnsi="仿宋" w:eastAsia="仿宋"/>
          <w:b/>
          <w:sz w:val="32"/>
          <w:szCs w:val="32"/>
          <w:lang w:val="en-US" w:eastAsia="zh-CN"/>
        </w:rPr>
        <w:t>3</w:t>
      </w:r>
      <w:r>
        <w:rPr>
          <w:rFonts w:hint="eastAsia" w:ascii="仿宋" w:hAnsi="仿宋" w:eastAsia="仿宋"/>
          <w:b/>
          <w:sz w:val="32"/>
          <w:szCs w:val="32"/>
        </w:rPr>
        <w:t>年一般公共预算支出决算数为</w:t>
      </w:r>
      <w:r>
        <w:rPr>
          <w:rFonts w:hint="eastAsia" w:ascii="仿宋" w:hAnsi="仿宋" w:eastAsia="仿宋"/>
          <w:b/>
          <w:sz w:val="32"/>
          <w:szCs w:val="32"/>
          <w:lang w:val="en-US" w:eastAsia="zh-CN"/>
        </w:rPr>
        <w:t>69.25万元</w:t>
      </w:r>
      <w:r>
        <w:rPr>
          <w:rFonts w:hint="eastAsia" w:ascii="仿宋" w:hAnsi="仿宋" w:eastAsia="仿宋"/>
          <w:sz w:val="32"/>
          <w:szCs w:val="32"/>
        </w:rPr>
        <w:t>，</w:t>
      </w:r>
      <w:r>
        <w:rPr>
          <w:rStyle w:val="22"/>
          <w:rFonts w:hint="eastAsia" w:ascii="仿宋" w:hAnsi="仿宋" w:eastAsia="仿宋"/>
          <w:bCs/>
          <w:sz w:val="32"/>
          <w:szCs w:val="32"/>
        </w:rPr>
        <w:t>完成预算100</w:t>
      </w:r>
      <w:r>
        <w:rPr>
          <w:rStyle w:val="22"/>
          <w:rFonts w:ascii="仿宋" w:hAnsi="仿宋" w:eastAsia="仿宋"/>
          <w:bCs/>
          <w:sz w:val="32"/>
          <w:szCs w:val="32"/>
        </w:rPr>
        <w:t>%</w:t>
      </w:r>
      <w:r>
        <w:rPr>
          <w:rStyle w:val="22"/>
          <w:rFonts w:hint="eastAsia" w:ascii="仿宋" w:hAnsi="仿宋" w:eastAsia="仿宋"/>
          <w:bCs/>
          <w:sz w:val="32"/>
          <w:szCs w:val="32"/>
        </w:rPr>
        <w:t>。其中：</w:t>
      </w:r>
      <w:bookmarkEnd w:id="35"/>
      <w:bookmarkEnd w:id="36"/>
      <w:bookmarkEnd w:id="37"/>
    </w:p>
    <w:p w14:paraId="5547B5A7">
      <w:pPr>
        <w:numPr>
          <w:ilvl w:val="0"/>
          <w:numId w:val="4"/>
        </w:numPr>
        <w:spacing w:line="560" w:lineRule="exact"/>
        <w:ind w:firstLine="643" w:firstLineChars="200"/>
        <w:rPr>
          <w:rStyle w:val="22"/>
          <w:rFonts w:hint="eastAsia" w:ascii="仿宋" w:hAnsi="仿宋" w:eastAsia="仿宋"/>
          <w:b w:val="0"/>
          <w:bCs/>
          <w:sz w:val="32"/>
          <w:szCs w:val="32"/>
        </w:rPr>
      </w:pPr>
      <w:r>
        <w:rPr>
          <w:rStyle w:val="22"/>
          <w:rFonts w:hint="eastAsia" w:ascii="仿宋" w:hAnsi="仿宋" w:eastAsia="仿宋"/>
          <w:bCs/>
          <w:sz w:val="32"/>
          <w:szCs w:val="32"/>
        </w:rPr>
        <w:t>一般公共服务（类）群众团体事务（款）事业运行（项）</w:t>
      </w:r>
      <w:r>
        <w:rPr>
          <w:rStyle w:val="22"/>
          <w:rFonts w:ascii="仿宋" w:hAnsi="仿宋" w:eastAsia="仿宋"/>
          <w:bCs/>
          <w:sz w:val="32"/>
          <w:szCs w:val="32"/>
        </w:rPr>
        <w:t>:</w:t>
      </w:r>
      <w:r>
        <w:rPr>
          <w:rStyle w:val="22"/>
          <w:rFonts w:ascii="仿宋" w:hAnsi="仿宋" w:eastAsia="仿宋"/>
          <w:b w:val="0"/>
          <w:bCs/>
          <w:sz w:val="32"/>
          <w:szCs w:val="32"/>
        </w:rPr>
        <w:t xml:space="preserve"> </w:t>
      </w:r>
      <w:r>
        <w:rPr>
          <w:rStyle w:val="22"/>
          <w:rFonts w:hint="eastAsia" w:ascii="仿宋" w:hAnsi="仿宋" w:eastAsia="仿宋"/>
          <w:b w:val="0"/>
          <w:bCs/>
          <w:sz w:val="32"/>
          <w:szCs w:val="32"/>
        </w:rPr>
        <w:t>支出决算为</w:t>
      </w:r>
      <w:r>
        <w:rPr>
          <w:rStyle w:val="22"/>
          <w:rFonts w:hint="eastAsia" w:ascii="仿宋" w:hAnsi="仿宋" w:eastAsia="仿宋"/>
          <w:b w:val="0"/>
          <w:bCs/>
          <w:sz w:val="32"/>
          <w:szCs w:val="32"/>
          <w:lang w:val="en-US" w:eastAsia="zh-CN"/>
        </w:rPr>
        <w:t>0.1</w:t>
      </w:r>
      <w:r>
        <w:rPr>
          <w:rStyle w:val="22"/>
          <w:rFonts w:hint="eastAsia" w:ascii="仿宋" w:hAnsi="仿宋" w:eastAsia="仿宋"/>
          <w:b w:val="0"/>
          <w:bCs/>
          <w:sz w:val="32"/>
          <w:szCs w:val="32"/>
        </w:rPr>
        <w:t>万元，完成预算100</w:t>
      </w:r>
      <w:r>
        <w:rPr>
          <w:rStyle w:val="22"/>
          <w:rFonts w:ascii="仿宋" w:hAnsi="仿宋" w:eastAsia="仿宋"/>
          <w:b w:val="0"/>
          <w:bCs/>
          <w:sz w:val="32"/>
          <w:szCs w:val="32"/>
        </w:rPr>
        <w:t>%</w:t>
      </w:r>
      <w:r>
        <w:rPr>
          <w:rStyle w:val="22"/>
          <w:rFonts w:hint="eastAsia" w:ascii="仿宋" w:hAnsi="仿宋" w:eastAsia="仿宋"/>
          <w:b w:val="0"/>
          <w:bCs/>
          <w:sz w:val="32"/>
          <w:szCs w:val="32"/>
        </w:rPr>
        <w:t>，决算数等于预算</w:t>
      </w:r>
      <w:r>
        <w:rPr>
          <w:rStyle w:val="22"/>
          <w:rFonts w:hint="eastAsia" w:ascii="仿宋" w:hAnsi="仿宋" w:eastAsia="仿宋"/>
          <w:b w:val="0"/>
          <w:bCs/>
          <w:sz w:val="32"/>
          <w:szCs w:val="32"/>
          <w:lang w:eastAsia="zh-CN"/>
        </w:rPr>
        <w:t>。</w:t>
      </w:r>
    </w:p>
    <w:p w14:paraId="105C85D6">
      <w:pPr>
        <w:numPr>
          <w:ilvl w:val="0"/>
          <w:numId w:val="0"/>
        </w:numPr>
        <w:spacing w:line="560" w:lineRule="exact"/>
        <w:ind w:firstLine="643" w:firstLineChars="200"/>
        <w:rPr>
          <w:rStyle w:val="22"/>
          <w:rFonts w:hint="eastAsia" w:ascii="仿宋" w:hAnsi="仿宋" w:eastAsia="仿宋"/>
          <w:b w:val="0"/>
          <w:bCs/>
          <w:sz w:val="32"/>
          <w:szCs w:val="32"/>
        </w:rPr>
      </w:pPr>
      <w:bookmarkStart w:id="38" w:name="OLE_LINK5"/>
      <w:r>
        <w:rPr>
          <w:rStyle w:val="22"/>
          <w:rFonts w:hint="eastAsia" w:ascii="仿宋" w:hAnsi="仿宋" w:eastAsia="仿宋"/>
          <w:bCs/>
          <w:sz w:val="32"/>
          <w:szCs w:val="32"/>
          <w:lang w:val="en-US" w:eastAsia="zh-CN"/>
        </w:rPr>
        <w:t>2.</w:t>
      </w:r>
      <w:r>
        <w:rPr>
          <w:rStyle w:val="22"/>
          <w:rFonts w:hint="eastAsia" w:ascii="仿宋" w:hAnsi="仿宋" w:eastAsia="仿宋"/>
          <w:bCs/>
          <w:sz w:val="32"/>
          <w:szCs w:val="32"/>
        </w:rPr>
        <w:t>社会保障和就业（类）行政事业单位养老支出（款）机关事业单位基本养老保险缴费支出（项）</w:t>
      </w:r>
      <w:r>
        <w:rPr>
          <w:rStyle w:val="22"/>
          <w:rFonts w:ascii="仿宋" w:hAnsi="仿宋" w:eastAsia="仿宋"/>
          <w:bCs/>
          <w:sz w:val="32"/>
          <w:szCs w:val="32"/>
        </w:rPr>
        <w:t>:</w:t>
      </w:r>
      <w:r>
        <w:rPr>
          <w:rStyle w:val="22"/>
          <w:rFonts w:ascii="仿宋" w:hAnsi="仿宋" w:eastAsia="仿宋"/>
          <w:b w:val="0"/>
          <w:bCs/>
          <w:sz w:val="32"/>
          <w:szCs w:val="32"/>
        </w:rPr>
        <w:t xml:space="preserve"> </w:t>
      </w:r>
      <w:r>
        <w:rPr>
          <w:rStyle w:val="22"/>
          <w:rFonts w:hint="eastAsia" w:ascii="仿宋" w:hAnsi="仿宋" w:eastAsia="仿宋"/>
          <w:b w:val="0"/>
          <w:bCs/>
          <w:sz w:val="32"/>
          <w:szCs w:val="32"/>
        </w:rPr>
        <w:t>支出决算为</w:t>
      </w:r>
      <w:r>
        <w:rPr>
          <w:rStyle w:val="22"/>
          <w:rFonts w:hint="eastAsia" w:ascii="仿宋" w:hAnsi="仿宋" w:eastAsia="仿宋"/>
          <w:b w:val="0"/>
          <w:bCs/>
          <w:sz w:val="32"/>
          <w:szCs w:val="32"/>
          <w:lang w:val="en-US" w:eastAsia="zh-CN"/>
        </w:rPr>
        <w:t>4.99</w:t>
      </w:r>
      <w:r>
        <w:rPr>
          <w:rStyle w:val="22"/>
          <w:rFonts w:hint="eastAsia" w:ascii="仿宋" w:hAnsi="仿宋" w:eastAsia="仿宋"/>
          <w:b w:val="0"/>
          <w:bCs/>
          <w:sz w:val="32"/>
          <w:szCs w:val="32"/>
        </w:rPr>
        <w:t>万元，完成预算100</w:t>
      </w:r>
      <w:r>
        <w:rPr>
          <w:rStyle w:val="22"/>
          <w:rFonts w:ascii="仿宋" w:hAnsi="仿宋" w:eastAsia="仿宋"/>
          <w:b w:val="0"/>
          <w:bCs/>
          <w:sz w:val="32"/>
          <w:szCs w:val="32"/>
        </w:rPr>
        <w:t>%</w:t>
      </w:r>
      <w:r>
        <w:rPr>
          <w:rStyle w:val="22"/>
          <w:rFonts w:hint="eastAsia" w:ascii="仿宋" w:hAnsi="仿宋" w:eastAsia="仿宋"/>
          <w:b w:val="0"/>
          <w:bCs/>
          <w:sz w:val="32"/>
          <w:szCs w:val="32"/>
        </w:rPr>
        <w:t>，决算数等于预算。</w:t>
      </w:r>
    </w:p>
    <w:bookmarkEnd w:id="38"/>
    <w:p w14:paraId="5A8CD1A3">
      <w:pPr>
        <w:numPr>
          <w:ilvl w:val="0"/>
          <w:numId w:val="0"/>
        </w:numPr>
        <w:spacing w:line="560" w:lineRule="exact"/>
        <w:ind w:firstLine="643" w:firstLineChars="200"/>
        <w:rPr>
          <w:rStyle w:val="22"/>
          <w:rFonts w:hint="eastAsia" w:ascii="仿宋" w:hAnsi="仿宋" w:eastAsia="仿宋"/>
          <w:b w:val="0"/>
          <w:bCs/>
          <w:sz w:val="32"/>
          <w:szCs w:val="32"/>
        </w:rPr>
      </w:pPr>
      <w:bookmarkStart w:id="39" w:name="OLE_LINK6"/>
      <w:r>
        <w:rPr>
          <w:rStyle w:val="22"/>
          <w:rFonts w:hint="eastAsia" w:ascii="仿宋" w:hAnsi="仿宋" w:eastAsia="仿宋"/>
          <w:bCs/>
          <w:sz w:val="32"/>
          <w:szCs w:val="32"/>
          <w:lang w:val="en-US" w:eastAsia="zh-CN"/>
        </w:rPr>
        <w:t>3.</w:t>
      </w:r>
      <w:r>
        <w:rPr>
          <w:rStyle w:val="22"/>
          <w:rFonts w:hint="eastAsia" w:ascii="仿宋" w:hAnsi="仿宋" w:eastAsia="仿宋"/>
          <w:bCs/>
          <w:sz w:val="32"/>
          <w:szCs w:val="32"/>
        </w:rPr>
        <w:t>社会保障和就业（类）</w:t>
      </w:r>
      <w:r>
        <w:rPr>
          <w:rStyle w:val="22"/>
          <w:rFonts w:hint="eastAsia" w:ascii="仿宋" w:hAnsi="仿宋" w:eastAsia="仿宋"/>
          <w:bCs/>
          <w:sz w:val="32"/>
          <w:szCs w:val="32"/>
          <w:lang w:val="en-US" w:eastAsia="zh-CN"/>
        </w:rPr>
        <w:t>红十字事业</w:t>
      </w:r>
      <w:r>
        <w:rPr>
          <w:rStyle w:val="22"/>
          <w:rFonts w:hint="eastAsia" w:ascii="仿宋" w:hAnsi="仿宋" w:eastAsia="仿宋"/>
          <w:bCs/>
          <w:sz w:val="32"/>
          <w:szCs w:val="32"/>
        </w:rPr>
        <w:t>（款）</w:t>
      </w:r>
      <w:r>
        <w:rPr>
          <w:rStyle w:val="22"/>
          <w:rFonts w:hint="eastAsia" w:ascii="仿宋" w:hAnsi="仿宋" w:eastAsia="仿宋"/>
          <w:bCs/>
          <w:sz w:val="32"/>
          <w:szCs w:val="32"/>
          <w:lang w:val="en-US" w:eastAsia="zh-CN"/>
        </w:rPr>
        <w:t>行政运行</w:t>
      </w:r>
      <w:r>
        <w:rPr>
          <w:rStyle w:val="22"/>
          <w:rFonts w:hint="eastAsia" w:ascii="仿宋" w:hAnsi="仿宋" w:eastAsia="仿宋"/>
          <w:bCs/>
          <w:sz w:val="32"/>
          <w:szCs w:val="32"/>
        </w:rPr>
        <w:t>（项）</w:t>
      </w:r>
      <w:r>
        <w:rPr>
          <w:rStyle w:val="22"/>
          <w:rFonts w:ascii="仿宋" w:hAnsi="仿宋" w:eastAsia="仿宋"/>
          <w:bCs/>
          <w:sz w:val="32"/>
          <w:szCs w:val="32"/>
        </w:rPr>
        <w:t>:</w:t>
      </w:r>
      <w:r>
        <w:rPr>
          <w:rStyle w:val="22"/>
          <w:rFonts w:ascii="仿宋" w:hAnsi="仿宋" w:eastAsia="仿宋"/>
          <w:b w:val="0"/>
          <w:bCs/>
          <w:sz w:val="32"/>
          <w:szCs w:val="32"/>
        </w:rPr>
        <w:t xml:space="preserve"> </w:t>
      </w:r>
      <w:r>
        <w:rPr>
          <w:rStyle w:val="22"/>
          <w:rFonts w:hint="eastAsia" w:ascii="仿宋" w:hAnsi="仿宋" w:eastAsia="仿宋"/>
          <w:b w:val="0"/>
          <w:bCs/>
          <w:sz w:val="32"/>
          <w:szCs w:val="32"/>
        </w:rPr>
        <w:t>支出决算为</w:t>
      </w:r>
      <w:r>
        <w:rPr>
          <w:rStyle w:val="22"/>
          <w:rFonts w:hint="eastAsia" w:ascii="仿宋" w:hAnsi="仿宋" w:eastAsia="仿宋"/>
          <w:b w:val="0"/>
          <w:bCs/>
          <w:sz w:val="32"/>
          <w:szCs w:val="32"/>
          <w:lang w:val="en-US" w:eastAsia="zh-CN"/>
        </w:rPr>
        <w:t>40.92</w:t>
      </w:r>
      <w:r>
        <w:rPr>
          <w:rStyle w:val="22"/>
          <w:rFonts w:hint="eastAsia" w:ascii="仿宋" w:hAnsi="仿宋" w:eastAsia="仿宋"/>
          <w:b w:val="0"/>
          <w:bCs/>
          <w:sz w:val="32"/>
          <w:szCs w:val="32"/>
        </w:rPr>
        <w:t>万元，完成预算100</w:t>
      </w:r>
      <w:r>
        <w:rPr>
          <w:rStyle w:val="22"/>
          <w:rFonts w:ascii="仿宋" w:hAnsi="仿宋" w:eastAsia="仿宋"/>
          <w:b w:val="0"/>
          <w:bCs/>
          <w:sz w:val="32"/>
          <w:szCs w:val="32"/>
        </w:rPr>
        <w:t>%</w:t>
      </w:r>
      <w:r>
        <w:rPr>
          <w:rStyle w:val="22"/>
          <w:rFonts w:hint="eastAsia" w:ascii="仿宋" w:hAnsi="仿宋" w:eastAsia="仿宋"/>
          <w:b w:val="0"/>
          <w:bCs/>
          <w:sz w:val="32"/>
          <w:szCs w:val="32"/>
        </w:rPr>
        <w:t>，决算数等于预算。</w:t>
      </w:r>
    </w:p>
    <w:bookmarkEnd w:id="39"/>
    <w:p w14:paraId="449E3ACC">
      <w:pPr>
        <w:numPr>
          <w:ilvl w:val="0"/>
          <w:numId w:val="0"/>
        </w:numPr>
        <w:spacing w:line="560" w:lineRule="exact"/>
        <w:ind w:firstLine="643" w:firstLineChars="200"/>
      </w:pPr>
      <w:r>
        <w:rPr>
          <w:rStyle w:val="22"/>
          <w:rFonts w:hint="eastAsia" w:ascii="仿宋" w:hAnsi="仿宋" w:eastAsia="仿宋"/>
          <w:bCs/>
          <w:sz w:val="32"/>
          <w:szCs w:val="32"/>
          <w:lang w:val="en-US" w:eastAsia="zh-CN"/>
        </w:rPr>
        <w:t>4.</w:t>
      </w:r>
      <w:r>
        <w:rPr>
          <w:rStyle w:val="22"/>
          <w:rFonts w:hint="eastAsia" w:ascii="仿宋" w:hAnsi="仿宋" w:eastAsia="仿宋"/>
          <w:bCs/>
          <w:sz w:val="32"/>
          <w:szCs w:val="32"/>
        </w:rPr>
        <w:t>社会保障和就业（类）</w:t>
      </w:r>
      <w:r>
        <w:rPr>
          <w:rStyle w:val="22"/>
          <w:rFonts w:hint="eastAsia" w:ascii="仿宋" w:hAnsi="仿宋" w:eastAsia="仿宋"/>
          <w:bCs/>
          <w:sz w:val="32"/>
          <w:szCs w:val="32"/>
          <w:lang w:val="en-US" w:eastAsia="zh-CN"/>
        </w:rPr>
        <w:t>红十字事业</w:t>
      </w:r>
      <w:r>
        <w:rPr>
          <w:rStyle w:val="22"/>
          <w:rFonts w:hint="eastAsia" w:ascii="仿宋" w:hAnsi="仿宋" w:eastAsia="仿宋"/>
          <w:bCs/>
          <w:sz w:val="32"/>
          <w:szCs w:val="32"/>
        </w:rPr>
        <w:t>（款）</w:t>
      </w:r>
      <w:r>
        <w:rPr>
          <w:rStyle w:val="22"/>
          <w:rFonts w:hint="eastAsia" w:ascii="仿宋" w:hAnsi="仿宋" w:eastAsia="仿宋"/>
          <w:bCs/>
          <w:sz w:val="32"/>
          <w:szCs w:val="32"/>
          <w:lang w:val="en-US" w:eastAsia="zh-CN"/>
        </w:rPr>
        <w:t>其他红十字事业支出</w:t>
      </w:r>
      <w:r>
        <w:rPr>
          <w:rStyle w:val="22"/>
          <w:rFonts w:hint="eastAsia" w:ascii="仿宋" w:hAnsi="仿宋" w:eastAsia="仿宋"/>
          <w:bCs/>
          <w:sz w:val="32"/>
          <w:szCs w:val="32"/>
        </w:rPr>
        <w:t>（项）</w:t>
      </w:r>
      <w:r>
        <w:rPr>
          <w:rStyle w:val="22"/>
          <w:rFonts w:ascii="仿宋" w:hAnsi="仿宋" w:eastAsia="仿宋"/>
          <w:bCs/>
          <w:sz w:val="32"/>
          <w:szCs w:val="32"/>
        </w:rPr>
        <w:t>:</w:t>
      </w:r>
      <w:r>
        <w:rPr>
          <w:rStyle w:val="22"/>
          <w:rFonts w:ascii="仿宋" w:hAnsi="仿宋" w:eastAsia="仿宋"/>
          <w:b w:val="0"/>
          <w:bCs/>
          <w:sz w:val="32"/>
          <w:szCs w:val="32"/>
        </w:rPr>
        <w:t xml:space="preserve"> </w:t>
      </w:r>
      <w:r>
        <w:rPr>
          <w:rStyle w:val="22"/>
          <w:rFonts w:hint="eastAsia" w:ascii="仿宋" w:hAnsi="仿宋" w:eastAsia="仿宋"/>
          <w:b w:val="0"/>
          <w:bCs/>
          <w:sz w:val="32"/>
          <w:szCs w:val="32"/>
        </w:rPr>
        <w:t>支出决算为</w:t>
      </w:r>
      <w:r>
        <w:rPr>
          <w:rStyle w:val="22"/>
          <w:rFonts w:hint="eastAsia" w:ascii="仿宋" w:hAnsi="仿宋" w:eastAsia="仿宋"/>
          <w:b w:val="0"/>
          <w:bCs/>
          <w:sz w:val="32"/>
          <w:szCs w:val="32"/>
          <w:lang w:val="en-US" w:eastAsia="zh-CN"/>
        </w:rPr>
        <w:t>16.02</w:t>
      </w:r>
      <w:r>
        <w:rPr>
          <w:rStyle w:val="22"/>
          <w:rFonts w:hint="eastAsia" w:ascii="仿宋" w:hAnsi="仿宋" w:eastAsia="仿宋"/>
          <w:b w:val="0"/>
          <w:bCs/>
          <w:sz w:val="32"/>
          <w:szCs w:val="32"/>
        </w:rPr>
        <w:t>万元，完成预算100</w:t>
      </w:r>
      <w:r>
        <w:rPr>
          <w:rStyle w:val="22"/>
          <w:rFonts w:ascii="仿宋" w:hAnsi="仿宋" w:eastAsia="仿宋"/>
          <w:b w:val="0"/>
          <w:bCs/>
          <w:sz w:val="32"/>
          <w:szCs w:val="32"/>
        </w:rPr>
        <w:t>%</w:t>
      </w:r>
      <w:r>
        <w:rPr>
          <w:rStyle w:val="22"/>
          <w:rFonts w:hint="eastAsia" w:ascii="仿宋" w:hAnsi="仿宋" w:eastAsia="仿宋"/>
          <w:b w:val="0"/>
          <w:bCs/>
          <w:sz w:val="32"/>
          <w:szCs w:val="32"/>
        </w:rPr>
        <w:t>，决算数等于预算</w:t>
      </w:r>
      <w:r>
        <w:rPr>
          <w:rStyle w:val="22"/>
          <w:rFonts w:hint="eastAsia" w:ascii="仿宋" w:hAnsi="仿宋" w:eastAsia="仿宋"/>
          <w:b w:val="0"/>
          <w:bCs/>
          <w:sz w:val="32"/>
          <w:szCs w:val="32"/>
          <w:lang w:val="en-US" w:eastAsia="zh-CN"/>
        </w:rPr>
        <w:t>数</w:t>
      </w:r>
      <w:r>
        <w:rPr>
          <w:rStyle w:val="22"/>
          <w:rFonts w:hint="eastAsia" w:ascii="仿宋" w:hAnsi="仿宋" w:eastAsia="仿宋"/>
          <w:b w:val="0"/>
          <w:bCs/>
          <w:sz w:val="32"/>
          <w:szCs w:val="32"/>
        </w:rPr>
        <w:t>。</w:t>
      </w:r>
    </w:p>
    <w:p w14:paraId="75A79163">
      <w:pPr>
        <w:spacing w:line="560" w:lineRule="exact"/>
        <w:ind w:firstLine="643" w:firstLineChars="200"/>
        <w:rPr>
          <w:rStyle w:val="22"/>
          <w:rFonts w:hint="eastAsia" w:ascii="仿宋" w:hAnsi="仿宋" w:eastAsia="仿宋"/>
          <w:b w:val="0"/>
          <w:bCs/>
          <w:sz w:val="32"/>
          <w:szCs w:val="32"/>
        </w:rPr>
      </w:pPr>
      <w:r>
        <w:rPr>
          <w:rStyle w:val="22"/>
          <w:rFonts w:hint="eastAsia" w:ascii="仿宋" w:hAnsi="仿宋" w:eastAsia="仿宋"/>
          <w:bCs/>
          <w:sz w:val="32"/>
          <w:szCs w:val="32"/>
        </w:rPr>
        <w:t>3</w:t>
      </w:r>
      <w:r>
        <w:rPr>
          <w:rStyle w:val="22"/>
          <w:rFonts w:ascii="仿宋" w:hAnsi="仿宋" w:eastAsia="仿宋"/>
          <w:bCs/>
          <w:sz w:val="32"/>
          <w:szCs w:val="32"/>
        </w:rPr>
        <w:t>.</w:t>
      </w:r>
      <w:r>
        <w:rPr>
          <w:rFonts w:hint="eastAsia" w:ascii="仿宋" w:hAnsi="仿宋" w:eastAsia="仿宋"/>
          <w:b/>
          <w:bCs/>
          <w:sz w:val="32"/>
          <w:szCs w:val="32"/>
        </w:rPr>
        <w:t>卫生健康</w:t>
      </w:r>
      <w:r>
        <w:rPr>
          <w:rStyle w:val="22"/>
          <w:rFonts w:hint="eastAsia" w:ascii="仿宋" w:hAnsi="仿宋" w:eastAsia="仿宋"/>
          <w:bCs/>
          <w:sz w:val="32"/>
          <w:szCs w:val="32"/>
        </w:rPr>
        <w:t>（类）行政事业单位医疗（款）事业单位医疗（项）</w:t>
      </w:r>
      <w:r>
        <w:rPr>
          <w:rStyle w:val="22"/>
          <w:rFonts w:ascii="仿宋" w:hAnsi="仿宋" w:eastAsia="仿宋"/>
          <w:bCs/>
          <w:sz w:val="32"/>
          <w:szCs w:val="32"/>
        </w:rPr>
        <w:t>:</w:t>
      </w:r>
      <w:r>
        <w:rPr>
          <w:rStyle w:val="22"/>
          <w:rFonts w:hint="eastAsia" w:ascii="仿宋" w:hAnsi="仿宋" w:eastAsia="仿宋"/>
          <w:b w:val="0"/>
          <w:bCs/>
          <w:sz w:val="32"/>
          <w:szCs w:val="32"/>
        </w:rPr>
        <w:t>支出决算为</w:t>
      </w:r>
      <w:r>
        <w:rPr>
          <w:rStyle w:val="22"/>
          <w:rFonts w:hint="eastAsia" w:ascii="仿宋" w:hAnsi="仿宋" w:eastAsia="仿宋"/>
          <w:b w:val="0"/>
          <w:bCs/>
          <w:sz w:val="32"/>
          <w:szCs w:val="32"/>
          <w:lang w:val="en-US" w:eastAsia="zh-CN"/>
        </w:rPr>
        <w:t>2.32</w:t>
      </w:r>
      <w:r>
        <w:rPr>
          <w:rStyle w:val="22"/>
          <w:rFonts w:hint="eastAsia" w:ascii="仿宋" w:hAnsi="仿宋" w:eastAsia="仿宋"/>
          <w:b w:val="0"/>
          <w:bCs/>
          <w:sz w:val="32"/>
          <w:szCs w:val="32"/>
        </w:rPr>
        <w:t>万元，完成预算100</w:t>
      </w:r>
      <w:r>
        <w:rPr>
          <w:rStyle w:val="22"/>
          <w:rFonts w:ascii="仿宋" w:hAnsi="仿宋" w:eastAsia="仿宋"/>
          <w:b w:val="0"/>
          <w:bCs/>
          <w:sz w:val="32"/>
          <w:szCs w:val="32"/>
        </w:rPr>
        <w:t>%</w:t>
      </w:r>
      <w:r>
        <w:rPr>
          <w:rStyle w:val="22"/>
          <w:rFonts w:hint="eastAsia" w:ascii="仿宋" w:hAnsi="仿宋" w:eastAsia="仿宋"/>
          <w:b w:val="0"/>
          <w:bCs/>
          <w:sz w:val="32"/>
          <w:szCs w:val="32"/>
          <w:lang w:eastAsia="zh-CN"/>
        </w:rPr>
        <w:t>，</w:t>
      </w:r>
      <w:r>
        <w:rPr>
          <w:rStyle w:val="22"/>
          <w:rFonts w:hint="eastAsia" w:ascii="仿宋" w:hAnsi="仿宋" w:eastAsia="仿宋"/>
          <w:b w:val="0"/>
          <w:bCs/>
          <w:sz w:val="32"/>
          <w:szCs w:val="32"/>
          <w:lang w:val="en-US" w:eastAsia="zh-CN"/>
        </w:rPr>
        <w:t>决算数等于预算数</w:t>
      </w:r>
      <w:r>
        <w:rPr>
          <w:rStyle w:val="22"/>
          <w:rFonts w:hint="eastAsia" w:ascii="仿宋" w:hAnsi="仿宋" w:eastAsia="仿宋"/>
          <w:b w:val="0"/>
          <w:bCs/>
          <w:sz w:val="32"/>
          <w:szCs w:val="32"/>
        </w:rPr>
        <w:t>；</w:t>
      </w:r>
    </w:p>
    <w:p w14:paraId="6A16320D">
      <w:pPr>
        <w:spacing w:line="560" w:lineRule="exact"/>
        <w:ind w:firstLine="643" w:firstLineChars="200"/>
        <w:rPr>
          <w:rFonts w:ascii="仿宋" w:hAnsi="仿宋" w:eastAsia="仿宋"/>
          <w:b/>
          <w:sz w:val="32"/>
          <w:szCs w:val="32"/>
        </w:rPr>
      </w:pPr>
      <w:r>
        <w:rPr>
          <w:rFonts w:hint="eastAsia" w:ascii="仿宋" w:hAnsi="仿宋" w:eastAsia="仿宋"/>
          <w:b/>
          <w:bCs/>
          <w:sz w:val="32"/>
          <w:szCs w:val="32"/>
        </w:rPr>
        <w:t>卫生健康</w:t>
      </w:r>
      <w:r>
        <w:rPr>
          <w:rStyle w:val="22"/>
          <w:rFonts w:hint="eastAsia" w:ascii="仿宋" w:hAnsi="仿宋" w:eastAsia="仿宋"/>
          <w:bCs/>
          <w:sz w:val="32"/>
          <w:szCs w:val="32"/>
        </w:rPr>
        <w:t>（类）行政事业单位医疗（款）公务员医疗保险（项）</w:t>
      </w:r>
      <w:r>
        <w:rPr>
          <w:rStyle w:val="22"/>
          <w:rFonts w:ascii="仿宋" w:hAnsi="仿宋" w:eastAsia="仿宋"/>
          <w:bCs/>
          <w:sz w:val="32"/>
          <w:szCs w:val="32"/>
        </w:rPr>
        <w:t>:</w:t>
      </w:r>
      <w:r>
        <w:rPr>
          <w:rStyle w:val="22"/>
          <w:rFonts w:hint="eastAsia" w:ascii="仿宋" w:hAnsi="仿宋" w:eastAsia="仿宋"/>
          <w:b w:val="0"/>
          <w:bCs/>
          <w:sz w:val="32"/>
          <w:szCs w:val="32"/>
        </w:rPr>
        <w:t>支出决算为</w:t>
      </w:r>
      <w:r>
        <w:rPr>
          <w:rStyle w:val="22"/>
          <w:rFonts w:hint="eastAsia" w:ascii="仿宋" w:hAnsi="仿宋" w:eastAsia="仿宋"/>
          <w:b w:val="0"/>
          <w:bCs/>
          <w:sz w:val="32"/>
          <w:szCs w:val="32"/>
          <w:lang w:val="en-US" w:eastAsia="zh-CN"/>
        </w:rPr>
        <w:t>0.6</w:t>
      </w:r>
      <w:r>
        <w:rPr>
          <w:rStyle w:val="22"/>
          <w:rFonts w:hint="eastAsia" w:ascii="仿宋" w:hAnsi="仿宋" w:eastAsia="仿宋"/>
          <w:b w:val="0"/>
          <w:bCs/>
          <w:sz w:val="32"/>
          <w:szCs w:val="32"/>
        </w:rPr>
        <w:t>万元，完成预算100</w:t>
      </w:r>
      <w:r>
        <w:rPr>
          <w:rStyle w:val="22"/>
          <w:rFonts w:ascii="仿宋" w:hAnsi="仿宋" w:eastAsia="仿宋"/>
          <w:b w:val="0"/>
          <w:bCs/>
          <w:sz w:val="32"/>
          <w:szCs w:val="32"/>
        </w:rPr>
        <w:t>%</w:t>
      </w:r>
      <w:r>
        <w:rPr>
          <w:rStyle w:val="22"/>
          <w:rFonts w:hint="eastAsia" w:ascii="仿宋" w:hAnsi="仿宋" w:eastAsia="仿宋"/>
          <w:b w:val="0"/>
          <w:bCs/>
          <w:sz w:val="32"/>
          <w:szCs w:val="32"/>
        </w:rPr>
        <w:t>，决算数等于预算</w:t>
      </w:r>
      <w:r>
        <w:rPr>
          <w:rStyle w:val="22"/>
          <w:rFonts w:hint="eastAsia" w:ascii="仿宋" w:hAnsi="仿宋" w:eastAsia="仿宋"/>
          <w:b w:val="0"/>
          <w:bCs/>
          <w:sz w:val="32"/>
          <w:szCs w:val="32"/>
          <w:lang w:val="en-US" w:eastAsia="zh-CN"/>
        </w:rPr>
        <w:t>数</w:t>
      </w:r>
      <w:r>
        <w:rPr>
          <w:rStyle w:val="22"/>
          <w:rFonts w:hint="eastAsia" w:ascii="仿宋" w:hAnsi="仿宋" w:eastAsia="仿宋"/>
          <w:b w:val="0"/>
          <w:bCs/>
          <w:sz w:val="32"/>
          <w:szCs w:val="32"/>
        </w:rPr>
        <w:t>。</w:t>
      </w:r>
    </w:p>
    <w:p w14:paraId="4D0A8B93">
      <w:pPr>
        <w:numPr>
          <w:ilvl w:val="0"/>
          <w:numId w:val="5"/>
        </w:numPr>
        <w:spacing w:line="560" w:lineRule="exact"/>
        <w:ind w:firstLine="643" w:firstLineChars="200"/>
      </w:pPr>
      <w:r>
        <w:rPr>
          <w:rStyle w:val="22"/>
          <w:rFonts w:hint="eastAsia" w:ascii="仿宋" w:hAnsi="仿宋" w:eastAsia="仿宋"/>
          <w:bCs/>
          <w:sz w:val="32"/>
          <w:szCs w:val="32"/>
        </w:rPr>
        <w:t>住房保障支出（类）住房改革支出（款）住房公积金（项）</w:t>
      </w:r>
      <w:r>
        <w:rPr>
          <w:rStyle w:val="22"/>
          <w:rFonts w:ascii="仿宋" w:hAnsi="仿宋" w:eastAsia="仿宋"/>
          <w:bCs/>
          <w:sz w:val="32"/>
          <w:szCs w:val="32"/>
        </w:rPr>
        <w:t>:</w:t>
      </w:r>
      <w:r>
        <w:rPr>
          <w:rStyle w:val="22"/>
          <w:rFonts w:ascii="仿宋" w:hAnsi="仿宋" w:eastAsia="仿宋"/>
          <w:b w:val="0"/>
          <w:bCs/>
          <w:sz w:val="32"/>
          <w:szCs w:val="32"/>
        </w:rPr>
        <w:t xml:space="preserve"> </w:t>
      </w:r>
      <w:r>
        <w:rPr>
          <w:rStyle w:val="22"/>
          <w:rFonts w:hint="eastAsia" w:ascii="仿宋" w:hAnsi="仿宋" w:eastAsia="仿宋"/>
          <w:b w:val="0"/>
          <w:bCs/>
          <w:sz w:val="32"/>
          <w:szCs w:val="32"/>
        </w:rPr>
        <w:t>支出决算为</w:t>
      </w:r>
      <w:r>
        <w:rPr>
          <w:rStyle w:val="22"/>
          <w:rFonts w:hint="eastAsia" w:ascii="仿宋" w:hAnsi="仿宋" w:eastAsia="仿宋"/>
          <w:b w:val="0"/>
          <w:bCs/>
          <w:sz w:val="32"/>
          <w:szCs w:val="32"/>
          <w:lang w:val="en-US" w:eastAsia="zh-CN"/>
        </w:rPr>
        <w:t>4.26</w:t>
      </w:r>
      <w:r>
        <w:rPr>
          <w:rStyle w:val="22"/>
          <w:rFonts w:hint="eastAsia" w:ascii="仿宋" w:hAnsi="仿宋" w:eastAsia="仿宋"/>
          <w:b w:val="0"/>
          <w:bCs/>
          <w:sz w:val="32"/>
          <w:szCs w:val="32"/>
        </w:rPr>
        <w:t>万元，完成预算100</w:t>
      </w:r>
      <w:r>
        <w:rPr>
          <w:rStyle w:val="22"/>
          <w:rFonts w:ascii="仿宋" w:hAnsi="仿宋" w:eastAsia="仿宋"/>
          <w:b w:val="0"/>
          <w:bCs/>
          <w:sz w:val="32"/>
          <w:szCs w:val="32"/>
        </w:rPr>
        <w:t>%</w:t>
      </w:r>
      <w:r>
        <w:rPr>
          <w:rStyle w:val="22"/>
          <w:rFonts w:hint="eastAsia" w:ascii="仿宋" w:hAnsi="仿宋" w:eastAsia="仿宋"/>
          <w:b w:val="0"/>
          <w:bCs/>
          <w:sz w:val="32"/>
          <w:szCs w:val="32"/>
        </w:rPr>
        <w:t>，决算数等于预算</w:t>
      </w:r>
      <w:r>
        <w:rPr>
          <w:rStyle w:val="22"/>
          <w:rFonts w:hint="eastAsia" w:ascii="仿宋" w:hAnsi="仿宋" w:eastAsia="仿宋"/>
          <w:b w:val="0"/>
          <w:bCs/>
          <w:sz w:val="32"/>
          <w:szCs w:val="32"/>
          <w:lang w:val="en-US" w:eastAsia="zh-CN"/>
        </w:rPr>
        <w:t>数</w:t>
      </w:r>
      <w:r>
        <w:rPr>
          <w:rStyle w:val="22"/>
          <w:rFonts w:hint="eastAsia" w:ascii="仿宋" w:hAnsi="仿宋" w:eastAsia="仿宋"/>
          <w:b w:val="0"/>
          <w:bCs/>
          <w:sz w:val="32"/>
          <w:szCs w:val="32"/>
        </w:rPr>
        <w:t>。</w:t>
      </w:r>
    </w:p>
    <w:p w14:paraId="4A5C64CC">
      <w:pPr>
        <w:tabs>
          <w:tab w:val="right" w:pos="8306"/>
        </w:tabs>
        <w:spacing w:line="560" w:lineRule="exact"/>
        <w:ind w:firstLine="640" w:firstLineChars="200"/>
        <w:outlineLvl w:val="1"/>
        <w:rPr>
          <w:rStyle w:val="34"/>
        </w:rPr>
      </w:pPr>
      <w:bookmarkStart w:id="40" w:name="_Toc15396608"/>
      <w:bookmarkStart w:id="41"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4"/>
          <w:rFonts w:hint="eastAsia" w:ascii="黑体" w:hAnsi="黑体" w:eastAsia="黑体"/>
          <w:b w:val="0"/>
        </w:rPr>
        <w:t>般公共预算财政拨款基本支出决算情况说明</w:t>
      </w:r>
      <w:bookmarkEnd w:id="40"/>
      <w:bookmarkEnd w:id="41"/>
      <w:r>
        <w:rPr>
          <w:rStyle w:val="34"/>
          <w:rFonts w:ascii="黑体" w:hAnsi="黑体" w:eastAsia="黑体"/>
          <w:b w:val="0"/>
        </w:rPr>
        <w:tab/>
      </w:r>
    </w:p>
    <w:p w14:paraId="29141348">
      <w:pPr>
        <w:spacing w:line="56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年一般公共预算财政拨款基本支出</w:t>
      </w:r>
      <w:r>
        <w:rPr>
          <w:rFonts w:hint="eastAsia" w:ascii="仿宋" w:hAnsi="仿宋" w:eastAsia="仿宋"/>
          <w:sz w:val="32"/>
          <w:szCs w:val="32"/>
          <w:lang w:val="en-US" w:eastAsia="zh-CN"/>
        </w:rPr>
        <w:t>57.73</w:t>
      </w:r>
      <w:r>
        <w:rPr>
          <w:rFonts w:hint="eastAsia" w:ascii="仿宋" w:hAnsi="仿宋" w:eastAsia="仿宋"/>
          <w:sz w:val="32"/>
          <w:szCs w:val="32"/>
        </w:rPr>
        <w:t>万元，其中：</w:t>
      </w:r>
    </w:p>
    <w:p w14:paraId="61D9062C">
      <w:pPr>
        <w:spacing w:line="560" w:lineRule="exact"/>
        <w:ind w:firstLine="640" w:firstLineChars="200"/>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sz w:val="32"/>
          <w:szCs w:val="32"/>
          <w:lang w:val="en-US" w:eastAsia="zh-CN"/>
        </w:rPr>
        <w:t>50.62</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医疗费补助、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sz w:val="32"/>
          <w:szCs w:val="32"/>
          <w:lang w:val="en-US" w:eastAsia="zh-CN"/>
        </w:rPr>
        <w:t>7.11</w:t>
      </w:r>
      <w:r>
        <w:rPr>
          <w:rFonts w:hint="eastAsia" w:ascii="仿宋" w:hAnsi="仿宋" w:eastAsia="仿宋"/>
          <w:sz w:val="32"/>
          <w:szCs w:val="32"/>
        </w:rPr>
        <w:t>万元，主要包括：办公费、印刷费、邮电费、差旅费、维修（护）费、租赁费、公务接待费、劳务费、工会经费、福利费、其他交通费、其他商品和服务支出等。</w:t>
      </w:r>
    </w:p>
    <w:p w14:paraId="6F2125E2">
      <w:pPr>
        <w:spacing w:line="560" w:lineRule="exact"/>
        <w:ind w:firstLine="640" w:firstLineChars="200"/>
        <w:outlineLvl w:val="1"/>
        <w:rPr>
          <w:rStyle w:val="34"/>
          <w:rFonts w:ascii="黑体" w:hAnsi="黑体" w:eastAsia="黑体"/>
          <w:b w:val="0"/>
        </w:rPr>
      </w:pPr>
      <w:bookmarkStart w:id="42" w:name="_Toc15377215"/>
      <w:bookmarkStart w:id="43" w:name="_Toc15396609"/>
      <w:r>
        <w:rPr>
          <w:rFonts w:hint="eastAsia" w:ascii="黑体" w:eastAsia="黑体"/>
          <w:sz w:val="32"/>
          <w:szCs w:val="32"/>
        </w:rPr>
        <w:t>七、</w:t>
      </w:r>
      <w:r>
        <w:rPr>
          <w:rStyle w:val="34"/>
          <w:rFonts w:hint="eastAsia" w:ascii="黑体" w:hAnsi="黑体" w:eastAsia="黑体"/>
          <w:b w:val="0"/>
        </w:rPr>
        <w:t>财政拨款</w:t>
      </w:r>
      <w:r>
        <w:rPr>
          <w:rStyle w:val="34"/>
          <w:rFonts w:hint="eastAsia" w:ascii="黑体" w:hAnsi="黑体" w:eastAsia="黑体"/>
        </w:rPr>
        <w:t>“</w:t>
      </w:r>
      <w:r>
        <w:rPr>
          <w:rStyle w:val="34"/>
          <w:rFonts w:hint="eastAsia" w:ascii="黑体" w:hAnsi="黑体" w:eastAsia="黑体"/>
          <w:b w:val="0"/>
        </w:rPr>
        <w:t>三公”经费支出决算情况说明</w:t>
      </w:r>
      <w:bookmarkEnd w:id="42"/>
      <w:bookmarkEnd w:id="43"/>
    </w:p>
    <w:p w14:paraId="18511BE5">
      <w:pPr>
        <w:spacing w:line="560" w:lineRule="exact"/>
        <w:ind w:firstLine="643" w:firstLineChars="200"/>
        <w:outlineLvl w:val="2"/>
        <w:rPr>
          <w:rFonts w:ascii="仿宋" w:hAnsi="仿宋" w:eastAsia="仿宋"/>
          <w:b/>
          <w:sz w:val="32"/>
          <w:szCs w:val="32"/>
        </w:rPr>
      </w:pPr>
      <w:bookmarkStart w:id="44" w:name="_Toc15377216"/>
      <w:r>
        <w:rPr>
          <w:rFonts w:hint="eastAsia" w:ascii="仿宋" w:hAnsi="仿宋" w:eastAsia="仿宋"/>
          <w:b/>
          <w:sz w:val="32"/>
          <w:szCs w:val="32"/>
        </w:rPr>
        <w:t>（一）“三公”经费财政拨款支出决算总体情况说明</w:t>
      </w:r>
      <w:bookmarkEnd w:id="44"/>
    </w:p>
    <w:p w14:paraId="0DDDC2D8">
      <w:pPr>
        <w:spacing w:line="56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年“三公”经费财政拨款支出决算为</w:t>
      </w:r>
      <w:r>
        <w:rPr>
          <w:rFonts w:hint="eastAsia" w:ascii="仿宋" w:hAnsi="仿宋" w:eastAsia="仿宋"/>
          <w:sz w:val="32"/>
          <w:szCs w:val="32"/>
          <w:lang w:val="en-US" w:eastAsia="zh-CN"/>
        </w:rPr>
        <w:t>0.18</w:t>
      </w:r>
      <w:r>
        <w:rPr>
          <w:rFonts w:hint="eastAsia" w:ascii="仿宋" w:hAnsi="仿宋" w:eastAsia="仿宋"/>
          <w:sz w:val="32"/>
          <w:szCs w:val="32"/>
        </w:rPr>
        <w:t>万元，完成预算100</w:t>
      </w:r>
      <w:r>
        <w:rPr>
          <w:rFonts w:ascii="仿宋" w:hAnsi="仿宋" w:eastAsia="仿宋"/>
          <w:sz w:val="32"/>
          <w:szCs w:val="32"/>
        </w:rPr>
        <w:t>%</w:t>
      </w:r>
      <w:r>
        <w:rPr>
          <w:rFonts w:hint="eastAsia" w:ascii="仿宋" w:hAnsi="仿宋" w:eastAsia="仿宋"/>
          <w:sz w:val="32"/>
          <w:szCs w:val="32"/>
        </w:rPr>
        <w:t>，较上年增加</w:t>
      </w:r>
      <w:r>
        <w:rPr>
          <w:rFonts w:hint="eastAsia" w:ascii="仿宋" w:hAnsi="仿宋" w:eastAsia="仿宋"/>
          <w:sz w:val="32"/>
          <w:szCs w:val="32"/>
          <w:lang w:val="en-US" w:eastAsia="zh-CN"/>
        </w:rPr>
        <w:t>0.07</w:t>
      </w:r>
      <w:r>
        <w:rPr>
          <w:rFonts w:hint="eastAsia" w:ascii="仿宋" w:hAnsi="仿宋" w:eastAsia="仿宋"/>
          <w:sz w:val="32"/>
          <w:szCs w:val="32"/>
        </w:rPr>
        <w:t>万元，增长</w:t>
      </w:r>
      <w:r>
        <w:rPr>
          <w:rFonts w:hint="eastAsia" w:ascii="仿宋" w:hAnsi="仿宋" w:eastAsia="仿宋"/>
          <w:sz w:val="32"/>
          <w:szCs w:val="32"/>
          <w:lang w:val="en-US" w:eastAsia="zh-CN"/>
        </w:rPr>
        <w:t>63.63</w:t>
      </w:r>
      <w:r>
        <w:rPr>
          <w:rFonts w:hint="eastAsia" w:ascii="仿宋" w:hAnsi="仿宋" w:eastAsia="仿宋"/>
          <w:sz w:val="32"/>
          <w:szCs w:val="32"/>
        </w:rPr>
        <w:t>%，</w:t>
      </w:r>
      <w:r>
        <w:rPr>
          <w:rFonts w:hint="eastAsia" w:ascii="仿宋" w:hAnsi="仿宋" w:eastAsia="仿宋"/>
          <w:sz w:val="32"/>
          <w:szCs w:val="32"/>
          <w:lang w:val="en-US" w:eastAsia="zh-CN"/>
        </w:rPr>
        <w:t>增加原因是</w:t>
      </w:r>
      <w:r>
        <w:rPr>
          <w:rFonts w:hint="eastAsia" w:ascii="仿宋" w:hAnsi="仿宋" w:eastAsia="仿宋"/>
          <w:sz w:val="32"/>
          <w:szCs w:val="32"/>
        </w:rPr>
        <w:t>本单位属于2022年</w:t>
      </w:r>
      <w:r>
        <w:rPr>
          <w:rFonts w:hint="eastAsia" w:ascii="仿宋" w:hAnsi="仿宋" w:eastAsia="仿宋"/>
          <w:sz w:val="32"/>
          <w:szCs w:val="32"/>
          <w:lang w:val="en-US" w:eastAsia="zh-CN"/>
        </w:rPr>
        <w:t>5月</w:t>
      </w:r>
      <w:r>
        <w:rPr>
          <w:rFonts w:hint="eastAsia" w:ascii="仿宋" w:hAnsi="仿宋" w:eastAsia="仿宋"/>
          <w:sz w:val="32"/>
          <w:szCs w:val="32"/>
        </w:rPr>
        <w:t>新纳入预算管理单位。</w:t>
      </w:r>
    </w:p>
    <w:p w14:paraId="0329B04A">
      <w:pPr>
        <w:spacing w:line="560" w:lineRule="exact"/>
        <w:ind w:firstLine="643" w:firstLineChars="200"/>
        <w:outlineLvl w:val="2"/>
        <w:rPr>
          <w:rFonts w:ascii="仿宋" w:hAnsi="仿宋" w:eastAsia="仿宋"/>
          <w:b/>
          <w:sz w:val="32"/>
          <w:szCs w:val="32"/>
        </w:rPr>
      </w:pPr>
      <w:bookmarkStart w:id="45" w:name="_Toc15377217"/>
      <w:r>
        <w:rPr>
          <w:rFonts w:hint="eastAsia" w:ascii="仿宋" w:hAnsi="仿宋" w:eastAsia="仿宋"/>
          <w:b/>
          <w:sz w:val="32"/>
          <w:szCs w:val="32"/>
        </w:rPr>
        <w:t>（二）“三公”经费财政拨款支出决算具体情况说明</w:t>
      </w:r>
      <w:bookmarkEnd w:id="45"/>
    </w:p>
    <w:p w14:paraId="398B83C0">
      <w:pPr>
        <w:widowControl w:val="0"/>
        <w:spacing w:line="560" w:lineRule="exact"/>
        <w:ind w:firstLine="640" w:firstLineChars="200"/>
        <w:jc w:val="both"/>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；公务接待费支出决算0.1</w:t>
      </w:r>
      <w:r>
        <w:rPr>
          <w:rFonts w:hint="eastAsia" w:ascii="仿宋" w:hAnsi="仿宋" w:eastAsia="仿宋"/>
          <w:sz w:val="32"/>
          <w:szCs w:val="32"/>
          <w:lang w:val="en-US" w:eastAsia="zh-CN"/>
        </w:rPr>
        <w:t>8</w:t>
      </w:r>
      <w:r>
        <w:rPr>
          <w:rFonts w:hint="eastAsia" w:ascii="仿宋" w:hAnsi="仿宋" w:eastAsia="仿宋"/>
          <w:sz w:val="32"/>
          <w:szCs w:val="32"/>
        </w:rPr>
        <w:t>万元，占100</w:t>
      </w:r>
      <w:r>
        <w:rPr>
          <w:rFonts w:ascii="仿宋" w:hAnsi="仿宋" w:eastAsia="仿宋"/>
          <w:sz w:val="32"/>
          <w:szCs w:val="32"/>
        </w:rPr>
        <w:t>%</w:t>
      </w:r>
      <w:r>
        <w:rPr>
          <w:rFonts w:hint="eastAsia" w:ascii="仿宋" w:hAnsi="仿宋" w:eastAsia="仿宋"/>
          <w:sz w:val="32"/>
          <w:szCs w:val="32"/>
        </w:rPr>
        <w:t>。具体情况如下：</w:t>
      </w:r>
    </w:p>
    <w:p w14:paraId="21912E2C">
      <w:pPr>
        <w:pStyle w:val="9"/>
        <w:numPr>
          <w:ilvl w:val="0"/>
          <w:numId w:val="0"/>
        </w:numPr>
        <w:rPr>
          <w:rFonts w:ascii="仿宋" w:hAnsi="仿宋" w:eastAsia="仿宋"/>
          <w:sz w:val="32"/>
          <w:szCs w:val="32"/>
        </w:rPr>
      </w:pPr>
      <w:r>
        <w:rPr>
          <w:rFonts w:hint="eastAsia" w:ascii="仿宋" w:hAnsi="仿宋" w:eastAsia="仿宋"/>
          <w:sz w:val="32"/>
          <w:szCs w:val="32"/>
        </w:rPr>
        <w:drawing>
          <wp:anchor distT="0" distB="0" distL="114300" distR="114300" simplePos="0" relativeHeight="251660288" behindDoc="0" locked="0" layoutInCell="1" allowOverlap="1">
            <wp:simplePos x="0" y="0"/>
            <wp:positionH relativeFrom="column">
              <wp:posOffset>99695</wp:posOffset>
            </wp:positionH>
            <wp:positionV relativeFrom="paragraph">
              <wp:posOffset>198120</wp:posOffset>
            </wp:positionV>
            <wp:extent cx="4651375" cy="2690495"/>
            <wp:effectExtent l="4445" t="4445" r="11430" b="10160"/>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5351D84C">
      <w:pPr>
        <w:pStyle w:val="9"/>
        <w:numPr>
          <w:ilvl w:val="0"/>
          <w:numId w:val="0"/>
        </w:numPr>
        <w:rPr>
          <w:rFonts w:ascii="仿宋" w:hAnsi="仿宋" w:eastAsia="仿宋"/>
          <w:sz w:val="32"/>
          <w:szCs w:val="32"/>
        </w:rPr>
      </w:pPr>
    </w:p>
    <w:p w14:paraId="104B11CE">
      <w:pPr>
        <w:pStyle w:val="9"/>
        <w:numPr>
          <w:ilvl w:val="0"/>
          <w:numId w:val="0"/>
        </w:numPr>
        <w:rPr>
          <w:rFonts w:ascii="仿宋" w:hAnsi="仿宋" w:eastAsia="仿宋"/>
          <w:sz w:val="32"/>
          <w:szCs w:val="32"/>
        </w:rPr>
      </w:pPr>
    </w:p>
    <w:p w14:paraId="7990D895">
      <w:pPr>
        <w:pStyle w:val="9"/>
        <w:numPr>
          <w:ilvl w:val="0"/>
          <w:numId w:val="0"/>
        </w:numPr>
        <w:rPr>
          <w:rFonts w:ascii="仿宋" w:hAnsi="仿宋" w:eastAsia="仿宋"/>
          <w:sz w:val="32"/>
          <w:szCs w:val="32"/>
        </w:rPr>
      </w:pPr>
    </w:p>
    <w:p w14:paraId="4F2DD97D">
      <w:pPr>
        <w:pStyle w:val="9"/>
        <w:numPr>
          <w:ilvl w:val="0"/>
          <w:numId w:val="0"/>
        </w:numPr>
        <w:rPr>
          <w:rFonts w:ascii="仿宋" w:hAnsi="仿宋" w:eastAsia="仿宋"/>
          <w:sz w:val="32"/>
          <w:szCs w:val="32"/>
        </w:rPr>
      </w:pPr>
    </w:p>
    <w:p w14:paraId="4642D37D">
      <w:pPr>
        <w:pStyle w:val="9"/>
        <w:numPr>
          <w:ilvl w:val="0"/>
          <w:numId w:val="0"/>
        </w:numPr>
        <w:rPr>
          <w:rFonts w:ascii="仿宋" w:hAnsi="仿宋" w:eastAsia="仿宋"/>
          <w:sz w:val="32"/>
          <w:szCs w:val="32"/>
        </w:rPr>
      </w:pPr>
    </w:p>
    <w:p w14:paraId="66EE7A59">
      <w:pPr>
        <w:pStyle w:val="9"/>
        <w:numPr>
          <w:ilvl w:val="0"/>
          <w:numId w:val="0"/>
        </w:numPr>
        <w:rPr>
          <w:rFonts w:ascii="仿宋" w:hAnsi="仿宋" w:eastAsia="仿宋"/>
          <w:sz w:val="32"/>
          <w:szCs w:val="32"/>
        </w:rPr>
      </w:pPr>
    </w:p>
    <w:p w14:paraId="07F1C680">
      <w:pPr>
        <w:pStyle w:val="9"/>
        <w:numPr>
          <w:ilvl w:val="0"/>
          <w:numId w:val="0"/>
        </w:numPr>
        <w:rPr>
          <w:rFonts w:ascii="仿宋" w:hAnsi="仿宋" w:eastAsia="仿宋"/>
          <w:sz w:val="32"/>
          <w:szCs w:val="32"/>
        </w:rPr>
      </w:pPr>
    </w:p>
    <w:p w14:paraId="7C5D6B1F">
      <w:pPr>
        <w:spacing w:line="560" w:lineRule="exact"/>
        <w:ind w:firstLine="640" w:firstLineChars="200"/>
        <w:rPr>
          <w:rFonts w:ascii="仿宋" w:hAnsi="仿宋" w:eastAsia="仿宋"/>
          <w:sz w:val="32"/>
          <w:szCs w:val="32"/>
        </w:rPr>
      </w:pPr>
      <w:r>
        <w:rPr>
          <w:rFonts w:hint="eastAsia" w:ascii="仿宋" w:hAnsi="仿宋" w:eastAsia="仿宋"/>
          <w:sz w:val="32"/>
          <w:szCs w:val="32"/>
        </w:rPr>
        <w:t>（图7：“三公”经费财政拨款支出结构）</w:t>
      </w:r>
    </w:p>
    <w:p w14:paraId="078E9464">
      <w:pPr>
        <w:spacing w:line="560" w:lineRule="exact"/>
        <w:ind w:firstLine="643" w:firstLineChars="200"/>
        <w:rPr>
          <w:rFonts w:ascii="仿宋_GB2312" w:eastAsia="仿宋_GB2312"/>
          <w:b/>
          <w:sz w:val="32"/>
          <w:szCs w:val="32"/>
        </w:rPr>
      </w:pPr>
      <w:r>
        <w:rPr>
          <w:rFonts w:ascii="仿宋_GB2312" w:eastAsia="仿宋_GB2312"/>
          <w:b/>
          <w:sz w:val="32"/>
          <w:szCs w:val="32"/>
        </w:rPr>
        <w:t>1.</w:t>
      </w:r>
      <w:r>
        <w:rPr>
          <w:rFonts w:hint="default" w:ascii="Times New Roman" w:hAnsi="Times New Roman" w:eastAsia="仿宋_GB2312" w:cs="Times New Roman"/>
          <w:b w:val="0"/>
          <w:bCs w:val="0"/>
          <w:i w:val="0"/>
          <w:iCs w:val="0"/>
          <w:color w:val="auto"/>
          <w:sz w:val="32"/>
          <w:szCs w:val="32"/>
          <w:highlight w:val="none"/>
        </w:rPr>
        <w:t>因公出国（境）经费支出</w:t>
      </w:r>
      <w:r>
        <w:rPr>
          <w:rFonts w:hint="eastAsia" w:ascii="Times New Roman" w:hAnsi="Times New Roman" w:eastAsia="仿宋_GB2312"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w:t>
      </w:r>
      <w:r>
        <w:rPr>
          <w:rStyle w:val="22"/>
          <w:rFonts w:hint="default" w:ascii="Times New Roman" w:hAnsi="Times New Roman" w:eastAsia="仿宋_GB2312" w:cs="Times New Roman"/>
          <w:b w:val="0"/>
          <w:bCs w:val="0"/>
          <w:i w:val="0"/>
          <w:iCs w:val="0"/>
          <w:color w:val="auto"/>
          <w:sz w:val="32"/>
          <w:szCs w:val="32"/>
          <w:highlight w:val="none"/>
        </w:rPr>
        <w:t>完成预算</w:t>
      </w:r>
      <w:r>
        <w:rPr>
          <w:rStyle w:val="22"/>
          <w:rFonts w:hint="eastAsia" w:ascii="Times New Roman" w:hAnsi="Times New Roman" w:eastAsia="仿宋_GB2312" w:cs="Times New Roman"/>
          <w:b w:val="0"/>
          <w:bCs w:val="0"/>
          <w:i w:val="0"/>
          <w:iCs w:val="0"/>
          <w:color w:val="auto"/>
          <w:sz w:val="32"/>
          <w:szCs w:val="32"/>
          <w:highlight w:val="none"/>
          <w:lang w:val="en-US" w:eastAsia="zh-CN"/>
        </w:rPr>
        <w:t>100</w:t>
      </w:r>
      <w:r>
        <w:rPr>
          <w:rStyle w:val="22"/>
          <w:rFonts w:hint="default" w:ascii="Times New Roman" w:hAnsi="Times New Roman" w:eastAsia="仿宋_GB2312" w:cs="Times New Roman"/>
          <w:b w:val="0"/>
          <w:bCs w:val="0"/>
          <w:i w:val="0"/>
          <w:iCs w:val="0"/>
          <w:color w:val="auto"/>
          <w:sz w:val="32"/>
          <w:szCs w:val="32"/>
          <w:highlight w:val="none"/>
        </w:rPr>
        <w:t>%。</w:t>
      </w:r>
      <w:r>
        <w:rPr>
          <w:rFonts w:hint="default" w:ascii="Times New Roman" w:hAnsi="Times New Roman" w:eastAsia="仿宋_GB2312" w:cs="Times New Roman"/>
          <w:b w:val="0"/>
          <w:bCs w:val="0"/>
          <w:i w:val="0"/>
          <w:iCs w:val="0"/>
          <w:color w:val="auto"/>
          <w:sz w:val="32"/>
          <w:szCs w:val="32"/>
          <w:highlight w:val="none"/>
        </w:rPr>
        <w:t>全年安排因公出国（境）团组</w:t>
      </w:r>
      <w:r>
        <w:rPr>
          <w:rFonts w:hint="eastAsia" w:ascii="Times New Roman" w:hAnsi="Times New Roman" w:eastAsia="仿宋_GB2312"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次，出国（境）</w:t>
      </w:r>
      <w:r>
        <w:rPr>
          <w:rFonts w:hint="eastAsia" w:ascii="Times New Roman" w:hAnsi="Times New Roman" w:eastAsia="仿宋_GB2312"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人。因公出国（境）支出决算</w:t>
      </w:r>
      <w:r>
        <w:rPr>
          <w:rFonts w:hint="default" w:ascii="Times New Roman" w:hAnsi="Times New Roman" w:eastAsia="仿宋_GB2312" w:cs="Times New Roman"/>
          <w:b w:val="0"/>
          <w:bCs w:val="0"/>
          <w:i w:val="0"/>
          <w:iCs w:val="0"/>
          <w:color w:val="auto"/>
          <w:sz w:val="32"/>
          <w:szCs w:val="32"/>
          <w:highlight w:val="none"/>
          <w:lang w:eastAsia="zh-CN"/>
        </w:rPr>
        <w:t>与2022</w:t>
      </w:r>
      <w:r>
        <w:rPr>
          <w:rFonts w:hint="default" w:ascii="Times New Roman" w:hAnsi="Times New Roman" w:eastAsia="仿宋_GB2312" w:cs="Times New Roman"/>
          <w:b w:val="0"/>
          <w:bCs w:val="0"/>
          <w:i w:val="0"/>
          <w:iCs w:val="0"/>
          <w:color w:val="auto"/>
          <w:sz w:val="32"/>
          <w:szCs w:val="32"/>
          <w:highlight w:val="none"/>
        </w:rPr>
        <w:t>年</w:t>
      </w:r>
      <w:r>
        <w:rPr>
          <w:rFonts w:hint="eastAsia" w:eastAsia="仿宋_GB2312" w:cs="Times New Roman"/>
          <w:b w:val="0"/>
          <w:bCs w:val="0"/>
          <w:i w:val="0"/>
          <w:iCs w:val="0"/>
          <w:color w:val="auto"/>
          <w:sz w:val="32"/>
          <w:szCs w:val="32"/>
          <w:highlight w:val="none"/>
          <w:lang w:val="en-US" w:eastAsia="zh-CN"/>
        </w:rPr>
        <w:t>持平</w:t>
      </w:r>
      <w:r>
        <w:rPr>
          <w:rFonts w:hint="default" w:ascii="Times New Roman" w:hAnsi="Times New Roman" w:eastAsia="仿宋_GB2312" w:cs="Times New Roman"/>
          <w:b w:val="0"/>
          <w:bCs w:val="0"/>
          <w:i w:val="0"/>
          <w:iCs w:val="0"/>
          <w:color w:val="auto"/>
          <w:sz w:val="32"/>
          <w:szCs w:val="32"/>
          <w:highlight w:val="none"/>
        </w:rPr>
        <w:t>。</w:t>
      </w:r>
    </w:p>
    <w:p w14:paraId="4739DEA7">
      <w:pPr>
        <w:spacing w:line="560" w:lineRule="exact"/>
        <w:ind w:firstLine="643" w:firstLineChars="200"/>
        <w:rPr>
          <w:rFonts w:hint="default" w:ascii="Times New Roman" w:hAnsi="Times New Roman" w:eastAsia="仿宋_GB2312" w:cs="Times New Roman"/>
          <w:b w:val="0"/>
          <w:bCs w:val="0"/>
          <w:i w:val="0"/>
          <w:iCs w:val="0"/>
          <w:color w:val="auto"/>
          <w:sz w:val="32"/>
          <w:szCs w:val="32"/>
          <w:highlight w:val="none"/>
        </w:rPr>
      </w:pPr>
      <w:r>
        <w:rPr>
          <w:rFonts w:ascii="仿宋_GB2312" w:eastAsia="仿宋_GB2312"/>
          <w:b/>
          <w:sz w:val="32"/>
          <w:szCs w:val="32"/>
        </w:rPr>
        <w:t>2.</w:t>
      </w:r>
      <w:r>
        <w:rPr>
          <w:rFonts w:hint="default" w:ascii="Times New Roman" w:hAnsi="Times New Roman" w:eastAsia="仿宋_GB2312" w:cs="Times New Roman"/>
          <w:b w:val="0"/>
          <w:bCs w:val="0"/>
          <w:i w:val="0"/>
          <w:iCs w:val="0"/>
          <w:color w:val="auto"/>
          <w:sz w:val="32"/>
          <w:szCs w:val="32"/>
          <w:highlight w:val="none"/>
        </w:rPr>
        <w:t>公务用车购置及运行维护费支出</w:t>
      </w:r>
      <w:r>
        <w:rPr>
          <w:rFonts w:hint="eastAsia" w:ascii="Times New Roman" w:hAnsi="Times New Roman" w:eastAsia="仿宋_GB2312"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w:t>
      </w:r>
      <w:r>
        <w:rPr>
          <w:rStyle w:val="22"/>
          <w:rFonts w:hint="default" w:ascii="Times New Roman" w:hAnsi="Times New Roman" w:eastAsia="仿宋_GB2312" w:cs="Times New Roman"/>
          <w:b w:val="0"/>
          <w:bCs w:val="0"/>
          <w:i w:val="0"/>
          <w:iCs w:val="0"/>
          <w:color w:val="auto"/>
          <w:sz w:val="32"/>
          <w:szCs w:val="32"/>
          <w:highlight w:val="none"/>
        </w:rPr>
        <w:t>完成预算</w:t>
      </w:r>
      <w:r>
        <w:rPr>
          <w:rStyle w:val="22"/>
          <w:rFonts w:hint="eastAsia" w:ascii="Times New Roman" w:hAnsi="Times New Roman" w:eastAsia="仿宋_GB2312" w:cs="Times New Roman"/>
          <w:b w:val="0"/>
          <w:bCs w:val="0"/>
          <w:i w:val="0"/>
          <w:iCs w:val="0"/>
          <w:color w:val="auto"/>
          <w:sz w:val="32"/>
          <w:szCs w:val="32"/>
          <w:highlight w:val="none"/>
          <w:lang w:val="en-US" w:eastAsia="zh-CN"/>
        </w:rPr>
        <w:t>100</w:t>
      </w:r>
      <w:r>
        <w:rPr>
          <w:rStyle w:val="22"/>
          <w:rFonts w:hint="default" w:ascii="Times New Roman" w:hAnsi="Times New Roman" w:eastAsia="仿宋_GB2312" w:cs="Times New Roman"/>
          <w:b w:val="0"/>
          <w:bCs w:val="0"/>
          <w:i w:val="0"/>
          <w:iCs w:val="0"/>
          <w:color w:val="auto"/>
          <w:sz w:val="32"/>
          <w:szCs w:val="32"/>
          <w:highlight w:val="none"/>
        </w:rPr>
        <w:t>%。</w:t>
      </w:r>
      <w:r>
        <w:rPr>
          <w:rFonts w:hint="default" w:ascii="Times New Roman" w:hAnsi="Times New Roman" w:eastAsia="仿宋_GB2312" w:cs="Times New Roman"/>
          <w:b w:val="0"/>
          <w:bCs w:val="0"/>
          <w:i w:val="0"/>
          <w:iCs w:val="0"/>
          <w:color w:val="auto"/>
          <w:sz w:val="32"/>
          <w:szCs w:val="32"/>
          <w:highlight w:val="none"/>
        </w:rPr>
        <w:t>公务用车购置及运行维护费支出决算与2022年持平。</w:t>
      </w:r>
    </w:p>
    <w:p w14:paraId="0288B1E7">
      <w:pPr>
        <w:spacing w:line="560" w:lineRule="exact"/>
        <w:ind w:firstLine="640" w:firstLineChars="200"/>
        <w:rPr>
          <w:rFonts w:ascii="仿宋_GB2312" w:eastAsia="仿宋_GB2312"/>
          <w:b/>
          <w:sz w:val="32"/>
          <w:szCs w:val="32"/>
        </w:rPr>
      </w:pPr>
      <w:r>
        <w:rPr>
          <w:rFonts w:hint="default" w:ascii="Times New Roman" w:hAnsi="Times New Roman" w:eastAsia="仿宋_GB2312" w:cs="Times New Roman"/>
          <w:b w:val="0"/>
          <w:bCs w:val="0"/>
          <w:i w:val="0"/>
          <w:iCs w:val="0"/>
          <w:color w:val="auto"/>
          <w:sz w:val="32"/>
          <w:szCs w:val="32"/>
          <w:highlight w:val="none"/>
        </w:rPr>
        <w:t>其中：公务用车购置支出</w:t>
      </w:r>
      <w:r>
        <w:rPr>
          <w:rFonts w:hint="eastAsia" w:ascii="Times New Roman" w:hAnsi="Times New Roman" w:eastAsia="仿宋_GB2312"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万元。全年按规定更新购置公务用车</w:t>
      </w:r>
      <w:r>
        <w:rPr>
          <w:rFonts w:hint="eastAsia" w:ascii="Times New Roman" w:hAnsi="Times New Roman" w:eastAsia="仿宋_GB2312"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辆，其中：轿车</w:t>
      </w:r>
      <w:r>
        <w:rPr>
          <w:rFonts w:hint="eastAsia" w:ascii="Times New Roman" w:hAnsi="Times New Roman" w:eastAsia="仿宋_GB2312"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辆、金额</w:t>
      </w:r>
      <w:r>
        <w:rPr>
          <w:rFonts w:hint="eastAsia" w:ascii="Times New Roman" w:hAnsi="Times New Roman" w:eastAsia="仿宋_GB2312"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万元，越野车</w:t>
      </w:r>
      <w:r>
        <w:rPr>
          <w:rFonts w:hint="eastAsia" w:ascii="Times New Roman" w:hAnsi="Times New Roman" w:eastAsia="仿宋_GB2312"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辆、金额</w:t>
      </w:r>
      <w:r>
        <w:rPr>
          <w:rFonts w:hint="eastAsia" w:ascii="Times New Roman" w:hAnsi="Times New Roman" w:eastAsia="仿宋_GB2312"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万元，载客汽车</w:t>
      </w:r>
      <w:r>
        <w:rPr>
          <w:rFonts w:hint="eastAsia" w:ascii="Times New Roman" w:hAnsi="Times New Roman" w:eastAsia="仿宋_GB2312"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辆、金额</w:t>
      </w:r>
      <w:r>
        <w:rPr>
          <w:rFonts w:hint="eastAsia" w:ascii="Times New Roman" w:hAnsi="Times New Roman" w:eastAsia="仿宋_GB2312"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万元。截至</w:t>
      </w:r>
      <w:r>
        <w:rPr>
          <w:rFonts w:hint="default" w:ascii="Times New Roman" w:hAnsi="Times New Roman" w:eastAsia="仿宋_GB2312" w:cs="Times New Roman"/>
          <w:b w:val="0"/>
          <w:bCs w:val="0"/>
          <w:i w:val="0"/>
          <w:iCs w:val="0"/>
          <w:color w:val="auto"/>
          <w:sz w:val="32"/>
          <w:szCs w:val="32"/>
          <w:highlight w:val="none"/>
          <w:lang w:eastAsia="zh-CN"/>
        </w:rPr>
        <w:t>2023</w:t>
      </w:r>
      <w:r>
        <w:rPr>
          <w:rFonts w:hint="default" w:ascii="Times New Roman" w:hAnsi="Times New Roman" w:eastAsia="仿宋_GB2312" w:cs="Times New Roman"/>
          <w:b w:val="0"/>
          <w:bCs w:val="0"/>
          <w:i w:val="0"/>
          <w:iCs w:val="0"/>
          <w:color w:val="auto"/>
          <w:sz w:val="32"/>
          <w:szCs w:val="32"/>
          <w:highlight w:val="none"/>
        </w:rPr>
        <w:t>年12月</w:t>
      </w:r>
      <w:r>
        <w:rPr>
          <w:rFonts w:hint="default" w:ascii="Times New Roman" w:hAnsi="Times New Roman" w:eastAsia="仿宋_GB2312" w:cs="Times New Roman"/>
          <w:b w:val="0"/>
          <w:bCs w:val="0"/>
          <w:i w:val="0"/>
          <w:iCs w:val="0"/>
          <w:color w:val="auto"/>
          <w:sz w:val="32"/>
          <w:szCs w:val="32"/>
          <w:highlight w:val="none"/>
          <w:lang w:val="en-US" w:eastAsia="zh-CN"/>
        </w:rPr>
        <w:t>31日</w:t>
      </w:r>
      <w:r>
        <w:rPr>
          <w:rFonts w:hint="default" w:ascii="Times New Roman" w:hAnsi="Times New Roman" w:eastAsia="仿宋_GB2312" w:cs="Times New Roman"/>
          <w:b w:val="0"/>
          <w:bCs w:val="0"/>
          <w:i w:val="0"/>
          <w:iCs w:val="0"/>
          <w:color w:val="auto"/>
          <w:sz w:val="32"/>
          <w:szCs w:val="32"/>
          <w:highlight w:val="none"/>
        </w:rPr>
        <w:t>，单位共有公务用车</w:t>
      </w:r>
      <w:r>
        <w:rPr>
          <w:rFonts w:hint="eastAsia" w:ascii="Times New Roman" w:hAnsi="Times New Roman" w:eastAsia="仿宋_GB2312"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辆，其中：轿车</w:t>
      </w:r>
      <w:r>
        <w:rPr>
          <w:rFonts w:hint="eastAsia" w:ascii="Times New Roman" w:hAnsi="Times New Roman" w:eastAsia="仿宋_GB2312"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辆、越野车</w:t>
      </w:r>
      <w:r>
        <w:rPr>
          <w:rFonts w:hint="eastAsia" w:ascii="Times New Roman" w:hAnsi="Times New Roman" w:eastAsia="仿宋_GB2312"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辆、载客汽车</w:t>
      </w:r>
      <w:r>
        <w:rPr>
          <w:rFonts w:hint="eastAsia" w:ascii="Times New Roman" w:hAnsi="Times New Roman" w:eastAsia="仿宋_GB2312"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辆。</w:t>
      </w:r>
    </w:p>
    <w:p w14:paraId="620B75B3">
      <w:pPr>
        <w:spacing w:line="560" w:lineRule="exact"/>
        <w:ind w:firstLine="643" w:firstLineChars="20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0.1</w:t>
      </w:r>
      <w:r>
        <w:rPr>
          <w:rFonts w:hint="eastAsia" w:ascii="仿宋_GB2312" w:eastAsia="仿宋_GB2312"/>
          <w:sz w:val="32"/>
          <w:szCs w:val="32"/>
          <w:lang w:val="en-US" w:eastAsia="zh-CN"/>
        </w:rPr>
        <w:t>8</w:t>
      </w:r>
      <w:r>
        <w:rPr>
          <w:rFonts w:hint="eastAsia" w:ascii="仿宋_GB2312" w:eastAsia="仿宋_GB2312"/>
          <w:sz w:val="32"/>
          <w:szCs w:val="32"/>
        </w:rPr>
        <w:t>万元，</w:t>
      </w:r>
      <w:r>
        <w:rPr>
          <w:rStyle w:val="22"/>
          <w:rFonts w:hint="eastAsia" w:ascii="仿宋" w:hAnsi="仿宋" w:eastAsia="仿宋"/>
          <w:b w:val="0"/>
          <w:bCs/>
          <w:sz w:val="32"/>
          <w:szCs w:val="32"/>
        </w:rPr>
        <w:t>完成预算</w:t>
      </w:r>
      <w:r>
        <w:rPr>
          <w:rStyle w:val="21"/>
          <w:rFonts w:hint="eastAsia" w:ascii="仿宋_GB2312" w:hAnsi="Times New Roman" w:eastAsia="仿宋_GB2312"/>
          <w:b w:val="0"/>
          <w:bCs w:val="0"/>
          <w:sz w:val="32"/>
          <w:szCs w:val="32"/>
        </w:rPr>
        <w:t>100%</w:t>
      </w:r>
      <w:r>
        <w:rPr>
          <w:rStyle w:val="22"/>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年增加0.</w:t>
      </w:r>
      <w:r>
        <w:rPr>
          <w:rFonts w:hint="eastAsia" w:ascii="仿宋_GB2312" w:eastAsia="仿宋_GB2312"/>
          <w:sz w:val="32"/>
          <w:szCs w:val="32"/>
          <w:lang w:val="en-US" w:eastAsia="zh-CN"/>
        </w:rPr>
        <w:t>07</w:t>
      </w:r>
      <w:r>
        <w:rPr>
          <w:rFonts w:hint="eastAsia" w:ascii="仿宋_GB2312" w:eastAsia="仿宋_GB2312"/>
          <w:sz w:val="32"/>
          <w:szCs w:val="32"/>
        </w:rPr>
        <w:t>万元，增长</w:t>
      </w:r>
      <w:r>
        <w:rPr>
          <w:rFonts w:hint="eastAsia" w:ascii="仿宋_GB2312" w:eastAsia="仿宋_GB2312"/>
          <w:sz w:val="32"/>
          <w:szCs w:val="32"/>
          <w:lang w:val="en-US" w:eastAsia="zh-CN"/>
        </w:rPr>
        <w:t>63.63</w:t>
      </w:r>
      <w:r>
        <w:rPr>
          <w:rFonts w:ascii="仿宋_GB2312" w:eastAsia="仿宋_GB2312"/>
          <w:sz w:val="32"/>
          <w:szCs w:val="32"/>
        </w:rPr>
        <w:t>%</w:t>
      </w:r>
      <w:r>
        <w:rPr>
          <w:rFonts w:hint="eastAsia" w:ascii="仿宋_GB2312" w:eastAsia="仿宋_GB2312"/>
          <w:sz w:val="32"/>
          <w:szCs w:val="32"/>
        </w:rPr>
        <w:t>。</w:t>
      </w:r>
      <w:bookmarkStart w:id="46" w:name="OLE_LINK7"/>
      <w:r>
        <w:rPr>
          <w:rFonts w:hint="eastAsia" w:ascii="仿宋_GB2312" w:eastAsia="仿宋_GB2312"/>
          <w:sz w:val="32"/>
          <w:szCs w:val="32"/>
          <w:lang w:val="en-US" w:eastAsia="zh-CN"/>
        </w:rPr>
        <w:t>主要原因是</w:t>
      </w:r>
      <w:r>
        <w:rPr>
          <w:rFonts w:hint="eastAsia" w:ascii="仿宋" w:hAnsi="仿宋" w:eastAsia="仿宋"/>
          <w:sz w:val="32"/>
          <w:szCs w:val="32"/>
        </w:rPr>
        <w:t>本单位属于2022年新纳入预算管理单位</w:t>
      </w:r>
      <w:bookmarkEnd w:id="46"/>
      <w:r>
        <w:rPr>
          <w:rFonts w:hint="eastAsia" w:ascii="仿宋" w:hAnsi="仿宋" w:eastAsia="仿宋"/>
          <w:sz w:val="32"/>
          <w:szCs w:val="32"/>
        </w:rPr>
        <w:t>。</w:t>
      </w:r>
      <w:r>
        <w:rPr>
          <w:rFonts w:hint="eastAsia" w:ascii="仿宋_GB2312" w:eastAsia="仿宋_GB2312"/>
          <w:sz w:val="32"/>
          <w:szCs w:val="32"/>
        </w:rPr>
        <w:t>其中：</w:t>
      </w:r>
    </w:p>
    <w:p w14:paraId="32719E5C">
      <w:pPr>
        <w:spacing w:line="560" w:lineRule="exact"/>
        <w:ind w:firstLine="643" w:firstLineChars="200"/>
        <w:rPr>
          <w:rFonts w:hint="eastAsia"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rPr>
        <w:t>0.1</w:t>
      </w:r>
      <w:r>
        <w:rPr>
          <w:rFonts w:hint="eastAsia" w:ascii="仿宋" w:hAnsi="仿宋" w:eastAsia="仿宋"/>
          <w:sz w:val="32"/>
          <w:szCs w:val="32"/>
          <w:lang w:val="en-US" w:eastAsia="zh-CN"/>
        </w:rPr>
        <w:t>8</w:t>
      </w:r>
      <w:r>
        <w:rPr>
          <w:rFonts w:hint="eastAsia" w:ascii="仿宋_GB2312" w:eastAsia="仿宋_GB2312"/>
          <w:sz w:val="32"/>
          <w:szCs w:val="32"/>
        </w:rPr>
        <w:t>万元，主要用于执行公务</w:t>
      </w:r>
      <w:r>
        <w:rPr>
          <w:rFonts w:hint="eastAsia" w:ascii="仿宋_GB2312" w:eastAsia="仿宋_GB2312"/>
          <w:sz w:val="32"/>
          <w:szCs w:val="32"/>
          <w:lang w:eastAsia="zh-CN"/>
        </w:rPr>
        <w:t>、</w:t>
      </w:r>
      <w:r>
        <w:rPr>
          <w:rFonts w:hint="default" w:ascii="Times New Roman" w:hAnsi="Times New Roman" w:eastAsia="仿宋_GB2312" w:cs="Times New Roman"/>
          <w:b w:val="0"/>
          <w:bCs w:val="0"/>
          <w:i w:val="0"/>
          <w:iCs w:val="0"/>
          <w:color w:val="auto"/>
          <w:sz w:val="32"/>
          <w:szCs w:val="32"/>
          <w:highlight w:val="none"/>
        </w:rPr>
        <w:t>开展业务活动开支的用餐费</w:t>
      </w:r>
      <w:r>
        <w:rPr>
          <w:rFonts w:hint="eastAsia" w:ascii="仿宋_GB2312" w:eastAsia="仿宋_GB2312"/>
          <w:sz w:val="32"/>
          <w:szCs w:val="32"/>
        </w:rPr>
        <w:t>。国内公务接待</w:t>
      </w:r>
      <w:r>
        <w:rPr>
          <w:rFonts w:hint="eastAsia" w:ascii="仿宋_GB2312" w:eastAsia="仿宋_GB2312"/>
          <w:sz w:val="32"/>
          <w:szCs w:val="32"/>
          <w:lang w:val="en-US" w:eastAsia="zh-CN"/>
        </w:rPr>
        <w:t>3</w:t>
      </w:r>
      <w:r>
        <w:rPr>
          <w:rFonts w:hint="eastAsia" w:ascii="仿宋_GB2312" w:eastAsia="仿宋_GB2312"/>
          <w:sz w:val="32"/>
          <w:szCs w:val="32"/>
        </w:rPr>
        <w:t>批次，</w:t>
      </w:r>
      <w:r>
        <w:rPr>
          <w:rFonts w:hint="eastAsia" w:ascii="仿宋_GB2312" w:eastAsia="仿宋_GB2312"/>
          <w:sz w:val="32"/>
          <w:szCs w:val="32"/>
          <w:lang w:val="en-US" w:eastAsia="zh-CN"/>
        </w:rPr>
        <w:t>13</w:t>
      </w:r>
      <w:r>
        <w:rPr>
          <w:rFonts w:hint="eastAsia" w:ascii="仿宋_GB2312" w:eastAsia="仿宋_GB2312"/>
          <w:sz w:val="32"/>
          <w:szCs w:val="32"/>
        </w:rPr>
        <w:t>人次，共计支出</w:t>
      </w:r>
      <w:r>
        <w:rPr>
          <w:rFonts w:hint="eastAsia" w:ascii="仿宋_GB2312" w:eastAsia="仿宋_GB2312"/>
          <w:sz w:val="32"/>
          <w:szCs w:val="32"/>
          <w:lang w:val="en-US" w:eastAsia="zh-CN"/>
        </w:rPr>
        <w:t>0.18</w:t>
      </w:r>
      <w:r>
        <w:rPr>
          <w:rFonts w:hint="eastAsia" w:ascii="仿宋_GB2312" w:eastAsia="仿宋_GB2312"/>
          <w:sz w:val="32"/>
          <w:szCs w:val="32"/>
        </w:rPr>
        <w:t>万元，具体内容包括：</w:t>
      </w:r>
      <w:r>
        <w:rPr>
          <w:rFonts w:hint="eastAsia" w:ascii="仿宋_GB2312" w:eastAsia="仿宋_GB2312"/>
          <w:sz w:val="32"/>
          <w:szCs w:val="32"/>
          <w:lang w:val="en-US" w:eastAsia="zh-CN"/>
        </w:rPr>
        <w:t>调研基层组织建设</w:t>
      </w:r>
      <w:r>
        <w:rPr>
          <w:rFonts w:hint="eastAsia" w:ascii="仿宋_GB2312" w:eastAsia="仿宋_GB2312"/>
          <w:sz w:val="32"/>
          <w:szCs w:val="32"/>
        </w:rPr>
        <w:t>活动</w:t>
      </w:r>
      <w:r>
        <w:rPr>
          <w:rFonts w:hint="eastAsia" w:ascii="仿宋_GB2312" w:eastAsia="仿宋_GB2312"/>
          <w:sz w:val="32"/>
          <w:szCs w:val="32"/>
          <w:lang w:val="en-US" w:eastAsia="zh-CN"/>
        </w:rPr>
        <w:t>0.13</w:t>
      </w:r>
      <w:r>
        <w:rPr>
          <w:rFonts w:hint="eastAsia" w:ascii="仿宋_GB2312" w:eastAsia="仿宋_GB2312"/>
          <w:sz w:val="32"/>
          <w:szCs w:val="32"/>
        </w:rPr>
        <w:t>万元，共计</w:t>
      </w:r>
      <w:r>
        <w:rPr>
          <w:rFonts w:hint="eastAsia" w:ascii="仿宋_GB2312" w:eastAsia="仿宋_GB2312"/>
          <w:sz w:val="32"/>
          <w:szCs w:val="32"/>
          <w:lang w:val="en-US" w:eastAsia="zh-CN"/>
        </w:rPr>
        <w:t>8</w:t>
      </w:r>
      <w:r>
        <w:rPr>
          <w:rFonts w:hint="eastAsia" w:ascii="仿宋_GB2312" w:eastAsia="仿宋_GB2312"/>
          <w:sz w:val="32"/>
          <w:szCs w:val="32"/>
        </w:rPr>
        <w:t>人次</w:t>
      </w:r>
      <w:r>
        <w:rPr>
          <w:rFonts w:hint="eastAsia" w:ascii="仿宋_GB2312" w:eastAsia="仿宋_GB2312"/>
          <w:sz w:val="32"/>
          <w:szCs w:val="32"/>
          <w:lang w:eastAsia="zh-CN"/>
        </w:rPr>
        <w:t>；</w:t>
      </w:r>
      <w:r>
        <w:rPr>
          <w:rFonts w:hint="eastAsia" w:ascii="仿宋_GB2312" w:eastAsia="仿宋_GB2312"/>
          <w:sz w:val="32"/>
          <w:szCs w:val="32"/>
          <w:lang w:val="en-US" w:eastAsia="zh-CN"/>
        </w:rPr>
        <w:t>慰问活动0.5万元，5人次</w:t>
      </w:r>
      <w:r>
        <w:rPr>
          <w:rFonts w:hint="eastAsia" w:ascii="仿宋_GB2312" w:eastAsia="仿宋_GB2312"/>
          <w:sz w:val="32"/>
          <w:szCs w:val="32"/>
        </w:rPr>
        <w:t>。</w:t>
      </w:r>
    </w:p>
    <w:p w14:paraId="450F5C7C">
      <w:pPr>
        <w:spacing w:line="560" w:lineRule="exact"/>
        <w:ind w:firstLine="640" w:firstLineChars="200"/>
        <w:rPr>
          <w:rFonts w:ascii="仿宋_GB2312" w:eastAsia="仿宋_GB2312"/>
          <w:sz w:val="32"/>
          <w:szCs w:val="32"/>
        </w:rPr>
      </w:pPr>
      <w:r>
        <w:rPr>
          <w:rFonts w:hint="default" w:ascii="Times New Roman" w:hAnsi="Times New Roman" w:eastAsia="仿宋_GB2312" w:cs="Times New Roman"/>
          <w:b w:val="0"/>
          <w:bCs w:val="0"/>
          <w:i w:val="0"/>
          <w:iCs w:val="0"/>
          <w:color w:val="auto"/>
          <w:sz w:val="32"/>
          <w:szCs w:val="32"/>
          <w:highlight w:val="none"/>
        </w:rPr>
        <w:t>外事接待支出</w:t>
      </w:r>
      <w:r>
        <w:rPr>
          <w:rFonts w:hint="eastAsia" w:ascii="Times New Roman" w:hAnsi="Times New Roman" w:eastAsia="仿宋_GB2312"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w:t>
      </w:r>
      <w:r>
        <w:rPr>
          <w:rFonts w:hint="default" w:ascii="Times New Roman" w:hAnsi="Times New Roman" w:eastAsia="仿宋_GB2312" w:cs="Times New Roman"/>
          <w:b w:val="0"/>
          <w:bCs w:val="0"/>
          <w:i w:val="0"/>
          <w:iCs w:val="0"/>
          <w:color w:val="auto"/>
          <w:sz w:val="32"/>
          <w:szCs w:val="32"/>
          <w:highlight w:val="none"/>
          <w:lang w:eastAsia="zh-CN"/>
        </w:rPr>
        <w:t>。</w:t>
      </w:r>
      <w:r>
        <w:rPr>
          <w:rFonts w:hint="default" w:ascii="Times New Roman" w:hAnsi="Times New Roman" w:eastAsia="仿宋_GB2312" w:cs="Times New Roman"/>
          <w:b w:val="0"/>
          <w:bCs w:val="0"/>
          <w:i w:val="0"/>
          <w:iCs w:val="0"/>
          <w:color w:val="auto"/>
          <w:sz w:val="32"/>
          <w:szCs w:val="32"/>
          <w:highlight w:val="none"/>
        </w:rPr>
        <w:t>外事接待</w:t>
      </w:r>
      <w:r>
        <w:rPr>
          <w:rFonts w:hint="eastAsia" w:ascii="Times New Roman" w:hAnsi="Times New Roman" w:eastAsia="仿宋_GB2312"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批次，</w:t>
      </w:r>
      <w:r>
        <w:rPr>
          <w:rFonts w:hint="eastAsia" w:ascii="Times New Roman" w:hAnsi="Times New Roman" w:eastAsia="仿宋_GB2312"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人</w:t>
      </w:r>
      <w:r>
        <w:rPr>
          <w:rFonts w:hint="default" w:ascii="Times New Roman" w:hAnsi="Times New Roman" w:eastAsia="仿宋_GB2312" w:cs="Times New Roman"/>
          <w:b w:val="0"/>
          <w:bCs w:val="0"/>
          <w:i w:val="0"/>
          <w:iCs w:val="0"/>
          <w:color w:val="auto"/>
          <w:sz w:val="32"/>
          <w:szCs w:val="32"/>
          <w:highlight w:val="none"/>
          <w:lang w:eastAsia="zh-CN"/>
        </w:rPr>
        <w:t>次</w:t>
      </w:r>
      <w:r>
        <w:rPr>
          <w:rFonts w:hint="default" w:ascii="Times New Roman" w:hAnsi="Times New Roman" w:eastAsia="仿宋_GB2312" w:cs="Times New Roman"/>
          <w:b w:val="0"/>
          <w:bCs w:val="0"/>
          <w:i w:val="0"/>
          <w:iCs w:val="0"/>
          <w:color w:val="auto"/>
          <w:sz w:val="32"/>
          <w:szCs w:val="32"/>
          <w:highlight w:val="none"/>
        </w:rPr>
        <w:t>，共计支出</w:t>
      </w:r>
      <w:r>
        <w:rPr>
          <w:rFonts w:hint="eastAsia" w:ascii="Times New Roman" w:hAnsi="Times New Roman" w:eastAsia="仿宋_GB2312"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w:t>
      </w:r>
    </w:p>
    <w:p w14:paraId="2EA6087C">
      <w:pPr>
        <w:spacing w:line="560" w:lineRule="exact"/>
        <w:ind w:firstLine="640" w:firstLineChars="200"/>
        <w:outlineLvl w:val="1"/>
        <w:rPr>
          <w:rStyle w:val="34"/>
          <w:rFonts w:ascii="黑体" w:hAnsi="黑体" w:eastAsia="黑体"/>
        </w:rPr>
      </w:pPr>
      <w:bookmarkStart w:id="47" w:name="_Toc15396610"/>
      <w:bookmarkStart w:id="48" w:name="_Toc15377218"/>
      <w:r>
        <w:rPr>
          <w:rFonts w:hint="eastAsia" w:ascii="黑体" w:eastAsia="黑体"/>
          <w:sz w:val="32"/>
          <w:szCs w:val="32"/>
        </w:rPr>
        <w:t>八、</w:t>
      </w:r>
      <w:r>
        <w:rPr>
          <w:rStyle w:val="34"/>
          <w:rFonts w:hint="eastAsia" w:ascii="黑体" w:hAnsi="黑体" w:eastAsia="黑体"/>
          <w:b w:val="0"/>
        </w:rPr>
        <w:t>政府性基金预算支出决算情况说明</w:t>
      </w:r>
      <w:bookmarkEnd w:id="47"/>
      <w:bookmarkEnd w:id="48"/>
    </w:p>
    <w:p w14:paraId="3A10A2FA">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年政府性基金预算财政拨款支出0万元。</w:t>
      </w:r>
    </w:p>
    <w:p w14:paraId="1136AC72">
      <w:pPr>
        <w:numPr>
          <w:ilvl w:val="0"/>
          <w:numId w:val="6"/>
        </w:numPr>
        <w:spacing w:line="560" w:lineRule="exact"/>
        <w:ind w:firstLine="640" w:firstLineChars="200"/>
        <w:outlineLvl w:val="1"/>
        <w:rPr>
          <w:rStyle w:val="34"/>
          <w:rFonts w:ascii="黑体" w:hAnsi="黑体" w:eastAsia="黑体"/>
          <w:b w:val="0"/>
        </w:rPr>
      </w:pPr>
      <w:bookmarkStart w:id="49" w:name="_Toc15396611"/>
      <w:bookmarkStart w:id="50" w:name="_Toc15377219"/>
      <w:r>
        <w:rPr>
          <w:rStyle w:val="34"/>
          <w:rFonts w:hint="eastAsia" w:ascii="黑体" w:hAnsi="黑体" w:eastAsia="黑体"/>
          <w:b w:val="0"/>
        </w:rPr>
        <w:t>国有资本经营预算支出决算情况说明</w:t>
      </w:r>
      <w:bookmarkEnd w:id="49"/>
      <w:bookmarkEnd w:id="50"/>
    </w:p>
    <w:p w14:paraId="04BDFE54">
      <w:pPr>
        <w:spacing w:line="560" w:lineRule="exact"/>
        <w:ind w:firstLine="640" w:firstLineChars="20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22年国有资本经营预算财政拨款支出0万元。</w:t>
      </w:r>
    </w:p>
    <w:p w14:paraId="24F82C0C">
      <w:pPr>
        <w:numPr>
          <w:ilvl w:val="0"/>
          <w:numId w:val="6"/>
        </w:numPr>
        <w:spacing w:line="560" w:lineRule="exact"/>
        <w:ind w:firstLine="640" w:firstLineChars="200"/>
        <w:outlineLvl w:val="1"/>
        <w:rPr>
          <w:rStyle w:val="34"/>
          <w:rFonts w:ascii="黑体" w:hAnsi="黑体" w:eastAsia="黑体"/>
          <w:b w:val="0"/>
        </w:rPr>
      </w:pPr>
      <w:bookmarkStart w:id="51" w:name="_Toc15377221"/>
      <w:bookmarkStart w:id="52" w:name="_Toc15396612"/>
      <w:r>
        <w:rPr>
          <w:rStyle w:val="34"/>
          <w:rFonts w:hint="eastAsia" w:ascii="黑体" w:hAnsi="黑体" w:eastAsia="黑体"/>
          <w:b w:val="0"/>
        </w:rPr>
        <w:t>其他重要事项的情况说明</w:t>
      </w:r>
      <w:bookmarkEnd w:id="51"/>
      <w:bookmarkEnd w:id="52"/>
    </w:p>
    <w:p w14:paraId="2EA371B5">
      <w:pPr>
        <w:spacing w:line="560" w:lineRule="exact"/>
        <w:ind w:firstLine="643" w:firstLineChars="200"/>
        <w:outlineLvl w:val="2"/>
        <w:rPr>
          <w:rFonts w:ascii="仿宋" w:hAnsi="仿宋" w:eastAsia="仿宋"/>
          <w:sz w:val="32"/>
          <w:szCs w:val="32"/>
        </w:rPr>
      </w:pPr>
      <w:bookmarkStart w:id="53" w:name="_Toc15377222"/>
      <w:r>
        <w:rPr>
          <w:rFonts w:hint="eastAsia" w:ascii="仿宋" w:hAnsi="仿宋" w:eastAsia="仿宋"/>
          <w:b/>
          <w:sz w:val="32"/>
          <w:szCs w:val="32"/>
        </w:rPr>
        <w:t>（一）机关运行经费支出情况</w:t>
      </w:r>
      <w:bookmarkEnd w:id="53"/>
    </w:p>
    <w:p w14:paraId="231DCB1A">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年，本单位运行经费支出</w:t>
      </w:r>
      <w:r>
        <w:rPr>
          <w:rFonts w:hint="eastAsia" w:ascii="仿宋_GB2312" w:eastAsia="仿宋_GB2312"/>
          <w:sz w:val="32"/>
          <w:szCs w:val="32"/>
          <w:lang w:val="en-US" w:eastAsia="zh-CN"/>
        </w:rPr>
        <w:t>7.11</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val="en-US" w:eastAsia="zh-CN"/>
        </w:rPr>
        <w:t>减少10.62</w:t>
      </w:r>
      <w:r>
        <w:rPr>
          <w:rFonts w:hint="eastAsia" w:ascii="仿宋_GB2312" w:eastAsia="仿宋_GB2312"/>
          <w:sz w:val="32"/>
          <w:szCs w:val="32"/>
        </w:rPr>
        <w:t>万元，</w:t>
      </w:r>
      <w:r>
        <w:rPr>
          <w:rFonts w:hint="eastAsia" w:ascii="仿宋_GB2312" w:eastAsia="仿宋_GB2312"/>
          <w:sz w:val="32"/>
          <w:szCs w:val="32"/>
          <w:lang w:val="en-US" w:eastAsia="zh-CN"/>
        </w:rPr>
        <w:t>下降59.9</w:t>
      </w:r>
      <w:r>
        <w:rPr>
          <w:rFonts w:ascii="仿宋_GB2312" w:eastAsia="仿宋_GB2312"/>
          <w:sz w:val="32"/>
          <w:szCs w:val="32"/>
        </w:rPr>
        <w:t>%</w:t>
      </w:r>
      <w:r>
        <w:rPr>
          <w:rFonts w:hint="eastAsia" w:ascii="仿宋_GB2312" w:eastAsia="仿宋_GB2312"/>
          <w:sz w:val="32"/>
          <w:szCs w:val="32"/>
        </w:rPr>
        <w:t>，</w:t>
      </w:r>
      <w:r>
        <w:rPr>
          <w:rFonts w:hint="eastAsia" w:ascii="仿宋" w:hAnsi="仿宋" w:eastAsia="仿宋"/>
          <w:sz w:val="32"/>
          <w:szCs w:val="32"/>
        </w:rPr>
        <w:t>本单位属于2022年新纳入预算管理单位</w:t>
      </w:r>
      <w:r>
        <w:rPr>
          <w:rFonts w:hint="eastAsia" w:ascii="仿宋" w:hAnsi="仿宋" w:eastAsia="仿宋"/>
          <w:sz w:val="32"/>
          <w:szCs w:val="32"/>
          <w:lang w:eastAsia="zh-CN"/>
        </w:rPr>
        <w:t>，</w:t>
      </w:r>
      <w:r>
        <w:rPr>
          <w:rFonts w:hint="eastAsia" w:ascii="仿宋" w:hAnsi="仿宋" w:eastAsia="仿宋"/>
          <w:sz w:val="32"/>
          <w:szCs w:val="32"/>
          <w:lang w:val="en-US" w:eastAsia="zh-CN"/>
        </w:rPr>
        <w:t>年度经费发生变化</w:t>
      </w:r>
      <w:r>
        <w:rPr>
          <w:rFonts w:hint="eastAsia" w:ascii="仿宋" w:hAnsi="仿宋" w:eastAsia="仿宋"/>
          <w:sz w:val="32"/>
          <w:szCs w:val="32"/>
        </w:rPr>
        <w:t>。</w:t>
      </w:r>
    </w:p>
    <w:p w14:paraId="4F6BE5C5">
      <w:pPr>
        <w:autoSpaceDE w:val="0"/>
        <w:autoSpaceDN w:val="0"/>
        <w:adjustRightInd w:val="0"/>
        <w:spacing w:line="560" w:lineRule="exact"/>
        <w:ind w:firstLine="643" w:firstLineChars="200"/>
        <w:jc w:val="left"/>
        <w:outlineLvl w:val="2"/>
        <w:rPr>
          <w:rFonts w:ascii="仿宋" w:hAnsi="仿宋" w:eastAsia="仿宋"/>
          <w:b/>
          <w:sz w:val="32"/>
          <w:szCs w:val="32"/>
        </w:rPr>
      </w:pPr>
      <w:bookmarkStart w:id="54" w:name="_Toc15377223"/>
      <w:r>
        <w:rPr>
          <w:rFonts w:hint="eastAsia" w:ascii="仿宋" w:hAnsi="仿宋" w:eastAsia="仿宋"/>
          <w:b/>
          <w:sz w:val="32"/>
          <w:szCs w:val="32"/>
        </w:rPr>
        <w:t>（二）政府采购支出情况</w:t>
      </w:r>
      <w:bookmarkEnd w:id="54"/>
    </w:p>
    <w:p w14:paraId="1A1E8419">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年，本单位政府采购支出总额0万元，其中：政府采购货物支出0万元、政府采购工程支出0万元、政府采购服务支出0万元。授予中小企业合同金额0万元，占政府采购支出总额的0</w:t>
      </w:r>
      <w:r>
        <w:rPr>
          <w:rFonts w:ascii="仿宋_GB2312" w:eastAsia="仿宋_GB2312"/>
          <w:sz w:val="32"/>
          <w:szCs w:val="32"/>
        </w:rPr>
        <w:t>%</w:t>
      </w:r>
      <w:r>
        <w:rPr>
          <w:rFonts w:hint="eastAsia" w:ascii="仿宋_GB2312" w:eastAsia="仿宋_GB2312"/>
          <w:sz w:val="32"/>
          <w:szCs w:val="32"/>
        </w:rPr>
        <w:t>，其中：授予小微企业合同金额0万元，占政府采购支出总额的0</w:t>
      </w:r>
      <w:r>
        <w:rPr>
          <w:rFonts w:ascii="仿宋_GB2312" w:eastAsia="仿宋_GB2312"/>
          <w:sz w:val="32"/>
          <w:szCs w:val="32"/>
        </w:rPr>
        <w:t>%</w:t>
      </w:r>
      <w:r>
        <w:rPr>
          <w:rFonts w:hint="eastAsia" w:ascii="仿宋_GB2312" w:eastAsia="仿宋_GB2312"/>
          <w:sz w:val="32"/>
          <w:szCs w:val="32"/>
        </w:rPr>
        <w:t>。</w:t>
      </w:r>
    </w:p>
    <w:p w14:paraId="2D4E0A82">
      <w:pPr>
        <w:autoSpaceDE w:val="0"/>
        <w:autoSpaceDN w:val="0"/>
        <w:adjustRightInd w:val="0"/>
        <w:spacing w:line="560" w:lineRule="exact"/>
        <w:ind w:firstLine="643" w:firstLineChars="200"/>
        <w:jc w:val="left"/>
        <w:outlineLvl w:val="2"/>
        <w:rPr>
          <w:rFonts w:ascii="仿宋" w:hAnsi="仿宋" w:eastAsia="仿宋"/>
          <w:b/>
          <w:sz w:val="32"/>
          <w:szCs w:val="32"/>
        </w:rPr>
      </w:pPr>
      <w:bookmarkStart w:id="55" w:name="_Toc15377224"/>
      <w:r>
        <w:rPr>
          <w:rFonts w:hint="eastAsia" w:ascii="仿宋" w:hAnsi="仿宋" w:eastAsia="仿宋"/>
          <w:b/>
          <w:sz w:val="32"/>
          <w:szCs w:val="32"/>
        </w:rPr>
        <w:t>（三）国有资产占有使用情况</w:t>
      </w:r>
      <w:bookmarkEnd w:id="55"/>
    </w:p>
    <w:p w14:paraId="1173B4F5">
      <w:pPr>
        <w:autoSpaceDE w:val="0"/>
        <w:autoSpaceDN w:val="0"/>
        <w:adjustRightInd w:val="0"/>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截至</w:t>
      </w:r>
      <w:r>
        <w:rPr>
          <w:rFonts w:ascii="仿宋_GB2312" w:eastAsia="仿宋_GB2312"/>
          <w:sz w:val="32"/>
          <w:szCs w:val="32"/>
          <w:highlight w:val="none"/>
        </w:rPr>
        <w:t>20</w:t>
      </w:r>
      <w:r>
        <w:rPr>
          <w:rFonts w:hint="eastAsia" w:ascii="仿宋_GB2312" w:eastAsia="仿宋_GB2312"/>
          <w:sz w:val="32"/>
          <w:szCs w:val="32"/>
          <w:highlight w:val="none"/>
        </w:rPr>
        <w:t>2</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年</w:t>
      </w:r>
      <w:r>
        <w:rPr>
          <w:rFonts w:ascii="仿宋_GB2312" w:eastAsia="仿宋_GB2312"/>
          <w:sz w:val="32"/>
          <w:szCs w:val="32"/>
          <w:highlight w:val="none"/>
        </w:rPr>
        <w:t>12</w:t>
      </w:r>
      <w:r>
        <w:rPr>
          <w:rFonts w:hint="eastAsia" w:ascii="仿宋_GB2312" w:eastAsia="仿宋_GB2312"/>
          <w:sz w:val="32"/>
          <w:szCs w:val="32"/>
          <w:highlight w:val="none"/>
        </w:rPr>
        <w:t>月</w:t>
      </w:r>
      <w:r>
        <w:rPr>
          <w:rFonts w:ascii="仿宋_GB2312" w:eastAsia="仿宋_GB2312"/>
          <w:sz w:val="32"/>
          <w:szCs w:val="32"/>
          <w:highlight w:val="none"/>
        </w:rPr>
        <w:t>31</w:t>
      </w:r>
      <w:r>
        <w:rPr>
          <w:rFonts w:hint="eastAsia" w:ascii="仿宋_GB2312" w:eastAsia="仿宋_GB2312"/>
          <w:sz w:val="32"/>
          <w:szCs w:val="32"/>
          <w:highlight w:val="none"/>
        </w:rPr>
        <w:t>日，本单位共有车辆0辆。其中：主要领导干部用车</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辆、机要通信用车</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辆、应急保障用车</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辆、其他用车</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辆。单价100万元以上设备</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台。</w:t>
      </w:r>
    </w:p>
    <w:p w14:paraId="2C483D7B">
      <w:pPr>
        <w:autoSpaceDE w:val="0"/>
        <w:autoSpaceDN w:val="0"/>
        <w:adjustRightInd w:val="0"/>
        <w:spacing w:line="56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03C2B5AA">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年度预算编制阶段，组织对</w:t>
      </w:r>
      <w:bookmarkStart w:id="56" w:name="OLE_LINK8"/>
      <w:r>
        <w:rPr>
          <w:rFonts w:hint="default" w:ascii="仿宋_GB2312" w:hAnsi="仿宋_GB2312" w:eastAsia="仿宋_GB2312" w:cs="仿宋_GB2312"/>
          <w:sz w:val="32"/>
          <w:szCs w:val="32"/>
          <w:lang w:val="en-US" w:eastAsia="zh-CN"/>
        </w:rPr>
        <w:t>志愿服务、基层组织建设、应急救护培训、备灾救灾、“三救三献”宣传发动</w:t>
      </w:r>
      <w:bookmarkEnd w:id="56"/>
      <w:r>
        <w:rPr>
          <w:rFonts w:hint="eastAsia" w:ascii="仿宋_GB2312" w:hAnsi="仿宋_GB2312" w:eastAsia="仿宋_GB2312" w:cs="仿宋_GB2312"/>
          <w:sz w:val="32"/>
          <w:szCs w:val="32"/>
          <w:lang w:val="en-US" w:eastAsia="zh-CN"/>
        </w:rPr>
        <w:t>项目和人道救助项目</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个项目开展绩效监控。</w:t>
      </w:r>
    </w:p>
    <w:p w14:paraId="79FEE234">
      <w:pPr>
        <w:pStyle w:val="19"/>
        <w:widowControl/>
        <w:shd w:val="clear" w:color="auto"/>
        <w:spacing w:beforeAutospacing="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rPr>
        <w:t>组织对202</w:t>
      </w:r>
      <w:r>
        <w:rPr>
          <w:rFonts w:hint="eastAsia" w:ascii="仿宋_GB2312" w:hAnsi="仿宋_GB2312" w:eastAsia="仿宋_GB2312" w:cs="仿宋_GB2312"/>
          <w:kern w:val="2"/>
          <w:sz w:val="32"/>
          <w:szCs w:val="32"/>
          <w:lang w:val="en-US" w:eastAsia="zh-CN"/>
        </w:rPr>
        <w:t>3</w:t>
      </w:r>
      <w:r>
        <w:rPr>
          <w:rFonts w:hint="eastAsia" w:ascii="仿宋_GB2312" w:hAnsi="仿宋_GB2312" w:eastAsia="仿宋_GB2312" w:cs="仿宋_GB2312"/>
          <w:kern w:val="2"/>
          <w:sz w:val="32"/>
          <w:szCs w:val="32"/>
        </w:rPr>
        <w:t>年度</w:t>
      </w:r>
      <w:r>
        <w:rPr>
          <w:rFonts w:hint="eastAsia" w:ascii="仿宋_GB2312" w:hAnsi="仿宋_GB2312" w:eastAsia="仿宋_GB2312" w:cs="仿宋_GB2312"/>
          <w:kern w:val="2"/>
          <w:sz w:val="32"/>
          <w:szCs w:val="32"/>
          <w:lang w:val="en-US" w:eastAsia="zh-CN"/>
        </w:rPr>
        <w:t>对</w:t>
      </w:r>
      <w:r>
        <w:rPr>
          <w:rFonts w:hint="default" w:ascii="仿宋_GB2312" w:hAnsi="仿宋_GB2312" w:eastAsia="仿宋_GB2312" w:cs="仿宋_GB2312"/>
          <w:sz w:val="32"/>
          <w:szCs w:val="32"/>
          <w:lang w:val="en-US" w:eastAsia="zh-CN"/>
        </w:rPr>
        <w:t>志愿服务、基层组织建设、应急救护培训、备灾救灾、“三救三献”宣传发动</w:t>
      </w:r>
      <w:r>
        <w:rPr>
          <w:rFonts w:hint="eastAsia" w:ascii="仿宋_GB2312" w:hAnsi="仿宋_GB2312" w:eastAsia="仿宋_GB2312" w:cs="仿宋_GB2312"/>
          <w:sz w:val="32"/>
          <w:szCs w:val="32"/>
          <w:lang w:val="en-US" w:eastAsia="zh-CN"/>
        </w:rPr>
        <w:t>项目和人道救助项目等2个项目</w:t>
      </w:r>
      <w:r>
        <w:rPr>
          <w:rFonts w:hint="eastAsia" w:ascii="仿宋_GB2312" w:hAnsi="仿宋_GB2312" w:eastAsia="仿宋_GB2312" w:cs="仿宋_GB2312"/>
          <w:kern w:val="2"/>
          <w:sz w:val="32"/>
          <w:szCs w:val="32"/>
        </w:rPr>
        <w:t>全面开展绩效自评，形成区红十字会部门整体（含部门预算项目）绩效自评报告，</w:t>
      </w:r>
      <w:r>
        <w:rPr>
          <w:rFonts w:hint="eastAsia" w:ascii="仿宋_GB2312" w:hAnsi="仿宋_GB2312" w:eastAsia="仿宋_GB2312" w:cs="仿宋_GB2312"/>
          <w:kern w:val="2"/>
          <w:sz w:val="32"/>
          <w:szCs w:val="32"/>
          <w:lang w:val="en-US" w:eastAsia="zh-CN"/>
        </w:rPr>
        <w:t>其中，</w:t>
      </w:r>
      <w:r>
        <w:rPr>
          <w:rFonts w:hint="eastAsia" w:ascii="仿宋_GB2312" w:hAnsi="仿宋_GB2312" w:eastAsia="仿宋_GB2312" w:cs="仿宋_GB2312"/>
          <w:kern w:val="2"/>
          <w:sz w:val="32"/>
          <w:szCs w:val="32"/>
        </w:rPr>
        <w:t>区红十字会部门整体（含部门预算项目）绩效自评得分为</w:t>
      </w:r>
      <w:r>
        <w:rPr>
          <w:rFonts w:hint="eastAsia" w:ascii="仿宋_GB2312" w:hAnsi="仿宋_GB2312" w:eastAsia="仿宋_GB2312" w:cs="仿宋_GB2312"/>
          <w:kern w:val="2"/>
          <w:sz w:val="32"/>
          <w:szCs w:val="32"/>
          <w:lang w:val="en-US" w:eastAsia="zh-CN"/>
        </w:rPr>
        <w:t>90</w:t>
      </w:r>
      <w:r>
        <w:rPr>
          <w:rFonts w:hint="eastAsia" w:ascii="仿宋_GB2312" w:hAnsi="仿宋_GB2312" w:eastAsia="仿宋_GB2312" w:cs="仿宋_GB2312"/>
          <w:kern w:val="2"/>
          <w:sz w:val="32"/>
          <w:szCs w:val="32"/>
        </w:rPr>
        <w:t>分，</w:t>
      </w:r>
      <w:r>
        <w:rPr>
          <w:rFonts w:hint="eastAsia" w:ascii="仿宋_GB2312" w:hAnsi="仿宋_GB2312" w:eastAsia="仿宋_GB2312" w:cs="仿宋_GB2312"/>
          <w:kern w:val="2"/>
          <w:sz w:val="32"/>
          <w:szCs w:val="32"/>
          <w:lang w:val="en-US" w:eastAsia="zh-CN"/>
        </w:rPr>
        <w:t>绩效自评综述：</w:t>
      </w:r>
      <w:r>
        <w:rPr>
          <w:rFonts w:hint="eastAsia" w:ascii="仿宋_GB2312" w:hAnsi="仿宋_GB2312" w:eastAsia="仿宋_GB2312" w:cs="仿宋_GB2312"/>
          <w:kern w:val="2"/>
          <w:sz w:val="32"/>
          <w:szCs w:val="32"/>
        </w:rPr>
        <w:t>从评价情况来看本部门预算报送及时合规、财政绩效评价工作按时保质推进，基本支出、项目决策、项目管理方面等方面更加规范有序，财政资金管理严格，程序合法，效果显著，节能降耗效果较明显，内控制度按要求进行了修订完善，较好地完成了各项目标任务</w:t>
      </w:r>
      <w:r>
        <w:rPr>
          <w:rFonts w:hint="eastAsia" w:ascii="仿宋_GB2312" w:hAnsi="仿宋_GB2312" w:eastAsia="仿宋_GB2312" w:cs="仿宋_GB2312"/>
          <w:kern w:val="2"/>
          <w:sz w:val="32"/>
          <w:szCs w:val="32"/>
          <w:lang w:eastAsia="zh-CN"/>
        </w:rPr>
        <w:t>；</w:t>
      </w:r>
      <w:r>
        <w:rPr>
          <w:rFonts w:hint="eastAsia" w:ascii="Times New Roman" w:hAnsi="Times New Roman" w:eastAsia="仿宋_GB2312" w:cs="Times New Roman"/>
          <w:b w:val="0"/>
          <w:bCs w:val="0"/>
          <w:i w:val="0"/>
          <w:iCs w:val="0"/>
          <w:color w:val="auto"/>
          <w:sz w:val="32"/>
          <w:szCs w:val="32"/>
          <w:highlight w:val="none"/>
          <w:lang w:val="en-US" w:eastAsia="zh-CN"/>
        </w:rPr>
        <w:t>人道救助</w:t>
      </w:r>
      <w:r>
        <w:rPr>
          <w:rFonts w:hint="default" w:ascii="Times New Roman" w:hAnsi="Times New Roman" w:eastAsia="仿宋_GB2312" w:cs="Times New Roman"/>
          <w:b w:val="0"/>
          <w:bCs w:val="0"/>
          <w:i w:val="0"/>
          <w:iCs w:val="0"/>
          <w:color w:val="auto"/>
          <w:sz w:val="32"/>
          <w:szCs w:val="32"/>
          <w:highlight w:val="none"/>
          <w:lang w:eastAsia="zh-CN"/>
        </w:rPr>
        <w:t>专项预</w:t>
      </w:r>
      <w:r>
        <w:rPr>
          <w:rFonts w:hint="default" w:ascii="Times New Roman" w:hAnsi="Times New Roman" w:eastAsia="仿宋_GB2312" w:cs="Times New Roman"/>
          <w:b w:val="0"/>
          <w:bCs w:val="0"/>
          <w:i w:val="0"/>
          <w:iCs w:val="0"/>
          <w:color w:val="auto"/>
          <w:sz w:val="32"/>
          <w:szCs w:val="32"/>
          <w:highlight w:val="none"/>
          <w:lang w:val="en-US" w:eastAsia="zh-CN"/>
        </w:rPr>
        <w:t>算项目绩效自评得分为</w:t>
      </w:r>
      <w:r>
        <w:rPr>
          <w:rFonts w:hint="eastAsia" w:ascii="Times New Roman" w:hAnsi="Times New Roman" w:eastAsia="仿宋_GB2312" w:cs="Times New Roman"/>
          <w:b w:val="0"/>
          <w:bCs w:val="0"/>
          <w:i w:val="0"/>
          <w:iCs w:val="0"/>
          <w:color w:val="auto"/>
          <w:sz w:val="32"/>
          <w:szCs w:val="32"/>
          <w:highlight w:val="none"/>
          <w:lang w:val="en-US" w:eastAsia="zh-CN"/>
        </w:rPr>
        <w:t>87</w:t>
      </w:r>
      <w:r>
        <w:rPr>
          <w:rFonts w:hint="default" w:ascii="Times New Roman" w:hAnsi="Times New Roman" w:eastAsia="仿宋_GB2312" w:cs="Times New Roman"/>
          <w:b w:val="0"/>
          <w:bCs w:val="0"/>
          <w:i w:val="0"/>
          <w:iCs w:val="0"/>
          <w:color w:val="auto"/>
          <w:sz w:val="32"/>
          <w:szCs w:val="32"/>
          <w:highlight w:val="none"/>
          <w:lang w:val="en-US" w:eastAsia="zh-CN"/>
        </w:rPr>
        <w:t>分，绩效自评综述：</w:t>
      </w:r>
      <w:r>
        <w:rPr>
          <w:rFonts w:hint="default" w:eastAsia="仿宋_GB2312"/>
          <w:color w:val="auto"/>
          <w:sz w:val="32"/>
          <w:szCs w:val="32"/>
          <w:highlight w:val="none"/>
        </w:rPr>
        <w:t>有效实施了针对重大疾病及特困群体的救助工作，显著提升了受助者的生活质量和医疗条件，社会反响积极</w:t>
      </w:r>
      <w:r>
        <w:rPr>
          <w:rFonts w:hint="eastAsia" w:ascii="Times New Roman" w:hAnsi="Times New Roman" w:eastAsia="仿宋_GB2312" w:cs="Times New Roman"/>
          <w:color w:val="auto"/>
          <w:sz w:val="32"/>
          <w:szCs w:val="32"/>
          <w:highlight w:val="none"/>
          <w:lang w:eastAsia="zh-CN"/>
        </w:rPr>
        <w:t>；</w:t>
      </w:r>
      <w:r>
        <w:rPr>
          <w:rFonts w:hint="default" w:ascii="仿宋_GB2312" w:hAnsi="仿宋_GB2312" w:eastAsia="仿宋_GB2312" w:cs="仿宋_GB2312"/>
          <w:sz w:val="32"/>
          <w:szCs w:val="32"/>
          <w:lang w:val="en-US" w:eastAsia="zh-CN"/>
        </w:rPr>
        <w:t>志愿服务、基层组织建设、应急救护培训、备灾救灾、“三救三献”宣传发动</w:t>
      </w:r>
      <w:r>
        <w:rPr>
          <w:rFonts w:hint="default" w:ascii="Times New Roman" w:hAnsi="Times New Roman" w:eastAsia="仿宋_GB2312" w:cs="Times New Roman"/>
          <w:b w:val="0"/>
          <w:bCs w:val="0"/>
          <w:i w:val="0"/>
          <w:iCs w:val="0"/>
          <w:color w:val="auto"/>
          <w:sz w:val="32"/>
          <w:szCs w:val="32"/>
          <w:highlight w:val="none"/>
          <w:lang w:eastAsia="zh-CN"/>
        </w:rPr>
        <w:t>专项预</w:t>
      </w:r>
      <w:r>
        <w:rPr>
          <w:rFonts w:hint="default" w:ascii="Times New Roman" w:hAnsi="Times New Roman" w:eastAsia="仿宋_GB2312" w:cs="Times New Roman"/>
          <w:b w:val="0"/>
          <w:bCs w:val="0"/>
          <w:i w:val="0"/>
          <w:iCs w:val="0"/>
          <w:color w:val="auto"/>
          <w:sz w:val="32"/>
          <w:szCs w:val="32"/>
          <w:highlight w:val="none"/>
          <w:lang w:val="en-US" w:eastAsia="zh-CN"/>
        </w:rPr>
        <w:t>算项目绩效自评得分为</w:t>
      </w:r>
      <w:r>
        <w:rPr>
          <w:rFonts w:hint="eastAsia" w:ascii="Times New Roman" w:hAnsi="Times New Roman" w:eastAsia="仿宋_GB2312" w:cs="Times New Roman"/>
          <w:b w:val="0"/>
          <w:bCs w:val="0"/>
          <w:i w:val="0"/>
          <w:iCs w:val="0"/>
          <w:color w:val="auto"/>
          <w:sz w:val="32"/>
          <w:szCs w:val="32"/>
          <w:highlight w:val="none"/>
          <w:lang w:val="en-US" w:eastAsia="zh-CN"/>
        </w:rPr>
        <w:t>87</w:t>
      </w:r>
      <w:r>
        <w:rPr>
          <w:rFonts w:hint="default" w:ascii="Times New Roman" w:hAnsi="Times New Roman" w:eastAsia="仿宋_GB2312" w:cs="Times New Roman"/>
          <w:b w:val="0"/>
          <w:bCs w:val="0"/>
          <w:i w:val="0"/>
          <w:iCs w:val="0"/>
          <w:color w:val="auto"/>
          <w:sz w:val="32"/>
          <w:szCs w:val="32"/>
          <w:highlight w:val="none"/>
          <w:lang w:val="en-US" w:eastAsia="zh-CN"/>
        </w:rPr>
        <w:t>分，绩效自评综述：</w:t>
      </w:r>
      <w:r>
        <w:rPr>
          <w:rFonts w:hint="default" w:eastAsia="仿宋_GB2312"/>
          <w:color w:val="auto"/>
          <w:sz w:val="32"/>
          <w:szCs w:val="32"/>
          <w:highlight w:val="none"/>
        </w:rPr>
        <w:t>表明项目实施效果显著，成功达成了既定目标，特别是在基层红十字组织建设、应急救护培训方面取得了重要成果。</w:t>
      </w:r>
    </w:p>
    <w:p w14:paraId="10BC731F">
      <w:pPr>
        <w:pStyle w:val="19"/>
        <w:widowControl/>
        <w:shd w:val="clear" w:color="auto"/>
        <w:spacing w:beforeAutospacing="0" w:afterAutospacing="0" w:line="560" w:lineRule="exact"/>
        <w:ind w:firstLine="640" w:firstLineChars="200"/>
        <w:jc w:val="both"/>
        <w:rPr>
          <w:rFonts w:hint="eastAsia" w:ascii="仿宋_GB2312" w:hAnsi="仿宋_GB2312" w:eastAsia="仿宋_GB2312" w:cs="仿宋_GB2312"/>
          <w:sz w:val="32"/>
          <w:szCs w:val="32"/>
        </w:rPr>
      </w:pPr>
    </w:p>
    <w:p w14:paraId="1D0C1278">
      <w:pPr>
        <w:pStyle w:val="19"/>
        <w:widowControl/>
        <w:shd w:val="clear" w:color="auto"/>
        <w:spacing w:beforeAutospacing="0" w:afterAutospacing="0" w:line="594" w:lineRule="atLeast"/>
        <w:ind w:firstLine="0"/>
        <w:jc w:val="both"/>
        <w:rPr>
          <w:rFonts w:hint="eastAsia" w:ascii="仿宋_GB2312" w:hAnsi="仿宋_GB2312" w:eastAsia="仿宋_GB2312" w:cs="仿宋_GB2312"/>
          <w:sz w:val="32"/>
          <w:szCs w:val="32"/>
        </w:rPr>
      </w:pPr>
    </w:p>
    <w:p w14:paraId="4A61CEA6">
      <w:pPr>
        <w:pStyle w:val="19"/>
        <w:widowControl/>
        <w:shd w:val="clear" w:color="auto"/>
        <w:spacing w:beforeAutospacing="0" w:afterAutospacing="0" w:line="594" w:lineRule="atLeast"/>
        <w:jc w:val="both"/>
        <w:rPr>
          <w:rFonts w:ascii="仿宋_GB2312" w:eastAsia="仿宋_GB2312"/>
          <w:b/>
          <w:sz w:val="32"/>
          <w:szCs w:val="32"/>
        </w:rPr>
      </w:pPr>
    </w:p>
    <w:p w14:paraId="6640F910">
      <w:pPr>
        <w:numPr>
          <w:ilvl w:val="0"/>
          <w:numId w:val="7"/>
        </w:numPr>
        <w:shd w:val="clear"/>
        <w:spacing w:line="600" w:lineRule="exact"/>
        <w:ind w:firstLine="660" w:firstLineChars="150"/>
        <w:jc w:val="center"/>
        <w:outlineLvl w:val="0"/>
        <w:rPr>
          <w:rStyle w:val="33"/>
          <w:rFonts w:ascii="黑体" w:hAnsi="黑体" w:eastAsia="黑体"/>
          <w:b w:val="0"/>
        </w:rPr>
      </w:pPr>
      <w:bookmarkStart w:id="57" w:name="_Toc15377225"/>
      <w:bookmarkStart w:id="58" w:name="_Toc15396613"/>
      <w:r>
        <w:rPr>
          <w:rFonts w:hint="eastAsia" w:ascii="黑体" w:hAnsi="黑体" w:eastAsia="黑体"/>
          <w:sz w:val="44"/>
          <w:szCs w:val="44"/>
        </w:rPr>
        <w:t>名</w:t>
      </w:r>
      <w:r>
        <w:rPr>
          <w:rStyle w:val="33"/>
          <w:rFonts w:hint="eastAsia" w:ascii="黑体" w:hAnsi="黑体" w:eastAsia="黑体"/>
          <w:b w:val="0"/>
        </w:rPr>
        <w:t>词解释</w:t>
      </w:r>
      <w:bookmarkEnd w:id="57"/>
      <w:bookmarkEnd w:id="58"/>
    </w:p>
    <w:p w14:paraId="18E32917">
      <w:pPr>
        <w:shd w:val="clear"/>
        <w:spacing w:line="600" w:lineRule="exact"/>
        <w:jc w:val="left"/>
        <w:rPr>
          <w:rFonts w:ascii="宋体"/>
          <w:b/>
          <w:sz w:val="44"/>
          <w:szCs w:val="44"/>
        </w:rPr>
      </w:pPr>
    </w:p>
    <w:p w14:paraId="2A3F0F17">
      <w:pPr>
        <w:pStyle w:val="31"/>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281524E5">
      <w:pPr>
        <w:pStyle w:val="31"/>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14:paraId="3321C920">
      <w:pPr>
        <w:pStyle w:val="31"/>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14:paraId="696E720A">
      <w:pPr>
        <w:pStyle w:val="31"/>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r>
        <w:rPr>
          <w:rFonts w:ascii="仿宋_GB2312" w:eastAsia="仿宋_GB2312"/>
          <w:color w:val="auto"/>
          <w:sz w:val="32"/>
          <w:szCs w:val="32"/>
        </w:rPr>
        <w:t xml:space="preserve"> </w:t>
      </w:r>
    </w:p>
    <w:p w14:paraId="46B51088">
      <w:pPr>
        <w:pStyle w:val="31"/>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14:paraId="0433B6E5">
      <w:pPr>
        <w:pStyle w:val="31"/>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2FBCA84B">
      <w:pPr>
        <w:pStyle w:val="31"/>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14:paraId="1DF7BEA8">
      <w:pPr>
        <w:pStyle w:val="31"/>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14:paraId="183724E2">
      <w:pPr>
        <w:ind w:firstLine="640" w:firstLineChars="200"/>
        <w:rPr>
          <w:rFonts w:ascii="仿宋_GB2312" w:eastAsia="仿宋_GB2312"/>
          <w:sz w:val="32"/>
          <w:szCs w:val="32"/>
        </w:rPr>
      </w:pPr>
      <w:r>
        <w:rPr>
          <w:rFonts w:ascii="仿宋_GB2312" w:eastAsia="仿宋_GB2312"/>
          <w:sz w:val="32"/>
          <w:szCs w:val="32"/>
        </w:rPr>
        <w:t>9.</w:t>
      </w:r>
      <w:r>
        <w:rPr>
          <w:rFonts w:hint="eastAsia" w:ascii="仿宋_GB2312" w:eastAsia="仿宋_GB2312"/>
          <w:sz w:val="32"/>
          <w:szCs w:val="32"/>
        </w:rPr>
        <w:t>一般公共服务（类）群众团体事务（款）事业运行（项）：指反映各级人民团体、社会团体、群众团体事业单位的基本支出。</w:t>
      </w:r>
    </w:p>
    <w:p w14:paraId="395695CD">
      <w:pPr>
        <w:pStyle w:val="9"/>
        <w:numPr>
          <w:ilvl w:val="0"/>
          <w:numId w:val="0"/>
        </w:numPr>
        <w:ind w:firstLine="640" w:firstLineChars="200"/>
        <w:rPr>
          <w:rFonts w:ascii="仿宋_GB2312" w:eastAsia="仿宋_GB2312"/>
          <w:sz w:val="32"/>
          <w:szCs w:val="32"/>
        </w:rPr>
      </w:pPr>
      <w:r>
        <w:rPr>
          <w:rFonts w:hint="eastAsia" w:ascii="仿宋_GB2312" w:eastAsia="仿宋_GB2312"/>
          <w:sz w:val="32"/>
          <w:szCs w:val="32"/>
        </w:rPr>
        <w:t>10</w:t>
      </w:r>
      <w:r>
        <w:rPr>
          <w:rFonts w:ascii="仿宋_GB2312" w:eastAsia="仿宋_GB2312"/>
          <w:sz w:val="32"/>
          <w:szCs w:val="32"/>
        </w:rPr>
        <w:t>.</w:t>
      </w:r>
      <w:r>
        <w:rPr>
          <w:rFonts w:hint="eastAsia" w:ascii="仿宋_GB2312" w:eastAsia="仿宋_GB2312"/>
          <w:sz w:val="32"/>
          <w:szCs w:val="32"/>
        </w:rPr>
        <w:t>一般公共服务（类）群众团体事务（款）其他群众团体事务支出（项）：指反映各级人民团体、社会团体、群众团体事业单位的除上述以外其他群众团体事务方面的支出。</w:t>
      </w:r>
    </w:p>
    <w:p w14:paraId="652575B0">
      <w:pPr>
        <w:spacing w:line="560" w:lineRule="exact"/>
        <w:ind w:firstLine="645"/>
        <w:rPr>
          <w:rFonts w:ascii="仿宋" w:hAnsi="仿宋" w:eastAsia="仿宋" w:cs="仿宋"/>
          <w:color w:val="000000"/>
          <w:kern w:val="0"/>
          <w:sz w:val="32"/>
          <w:szCs w:val="32"/>
        </w:rPr>
      </w:pPr>
      <w:r>
        <w:rPr>
          <w:rFonts w:hint="eastAsia" w:ascii="仿宋" w:hAnsi="仿宋" w:eastAsia="仿宋" w:cs="仿宋"/>
          <w:color w:val="000000"/>
          <w:kern w:val="0"/>
          <w:sz w:val="32"/>
          <w:szCs w:val="32"/>
        </w:rPr>
        <w:t>11.社会保障和就业支出（类）行政事业单位离退休（款）机关事业单位基本养老保险缴费支出（项）：指反映机关事业单位实施养老保险制度由单位缴纳的基本养老保险费支出。</w:t>
      </w:r>
    </w:p>
    <w:p w14:paraId="266D54C6">
      <w:pPr>
        <w:spacing w:line="56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12.社会保障和就业支出（类）行政事业单位离退休（款）其他行政事业单位养老支出（项）：指反映除上述项目以外其他用于行政事业单位养老方面的支出。</w:t>
      </w:r>
    </w:p>
    <w:p w14:paraId="6D0AF130">
      <w:pPr>
        <w:spacing w:line="560" w:lineRule="exact"/>
        <w:ind w:firstLine="645"/>
        <w:rPr>
          <w:rFonts w:ascii="仿宋" w:hAnsi="仿宋" w:eastAsia="仿宋" w:cs="仿宋"/>
          <w:color w:val="000000"/>
          <w:kern w:val="0"/>
          <w:sz w:val="32"/>
          <w:szCs w:val="32"/>
        </w:rPr>
      </w:pPr>
      <w:r>
        <w:rPr>
          <w:rFonts w:hint="eastAsia" w:ascii="仿宋" w:hAnsi="仿宋" w:eastAsia="仿宋" w:cs="仿宋"/>
          <w:color w:val="000000"/>
          <w:kern w:val="0"/>
          <w:sz w:val="32"/>
          <w:szCs w:val="32"/>
        </w:rPr>
        <w:t>13.社会保障和就业支出（类）抚恤（款）死亡抚恤（项）：指反映按规定用于烈士和牺牲、病故人员家属的一次性和定期抚恤金、丧葬补助费一级烈士褒扬金。</w:t>
      </w:r>
    </w:p>
    <w:p w14:paraId="7CE7B5AF">
      <w:pPr>
        <w:pStyle w:val="12"/>
        <w:spacing w:before="93" w:line="560" w:lineRule="exact"/>
      </w:pPr>
      <w:r>
        <w:rPr>
          <w:rFonts w:hint="eastAsia"/>
        </w:rPr>
        <w:t xml:space="preserve">    </w:t>
      </w:r>
      <w:r>
        <w:rPr>
          <w:rFonts w:hint="eastAsia" w:ascii="仿宋" w:hAnsi="仿宋" w:eastAsia="仿宋" w:cs="仿宋"/>
          <w:color w:val="000000"/>
          <w:sz w:val="32"/>
          <w:szCs w:val="32"/>
        </w:rPr>
        <w:t>14.社会保障和就业支出（类）其他社会保障和就业支出（款）其他社会保障和就业支出（项）：指反映除上述项目以外其他用于社会保障和就业方面的支出。</w:t>
      </w:r>
    </w:p>
    <w:p w14:paraId="67BCAE63">
      <w:pPr>
        <w:spacing w:line="560" w:lineRule="exact"/>
        <w:ind w:firstLine="645"/>
        <w:rPr>
          <w:rFonts w:ascii="仿宋" w:hAnsi="仿宋" w:eastAsia="仿宋" w:cs="仿宋"/>
          <w:color w:val="000000"/>
          <w:kern w:val="0"/>
          <w:sz w:val="32"/>
          <w:szCs w:val="32"/>
        </w:rPr>
      </w:pPr>
      <w:r>
        <w:rPr>
          <w:rFonts w:hint="eastAsia" w:ascii="仿宋" w:hAnsi="仿宋" w:eastAsia="仿宋" w:cs="仿宋"/>
          <w:color w:val="000000"/>
          <w:kern w:val="0"/>
          <w:sz w:val="32"/>
          <w:szCs w:val="32"/>
        </w:rPr>
        <w:t>15.卫生健康支出（类）行政事业单位医疗（款）行政单位医疗（项）：指反映财政部门集中安排的行政单位基本医疗保险缴费经费，未参加医疗保险的行政单位的公费医疗经费，按国家规定享受离退休人员、红军老战士待遇人员的医疗经费。</w:t>
      </w:r>
    </w:p>
    <w:p w14:paraId="5227500E">
      <w:pPr>
        <w:spacing w:line="560" w:lineRule="exact"/>
        <w:ind w:firstLine="645"/>
        <w:rPr>
          <w:rFonts w:ascii="仿宋" w:hAnsi="仿宋" w:eastAsia="仿宋" w:cs="仿宋"/>
          <w:color w:val="000000"/>
          <w:kern w:val="0"/>
          <w:sz w:val="32"/>
          <w:szCs w:val="32"/>
        </w:rPr>
      </w:pPr>
      <w:r>
        <w:rPr>
          <w:rFonts w:hint="eastAsia" w:ascii="仿宋" w:hAnsi="仿宋" w:eastAsia="仿宋" w:cs="仿宋"/>
          <w:color w:val="000000"/>
          <w:kern w:val="0"/>
          <w:sz w:val="32"/>
          <w:szCs w:val="32"/>
        </w:rPr>
        <w:t>16.卫生健康支出（类）行政事业单位医疗（款）事业单位医疗（项）：指反映财政部门集中安排的事业单位基本医疗保险缴费经费，未参加医疗保险的事业单位的公费医疗经费，按国家规定享受离休人员待遇的医疗经费。</w:t>
      </w:r>
    </w:p>
    <w:p w14:paraId="14A851BF">
      <w:pPr>
        <w:spacing w:line="560" w:lineRule="exact"/>
        <w:ind w:firstLine="645"/>
        <w:rPr>
          <w:rFonts w:ascii="仿宋" w:hAnsi="仿宋" w:eastAsia="仿宋" w:cs="仿宋"/>
          <w:color w:val="000000"/>
          <w:kern w:val="0"/>
          <w:sz w:val="32"/>
          <w:szCs w:val="32"/>
        </w:rPr>
      </w:pPr>
      <w:r>
        <w:rPr>
          <w:rFonts w:hint="eastAsia" w:ascii="仿宋" w:hAnsi="仿宋" w:eastAsia="仿宋" w:cs="仿宋"/>
          <w:color w:val="000000"/>
          <w:kern w:val="0"/>
          <w:sz w:val="32"/>
          <w:szCs w:val="32"/>
        </w:rPr>
        <w:t>17.卫生健康支出（类）行政事业单位医疗（款）公务员医疗补助（项）：指反映财政部门集中安排的公务员医疗补助经费。</w:t>
      </w:r>
    </w:p>
    <w:p w14:paraId="56DFFEBA">
      <w:pPr>
        <w:spacing w:line="560" w:lineRule="exact"/>
        <w:ind w:firstLine="645"/>
        <w:rPr>
          <w:rFonts w:ascii="仿宋" w:hAnsi="仿宋" w:eastAsia="仿宋" w:cs="仿宋"/>
          <w:color w:val="000000"/>
          <w:kern w:val="0"/>
          <w:sz w:val="32"/>
          <w:szCs w:val="32"/>
        </w:rPr>
      </w:pPr>
      <w:r>
        <w:rPr>
          <w:rFonts w:hint="eastAsia" w:ascii="仿宋" w:hAnsi="仿宋" w:eastAsia="仿宋" w:cs="仿宋"/>
          <w:color w:val="000000"/>
          <w:kern w:val="0"/>
          <w:sz w:val="32"/>
          <w:szCs w:val="32"/>
        </w:rPr>
        <w:t>18.住房保障支出（类）住房改革支出（款）住房公积金（项）：指反映行政事业单位按人力资源和社会保障部、财政部规定的基本工资和津贴补贴以及规定比例为职工缴纳的住房公积金。</w:t>
      </w:r>
    </w:p>
    <w:p w14:paraId="63232E54">
      <w:pPr>
        <w:ind w:firstLine="640" w:firstLineChars="200"/>
        <w:rPr>
          <w:rFonts w:ascii="仿宋_GB2312" w:eastAsia="仿宋_GB2312"/>
          <w:sz w:val="32"/>
          <w:szCs w:val="32"/>
        </w:rPr>
      </w:pPr>
      <w:r>
        <w:rPr>
          <w:rFonts w:hint="eastAsia" w:ascii="仿宋_GB2312" w:eastAsia="仿宋_GB2312"/>
          <w:sz w:val="32"/>
          <w:szCs w:val="32"/>
        </w:rPr>
        <w:t>19</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14:paraId="1C40F3EF">
      <w:pPr>
        <w:ind w:firstLine="640" w:firstLineChars="200"/>
        <w:rPr>
          <w:rFonts w:ascii="仿宋_GB2312" w:eastAsia="仿宋_GB2312"/>
          <w:sz w:val="32"/>
          <w:szCs w:val="32"/>
        </w:rPr>
      </w:pPr>
      <w:r>
        <w:rPr>
          <w:rFonts w:hint="eastAsia" w:ascii="仿宋_GB2312" w:eastAsia="仿宋_GB2312"/>
          <w:sz w:val="32"/>
          <w:szCs w:val="32"/>
        </w:rPr>
        <w:t>20</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14:paraId="55E0E60C">
      <w:pPr>
        <w:ind w:firstLine="640" w:firstLineChars="200"/>
        <w:rPr>
          <w:rFonts w:ascii="仿宋_GB2312" w:eastAsia="仿宋_GB2312"/>
          <w:sz w:val="32"/>
          <w:szCs w:val="32"/>
        </w:rPr>
      </w:pPr>
      <w:r>
        <w:rPr>
          <w:rFonts w:hint="eastAsia" w:ascii="仿宋_GB2312" w:eastAsia="仿宋_GB2312"/>
          <w:sz w:val="32"/>
          <w:szCs w:val="32"/>
        </w:rPr>
        <w:t>21</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14:paraId="16ABB523">
      <w:pPr>
        <w:pStyle w:val="31"/>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22</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E60294C">
      <w:pPr>
        <w:pStyle w:val="31"/>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23</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5439AAB">
      <w:pPr>
        <w:spacing w:line="600" w:lineRule="exact"/>
        <w:jc w:val="center"/>
        <w:outlineLvl w:val="0"/>
        <w:rPr>
          <w:rStyle w:val="33"/>
          <w:rFonts w:ascii="黑体" w:hAnsi="黑体" w:eastAsia="黑体"/>
          <w:b w:val="0"/>
        </w:rPr>
      </w:pPr>
      <w:bookmarkStart w:id="59" w:name="_Toc15377226"/>
      <w:r>
        <w:rPr>
          <w:rFonts w:ascii="宋体"/>
          <w:b/>
          <w:sz w:val="44"/>
          <w:szCs w:val="44"/>
        </w:rPr>
        <w:br w:type="page"/>
      </w:r>
      <w:bookmarkStart w:id="60" w:name="_Toc15396614"/>
      <w:r>
        <w:rPr>
          <w:rFonts w:hint="eastAsia" w:ascii="黑体" w:hAnsi="黑体" w:eastAsia="黑体"/>
          <w:sz w:val="44"/>
          <w:szCs w:val="44"/>
        </w:rPr>
        <w:t>第</w:t>
      </w:r>
      <w:r>
        <w:rPr>
          <w:rStyle w:val="33"/>
          <w:rFonts w:hint="eastAsia" w:ascii="黑体" w:hAnsi="黑体" w:eastAsia="黑体"/>
          <w:b w:val="0"/>
        </w:rPr>
        <w:t>四部分 附件</w:t>
      </w:r>
      <w:bookmarkEnd w:id="60"/>
    </w:p>
    <w:p w14:paraId="4A1CEC08">
      <w:pPr>
        <w:spacing w:line="572" w:lineRule="exact"/>
        <w:jc w:val="left"/>
        <w:outlineLvl w:val="0"/>
        <w:rPr>
          <w:rFonts w:ascii="黑体" w:hAnsi="黑体" w:eastAsia="黑体" w:cs="黑体"/>
          <w:sz w:val="32"/>
          <w:szCs w:val="32"/>
        </w:rPr>
      </w:pPr>
      <w:r>
        <w:rPr>
          <w:rFonts w:hint="eastAsia" w:ascii="黑体" w:hAnsi="黑体" w:eastAsia="黑体" w:cs="黑体"/>
          <w:sz w:val="32"/>
          <w:szCs w:val="32"/>
        </w:rPr>
        <w:t>附件1</w:t>
      </w:r>
    </w:p>
    <w:p w14:paraId="2E143500">
      <w:pPr>
        <w:pStyle w:val="9"/>
        <w:numPr>
          <w:ilvl w:val="0"/>
          <w:numId w:val="0"/>
        </w:numPr>
        <w:spacing w:line="576" w:lineRule="exact"/>
        <w:ind w:firstLine="1760" w:firstLineChars="4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年部门整体绩效评价报告</w:t>
      </w:r>
    </w:p>
    <w:p w14:paraId="2C2E1C89">
      <w:pPr>
        <w:keepNext w:val="0"/>
        <w:keepLines w:val="0"/>
        <w:pageBreakBefore w:val="0"/>
        <w:widowControl/>
        <w:kinsoku/>
        <w:wordWrap/>
        <w:overflowPunct/>
        <w:topLinePunct w:val="0"/>
        <w:autoSpaceDE/>
        <w:autoSpaceDN/>
        <w:bidi w:val="0"/>
        <w:adjustRightInd w:val="0"/>
        <w:snapToGrid w:val="0"/>
        <w:spacing w:line="560" w:lineRule="exact"/>
        <w:ind w:left="0" w:firstLine="640" w:firstLineChars="200"/>
        <w:contextualSpacing/>
        <w:jc w:val="left"/>
        <w:textAlignment w:val="auto"/>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14:paraId="58319952">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楷体_GB2312" w:cs="Times New Roman"/>
          <w:b w:val="0"/>
          <w:bCs w:val="0"/>
          <w:i w:val="0"/>
          <w:iCs w:val="0"/>
          <w:color w:val="000000"/>
          <w:kern w:val="0"/>
          <w:sz w:val="32"/>
          <w:szCs w:val="32"/>
          <w:highlight w:val="none"/>
          <w:shd w:val="clear" w:color="auto" w:fill="FFFFFF"/>
          <w:lang w:val="zh-CN"/>
        </w:rPr>
      </w:pPr>
      <w:r>
        <w:rPr>
          <w:rFonts w:hint="eastAsia" w:ascii="Times New Roman" w:hAnsi="Times New Roman" w:eastAsia="楷体_GB2312" w:cs="Times New Roman"/>
          <w:b w:val="0"/>
          <w:bCs w:val="0"/>
          <w:i w:val="0"/>
          <w:iCs w:val="0"/>
          <w:color w:val="000000"/>
          <w:kern w:val="0"/>
          <w:sz w:val="32"/>
          <w:szCs w:val="32"/>
          <w:highlight w:val="none"/>
          <w:shd w:val="clear" w:color="auto" w:fill="FFFFFF"/>
          <w:lang w:val="zh-CN"/>
        </w:rPr>
        <w:t>（一）机构组成。</w:t>
      </w:r>
    </w:p>
    <w:p w14:paraId="6A30513C">
      <w:pPr>
        <w:keepNext w:val="0"/>
        <w:keepLines w:val="0"/>
        <w:pageBreakBefore w:val="0"/>
        <w:kinsoku/>
        <w:wordWrap/>
        <w:overflowPunct/>
        <w:topLinePunct w:val="0"/>
        <w:autoSpaceDE/>
        <w:autoSpaceDN/>
        <w:bidi w:val="0"/>
        <w:spacing w:line="560" w:lineRule="exact"/>
        <w:ind w:left="0" w:firstLine="604" w:firstLineChars="189"/>
        <w:textAlignment w:val="auto"/>
        <w:rPr>
          <w:rFonts w:hint="eastAsia" w:ascii="仿宋_GB2312" w:hAnsi="Times New Roman" w:eastAsia="仿宋_GB2312" w:cs="Times New Roman"/>
          <w:sz w:val="32"/>
          <w:lang w:val="zh-CN" w:eastAsia="zh-CN"/>
        </w:rPr>
      </w:pPr>
      <w:r>
        <w:rPr>
          <w:rFonts w:hint="eastAsia" w:ascii="仿宋_GB2312" w:hAnsi="Times New Roman" w:eastAsia="仿宋_GB2312" w:cs="Times New Roman"/>
          <w:sz w:val="32"/>
        </w:rPr>
        <w:t>遂宁市安居区红十字会为</w:t>
      </w:r>
      <w:r>
        <w:rPr>
          <w:rFonts w:hint="eastAsia" w:ascii="仿宋_GB2312" w:hAnsi="Times New Roman" w:eastAsia="仿宋_GB2312" w:cs="Times New Roman"/>
          <w:sz w:val="32"/>
          <w:lang w:val="en-US" w:eastAsia="zh-CN"/>
        </w:rPr>
        <w:t>一</w:t>
      </w:r>
      <w:r>
        <w:rPr>
          <w:rFonts w:hint="eastAsia" w:ascii="仿宋_GB2312" w:hAnsi="Times New Roman" w:eastAsia="仿宋_GB2312" w:cs="Times New Roman"/>
          <w:sz w:val="32"/>
        </w:rPr>
        <w:t>级预算单位</w:t>
      </w:r>
      <w:r>
        <w:rPr>
          <w:rFonts w:hint="eastAsia" w:ascii="仿宋_GB2312" w:hAnsi="Times New Roman" w:eastAsia="仿宋_GB2312" w:cs="Times New Roman"/>
          <w:sz w:val="32"/>
          <w:lang w:eastAsia="zh-CN"/>
        </w:rPr>
        <w:t>，设1个内设机构：办公室。</w:t>
      </w:r>
    </w:p>
    <w:p w14:paraId="46E132FA">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楷体_GB2312" w:cs="Times New Roman"/>
          <w:b w:val="0"/>
          <w:bCs w:val="0"/>
          <w:i w:val="0"/>
          <w:iCs w:val="0"/>
          <w:color w:val="000000"/>
          <w:kern w:val="0"/>
          <w:sz w:val="32"/>
          <w:szCs w:val="32"/>
          <w:highlight w:val="none"/>
          <w:shd w:val="clear" w:color="auto" w:fill="FFFFFF"/>
          <w:lang w:val="zh-CN"/>
        </w:rPr>
      </w:pPr>
      <w:r>
        <w:rPr>
          <w:rFonts w:hint="eastAsia" w:ascii="Times New Roman" w:hAnsi="Times New Roman" w:eastAsia="楷体_GB2312" w:cs="Times New Roman"/>
          <w:b w:val="0"/>
          <w:bCs w:val="0"/>
          <w:i w:val="0"/>
          <w:iCs w:val="0"/>
          <w:color w:val="000000"/>
          <w:kern w:val="0"/>
          <w:sz w:val="32"/>
          <w:szCs w:val="32"/>
          <w:highlight w:val="none"/>
          <w:shd w:val="clear" w:color="auto" w:fill="FFFFFF"/>
          <w:lang w:val="zh-CN"/>
        </w:rPr>
        <w:t>（</w:t>
      </w:r>
      <w:r>
        <w:rPr>
          <w:rFonts w:hint="eastAsia" w:ascii="Times New Roman" w:hAnsi="Times New Roman" w:eastAsia="楷体_GB2312" w:cs="Times New Roman"/>
          <w:b w:val="0"/>
          <w:bCs w:val="0"/>
          <w:i w:val="0"/>
          <w:iCs w:val="0"/>
          <w:color w:val="000000"/>
          <w:kern w:val="0"/>
          <w:sz w:val="32"/>
          <w:szCs w:val="32"/>
          <w:highlight w:val="none"/>
          <w:shd w:val="clear" w:color="auto" w:fill="FFFFFF"/>
          <w:lang w:val="en-US" w:eastAsia="zh-CN"/>
        </w:rPr>
        <w:t>二</w:t>
      </w:r>
      <w:r>
        <w:rPr>
          <w:rFonts w:hint="eastAsia" w:ascii="Times New Roman" w:hAnsi="Times New Roman" w:eastAsia="楷体_GB2312" w:cs="Times New Roman"/>
          <w:b w:val="0"/>
          <w:bCs w:val="0"/>
          <w:i w:val="0"/>
          <w:iCs w:val="0"/>
          <w:color w:val="000000"/>
          <w:kern w:val="0"/>
          <w:sz w:val="32"/>
          <w:szCs w:val="32"/>
          <w:highlight w:val="none"/>
          <w:shd w:val="clear" w:color="auto" w:fill="FFFFFF"/>
          <w:lang w:val="zh-CN"/>
        </w:rPr>
        <w:t>）机构职能。</w:t>
      </w:r>
    </w:p>
    <w:p w14:paraId="45BFEDB7">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1.开展救援、救灾的相关工作，建立红十字应急救援体系。在战争、武装冲突和自然灾害、事故灾难、公共卫生事件等突发事件中，对伤病人员和其他受害者提供紧急救援和人道救助；</w:t>
      </w:r>
    </w:p>
    <w:p w14:paraId="28E80571">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2.开展应急救护培训，普及应急救护、防灾避险和卫生健康知识，组织志愿者参与现场救护；</w:t>
      </w:r>
    </w:p>
    <w:p w14:paraId="5C7A1253">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3.参与、推动无偿献血、遗体和人体器官捐献工作，参与开展造血干细胞捐献的相关工作；</w:t>
      </w:r>
    </w:p>
    <w:p w14:paraId="2624C0FA">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4.组织开展红十字志愿服务、红十字青少年工作；</w:t>
      </w:r>
    </w:p>
    <w:p w14:paraId="51520CD5">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5.参加国际人道主义救援工作；</w:t>
      </w:r>
    </w:p>
    <w:p w14:paraId="23049365">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6.宣传国际红十字和红新月运动的基本原则和日内瓦公约及其附加议定书；</w:t>
      </w:r>
    </w:p>
    <w:p w14:paraId="1C66C8D3">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7.依照国际红十字和红新月运动的基本原则，完成人民政府委托事宜；</w:t>
      </w:r>
    </w:p>
    <w:p w14:paraId="19ECD0AF">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8.依照日内瓦公约及其附加议定书的有关规定开展工作；</w:t>
      </w:r>
    </w:p>
    <w:p w14:paraId="41172E92">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9.协助人民政府开展与其职责相关的其他人道主义服务活动。</w:t>
      </w:r>
    </w:p>
    <w:p w14:paraId="1244DB7F">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楷体_GB2312" w:cs="Times New Roman"/>
          <w:b w:val="0"/>
          <w:bCs w:val="0"/>
          <w:i w:val="0"/>
          <w:iCs w:val="0"/>
          <w:color w:val="000000"/>
          <w:kern w:val="0"/>
          <w:sz w:val="32"/>
          <w:szCs w:val="32"/>
          <w:highlight w:val="none"/>
          <w:shd w:val="clear" w:color="auto" w:fill="FFFFFF"/>
          <w:lang w:val="zh-CN"/>
        </w:rPr>
      </w:pPr>
      <w:r>
        <w:rPr>
          <w:rFonts w:hint="eastAsia" w:ascii="Times New Roman" w:hAnsi="Times New Roman" w:eastAsia="楷体_GB2312" w:cs="Times New Roman"/>
          <w:b w:val="0"/>
          <w:bCs w:val="0"/>
          <w:i w:val="0"/>
          <w:iCs w:val="0"/>
          <w:color w:val="000000"/>
          <w:kern w:val="0"/>
          <w:sz w:val="32"/>
          <w:szCs w:val="32"/>
          <w:highlight w:val="none"/>
          <w:shd w:val="clear" w:color="auto" w:fill="FFFFFF"/>
          <w:lang w:val="zh-CN"/>
        </w:rPr>
        <w:t>（</w:t>
      </w:r>
      <w:r>
        <w:rPr>
          <w:rFonts w:hint="eastAsia" w:ascii="Times New Roman" w:hAnsi="Times New Roman" w:eastAsia="楷体_GB2312" w:cs="Times New Roman"/>
          <w:b w:val="0"/>
          <w:bCs w:val="0"/>
          <w:i w:val="0"/>
          <w:iCs w:val="0"/>
          <w:color w:val="000000"/>
          <w:kern w:val="0"/>
          <w:sz w:val="32"/>
          <w:szCs w:val="32"/>
          <w:highlight w:val="none"/>
          <w:shd w:val="clear" w:color="auto" w:fill="FFFFFF"/>
          <w:lang w:val="en-US" w:eastAsia="zh-CN"/>
        </w:rPr>
        <w:t>三</w:t>
      </w:r>
      <w:r>
        <w:rPr>
          <w:rFonts w:hint="eastAsia" w:ascii="Times New Roman" w:hAnsi="Times New Roman" w:eastAsia="楷体_GB2312" w:cs="Times New Roman"/>
          <w:b w:val="0"/>
          <w:bCs w:val="0"/>
          <w:i w:val="0"/>
          <w:iCs w:val="0"/>
          <w:color w:val="000000"/>
          <w:kern w:val="0"/>
          <w:sz w:val="32"/>
          <w:szCs w:val="32"/>
          <w:highlight w:val="none"/>
          <w:shd w:val="clear" w:color="auto" w:fill="FFFFFF"/>
          <w:lang w:val="zh-CN"/>
        </w:rPr>
        <w:t>）人员概况。</w:t>
      </w:r>
    </w:p>
    <w:p w14:paraId="57ABFD36">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zh-CN"/>
        </w:rPr>
      </w:pPr>
      <w:r>
        <w:rPr>
          <w:rFonts w:hint="eastAsia" w:ascii="仿宋_GB2312" w:hAnsi="Times New Roman" w:eastAsia="仿宋_GB2312" w:cs="Times New Roman"/>
          <w:sz w:val="32"/>
        </w:rPr>
        <w:t>遂宁市安居区红十字会</w:t>
      </w:r>
      <w:r>
        <w:rPr>
          <w:rFonts w:hint="eastAsia" w:ascii="仿宋_GB2312" w:hAnsi="宋体" w:eastAsia="仿宋_GB2312" w:cs="宋体"/>
          <w:color w:val="000000"/>
          <w:kern w:val="0"/>
          <w:sz w:val="32"/>
          <w:szCs w:val="32"/>
          <w:shd w:val="clear" w:color="auto" w:fill="FFFFFF"/>
          <w:lang w:val="zh-CN"/>
        </w:rPr>
        <w:t>现有</w:t>
      </w:r>
      <w:r>
        <w:rPr>
          <w:rFonts w:hint="eastAsia" w:ascii="仿宋_GB2312" w:hAnsi="宋体" w:eastAsia="仿宋_GB2312" w:cs="宋体"/>
          <w:color w:val="000000"/>
          <w:kern w:val="0"/>
          <w:sz w:val="32"/>
          <w:szCs w:val="32"/>
          <w:shd w:val="clear" w:color="auto" w:fill="FFFFFF"/>
          <w:lang w:val="en-US" w:eastAsia="zh-CN"/>
        </w:rPr>
        <w:t>在编人员3</w:t>
      </w:r>
      <w:r>
        <w:rPr>
          <w:rFonts w:hint="eastAsia" w:ascii="仿宋_GB2312" w:hAnsi="宋体" w:eastAsia="仿宋_GB2312" w:cs="宋体"/>
          <w:color w:val="000000"/>
          <w:kern w:val="0"/>
          <w:sz w:val="32"/>
          <w:szCs w:val="32"/>
          <w:shd w:val="clear" w:color="auto" w:fill="FFFFFF"/>
          <w:lang w:val="zh-CN"/>
        </w:rPr>
        <w:t>人，</w:t>
      </w:r>
      <w:r>
        <w:rPr>
          <w:rFonts w:hint="eastAsia" w:ascii="仿宋_GB2312" w:hAnsi="宋体" w:eastAsia="仿宋_GB2312" w:cs="宋体"/>
          <w:color w:val="000000"/>
          <w:kern w:val="0"/>
          <w:sz w:val="32"/>
          <w:szCs w:val="32"/>
          <w:shd w:val="clear" w:color="auto" w:fill="FFFFFF"/>
          <w:lang w:val="en-US" w:eastAsia="zh-CN"/>
        </w:rPr>
        <w:t>政府购买服务人员1人</w:t>
      </w:r>
      <w:r>
        <w:rPr>
          <w:rFonts w:hint="eastAsia" w:ascii="仿宋_GB2312" w:hAnsi="宋体" w:eastAsia="仿宋_GB2312" w:cs="宋体"/>
          <w:color w:val="000000"/>
          <w:kern w:val="0"/>
          <w:sz w:val="32"/>
          <w:szCs w:val="32"/>
          <w:shd w:val="clear" w:color="auto" w:fill="FFFFFF"/>
          <w:lang w:val="zh-CN"/>
        </w:rPr>
        <w:t>。</w:t>
      </w:r>
    </w:p>
    <w:p w14:paraId="34E0D8FB">
      <w:pPr>
        <w:keepNext w:val="0"/>
        <w:keepLines w:val="0"/>
        <w:pageBreakBefore w:val="0"/>
        <w:widowControl/>
        <w:kinsoku/>
        <w:wordWrap/>
        <w:overflowPunct/>
        <w:topLinePunct w:val="0"/>
        <w:autoSpaceDE/>
        <w:autoSpaceDN/>
        <w:bidi w:val="0"/>
        <w:adjustRightInd w:val="0"/>
        <w:snapToGrid w:val="0"/>
        <w:spacing w:line="560" w:lineRule="exact"/>
        <w:ind w:left="0" w:firstLine="640" w:firstLineChars="200"/>
        <w:contextualSpacing/>
        <w:jc w:val="left"/>
        <w:textAlignment w:val="auto"/>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二、部门资金收支情况</w:t>
      </w:r>
    </w:p>
    <w:p w14:paraId="02AF84F6">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楷体_GB2312" w:cs="Times New Roman"/>
          <w:b w:val="0"/>
          <w:bCs w:val="0"/>
          <w:i w:val="0"/>
          <w:iCs w:val="0"/>
          <w:color w:val="000000"/>
          <w:kern w:val="0"/>
          <w:sz w:val="32"/>
          <w:szCs w:val="32"/>
          <w:highlight w:val="none"/>
          <w:shd w:val="clear" w:color="auto" w:fill="FFFFFF"/>
          <w:lang w:val="en-US"/>
        </w:rPr>
      </w:pP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t>（一）收入情况。</w:t>
      </w:r>
      <w:r>
        <w:rPr>
          <w:rFonts w:hint="default" w:ascii="Times New Roman" w:hAnsi="Times New Roman" w:eastAsia="仿宋_GB2312" w:cs="Times New Roman"/>
          <w:b w:val="0"/>
          <w:bCs w:val="0"/>
          <w:i w:val="0"/>
          <w:iCs w:val="0"/>
          <w:sz w:val="32"/>
          <w:szCs w:val="32"/>
          <w:lang w:val="en-US" w:eastAsia="zh-CN"/>
        </w:rPr>
        <w:t>区红十字会2023年年初预算收入</w:t>
      </w:r>
      <w:r>
        <w:rPr>
          <w:rFonts w:hint="eastAsia" w:ascii="Times New Roman" w:hAnsi="Times New Roman" w:eastAsia="仿宋_GB2312" w:cs="Times New Roman"/>
          <w:b w:val="0"/>
          <w:bCs w:val="0"/>
          <w:i w:val="0"/>
          <w:iCs w:val="0"/>
          <w:sz w:val="32"/>
          <w:szCs w:val="32"/>
          <w:lang w:val="en-US" w:eastAsia="zh-CN"/>
        </w:rPr>
        <w:t>为68.18万元</w:t>
      </w:r>
      <w:r>
        <w:rPr>
          <w:rFonts w:hint="default" w:ascii="Times New Roman" w:hAnsi="Times New Roman" w:eastAsia="仿宋_GB2312" w:cs="Times New Roman"/>
          <w:b w:val="0"/>
          <w:bCs w:val="0"/>
          <w:i w:val="0"/>
          <w:iCs w:val="0"/>
          <w:sz w:val="32"/>
          <w:szCs w:val="32"/>
          <w:lang w:val="en-US" w:eastAsia="zh-CN"/>
        </w:rPr>
        <w:t>、决算报表收入</w:t>
      </w:r>
      <w:r>
        <w:rPr>
          <w:rFonts w:hint="eastAsia" w:ascii="Times New Roman" w:hAnsi="Times New Roman" w:eastAsia="仿宋_GB2312" w:cs="Times New Roman"/>
          <w:b w:val="0"/>
          <w:bCs w:val="0"/>
          <w:i w:val="0"/>
          <w:iCs w:val="0"/>
          <w:sz w:val="32"/>
          <w:szCs w:val="32"/>
          <w:lang w:val="en-US" w:eastAsia="zh-CN"/>
        </w:rPr>
        <w:t>为69.25万元</w:t>
      </w:r>
      <w:r>
        <w:rPr>
          <w:rFonts w:hint="default" w:ascii="Times New Roman" w:hAnsi="Times New Roman" w:eastAsia="仿宋_GB2312" w:cs="Times New Roman"/>
          <w:b w:val="0"/>
          <w:bCs w:val="0"/>
          <w:i w:val="0"/>
          <w:iCs w:val="0"/>
          <w:sz w:val="32"/>
          <w:szCs w:val="32"/>
          <w:lang w:val="en-US" w:eastAsia="zh-CN"/>
        </w:rPr>
        <w:t>。</w:t>
      </w:r>
    </w:p>
    <w:p w14:paraId="21F90DFA">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b w:val="0"/>
          <w:bCs w:val="0"/>
          <w:i w:val="0"/>
          <w:iCs w:val="0"/>
          <w:sz w:val="32"/>
          <w:szCs w:val="32"/>
          <w:lang w:val="en-US" w:eastAsia="zh-CN"/>
        </w:rPr>
      </w:pP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t>（二）支出情况。</w:t>
      </w:r>
      <w:r>
        <w:rPr>
          <w:rFonts w:hint="default" w:ascii="Times New Roman" w:hAnsi="Times New Roman" w:eastAsia="仿宋_GB2312" w:cs="Times New Roman"/>
          <w:b w:val="0"/>
          <w:bCs w:val="0"/>
          <w:i w:val="0"/>
          <w:iCs w:val="0"/>
          <w:sz w:val="32"/>
          <w:szCs w:val="32"/>
          <w:lang w:val="en-US" w:eastAsia="zh-CN"/>
        </w:rPr>
        <w:t>区红十字会2023年年初预算支出</w:t>
      </w:r>
      <w:r>
        <w:rPr>
          <w:rFonts w:hint="eastAsia" w:ascii="Times New Roman" w:hAnsi="Times New Roman" w:eastAsia="仿宋_GB2312" w:cs="Times New Roman"/>
          <w:b w:val="0"/>
          <w:bCs w:val="0"/>
          <w:i w:val="0"/>
          <w:iCs w:val="0"/>
          <w:sz w:val="32"/>
          <w:szCs w:val="32"/>
          <w:lang w:val="en-US" w:eastAsia="zh-CN"/>
        </w:rPr>
        <w:t>为68.18万元</w:t>
      </w:r>
      <w:r>
        <w:rPr>
          <w:rFonts w:hint="default" w:ascii="Times New Roman" w:hAnsi="Times New Roman" w:eastAsia="仿宋_GB2312" w:cs="Times New Roman"/>
          <w:b w:val="0"/>
          <w:bCs w:val="0"/>
          <w:i w:val="0"/>
          <w:iCs w:val="0"/>
          <w:sz w:val="32"/>
          <w:szCs w:val="32"/>
          <w:lang w:val="en-US" w:eastAsia="zh-CN"/>
        </w:rPr>
        <w:t>、决算报表支出</w:t>
      </w:r>
      <w:r>
        <w:rPr>
          <w:rFonts w:hint="eastAsia" w:ascii="Times New Roman" w:hAnsi="Times New Roman" w:eastAsia="仿宋_GB2312" w:cs="Times New Roman"/>
          <w:b w:val="0"/>
          <w:bCs w:val="0"/>
          <w:i w:val="0"/>
          <w:iCs w:val="0"/>
          <w:sz w:val="32"/>
          <w:szCs w:val="32"/>
          <w:lang w:val="en-US" w:eastAsia="zh-CN"/>
        </w:rPr>
        <w:t>为69.25万元</w:t>
      </w:r>
      <w:r>
        <w:rPr>
          <w:rFonts w:hint="default" w:ascii="Times New Roman" w:hAnsi="Times New Roman" w:eastAsia="仿宋_GB2312" w:cs="Times New Roman"/>
          <w:b w:val="0"/>
          <w:bCs w:val="0"/>
          <w:i w:val="0"/>
          <w:iCs w:val="0"/>
          <w:sz w:val="32"/>
          <w:szCs w:val="32"/>
          <w:lang w:val="en-US" w:eastAsia="zh-CN"/>
        </w:rPr>
        <w:t>。</w:t>
      </w:r>
      <w:r>
        <w:rPr>
          <w:rFonts w:hint="eastAsia" w:ascii="Times New Roman" w:hAnsi="Times New Roman" w:eastAsia="仿宋_GB2312" w:cs="Times New Roman"/>
          <w:b w:val="0"/>
          <w:bCs w:val="0"/>
          <w:i w:val="0"/>
          <w:iCs w:val="0"/>
          <w:sz w:val="32"/>
          <w:szCs w:val="32"/>
          <w:lang w:val="en-US" w:eastAsia="zh-CN"/>
        </w:rPr>
        <w:t xml:space="preserve"> </w:t>
      </w:r>
    </w:p>
    <w:p w14:paraId="049EBC7D">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eastAsia="zh-CN"/>
        </w:rPr>
      </w:pP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t>（三）结余分配和结转结余情况</w:t>
      </w: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eastAsia="zh-CN"/>
        </w:rPr>
        <w:t>。</w:t>
      </w:r>
      <w:r>
        <w:rPr>
          <w:rFonts w:hint="default" w:ascii="Times New Roman" w:hAnsi="Times New Roman" w:eastAsia="仿宋_GB2312" w:cs="Times New Roman"/>
          <w:b w:val="0"/>
          <w:bCs w:val="0"/>
          <w:i w:val="0"/>
          <w:iCs w:val="0"/>
          <w:sz w:val="32"/>
          <w:szCs w:val="32"/>
          <w:lang w:val="en-US" w:eastAsia="zh-CN"/>
        </w:rPr>
        <w:t>区红十字会2023年决算报表结转结余</w:t>
      </w:r>
      <w:r>
        <w:rPr>
          <w:rFonts w:hint="eastAsia" w:ascii="Times New Roman" w:hAnsi="Times New Roman" w:eastAsia="仿宋_GB2312" w:cs="Times New Roman"/>
          <w:b w:val="0"/>
          <w:bCs w:val="0"/>
          <w:i w:val="0"/>
          <w:iCs w:val="0"/>
          <w:sz w:val="32"/>
          <w:szCs w:val="32"/>
          <w:lang w:val="en-US" w:eastAsia="zh-CN"/>
        </w:rPr>
        <w:t>为0</w:t>
      </w:r>
      <w:r>
        <w:rPr>
          <w:rFonts w:hint="default" w:ascii="Times New Roman" w:hAnsi="Times New Roman" w:eastAsia="仿宋_GB2312" w:cs="Times New Roman"/>
          <w:b w:val="0"/>
          <w:bCs w:val="0"/>
          <w:i w:val="0"/>
          <w:iCs w:val="0"/>
          <w:sz w:val="32"/>
          <w:szCs w:val="32"/>
          <w:lang w:val="en-US" w:eastAsia="zh-CN"/>
        </w:rPr>
        <w:t>。</w:t>
      </w:r>
    </w:p>
    <w:p w14:paraId="52E4CFDE">
      <w:pPr>
        <w:keepNext w:val="0"/>
        <w:keepLines w:val="0"/>
        <w:pageBreakBefore w:val="0"/>
        <w:widowControl/>
        <w:kinsoku/>
        <w:wordWrap/>
        <w:overflowPunct/>
        <w:topLinePunct w:val="0"/>
        <w:autoSpaceDE/>
        <w:autoSpaceDN/>
        <w:bidi w:val="0"/>
        <w:adjustRightInd w:val="0"/>
        <w:snapToGrid w:val="0"/>
        <w:spacing w:line="560" w:lineRule="exact"/>
        <w:ind w:left="0" w:firstLine="960" w:firstLineChars="300"/>
        <w:contextualSpacing/>
        <w:jc w:val="left"/>
        <w:textAlignment w:val="auto"/>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w:t>
      </w:r>
      <w:r>
        <w:rPr>
          <w:rFonts w:hint="default" w:ascii="Times New Roman" w:hAnsi="Times New Roman" w:eastAsia="黑体" w:cs="Times New Roman"/>
          <w:b w:val="0"/>
          <w:bCs w:val="0"/>
          <w:i w:val="0"/>
          <w:iCs w:val="0"/>
          <w:color w:val="000000"/>
          <w:kern w:val="0"/>
          <w:sz w:val="32"/>
          <w:szCs w:val="32"/>
          <w:highlight w:val="none"/>
          <w:shd w:val="clear" w:color="auto" w:fill="FFFFFF"/>
          <w:lang w:val="zh-CN" w:eastAsia="zh-CN"/>
        </w:rPr>
        <w:t>部门预算绩效分析</w:t>
      </w:r>
    </w:p>
    <w:p w14:paraId="15F6FA46">
      <w:pPr>
        <w:keepNext w:val="0"/>
        <w:keepLines w:val="0"/>
        <w:pageBreakBefore w:val="0"/>
        <w:widowControl/>
        <w:kinsoku/>
        <w:wordWrap/>
        <w:overflowPunct/>
        <w:topLinePunct w:val="0"/>
        <w:autoSpaceDE/>
        <w:autoSpaceDN/>
        <w:bidi w:val="0"/>
        <w:adjustRightInd w:val="0"/>
        <w:snapToGrid w:val="0"/>
        <w:spacing w:line="560" w:lineRule="exact"/>
        <w:ind w:left="0" w:firstLine="640" w:firstLineChars="200"/>
        <w:contextualSpacing/>
        <w:jc w:val="left"/>
        <w:textAlignment w:val="auto"/>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pP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t>（一）部门预算总体绩效分析。</w:t>
      </w:r>
    </w:p>
    <w:p w14:paraId="385D046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pPr>
      <w:r>
        <w:rPr>
          <w:rFonts w:hint="default" w:ascii="Times New Roman" w:hAnsi="Times New Roman" w:eastAsia="仿宋_GB2312" w:cs="Times New Roman"/>
          <w:b w:val="0"/>
          <w:bCs w:val="0"/>
          <w:i w:val="0"/>
          <w:iCs w:val="0"/>
          <w:color w:val="000000"/>
          <w:kern w:val="0"/>
          <w:sz w:val="32"/>
          <w:szCs w:val="32"/>
          <w:highlight w:val="none"/>
          <w:shd w:val="clear" w:color="auto" w:fill="FFFFFF"/>
          <w:lang w:val="en-US" w:eastAsia="zh-CN"/>
        </w:rPr>
        <w:t>1.</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t>履职效能。本年度，区红十字会积极履行核心职能，包括应急救援、人道救助及公益宣传等核心目标，均达到预期效果，有效提升了社会影响力与民众满意度。</w:t>
      </w:r>
    </w:p>
    <w:p w14:paraId="5D1A5E0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pPr>
      <w:r>
        <w:rPr>
          <w:rFonts w:hint="default" w:ascii="Times New Roman" w:hAnsi="Times New Roman" w:eastAsia="仿宋_GB2312" w:cs="Times New Roman"/>
          <w:b w:val="0"/>
          <w:bCs w:val="0"/>
          <w:i w:val="0"/>
          <w:iCs w:val="0"/>
          <w:color w:val="000000"/>
          <w:kern w:val="0"/>
          <w:sz w:val="32"/>
          <w:szCs w:val="32"/>
          <w:highlight w:val="none"/>
          <w:shd w:val="clear" w:color="auto" w:fill="FFFFFF"/>
          <w:lang w:val="en-US" w:eastAsia="zh-CN"/>
        </w:rPr>
        <w:t>2.</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t>预算管理。预算编制精准度高，收入统筹合理，支出执行进度快于预期，年终预算结余适度，且严格控制了一般性支出，保障了关键任务的资金需求。</w:t>
      </w:r>
    </w:p>
    <w:p w14:paraId="321B074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b w:val="0"/>
          <w:bCs w:val="0"/>
          <w:i w:val="0"/>
          <w:iCs w:val="0"/>
          <w:sz w:val="32"/>
          <w:szCs w:val="32"/>
          <w:lang w:val="zh-CN" w:eastAsia="zh-CN"/>
        </w:rPr>
      </w:pPr>
      <w:r>
        <w:rPr>
          <w:rFonts w:hint="default" w:ascii="Times New Roman" w:hAnsi="Times New Roman" w:eastAsia="仿宋_GB2312" w:cs="Times New Roman"/>
          <w:b w:val="0"/>
          <w:bCs w:val="0"/>
          <w:i w:val="0"/>
          <w:iCs w:val="0"/>
          <w:color w:val="000000"/>
          <w:kern w:val="0"/>
          <w:sz w:val="32"/>
          <w:szCs w:val="32"/>
          <w:highlight w:val="none"/>
          <w:shd w:val="clear" w:color="auto" w:fill="FFFFFF"/>
          <w:lang w:val="en-US" w:eastAsia="zh-CN"/>
        </w:rPr>
        <w:t>3.</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t>财务管理。</w:t>
      </w:r>
      <w:r>
        <w:rPr>
          <w:rFonts w:hint="default" w:ascii="Times New Roman" w:hAnsi="Times New Roman" w:eastAsia="仿宋_GB2312" w:cs="Times New Roman"/>
          <w:b w:val="0"/>
          <w:bCs w:val="0"/>
          <w:i w:val="0"/>
          <w:iCs w:val="0"/>
          <w:sz w:val="32"/>
          <w:szCs w:val="32"/>
          <w:lang w:val="zh-CN" w:eastAsia="zh-CN"/>
        </w:rPr>
        <w:t>制度健全，岗位设置合理，资金使用规范，确保了财务信息的透明与准确。</w:t>
      </w:r>
    </w:p>
    <w:p w14:paraId="14F22FF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b w:val="0"/>
          <w:bCs w:val="0"/>
          <w:i w:val="0"/>
          <w:iCs w:val="0"/>
          <w:sz w:val="32"/>
          <w:szCs w:val="32"/>
          <w:lang w:val="zh-CN" w:eastAsia="zh-CN"/>
        </w:rPr>
      </w:pPr>
      <w:r>
        <w:rPr>
          <w:rFonts w:hint="default" w:ascii="Times New Roman" w:hAnsi="Times New Roman" w:eastAsia="仿宋_GB2312" w:cs="Times New Roman"/>
          <w:b w:val="0"/>
          <w:bCs w:val="0"/>
          <w:i w:val="0"/>
          <w:iCs w:val="0"/>
          <w:color w:val="000000"/>
          <w:kern w:val="0"/>
          <w:sz w:val="32"/>
          <w:szCs w:val="32"/>
          <w:highlight w:val="none"/>
          <w:shd w:val="clear" w:color="auto" w:fill="FFFFFF"/>
          <w:lang w:val="en-US" w:eastAsia="zh-CN"/>
        </w:rPr>
        <w:t>4.</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t>资产管理。</w:t>
      </w:r>
      <w:r>
        <w:rPr>
          <w:rFonts w:hint="default" w:ascii="Times New Roman" w:hAnsi="Times New Roman" w:eastAsia="仿宋_GB2312" w:cs="Times New Roman"/>
          <w:b w:val="0"/>
          <w:bCs w:val="0"/>
          <w:i w:val="0"/>
          <w:iCs w:val="0"/>
          <w:sz w:val="32"/>
          <w:szCs w:val="32"/>
          <w:lang w:val="zh-CN" w:eastAsia="zh-CN"/>
        </w:rPr>
        <w:t>资产利用率显著提升，资产盘活成效显著，有效提升了资源使用效率。</w:t>
      </w:r>
    </w:p>
    <w:p w14:paraId="49DDC9A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pPr>
      <w:r>
        <w:rPr>
          <w:rFonts w:hint="default" w:ascii="Times New Roman" w:hAnsi="Times New Roman" w:eastAsia="仿宋_GB2312" w:cs="Times New Roman"/>
          <w:b w:val="0"/>
          <w:bCs w:val="0"/>
          <w:i w:val="0"/>
          <w:iCs w:val="0"/>
          <w:color w:val="000000"/>
          <w:kern w:val="0"/>
          <w:sz w:val="32"/>
          <w:szCs w:val="32"/>
          <w:highlight w:val="none"/>
          <w:shd w:val="clear" w:color="auto" w:fill="FFFFFF"/>
          <w:lang w:val="en-US" w:eastAsia="zh-CN"/>
        </w:rPr>
        <w:t>5.</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t>采购管理。</w:t>
      </w:r>
      <w:r>
        <w:rPr>
          <w:rFonts w:hint="eastAsia" w:ascii="仿宋_GB2312" w:hAnsi="宋体" w:eastAsia="仿宋_GB2312" w:cs="宋体"/>
          <w:color w:val="auto"/>
          <w:kern w:val="0"/>
          <w:sz w:val="32"/>
          <w:szCs w:val="32"/>
          <w:shd w:val="clear" w:color="auto" w:fill="FFFFFF"/>
          <w:lang w:val="zh-CN"/>
        </w:rPr>
        <w:t>我</w:t>
      </w:r>
      <w:r>
        <w:rPr>
          <w:rFonts w:hint="eastAsia" w:ascii="仿宋_GB2312" w:hAnsi="宋体" w:eastAsia="仿宋_GB2312" w:cs="宋体"/>
          <w:color w:val="auto"/>
          <w:kern w:val="0"/>
          <w:sz w:val="32"/>
          <w:szCs w:val="32"/>
          <w:shd w:val="clear" w:color="auto" w:fill="FFFFFF"/>
          <w:lang w:val="en-US" w:eastAsia="zh-CN"/>
        </w:rPr>
        <w:t>单位无涉及。</w:t>
      </w:r>
    </w:p>
    <w:p w14:paraId="605A0397">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pP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t>（二）部门预算项目绩效分析。</w:t>
      </w:r>
    </w:p>
    <w:p w14:paraId="54CEDE07">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b w:val="0"/>
          <w:bCs w:val="0"/>
          <w:i w:val="0"/>
          <w:iCs w:val="0"/>
          <w:sz w:val="32"/>
          <w:szCs w:val="32"/>
          <w:lang w:val="zh-CN" w:eastAsia="zh-CN"/>
        </w:rPr>
      </w:pPr>
      <w:r>
        <w:rPr>
          <w:rFonts w:hint="default" w:ascii="Times New Roman" w:hAnsi="Times New Roman" w:eastAsia="仿宋_GB2312" w:cs="Times New Roman"/>
          <w:b w:val="0"/>
          <w:bCs w:val="0"/>
          <w:i w:val="0"/>
          <w:iCs w:val="0"/>
          <w:sz w:val="32"/>
          <w:szCs w:val="32"/>
          <w:lang w:val="en-US" w:eastAsia="zh-CN"/>
        </w:rPr>
        <w:t>常年项目绩效分析。</w:t>
      </w:r>
      <w:r>
        <w:rPr>
          <w:rFonts w:hint="default" w:ascii="Times New Roman" w:hAnsi="Times New Roman" w:eastAsia="仿宋_GB2312" w:cs="Times New Roman"/>
          <w:b w:val="0"/>
          <w:bCs w:val="0"/>
          <w:i w:val="0"/>
          <w:iCs w:val="0"/>
          <w:sz w:val="32"/>
          <w:szCs w:val="32"/>
          <w:lang w:val="zh-CN" w:eastAsia="zh-CN"/>
        </w:rPr>
        <w:t>该类项目总数</w:t>
      </w:r>
      <w:r>
        <w:rPr>
          <w:rFonts w:hint="eastAsia" w:ascii="Times New Roman" w:hAnsi="Times New Roman" w:eastAsia="仿宋_GB2312" w:cs="Times New Roman"/>
          <w:b w:val="0"/>
          <w:bCs w:val="0"/>
          <w:i w:val="0"/>
          <w:iCs w:val="0"/>
          <w:sz w:val="32"/>
          <w:szCs w:val="32"/>
          <w:lang w:val="en-US" w:eastAsia="zh-CN"/>
        </w:rPr>
        <w:t>2</w:t>
      </w:r>
      <w:r>
        <w:rPr>
          <w:rFonts w:hint="default" w:ascii="Times New Roman" w:hAnsi="Times New Roman" w:eastAsia="仿宋_GB2312" w:cs="Times New Roman"/>
          <w:b w:val="0"/>
          <w:bCs w:val="0"/>
          <w:i w:val="0"/>
          <w:iCs w:val="0"/>
          <w:sz w:val="32"/>
          <w:szCs w:val="32"/>
          <w:lang w:val="zh-CN" w:eastAsia="zh-CN"/>
        </w:rPr>
        <w:t>个，涉及预算总金额</w:t>
      </w:r>
      <w:r>
        <w:rPr>
          <w:rFonts w:hint="eastAsia" w:ascii="Times New Roman" w:hAnsi="Times New Roman" w:eastAsia="仿宋_GB2312" w:cs="Times New Roman"/>
          <w:b w:val="0"/>
          <w:bCs w:val="0"/>
          <w:i w:val="0"/>
          <w:iCs w:val="0"/>
          <w:sz w:val="32"/>
          <w:szCs w:val="32"/>
          <w:lang w:val="en-US" w:eastAsia="zh-CN"/>
        </w:rPr>
        <w:t>13</w:t>
      </w:r>
      <w:r>
        <w:rPr>
          <w:rFonts w:hint="default" w:ascii="Times New Roman" w:hAnsi="Times New Roman" w:eastAsia="仿宋_GB2312" w:cs="Times New Roman"/>
          <w:b w:val="0"/>
          <w:bCs w:val="0"/>
          <w:i w:val="0"/>
          <w:iCs w:val="0"/>
          <w:sz w:val="32"/>
          <w:szCs w:val="32"/>
          <w:lang w:val="zh-CN" w:eastAsia="zh-CN"/>
        </w:rPr>
        <w:t>万元，1—1</w:t>
      </w:r>
      <w:r>
        <w:rPr>
          <w:rFonts w:hint="default" w:ascii="Times New Roman" w:hAnsi="Times New Roman" w:eastAsia="仿宋_GB2312" w:cs="Times New Roman"/>
          <w:b w:val="0"/>
          <w:bCs w:val="0"/>
          <w:i w:val="0"/>
          <w:iCs w:val="0"/>
          <w:sz w:val="32"/>
          <w:szCs w:val="32"/>
          <w:lang w:val="en-US" w:eastAsia="zh-CN"/>
        </w:rPr>
        <w:t>2</w:t>
      </w:r>
      <w:r>
        <w:rPr>
          <w:rFonts w:hint="default" w:ascii="Times New Roman" w:hAnsi="Times New Roman" w:eastAsia="仿宋_GB2312" w:cs="Times New Roman"/>
          <w:b w:val="0"/>
          <w:bCs w:val="0"/>
          <w:i w:val="0"/>
          <w:iCs w:val="0"/>
          <w:sz w:val="32"/>
          <w:szCs w:val="32"/>
          <w:lang w:val="zh-CN" w:eastAsia="zh-CN"/>
        </w:rPr>
        <w:t>月预算执行总体进度为</w:t>
      </w:r>
      <w:r>
        <w:rPr>
          <w:rFonts w:hint="eastAsia" w:ascii="Times New Roman" w:hAnsi="Times New Roman" w:eastAsia="仿宋_GB2312" w:cs="Times New Roman"/>
          <w:b w:val="0"/>
          <w:bCs w:val="0"/>
          <w:i w:val="0"/>
          <w:iCs w:val="0"/>
          <w:sz w:val="32"/>
          <w:szCs w:val="32"/>
          <w:lang w:val="en-US" w:eastAsia="zh-CN"/>
        </w:rPr>
        <w:t>89.15</w:t>
      </w:r>
      <w:r>
        <w:rPr>
          <w:rFonts w:hint="default" w:ascii="Times New Roman" w:hAnsi="Times New Roman" w:eastAsia="仿宋_GB2312" w:cs="Times New Roman"/>
          <w:b w:val="0"/>
          <w:bCs w:val="0"/>
          <w:i w:val="0"/>
          <w:iCs w:val="0"/>
          <w:sz w:val="32"/>
          <w:szCs w:val="32"/>
          <w:lang w:val="zh-CN" w:eastAsia="zh-CN"/>
        </w:rPr>
        <w:t>%，其中：预算结余率大于</w:t>
      </w:r>
      <w:r>
        <w:rPr>
          <w:rFonts w:hint="default" w:ascii="Times New Roman" w:hAnsi="Times New Roman" w:eastAsia="仿宋_GB2312" w:cs="Times New Roman"/>
          <w:b w:val="0"/>
          <w:bCs w:val="0"/>
          <w:i w:val="0"/>
          <w:iCs w:val="0"/>
          <w:sz w:val="32"/>
          <w:szCs w:val="32"/>
          <w:lang w:val="en-US" w:eastAsia="zh-CN"/>
        </w:rPr>
        <w:t>10%</w:t>
      </w:r>
      <w:r>
        <w:rPr>
          <w:rFonts w:hint="default" w:ascii="Times New Roman" w:hAnsi="Times New Roman" w:eastAsia="仿宋_GB2312" w:cs="Times New Roman"/>
          <w:b w:val="0"/>
          <w:bCs w:val="0"/>
          <w:i w:val="0"/>
          <w:iCs w:val="0"/>
          <w:sz w:val="32"/>
          <w:szCs w:val="32"/>
          <w:lang w:val="zh-CN" w:eastAsia="zh-CN"/>
        </w:rPr>
        <w:t>的项目共计</w:t>
      </w:r>
      <w:r>
        <w:rPr>
          <w:rFonts w:hint="eastAsia" w:ascii="Times New Roman" w:hAnsi="Times New Roman" w:eastAsia="仿宋_GB2312" w:cs="Times New Roman"/>
          <w:b w:val="0"/>
          <w:bCs w:val="0"/>
          <w:i w:val="0"/>
          <w:iCs w:val="0"/>
          <w:sz w:val="32"/>
          <w:szCs w:val="32"/>
          <w:lang w:val="en-US" w:eastAsia="zh-CN"/>
        </w:rPr>
        <w:t>1</w:t>
      </w:r>
      <w:r>
        <w:rPr>
          <w:rFonts w:hint="default" w:ascii="Times New Roman" w:hAnsi="Times New Roman" w:eastAsia="仿宋_GB2312" w:cs="Times New Roman"/>
          <w:b w:val="0"/>
          <w:bCs w:val="0"/>
          <w:i w:val="0"/>
          <w:iCs w:val="0"/>
          <w:sz w:val="32"/>
          <w:szCs w:val="32"/>
          <w:lang w:val="zh-CN" w:eastAsia="zh-CN"/>
        </w:rPr>
        <w:t>个。</w:t>
      </w:r>
    </w:p>
    <w:p w14:paraId="0D8F15BC">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b w:val="0"/>
          <w:bCs w:val="0"/>
          <w:i w:val="0"/>
          <w:iCs w:val="0"/>
          <w:sz w:val="32"/>
          <w:szCs w:val="32"/>
          <w:lang w:val="zh-CN" w:eastAsia="zh-CN"/>
        </w:rPr>
      </w:pPr>
      <w:r>
        <w:rPr>
          <w:rFonts w:hint="default" w:ascii="Times New Roman" w:hAnsi="Times New Roman" w:eastAsia="仿宋_GB2312" w:cs="Times New Roman"/>
          <w:b w:val="0"/>
          <w:bCs w:val="0"/>
          <w:i w:val="0"/>
          <w:iCs w:val="0"/>
          <w:sz w:val="32"/>
          <w:szCs w:val="32"/>
          <w:lang w:val="en-US" w:eastAsia="zh-CN"/>
        </w:rPr>
        <w:t>阶段（一次性）项目绩效分析。</w:t>
      </w:r>
      <w:r>
        <w:rPr>
          <w:rFonts w:hint="default" w:ascii="Times New Roman" w:hAnsi="Times New Roman" w:eastAsia="仿宋_GB2312" w:cs="Times New Roman"/>
          <w:b w:val="0"/>
          <w:bCs w:val="0"/>
          <w:i w:val="0"/>
          <w:iCs w:val="0"/>
          <w:sz w:val="32"/>
          <w:szCs w:val="32"/>
          <w:lang w:val="zh-CN" w:eastAsia="zh-CN"/>
        </w:rPr>
        <w:t>该类项目总数</w:t>
      </w:r>
      <w:r>
        <w:rPr>
          <w:rFonts w:hint="eastAsia" w:ascii="Times New Roman" w:hAnsi="Times New Roman" w:eastAsia="仿宋_GB2312" w:cs="Times New Roman"/>
          <w:b w:val="0"/>
          <w:bCs w:val="0"/>
          <w:i w:val="0"/>
          <w:iCs w:val="0"/>
          <w:sz w:val="32"/>
          <w:szCs w:val="32"/>
          <w:lang w:val="en-US" w:eastAsia="zh-CN"/>
        </w:rPr>
        <w:t>0</w:t>
      </w:r>
      <w:r>
        <w:rPr>
          <w:rFonts w:hint="default" w:ascii="Times New Roman" w:hAnsi="Times New Roman" w:eastAsia="仿宋_GB2312" w:cs="Times New Roman"/>
          <w:b w:val="0"/>
          <w:bCs w:val="0"/>
          <w:i w:val="0"/>
          <w:iCs w:val="0"/>
          <w:sz w:val="32"/>
          <w:szCs w:val="32"/>
          <w:lang w:val="zh-CN" w:eastAsia="zh-CN"/>
        </w:rPr>
        <w:t>个。</w:t>
      </w:r>
    </w:p>
    <w:p w14:paraId="3727784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b w:val="0"/>
          <w:bCs w:val="0"/>
          <w:i w:val="0"/>
          <w:iCs w:val="0"/>
          <w:sz w:val="32"/>
          <w:szCs w:val="32"/>
          <w:lang w:val="zh-CN" w:eastAsia="zh-CN"/>
        </w:rPr>
      </w:pPr>
      <w:r>
        <w:rPr>
          <w:rFonts w:hint="eastAsia" w:ascii="Times New Roman" w:hAnsi="Times New Roman" w:eastAsia="仿宋_GB2312" w:cs="Times New Roman"/>
          <w:b w:val="0"/>
          <w:bCs w:val="0"/>
          <w:i w:val="0"/>
          <w:iCs w:val="0"/>
          <w:color w:val="000000"/>
          <w:kern w:val="0"/>
          <w:sz w:val="32"/>
          <w:szCs w:val="32"/>
          <w:highlight w:val="none"/>
          <w:shd w:val="clear" w:color="auto" w:fill="FFFFFF"/>
          <w:lang w:val="en-US" w:eastAsia="zh-CN"/>
        </w:rPr>
        <w:t>1.</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t>项目决策。</w:t>
      </w:r>
      <w:r>
        <w:rPr>
          <w:rFonts w:hint="default" w:ascii="Times New Roman" w:hAnsi="Times New Roman" w:eastAsia="仿宋_GB2312" w:cs="Times New Roman"/>
          <w:b w:val="0"/>
          <w:bCs w:val="0"/>
          <w:i w:val="0"/>
          <w:iCs w:val="0"/>
          <w:sz w:val="32"/>
          <w:szCs w:val="32"/>
          <w:lang w:val="zh-CN" w:eastAsia="zh-CN"/>
        </w:rPr>
        <w:t>项目决策程序规范，目标设置明确且符合实际需求，均顺利入库。</w:t>
      </w:r>
    </w:p>
    <w:p w14:paraId="0F37FBE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b w:val="0"/>
          <w:bCs w:val="0"/>
          <w:i w:val="0"/>
          <w:iCs w:val="0"/>
          <w:sz w:val="32"/>
          <w:szCs w:val="32"/>
          <w:lang w:val="zh-CN" w:eastAsia="zh-CN"/>
        </w:rPr>
      </w:pPr>
      <w:r>
        <w:rPr>
          <w:rFonts w:hint="default" w:ascii="Times New Roman" w:hAnsi="Times New Roman" w:eastAsia="仿宋_GB2312" w:cs="Times New Roman"/>
          <w:b w:val="0"/>
          <w:bCs w:val="0"/>
          <w:i w:val="0"/>
          <w:iCs w:val="0"/>
          <w:color w:val="000000"/>
          <w:kern w:val="0"/>
          <w:sz w:val="32"/>
          <w:szCs w:val="32"/>
          <w:highlight w:val="none"/>
          <w:shd w:val="clear" w:color="auto" w:fill="FFFFFF"/>
          <w:lang w:val="en-US" w:eastAsia="zh-CN"/>
        </w:rPr>
        <w:t>2.项目执行</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t>。</w:t>
      </w:r>
      <w:r>
        <w:rPr>
          <w:rFonts w:hint="default" w:ascii="Times New Roman" w:hAnsi="Times New Roman" w:eastAsia="仿宋_GB2312" w:cs="Times New Roman"/>
          <w:b w:val="0"/>
          <w:bCs w:val="0"/>
          <w:i w:val="0"/>
          <w:iCs w:val="0"/>
          <w:sz w:val="32"/>
          <w:szCs w:val="32"/>
          <w:lang w:val="zh-CN" w:eastAsia="zh-CN"/>
        </w:rPr>
        <w:t>执行过程中，资金分配合理，项目调整及时，执行结果达到预期。</w:t>
      </w:r>
    </w:p>
    <w:p w14:paraId="6940E4F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b w:val="0"/>
          <w:bCs w:val="0"/>
          <w:i w:val="0"/>
          <w:iCs w:val="0"/>
          <w:color w:val="auto"/>
          <w:kern w:val="0"/>
          <w:sz w:val="32"/>
          <w:szCs w:val="32"/>
          <w:shd w:val="clear" w:color="auto" w:fill="FFFFFF"/>
          <w:lang w:val="zh-CN" w:eastAsia="zh-CN"/>
        </w:rPr>
      </w:pPr>
      <w:r>
        <w:rPr>
          <w:rFonts w:hint="default" w:ascii="Times New Roman" w:hAnsi="Times New Roman" w:eastAsia="仿宋_GB2312" w:cs="Times New Roman"/>
          <w:b w:val="0"/>
          <w:bCs w:val="0"/>
          <w:i w:val="0"/>
          <w:iCs w:val="0"/>
          <w:color w:val="000000"/>
          <w:kern w:val="0"/>
          <w:sz w:val="32"/>
          <w:szCs w:val="32"/>
          <w:highlight w:val="none"/>
          <w:shd w:val="clear" w:color="auto" w:fill="FFFFFF"/>
          <w:lang w:val="en-US" w:eastAsia="zh-CN"/>
        </w:rPr>
        <w:t>3.</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t>目标实现。</w:t>
      </w:r>
      <w:r>
        <w:rPr>
          <w:rFonts w:hint="default" w:ascii="Times New Roman" w:hAnsi="Times New Roman" w:eastAsia="仿宋_GB2312" w:cs="Times New Roman"/>
          <w:b w:val="0"/>
          <w:bCs w:val="0"/>
          <w:i w:val="0"/>
          <w:iCs w:val="0"/>
          <w:sz w:val="32"/>
          <w:szCs w:val="32"/>
          <w:lang w:val="zh-CN" w:eastAsia="zh-CN"/>
        </w:rPr>
        <w:t>目标完成情况良好，虽有部分项目因特殊情况导致预算结余率超10%，但整体而言，各项目均有效实现了既定目标，社会效益显著。</w:t>
      </w:r>
    </w:p>
    <w:p w14:paraId="3D121D7F">
      <w:pPr>
        <w:keepNext w:val="0"/>
        <w:keepLines w:val="0"/>
        <w:pageBreakBefore w:val="0"/>
        <w:widowControl/>
        <w:kinsoku/>
        <w:wordWrap/>
        <w:overflowPunct/>
        <w:topLinePunct w:val="0"/>
        <w:autoSpaceDE/>
        <w:autoSpaceDN/>
        <w:bidi w:val="0"/>
        <w:adjustRightInd w:val="0"/>
        <w:snapToGrid w:val="0"/>
        <w:spacing w:line="560" w:lineRule="exact"/>
        <w:ind w:left="0" w:firstLine="640" w:firstLineChars="200"/>
        <w:contextualSpacing/>
        <w:jc w:val="left"/>
        <w:textAlignment w:val="auto"/>
        <w:rPr>
          <w:rFonts w:hint="default" w:ascii="仿宋_GB2312" w:hAnsi="宋体" w:eastAsia="仿宋_GB2312" w:cs="宋体"/>
          <w:color w:val="auto"/>
          <w:kern w:val="0"/>
          <w:sz w:val="32"/>
          <w:szCs w:val="32"/>
          <w:shd w:val="clear" w:color="auto" w:fill="FFFFFF"/>
          <w:lang w:val="en-US" w:eastAsia="zh-CN"/>
        </w:rPr>
      </w:pP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t>（三）</w:t>
      </w: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eastAsia="zh-CN"/>
        </w:rPr>
        <w:t>重点领域</w:t>
      </w: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t>绩效分析</w:t>
      </w: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eastAsia="zh-CN"/>
        </w:rPr>
        <w:t>。</w:t>
      </w:r>
      <w:r>
        <w:rPr>
          <w:rFonts w:hint="eastAsia" w:ascii="仿宋_GB2312" w:hAnsi="宋体" w:eastAsia="仿宋_GB2312" w:cs="宋体"/>
          <w:color w:val="auto"/>
          <w:kern w:val="0"/>
          <w:sz w:val="32"/>
          <w:szCs w:val="32"/>
          <w:shd w:val="clear" w:color="auto" w:fill="FFFFFF"/>
          <w:lang w:val="zh-CN"/>
        </w:rPr>
        <w:t>我</w:t>
      </w:r>
      <w:r>
        <w:rPr>
          <w:rFonts w:hint="eastAsia" w:ascii="仿宋_GB2312" w:hAnsi="宋体" w:eastAsia="仿宋_GB2312" w:cs="宋体"/>
          <w:color w:val="auto"/>
          <w:kern w:val="0"/>
          <w:sz w:val="32"/>
          <w:szCs w:val="32"/>
          <w:shd w:val="clear" w:color="auto" w:fill="FFFFFF"/>
          <w:lang w:val="en-US" w:eastAsia="zh-CN"/>
        </w:rPr>
        <w:t>单位无涉及。</w:t>
      </w:r>
    </w:p>
    <w:p w14:paraId="63856917">
      <w:pPr>
        <w:keepNext w:val="0"/>
        <w:keepLines w:val="0"/>
        <w:pageBreakBefore w:val="0"/>
        <w:widowControl/>
        <w:kinsoku/>
        <w:wordWrap/>
        <w:overflowPunct/>
        <w:topLinePunct w:val="0"/>
        <w:autoSpaceDE/>
        <w:autoSpaceDN/>
        <w:bidi w:val="0"/>
        <w:adjustRightInd w:val="0"/>
        <w:snapToGrid w:val="0"/>
        <w:spacing w:line="560" w:lineRule="exact"/>
        <w:ind w:left="0" w:firstLine="640" w:firstLineChars="200"/>
        <w:contextualSpacing/>
        <w:jc w:val="left"/>
        <w:textAlignment w:val="auto"/>
        <w:rPr>
          <w:rFonts w:hint="eastAsia" w:ascii="Times New Roman" w:hAnsi="Times New Roman" w:eastAsia="楷体_GB2312" w:cs="Times New Roman"/>
          <w:b w:val="0"/>
          <w:bCs w:val="0"/>
          <w:i w:val="0"/>
          <w:iCs w:val="0"/>
          <w:color w:val="000000"/>
          <w:kern w:val="0"/>
          <w:sz w:val="32"/>
          <w:szCs w:val="32"/>
          <w:highlight w:val="none"/>
          <w:shd w:val="clear" w:color="auto" w:fill="FFFFFF"/>
          <w:lang w:val="zh-CN" w:eastAsia="zh-CN"/>
        </w:rPr>
      </w:pP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eastAsia="zh-CN"/>
        </w:rPr>
        <w:t>（四）绩效结果应用情况。</w:t>
      </w:r>
      <w:r>
        <w:rPr>
          <w:rFonts w:hint="eastAsia" w:ascii="仿宋_GB2312" w:hAnsi="宋体" w:eastAsia="仿宋_GB2312" w:cs="宋体"/>
          <w:color w:val="auto"/>
          <w:kern w:val="0"/>
          <w:sz w:val="32"/>
          <w:szCs w:val="32"/>
          <w:shd w:val="clear" w:color="auto" w:fill="FFFFFF"/>
          <w:lang w:val="zh-CN"/>
        </w:rPr>
        <w:t>我</w:t>
      </w:r>
      <w:r>
        <w:rPr>
          <w:rFonts w:hint="eastAsia" w:ascii="仿宋_GB2312" w:hAnsi="宋体" w:eastAsia="仿宋_GB2312" w:cs="宋体"/>
          <w:color w:val="auto"/>
          <w:kern w:val="0"/>
          <w:sz w:val="32"/>
          <w:szCs w:val="32"/>
          <w:shd w:val="clear" w:color="auto" w:fill="FFFFFF"/>
          <w:lang w:val="en-US" w:eastAsia="zh-CN"/>
        </w:rPr>
        <w:t>单位</w:t>
      </w:r>
      <w:r>
        <w:rPr>
          <w:rFonts w:hint="eastAsia" w:ascii="仿宋_GB2312" w:hAnsi="宋体" w:eastAsia="仿宋_GB2312" w:cs="宋体"/>
          <w:color w:val="auto"/>
          <w:kern w:val="0"/>
          <w:sz w:val="32"/>
          <w:szCs w:val="32"/>
          <w:shd w:val="clear" w:color="auto" w:fill="FFFFFF"/>
          <w:lang w:val="zh-CN"/>
        </w:rPr>
        <w:t>对绩效评价中发现的问题要求项目实施单位及时整改，将评价结果作为考核依据，与预算编制挂钩，加强部门预算及预算绩效管理工作</w:t>
      </w:r>
      <w:r>
        <w:rPr>
          <w:rFonts w:hint="eastAsia" w:ascii="宋体" w:hAnsi="宋体" w:eastAsia="宋体" w:cs="宋体"/>
          <w:sz w:val="32"/>
          <w:szCs w:val="32"/>
        </w:rPr>
        <w:t>。</w:t>
      </w:r>
    </w:p>
    <w:p w14:paraId="26F8B8C7">
      <w:pPr>
        <w:keepNext w:val="0"/>
        <w:keepLines w:val="0"/>
        <w:pageBreakBefore w:val="0"/>
        <w:widowControl/>
        <w:kinsoku/>
        <w:wordWrap/>
        <w:overflowPunct/>
        <w:topLinePunct w:val="0"/>
        <w:autoSpaceDE/>
        <w:autoSpaceDN/>
        <w:bidi w:val="0"/>
        <w:adjustRightInd w:val="0"/>
        <w:snapToGrid w:val="0"/>
        <w:spacing w:line="560" w:lineRule="exact"/>
        <w:ind w:left="0" w:firstLine="640" w:firstLineChars="200"/>
        <w:contextualSpacing/>
        <w:jc w:val="left"/>
        <w:textAlignment w:val="auto"/>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14:paraId="4BEAD239">
      <w:pPr>
        <w:keepNext w:val="0"/>
        <w:keepLines w:val="0"/>
        <w:pageBreakBefore w:val="0"/>
        <w:widowControl/>
        <w:kinsoku/>
        <w:wordWrap/>
        <w:overflowPunct/>
        <w:topLinePunct w:val="0"/>
        <w:autoSpaceDE/>
        <w:autoSpaceDN/>
        <w:bidi w:val="0"/>
        <w:adjustRightInd w:val="0"/>
        <w:snapToGrid w:val="0"/>
        <w:spacing w:line="560" w:lineRule="exact"/>
        <w:ind w:left="0" w:firstLine="640" w:firstLineChars="200"/>
        <w:contextualSpacing/>
        <w:jc w:val="left"/>
        <w:textAlignment w:val="auto"/>
        <w:rPr>
          <w:rFonts w:hint="eastAsia" w:ascii="Times New Roman" w:hAnsi="Times New Roman" w:eastAsia="楷体_GB2312" w:cs="Times New Roman"/>
          <w:b w:val="0"/>
          <w:bCs w:val="0"/>
          <w:i w:val="0"/>
          <w:iCs w:val="0"/>
          <w:color w:val="000000"/>
          <w:kern w:val="0"/>
          <w:sz w:val="32"/>
          <w:szCs w:val="32"/>
          <w:highlight w:val="none"/>
          <w:shd w:val="clear" w:color="auto" w:fill="FFFFFF"/>
          <w:lang w:val="zh-CN" w:eastAsia="zh-CN"/>
        </w:rPr>
      </w:pPr>
      <w:r>
        <w:rPr>
          <w:rFonts w:hint="eastAsia" w:ascii="Times New Roman" w:hAnsi="Times New Roman" w:eastAsia="楷体_GB2312" w:cs="Times New Roman"/>
          <w:b w:val="0"/>
          <w:bCs w:val="0"/>
          <w:i w:val="0"/>
          <w:iCs w:val="0"/>
          <w:color w:val="000000"/>
          <w:kern w:val="0"/>
          <w:sz w:val="32"/>
          <w:szCs w:val="32"/>
          <w:highlight w:val="none"/>
          <w:shd w:val="clear" w:color="auto" w:fill="FFFFFF"/>
          <w:lang w:val="zh-CN" w:eastAsia="zh-CN"/>
        </w:rPr>
        <w:t>（一）评价结论。</w:t>
      </w:r>
    </w:p>
    <w:p w14:paraId="3961AB4F">
      <w:pPr>
        <w:keepNext w:val="0"/>
        <w:keepLines w:val="0"/>
        <w:pageBreakBefore w:val="0"/>
        <w:kinsoku/>
        <w:wordWrap/>
        <w:overflowPunct/>
        <w:topLinePunct w:val="0"/>
        <w:autoSpaceDE/>
        <w:autoSpaceDN/>
        <w:bidi w:val="0"/>
        <w:spacing w:line="560" w:lineRule="exact"/>
        <w:ind w:left="0" w:firstLine="640" w:firstLineChars="200"/>
        <w:textAlignment w:val="auto"/>
        <w:rPr>
          <w:rFonts w:hint="eastAsia" w:ascii="宋体" w:hAnsi="宋体" w:eastAsia="宋体" w:cs="宋体"/>
          <w:b/>
          <w:bCs/>
          <w:color w:val="000000"/>
          <w:kern w:val="0"/>
          <w:sz w:val="32"/>
          <w:szCs w:val="32"/>
          <w:shd w:val="clear" w:color="auto" w:fill="FFFFFF"/>
          <w:lang w:val="zh-CN"/>
        </w:rPr>
      </w:pPr>
      <w:r>
        <w:rPr>
          <w:rFonts w:hint="eastAsia" w:ascii="仿宋_GB2312" w:hAnsi="宋体" w:eastAsia="仿宋_GB2312" w:cs="宋体"/>
          <w:color w:val="auto"/>
          <w:kern w:val="0"/>
          <w:sz w:val="32"/>
          <w:szCs w:val="32"/>
          <w:shd w:val="clear" w:color="auto" w:fill="FFFFFF"/>
          <w:lang w:val="zh-CN"/>
        </w:rPr>
        <w:t>按照预算绩效管理要求，本部门对20</w:t>
      </w:r>
      <w:r>
        <w:rPr>
          <w:rFonts w:hint="eastAsia" w:ascii="仿宋_GB2312" w:hAnsi="宋体" w:eastAsia="仿宋_GB2312" w:cs="宋体"/>
          <w:color w:val="auto"/>
          <w:kern w:val="0"/>
          <w:sz w:val="32"/>
          <w:szCs w:val="32"/>
          <w:shd w:val="clear" w:color="auto" w:fill="FFFFFF"/>
          <w:lang w:val="en-US" w:eastAsia="zh-CN"/>
        </w:rPr>
        <w:t>23</w:t>
      </w:r>
      <w:r>
        <w:rPr>
          <w:rFonts w:hint="eastAsia" w:ascii="仿宋_GB2312" w:hAnsi="宋体" w:eastAsia="仿宋_GB2312" w:cs="宋体"/>
          <w:color w:val="auto"/>
          <w:kern w:val="0"/>
          <w:sz w:val="32"/>
          <w:szCs w:val="32"/>
          <w:shd w:val="clear" w:color="auto" w:fill="FFFFFF"/>
          <w:lang w:val="zh-CN"/>
        </w:rPr>
        <w:t>年整体支出开展绩效自评，自评得分</w:t>
      </w:r>
      <w:r>
        <w:rPr>
          <w:rFonts w:hint="eastAsia" w:ascii="仿宋_GB2312" w:hAnsi="宋体" w:eastAsia="仿宋_GB2312" w:cs="宋体"/>
          <w:color w:val="auto"/>
          <w:kern w:val="0"/>
          <w:sz w:val="32"/>
          <w:szCs w:val="32"/>
          <w:shd w:val="clear" w:color="auto" w:fill="FFFFFF"/>
          <w:lang w:val="en-US" w:eastAsia="zh-CN"/>
        </w:rPr>
        <w:t>90</w:t>
      </w:r>
      <w:r>
        <w:rPr>
          <w:rFonts w:hint="eastAsia" w:ascii="仿宋_GB2312" w:hAnsi="宋体" w:eastAsia="仿宋_GB2312" w:cs="宋体"/>
          <w:color w:val="auto"/>
          <w:kern w:val="0"/>
          <w:sz w:val="32"/>
          <w:szCs w:val="32"/>
          <w:shd w:val="clear" w:color="auto" w:fill="FFFFFF"/>
          <w:lang w:val="zh-CN"/>
        </w:rPr>
        <w:t>分。20</w:t>
      </w:r>
      <w:r>
        <w:rPr>
          <w:rFonts w:hint="eastAsia" w:ascii="仿宋_GB2312" w:hAnsi="宋体" w:eastAsia="仿宋_GB2312" w:cs="宋体"/>
          <w:color w:val="auto"/>
          <w:kern w:val="0"/>
          <w:sz w:val="32"/>
          <w:szCs w:val="32"/>
          <w:shd w:val="clear" w:color="auto" w:fill="FFFFFF"/>
          <w:lang w:val="en-US" w:eastAsia="zh-CN"/>
        </w:rPr>
        <w:t>23</w:t>
      </w:r>
      <w:r>
        <w:rPr>
          <w:rFonts w:hint="eastAsia" w:ascii="仿宋_GB2312" w:hAnsi="宋体" w:eastAsia="仿宋_GB2312" w:cs="宋体"/>
          <w:color w:val="auto"/>
          <w:kern w:val="0"/>
          <w:sz w:val="32"/>
          <w:szCs w:val="32"/>
          <w:shd w:val="clear" w:color="auto" w:fill="FFFFFF"/>
          <w:lang w:val="zh-CN"/>
        </w:rPr>
        <w:t>年，我</w:t>
      </w:r>
      <w:r>
        <w:rPr>
          <w:rFonts w:hint="eastAsia" w:ascii="仿宋_GB2312" w:hAnsi="宋体" w:eastAsia="仿宋_GB2312" w:cs="宋体"/>
          <w:color w:val="auto"/>
          <w:kern w:val="0"/>
          <w:sz w:val="32"/>
          <w:szCs w:val="32"/>
          <w:shd w:val="clear" w:color="auto" w:fill="FFFFFF"/>
          <w:lang w:val="en-US" w:eastAsia="zh-CN"/>
        </w:rPr>
        <w:t>单位</w:t>
      </w:r>
      <w:r>
        <w:rPr>
          <w:rFonts w:hint="eastAsia" w:ascii="仿宋_GB2312" w:hAnsi="宋体" w:eastAsia="仿宋_GB2312" w:cs="宋体"/>
          <w:color w:val="auto"/>
          <w:kern w:val="0"/>
          <w:sz w:val="32"/>
          <w:szCs w:val="32"/>
          <w:shd w:val="clear" w:color="auto" w:fill="FFFFFF"/>
          <w:lang w:val="zh-CN"/>
        </w:rPr>
        <w:t>整体上完成了年初设定的绩效目标，充分发挥了财政资金的经济效益、社会效益。积极推动预算绩效管理工作深入开展，切实增强预算编制的科学性、合理性和可行性，提升了编制质量。绩效目标设置完整、明确、量化、合理，覆盖全部项目，能反映年度履行法律监督职能情况。在预算执行管理工作中，严格按照预算确定的资金类别和用途执行，实时监控预算执行进度。</w:t>
      </w:r>
    </w:p>
    <w:p w14:paraId="1AD24AAD">
      <w:pPr>
        <w:keepNext w:val="0"/>
        <w:keepLines w:val="0"/>
        <w:pageBreakBefore w:val="0"/>
        <w:widowControl/>
        <w:kinsoku/>
        <w:wordWrap/>
        <w:overflowPunct/>
        <w:topLinePunct w:val="0"/>
        <w:autoSpaceDE/>
        <w:autoSpaceDN/>
        <w:bidi w:val="0"/>
        <w:adjustRightInd w:val="0"/>
        <w:snapToGrid w:val="0"/>
        <w:spacing w:line="560" w:lineRule="exact"/>
        <w:ind w:left="0" w:firstLine="640" w:firstLineChars="200"/>
        <w:contextualSpacing/>
        <w:jc w:val="left"/>
        <w:textAlignment w:val="auto"/>
        <w:rPr>
          <w:rFonts w:hint="eastAsia" w:ascii="Times New Roman" w:hAnsi="Times New Roman" w:eastAsia="楷体_GB2312" w:cs="Times New Roman"/>
          <w:b w:val="0"/>
          <w:bCs w:val="0"/>
          <w:i w:val="0"/>
          <w:iCs w:val="0"/>
          <w:color w:val="000000"/>
          <w:kern w:val="0"/>
          <w:sz w:val="32"/>
          <w:szCs w:val="32"/>
          <w:highlight w:val="none"/>
          <w:shd w:val="clear" w:color="auto" w:fill="FFFFFF"/>
          <w:lang w:val="zh-CN" w:eastAsia="zh-CN"/>
        </w:rPr>
      </w:pPr>
      <w:r>
        <w:rPr>
          <w:rFonts w:hint="eastAsia" w:ascii="Times New Roman" w:hAnsi="Times New Roman" w:eastAsia="楷体_GB2312" w:cs="Times New Roman"/>
          <w:b w:val="0"/>
          <w:bCs w:val="0"/>
          <w:i w:val="0"/>
          <w:iCs w:val="0"/>
          <w:color w:val="000000"/>
          <w:kern w:val="0"/>
          <w:sz w:val="32"/>
          <w:szCs w:val="32"/>
          <w:highlight w:val="none"/>
          <w:shd w:val="clear" w:color="auto" w:fill="FFFFFF"/>
          <w:lang w:val="zh-CN" w:eastAsia="zh-CN"/>
        </w:rPr>
        <w:t>（二）存在问题。</w:t>
      </w:r>
    </w:p>
    <w:p w14:paraId="0FD658A2">
      <w:pPr>
        <w:keepNext w:val="0"/>
        <w:keepLines w:val="0"/>
        <w:pageBreakBefore w:val="0"/>
        <w:kinsoku/>
        <w:wordWrap/>
        <w:overflowPunct/>
        <w:topLinePunct w:val="0"/>
        <w:autoSpaceDE/>
        <w:autoSpaceDN/>
        <w:bidi w:val="0"/>
        <w:spacing w:line="560" w:lineRule="exact"/>
        <w:ind w:left="0" w:firstLine="640" w:firstLineChars="200"/>
        <w:contextualSpacing/>
        <w:textAlignment w:val="auto"/>
        <w:rPr>
          <w:rFonts w:hint="eastAsia" w:ascii="仿宋_GB2312" w:hAnsi="Times New Roman" w:eastAsia="仿宋_GB2312" w:cs="Times New Roman"/>
          <w:sz w:val="32"/>
          <w:szCs w:val="32"/>
          <w:lang w:val="zh-CN" w:eastAsia="zh-CN"/>
        </w:rPr>
      </w:pPr>
      <w:r>
        <w:rPr>
          <w:rFonts w:hint="eastAsia" w:ascii="仿宋_GB2312" w:hAnsi="Times New Roman" w:eastAsia="仿宋_GB2312" w:cs="Times New Roman"/>
          <w:sz w:val="32"/>
          <w:szCs w:val="32"/>
          <w:lang w:val="zh-CN" w:eastAsia="zh-CN"/>
        </w:rPr>
        <w:t>一是绩效目标管理意识淡薄；二是加快预算执行进度，确保资金使用及时、有效；三是预算编制精准度不够。</w:t>
      </w:r>
    </w:p>
    <w:p w14:paraId="0F6C5A42">
      <w:pPr>
        <w:keepNext w:val="0"/>
        <w:keepLines w:val="0"/>
        <w:pageBreakBefore w:val="0"/>
        <w:widowControl/>
        <w:kinsoku/>
        <w:wordWrap/>
        <w:overflowPunct/>
        <w:topLinePunct w:val="0"/>
        <w:autoSpaceDE/>
        <w:autoSpaceDN/>
        <w:bidi w:val="0"/>
        <w:adjustRightInd w:val="0"/>
        <w:snapToGrid w:val="0"/>
        <w:spacing w:line="560" w:lineRule="exact"/>
        <w:ind w:left="0" w:firstLine="640" w:firstLineChars="200"/>
        <w:contextualSpacing/>
        <w:jc w:val="left"/>
        <w:textAlignment w:val="auto"/>
        <w:rPr>
          <w:rFonts w:hint="eastAsia" w:ascii="Times New Roman" w:hAnsi="Times New Roman" w:eastAsia="楷体_GB2312" w:cs="Times New Roman"/>
          <w:b w:val="0"/>
          <w:bCs w:val="0"/>
          <w:i w:val="0"/>
          <w:iCs w:val="0"/>
          <w:color w:val="000000"/>
          <w:kern w:val="0"/>
          <w:sz w:val="32"/>
          <w:szCs w:val="32"/>
          <w:highlight w:val="none"/>
          <w:shd w:val="clear" w:color="auto" w:fill="FFFFFF"/>
          <w:lang w:val="zh-CN" w:eastAsia="zh-CN"/>
        </w:rPr>
      </w:pPr>
      <w:r>
        <w:rPr>
          <w:rFonts w:hint="eastAsia" w:ascii="Times New Roman" w:hAnsi="Times New Roman" w:eastAsia="楷体_GB2312" w:cs="Times New Roman"/>
          <w:b w:val="0"/>
          <w:bCs w:val="0"/>
          <w:i w:val="0"/>
          <w:iCs w:val="0"/>
          <w:color w:val="000000"/>
          <w:kern w:val="0"/>
          <w:sz w:val="32"/>
          <w:szCs w:val="32"/>
          <w:highlight w:val="none"/>
          <w:shd w:val="clear" w:color="auto" w:fill="FFFFFF"/>
          <w:lang w:val="zh-CN" w:eastAsia="zh-CN"/>
        </w:rPr>
        <w:t>（三）改进建议。</w:t>
      </w:r>
    </w:p>
    <w:p w14:paraId="0282C3C5">
      <w:pPr>
        <w:keepNext w:val="0"/>
        <w:keepLines w:val="0"/>
        <w:pageBreakBefore w:val="0"/>
        <w:kinsoku/>
        <w:wordWrap/>
        <w:overflowPunct/>
        <w:topLinePunct w:val="0"/>
        <w:autoSpaceDE/>
        <w:autoSpaceDN/>
        <w:bidi w:val="0"/>
        <w:spacing w:line="560" w:lineRule="exact"/>
        <w:ind w:left="0" w:firstLine="640" w:firstLineChars="200"/>
        <w:contextualSpacing/>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在今后的工作中，将严格执行预算法、预决算相关规定，继续发挥上下联动效力，加强预算编制的统筹管理，增强需求测算科学性，强化预算编制指导工作，继续加强支出进度管理，加强支出绩效跟踪，继续推进预算绩效评价，提高预算执行绩效，落实绩效评价结果应用。同时，建议财政部门：多组织交流学习，针对预算绩效管理工作的难点、重点，多组织专业培训，全面提高预算绩效管理水平。</w:t>
      </w:r>
    </w:p>
    <w:p w14:paraId="040F5B24">
      <w:pPr>
        <w:pStyle w:val="8"/>
        <w:rPr>
          <w:rFonts w:hAnsi="宋体" w:cs="宋体"/>
          <w:kern w:val="0"/>
          <w:sz w:val="32"/>
          <w:szCs w:val="32"/>
          <w:shd w:val="clear" w:color="auto" w:fill="FFFFFF"/>
          <w:lang w:val="zh-CN"/>
        </w:rPr>
      </w:pPr>
    </w:p>
    <w:p w14:paraId="4DFBC0E6">
      <w:pPr>
        <w:rPr>
          <w:rFonts w:hAnsi="宋体" w:cs="宋体"/>
          <w:kern w:val="0"/>
          <w:sz w:val="32"/>
          <w:szCs w:val="32"/>
          <w:shd w:val="clear" w:color="auto" w:fill="FFFFFF"/>
          <w:lang w:val="zh-CN"/>
        </w:rPr>
      </w:pPr>
    </w:p>
    <w:p w14:paraId="6E407A8B">
      <w:pPr>
        <w:rPr>
          <w:rFonts w:hAnsi="宋体" w:cs="宋体"/>
          <w:kern w:val="0"/>
          <w:sz w:val="32"/>
          <w:szCs w:val="32"/>
          <w:shd w:val="clear" w:color="auto" w:fill="FFFFFF"/>
          <w:lang w:val="zh-CN"/>
        </w:rPr>
      </w:pPr>
    </w:p>
    <w:p w14:paraId="5F649917">
      <w:pPr>
        <w:rPr>
          <w:rFonts w:hAnsi="宋体" w:cs="宋体"/>
          <w:kern w:val="0"/>
          <w:sz w:val="32"/>
          <w:szCs w:val="32"/>
          <w:shd w:val="clear" w:color="auto" w:fill="FFFFFF"/>
          <w:lang w:val="zh-CN"/>
        </w:rPr>
      </w:pPr>
    </w:p>
    <w:p w14:paraId="117FC7F3">
      <w:pPr>
        <w:rPr>
          <w:rFonts w:hAnsi="宋体" w:cs="宋体"/>
          <w:kern w:val="0"/>
          <w:sz w:val="32"/>
          <w:szCs w:val="32"/>
          <w:shd w:val="clear" w:color="auto" w:fill="FFFFFF"/>
          <w:lang w:val="zh-CN"/>
        </w:rPr>
      </w:pPr>
    </w:p>
    <w:p w14:paraId="07D72AF0">
      <w:pPr>
        <w:rPr>
          <w:rFonts w:hAnsi="宋体" w:cs="宋体"/>
          <w:kern w:val="0"/>
          <w:sz w:val="32"/>
          <w:szCs w:val="32"/>
          <w:shd w:val="clear" w:color="auto" w:fill="FFFFFF"/>
          <w:lang w:val="zh-CN"/>
        </w:rPr>
      </w:pPr>
    </w:p>
    <w:p w14:paraId="33D68C0B">
      <w:pPr>
        <w:rPr>
          <w:rFonts w:hAnsi="宋体" w:cs="宋体"/>
          <w:kern w:val="0"/>
          <w:sz w:val="32"/>
          <w:szCs w:val="32"/>
          <w:shd w:val="clear" w:color="auto" w:fill="FFFFFF"/>
          <w:lang w:val="zh-CN"/>
        </w:rPr>
      </w:pPr>
    </w:p>
    <w:p w14:paraId="39DDC9D1">
      <w:pPr>
        <w:pStyle w:val="39"/>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eastAsia" w:hAnsi="宋体" w:cs="宋体"/>
          <w:kern w:val="0"/>
          <w:sz w:val="32"/>
          <w:szCs w:val="32"/>
          <w:shd w:val="clear" w:color="auto" w:fill="FFFFFF"/>
          <w:lang w:val="en-US" w:eastAsia="zh-CN"/>
        </w:rPr>
      </w:pPr>
    </w:p>
    <w:p w14:paraId="7A6A2EC0">
      <w:pPr>
        <w:pStyle w:val="39"/>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eastAsia" w:hAnsi="宋体" w:cs="宋体"/>
          <w:kern w:val="0"/>
          <w:sz w:val="32"/>
          <w:szCs w:val="32"/>
          <w:shd w:val="clear" w:color="auto" w:fill="FFFFFF"/>
          <w:lang w:val="en-US" w:eastAsia="zh-CN"/>
        </w:rPr>
      </w:pPr>
    </w:p>
    <w:p w14:paraId="4C17CC0F">
      <w:pPr>
        <w:pStyle w:val="39"/>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eastAsia" w:hAnsi="宋体" w:cs="宋体"/>
          <w:kern w:val="0"/>
          <w:sz w:val="32"/>
          <w:szCs w:val="32"/>
          <w:shd w:val="clear" w:color="auto" w:fill="FFFFFF"/>
          <w:lang w:val="en-US" w:eastAsia="zh-CN"/>
        </w:rPr>
      </w:pPr>
      <w:r>
        <w:rPr>
          <w:rFonts w:hint="eastAsia" w:hAnsi="宋体" w:cs="宋体"/>
          <w:kern w:val="0"/>
          <w:sz w:val="32"/>
          <w:szCs w:val="32"/>
          <w:shd w:val="clear" w:color="auto" w:fill="FFFFFF"/>
          <w:lang w:val="en-US" w:eastAsia="zh-CN"/>
        </w:rPr>
        <w:t>附件2：</w:t>
      </w:r>
    </w:p>
    <w:p w14:paraId="0244B1A0">
      <w:pPr>
        <w:pStyle w:val="39"/>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eastAsia" w:hAnsi="宋体" w:cs="宋体"/>
          <w:kern w:val="0"/>
          <w:sz w:val="32"/>
          <w:szCs w:val="32"/>
          <w:shd w:val="clear" w:color="auto" w:fill="FFFFFF"/>
          <w:lang w:val="en-US" w:eastAsia="zh-CN"/>
        </w:rPr>
      </w:pPr>
    </w:p>
    <w:p w14:paraId="4A09BD34">
      <w:pPr>
        <w:pStyle w:val="39"/>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简体" w:cs="Times New Roman"/>
          <w:b w:val="0"/>
          <w:bCs w:val="0"/>
          <w:i w:val="0"/>
          <w:iCs w:val="0"/>
          <w:color w:val="auto"/>
          <w:kern w:val="2"/>
          <w:sz w:val="44"/>
          <w:szCs w:val="44"/>
          <w:highlight w:val="none"/>
          <w:lang w:val="en-US" w:eastAsia="zh-CN"/>
        </w:rPr>
      </w:pPr>
      <w:r>
        <w:rPr>
          <w:rFonts w:hint="eastAsia" w:ascii="Times New Roman" w:hAnsi="Times New Roman" w:eastAsia="方正小标宋简体" w:cs="Times New Roman"/>
          <w:b w:val="0"/>
          <w:bCs w:val="0"/>
          <w:i w:val="0"/>
          <w:iCs w:val="0"/>
          <w:color w:val="auto"/>
          <w:kern w:val="2"/>
          <w:sz w:val="44"/>
          <w:szCs w:val="44"/>
          <w:highlight w:val="none"/>
          <w:lang w:val="en-US" w:eastAsia="zh-CN"/>
        </w:rPr>
        <w:t>2023年度人道救助</w:t>
      </w:r>
      <w:r>
        <w:rPr>
          <w:rFonts w:hint="default" w:ascii="Times New Roman" w:hAnsi="Times New Roman" w:eastAsia="方正小标宋简体" w:cs="Times New Roman"/>
          <w:b w:val="0"/>
          <w:bCs w:val="0"/>
          <w:i w:val="0"/>
          <w:iCs w:val="0"/>
          <w:color w:val="auto"/>
          <w:kern w:val="2"/>
          <w:sz w:val="44"/>
          <w:szCs w:val="44"/>
          <w:highlight w:val="none"/>
          <w:lang w:val="en-US" w:eastAsia="zh-CN"/>
        </w:rPr>
        <w:t>项目绩效评价报告</w:t>
      </w:r>
    </w:p>
    <w:p w14:paraId="5E5F06D8">
      <w:pPr>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hint="default" w:ascii="Times New Roman" w:hAnsi="Times New Roman" w:eastAsia="宋体" w:cs="Times New Roman"/>
          <w:b w:val="0"/>
          <w:bCs w:val="0"/>
          <w:i w:val="0"/>
          <w:iCs w:val="0"/>
          <w:color w:val="auto"/>
          <w:kern w:val="2"/>
          <w:sz w:val="32"/>
          <w:szCs w:val="32"/>
          <w:highlight w:val="none"/>
          <w:lang w:val="zh-CN" w:eastAsia="zh-CN" w:bidi="ar-SA"/>
        </w:rPr>
      </w:pPr>
    </w:p>
    <w:p w14:paraId="6AB49300">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黑体" w:cs="Times New Roman"/>
          <w:b w:val="0"/>
          <w:bCs w:val="0"/>
          <w:i w:val="0"/>
          <w:iCs w:val="0"/>
          <w:sz w:val="32"/>
          <w:szCs w:val="32"/>
          <w:highlight w:val="none"/>
          <w:lang w:val="zh-CN"/>
        </w:rPr>
      </w:pPr>
      <w:r>
        <w:rPr>
          <w:rFonts w:hint="default" w:ascii="Times New Roman" w:hAnsi="Times New Roman" w:eastAsia="黑体" w:cs="Times New Roman"/>
          <w:b w:val="0"/>
          <w:bCs w:val="0"/>
          <w:i w:val="0"/>
          <w:iCs w:val="0"/>
          <w:sz w:val="32"/>
          <w:szCs w:val="32"/>
          <w:highlight w:val="none"/>
        </w:rPr>
        <w:t>一、</w:t>
      </w:r>
      <w:r>
        <w:rPr>
          <w:rFonts w:hint="default" w:ascii="Times New Roman" w:hAnsi="Times New Roman" w:eastAsia="黑体" w:cs="Times New Roman"/>
          <w:b w:val="0"/>
          <w:bCs w:val="0"/>
          <w:i w:val="0"/>
          <w:iCs w:val="0"/>
          <w:sz w:val="32"/>
          <w:szCs w:val="32"/>
          <w:highlight w:val="none"/>
          <w:lang w:val="zh-CN"/>
        </w:rPr>
        <w:t>项目概况</w:t>
      </w:r>
    </w:p>
    <w:p w14:paraId="5074F54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Times New Roman"/>
          <w:b w:val="0"/>
          <w:bCs w:val="0"/>
          <w:i w:val="0"/>
          <w:iCs w:val="0"/>
          <w:color w:val="auto"/>
          <w:kern w:val="0"/>
          <w:position w:val="0"/>
          <w:sz w:val="32"/>
          <w:szCs w:val="32"/>
          <w:highlight w:val="none"/>
          <w:u w:val="none"/>
          <w:shd w:val="clear" w:color="auto" w:fill="FFFFFF"/>
          <w:lang w:val="en-US"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（一）设立背景及基本情况。</w:t>
      </w:r>
      <w:r>
        <w:rPr>
          <w:rFonts w:hint="default" w:ascii="Times New Roman" w:hAnsi="Times New Roman" w:eastAsia="仿宋_GB2312" w:cs="Times New Roman"/>
          <w:b w:val="0"/>
          <w:bCs w:val="0"/>
          <w:i w:val="0"/>
          <w:iCs w:val="0"/>
          <w:kern w:val="0"/>
          <w:position w:val="0"/>
          <w:sz w:val="32"/>
          <w:szCs w:val="32"/>
          <w:highlight w:val="none"/>
          <w:lang w:val="en-US" w:eastAsia="zh-CN" w:bidi="ar-SA"/>
        </w:rPr>
        <w:t>本项目旨在响应社会对弱势群体人道关怀的迫切需求，由区红十字会发起并实施。项目设立背景基于区域内存在一定数量的因病致贫、因灾受困等需要帮助的人群。项目通过提供紧急救援金、生活物资援助及心理支持等方式，缓解受助者的困境，传递社会温暖。项目立项依据为</w:t>
      </w:r>
      <w:r>
        <w:rPr>
          <w:rFonts w:hint="eastAsia" w:eastAsia="仿宋_GB2312" w:cs="Times New Roman"/>
          <w:b w:val="0"/>
          <w:bCs w:val="0"/>
          <w:i w:val="0"/>
          <w:iCs w:val="0"/>
          <w:kern w:val="0"/>
          <w:position w:val="0"/>
          <w:sz w:val="32"/>
          <w:szCs w:val="32"/>
          <w:highlight w:val="none"/>
          <w:lang w:val="en-US" w:eastAsia="zh-CN" w:bidi="ar-SA"/>
        </w:rPr>
        <w:t>《中华人民共和国红十字会法》</w:t>
      </w:r>
      <w:r>
        <w:rPr>
          <w:rFonts w:hint="default" w:ascii="Times New Roman" w:hAnsi="Times New Roman" w:eastAsia="仿宋_GB2312" w:cs="Times New Roman"/>
          <w:b w:val="0"/>
          <w:bCs w:val="0"/>
          <w:i w:val="0"/>
          <w:iCs w:val="0"/>
          <w:kern w:val="0"/>
          <w:position w:val="0"/>
          <w:sz w:val="32"/>
          <w:szCs w:val="32"/>
          <w:highlight w:val="none"/>
          <w:lang w:val="en-US" w:eastAsia="zh-CN" w:bidi="ar-SA"/>
        </w:rPr>
        <w:t>及相关政策文件。</w:t>
      </w:r>
    </w:p>
    <w:p w14:paraId="36FFF88A">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（二）</w:t>
      </w:r>
      <w:r>
        <w:rPr>
          <w:rFonts w:hint="default" w:ascii="Times New Roman" w:hAnsi="Times New Roman" w:eastAsia="楷体_GB2312" w:cs="Times New Roman"/>
          <w:b w:val="0"/>
          <w:bCs w:val="0"/>
          <w:i w:val="0"/>
          <w:iCs w:val="0"/>
          <w:color w:val="auto"/>
          <w:sz w:val="32"/>
          <w:szCs w:val="32"/>
          <w:highlight w:val="none"/>
          <w:u w:val="none"/>
          <w:lang w:val="en-US" w:eastAsia="zh-CN"/>
        </w:rPr>
        <w:t>实施目的及支持方向。</w:t>
      </w:r>
      <w:r>
        <w:rPr>
          <w:rFonts w:hint="default" w:ascii="Times New Roman" w:hAnsi="Times New Roman" w:eastAsia="仿宋_GB2312" w:cs="Times New Roman"/>
          <w:b w:val="0"/>
          <w:bCs w:val="0"/>
          <w:i w:val="0"/>
          <w:iCs w:val="0"/>
          <w:kern w:val="0"/>
          <w:position w:val="0"/>
          <w:sz w:val="32"/>
          <w:szCs w:val="32"/>
          <w:highlight w:val="none"/>
          <w:lang w:val="en-US" w:eastAsia="zh-CN" w:bidi="ar-SA"/>
        </w:rPr>
        <w:t>项目实施目的在于为区域内符合条件的弱势群体提供及时、有效的人道救助，改善其生活状况，促进社会和谐稳定。项目支持方向主要包括：紧急救援金发放，用于支付医疗费用、</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助学金</w:t>
      </w:r>
      <w:r>
        <w:rPr>
          <w:rFonts w:hint="default" w:ascii="Times New Roman" w:hAnsi="Times New Roman" w:eastAsia="仿宋_GB2312" w:cs="Times New Roman"/>
          <w:b w:val="0"/>
          <w:bCs w:val="0"/>
          <w:i w:val="0"/>
          <w:iCs w:val="0"/>
          <w:kern w:val="0"/>
          <w:position w:val="0"/>
          <w:sz w:val="32"/>
          <w:szCs w:val="32"/>
          <w:highlight w:val="none"/>
          <w:lang w:val="en-US" w:eastAsia="zh-CN" w:bidi="ar-SA"/>
        </w:rPr>
        <w:t>等紧急需求；生活物资援助，如食品、衣物、日常用品等。</w:t>
      </w:r>
    </w:p>
    <w:p w14:paraId="3608BFE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eastAsia="zh-CN"/>
        </w:rPr>
        <w:t>（三）</w:t>
      </w:r>
      <w:r>
        <w:rPr>
          <w:rFonts w:hint="default" w:ascii="Times New Roman" w:hAnsi="Times New Roman" w:eastAsia="楷体_GB2312" w:cs="Times New Roman"/>
          <w:b w:val="0"/>
          <w:bCs w:val="0"/>
          <w:i w:val="0"/>
          <w:iCs w:val="0"/>
          <w:color w:val="auto"/>
          <w:sz w:val="32"/>
          <w:szCs w:val="32"/>
          <w:highlight w:val="none"/>
          <w:u w:val="none"/>
          <w:lang w:val="en-US" w:eastAsia="zh-CN"/>
        </w:rPr>
        <w:t>预算安排及分配管理</w:t>
      </w:r>
      <w:r>
        <w:rPr>
          <w:rFonts w:hint="default" w:ascii="Times New Roman" w:hAnsi="Times New Roman" w:eastAsia="楷体_GB2312" w:cs="Times New Roman"/>
          <w:b w:val="0"/>
          <w:bCs w:val="0"/>
          <w:i w:val="0"/>
          <w:iCs w:val="0"/>
          <w:color w:val="auto"/>
          <w:sz w:val="32"/>
          <w:szCs w:val="32"/>
          <w:highlight w:val="none"/>
          <w:u w:val="none"/>
          <w:lang w:val="zh-CN" w:eastAsia="zh-CN"/>
        </w:rPr>
        <w:t>。</w:t>
      </w:r>
      <w:r>
        <w:rPr>
          <w:rFonts w:hint="default" w:ascii="Times New Roman" w:hAnsi="Times New Roman" w:eastAsia="仿宋_GB2312" w:cs="Times New Roman"/>
          <w:b w:val="0"/>
          <w:bCs w:val="0"/>
          <w:i w:val="0"/>
          <w:iCs w:val="0"/>
          <w:kern w:val="0"/>
          <w:position w:val="0"/>
          <w:sz w:val="32"/>
          <w:szCs w:val="32"/>
          <w:highlight w:val="none"/>
          <w:lang w:val="zh-CN" w:eastAsia="zh-CN" w:bidi="ar-SA"/>
        </w:rPr>
        <w:t>该项目202</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3</w:t>
      </w:r>
      <w:r>
        <w:rPr>
          <w:rFonts w:hint="default" w:ascii="Times New Roman" w:hAnsi="Times New Roman" w:eastAsia="仿宋_GB2312" w:cs="Times New Roman"/>
          <w:b w:val="0"/>
          <w:bCs w:val="0"/>
          <w:i w:val="0"/>
          <w:iCs w:val="0"/>
          <w:kern w:val="0"/>
          <w:position w:val="0"/>
          <w:sz w:val="32"/>
          <w:szCs w:val="32"/>
          <w:highlight w:val="none"/>
          <w:lang w:val="zh-CN" w:eastAsia="zh-CN" w:bidi="ar-SA"/>
        </w:rPr>
        <w:t>年预算金额为</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5</w:t>
      </w:r>
      <w:r>
        <w:rPr>
          <w:rFonts w:hint="default" w:ascii="Times New Roman" w:hAnsi="Times New Roman" w:eastAsia="仿宋_GB2312" w:cs="Times New Roman"/>
          <w:b w:val="0"/>
          <w:bCs w:val="0"/>
          <w:i w:val="0"/>
          <w:iCs w:val="0"/>
          <w:kern w:val="0"/>
          <w:position w:val="0"/>
          <w:sz w:val="32"/>
          <w:szCs w:val="32"/>
          <w:highlight w:val="none"/>
          <w:lang w:val="zh-CN" w:eastAsia="zh-CN" w:bidi="ar-SA"/>
        </w:rPr>
        <w:t>万元，实际支出</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5</w:t>
      </w:r>
      <w:r>
        <w:rPr>
          <w:rFonts w:hint="default" w:ascii="Times New Roman" w:hAnsi="Times New Roman" w:eastAsia="仿宋_GB2312" w:cs="Times New Roman"/>
          <w:b w:val="0"/>
          <w:bCs w:val="0"/>
          <w:i w:val="0"/>
          <w:iCs w:val="0"/>
          <w:kern w:val="0"/>
          <w:position w:val="0"/>
          <w:sz w:val="32"/>
          <w:szCs w:val="32"/>
          <w:highlight w:val="none"/>
          <w:lang w:val="zh-CN" w:eastAsia="zh-CN" w:bidi="ar-SA"/>
        </w:rPr>
        <w:t>万元，资金主要用于紧急救援金发放，用于支付医疗费用、助学金等紧急需求；生活物资援助，如食品、衣物、日常用品等。资金分配过程经过严格审批，确保资金使用的透明度和合规性。</w:t>
      </w:r>
    </w:p>
    <w:p w14:paraId="2740321D">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eastAsia="zh-CN"/>
        </w:rPr>
        <w:t>（四）项目绩效目标设置。</w:t>
      </w:r>
      <w:r>
        <w:rPr>
          <w:rFonts w:hint="default" w:ascii="Times New Roman" w:hAnsi="Times New Roman" w:eastAsia="仿宋_GB2312" w:cs="Times New Roman"/>
          <w:b w:val="0"/>
          <w:bCs w:val="0"/>
          <w:i w:val="0"/>
          <w:iCs w:val="0"/>
          <w:kern w:val="0"/>
          <w:position w:val="0"/>
          <w:sz w:val="32"/>
          <w:szCs w:val="32"/>
          <w:highlight w:val="none"/>
          <w:lang w:val="zh-CN" w:eastAsia="zh-CN" w:bidi="ar-SA"/>
        </w:rPr>
        <w:t>项目整体绩效目标设定为：在一年内，至少为</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200</w:t>
      </w:r>
      <w:r>
        <w:rPr>
          <w:rFonts w:hint="default" w:ascii="Times New Roman" w:hAnsi="Times New Roman" w:eastAsia="仿宋_GB2312" w:cs="Times New Roman"/>
          <w:b w:val="0"/>
          <w:bCs w:val="0"/>
          <w:i w:val="0"/>
          <w:iCs w:val="0"/>
          <w:kern w:val="0"/>
          <w:position w:val="0"/>
          <w:sz w:val="32"/>
          <w:szCs w:val="32"/>
          <w:highlight w:val="none"/>
          <w:lang w:val="zh-CN" w:eastAsia="zh-CN" w:bidi="ar-SA"/>
        </w:rPr>
        <w:t>名符合条件的弱势群体提供人道救助，其中紧急救援金惠及率达到80%，生活物资援助覆盖率达到90%，满意度达到95%以上。项目自评工作由区红十字会内部评估小组负责，定期收集数据，评估项目进展与成效。项目自评工作由区红十字会内部评估小组负责，定期开展自评，确保项目按既定目标推进。</w:t>
      </w:r>
    </w:p>
    <w:p w14:paraId="0D86C6CD">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黑体" w:cs="Times New Roman"/>
          <w:b w:val="0"/>
          <w:bCs w:val="0"/>
          <w:i w:val="0"/>
          <w:iCs w:val="0"/>
          <w:sz w:val="32"/>
          <w:szCs w:val="32"/>
          <w:highlight w:val="none"/>
          <w:lang w:eastAsia="zh-CN"/>
        </w:rPr>
      </w:pPr>
      <w:r>
        <w:rPr>
          <w:rFonts w:hint="default" w:ascii="Times New Roman" w:hAnsi="Times New Roman" w:eastAsia="黑体" w:cs="Times New Roman"/>
          <w:b w:val="0"/>
          <w:bCs w:val="0"/>
          <w:i w:val="0"/>
          <w:iCs w:val="0"/>
          <w:sz w:val="32"/>
          <w:szCs w:val="32"/>
          <w:highlight w:val="none"/>
        </w:rPr>
        <w:t>二、</w:t>
      </w:r>
      <w:r>
        <w:rPr>
          <w:rFonts w:hint="default" w:ascii="Times New Roman" w:hAnsi="Times New Roman" w:eastAsia="黑体" w:cs="Times New Roman"/>
          <w:b w:val="0"/>
          <w:bCs w:val="0"/>
          <w:i w:val="0"/>
          <w:iCs w:val="0"/>
          <w:sz w:val="32"/>
          <w:szCs w:val="32"/>
          <w:highlight w:val="none"/>
          <w:lang w:eastAsia="zh-CN"/>
        </w:rPr>
        <w:t>评价实施</w:t>
      </w:r>
    </w:p>
    <w:p w14:paraId="7A71D455">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（一）评价目的。</w:t>
      </w:r>
      <w:r>
        <w:rPr>
          <w:rFonts w:hint="default" w:ascii="Times New Roman" w:hAnsi="Times New Roman" w:eastAsia="仿宋_GB2312" w:cs="Times New Roman"/>
          <w:b w:val="0"/>
          <w:bCs w:val="0"/>
          <w:i w:val="0"/>
          <w:iCs w:val="0"/>
          <w:kern w:val="0"/>
          <w:position w:val="0"/>
          <w:sz w:val="32"/>
          <w:szCs w:val="32"/>
          <w:highlight w:val="none"/>
          <w:lang w:val="zh-CN" w:eastAsia="zh-CN" w:bidi="ar-SA"/>
        </w:rPr>
        <w:t>通过项目绩效自评，全面评估人道救助项目的实施效果，包括资金使用情况、救助对象满意度、社会影响等方面，为项目后续优化提供科学依据。</w:t>
      </w:r>
    </w:p>
    <w:p w14:paraId="267FB548">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（二）预设问题及评价重点。</w:t>
      </w:r>
      <w:r>
        <w:rPr>
          <w:rFonts w:hint="default" w:ascii="Times New Roman" w:hAnsi="Times New Roman" w:eastAsia="仿宋_GB2312" w:cs="Times New Roman"/>
          <w:b w:val="0"/>
          <w:bCs w:val="0"/>
          <w:i w:val="0"/>
          <w:iCs w:val="0"/>
          <w:kern w:val="0"/>
          <w:position w:val="0"/>
          <w:sz w:val="32"/>
          <w:szCs w:val="32"/>
          <w:highlight w:val="none"/>
          <w:lang w:val="zh-CN" w:eastAsia="zh-CN" w:bidi="ar-SA"/>
        </w:rPr>
        <w:t>预设问题包括：资金是否按预算使用？救助对象选择是否公正合理？救助措施是否有效缓解了受助者的困境？社会反响如何？评价重点将围绕这些问题展开，对项目实施的全过程及成效进行综合评价。</w:t>
      </w:r>
    </w:p>
    <w:p w14:paraId="71823D3D">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（三）评价选点。</w:t>
      </w:r>
      <w:r>
        <w:rPr>
          <w:rFonts w:hint="default" w:ascii="Times New Roman" w:hAnsi="Times New Roman" w:eastAsia="仿宋_GB2312" w:cs="Times New Roman"/>
          <w:b w:val="0"/>
          <w:bCs w:val="0"/>
          <w:i w:val="0"/>
          <w:iCs w:val="0"/>
          <w:kern w:val="0"/>
          <w:position w:val="0"/>
          <w:sz w:val="32"/>
          <w:szCs w:val="32"/>
          <w:highlight w:val="none"/>
          <w:lang w:val="zh-CN" w:eastAsia="zh-CN" w:bidi="ar-SA"/>
        </w:rPr>
        <w:t>项目绩效自评抽样点位覆盖了不同类型的受助对象，包括因病致贫家庭、因灾受困群众等，确保评价结果的代表性和全面性。</w:t>
      </w:r>
    </w:p>
    <w:p w14:paraId="3B9F276C">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（四）评价方法。</w:t>
      </w:r>
      <w:r>
        <w:rPr>
          <w:rFonts w:hint="default" w:ascii="Times New Roman" w:hAnsi="Times New Roman" w:eastAsia="仿宋_GB2312" w:cs="Times New Roman"/>
          <w:b w:val="0"/>
          <w:bCs w:val="0"/>
          <w:i w:val="0"/>
          <w:iCs w:val="0"/>
          <w:kern w:val="0"/>
          <w:position w:val="0"/>
          <w:sz w:val="32"/>
          <w:szCs w:val="32"/>
          <w:highlight w:val="none"/>
          <w:lang w:val="zh-CN" w:eastAsia="zh-CN" w:bidi="ar-SA"/>
        </w:rPr>
        <w:t>采用问卷调查法收集受助者反馈，了解其对救助措施的满意度和需求；通过实地勘察法验证救助物资的实际发放情况；结合案卷研究法审查项目文档资料，确保评价工作的客观性和准确性。</w:t>
      </w:r>
    </w:p>
    <w:p w14:paraId="3056CB40">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（五）评价组织。</w:t>
      </w:r>
      <w:r>
        <w:rPr>
          <w:rFonts w:hint="default" w:ascii="Times New Roman" w:hAnsi="Times New Roman" w:eastAsia="仿宋_GB2312" w:cs="Times New Roman"/>
          <w:b w:val="0"/>
          <w:bCs w:val="0"/>
          <w:i w:val="0"/>
          <w:iCs w:val="0"/>
          <w:kern w:val="0"/>
          <w:position w:val="0"/>
          <w:sz w:val="32"/>
          <w:szCs w:val="32"/>
          <w:highlight w:val="none"/>
          <w:lang w:val="zh-CN" w:eastAsia="zh-CN" w:bidi="ar-SA"/>
        </w:rPr>
        <w:t>评价组由区红十字会</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相关领导与工作人员</w:t>
      </w:r>
      <w:r>
        <w:rPr>
          <w:rFonts w:hint="default" w:ascii="Times New Roman" w:hAnsi="Times New Roman" w:eastAsia="仿宋_GB2312" w:cs="Times New Roman"/>
          <w:b w:val="0"/>
          <w:bCs w:val="0"/>
          <w:i w:val="0"/>
          <w:iCs w:val="0"/>
          <w:kern w:val="0"/>
          <w:position w:val="0"/>
          <w:sz w:val="32"/>
          <w:szCs w:val="32"/>
          <w:highlight w:val="none"/>
          <w:lang w:val="zh-CN" w:eastAsia="zh-CN" w:bidi="ar-SA"/>
        </w:rPr>
        <w:t>组成，分工明确，各司其职，确保评价工作的客观性和专业性。</w:t>
      </w:r>
    </w:p>
    <w:p w14:paraId="71A9AE40">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b w:val="0"/>
          <w:bCs w:val="0"/>
          <w:i w:val="0"/>
          <w:iCs w:val="0"/>
          <w:color w:val="auto"/>
          <w:sz w:val="32"/>
          <w:szCs w:val="32"/>
          <w:highlight w:val="none"/>
          <w:u w:val="none"/>
          <w:lang w:val="zh-CN"/>
        </w:rPr>
      </w:pPr>
      <w:r>
        <w:rPr>
          <w:rFonts w:hint="default" w:ascii="Times New Roman" w:hAnsi="Times New Roman" w:eastAsia="黑体" w:cs="Times New Roman"/>
          <w:b w:val="0"/>
          <w:bCs w:val="0"/>
          <w:i w:val="0"/>
          <w:iCs w:val="0"/>
          <w:color w:val="auto"/>
          <w:sz w:val="32"/>
          <w:szCs w:val="32"/>
          <w:highlight w:val="none"/>
          <w:u w:val="none"/>
        </w:rPr>
        <w:t>三、</w:t>
      </w:r>
      <w:r>
        <w:rPr>
          <w:rFonts w:hint="default" w:ascii="Times New Roman" w:hAnsi="Times New Roman" w:eastAsia="黑体" w:cs="Times New Roman"/>
          <w:b w:val="0"/>
          <w:bCs w:val="0"/>
          <w:i w:val="0"/>
          <w:iCs w:val="0"/>
          <w:color w:val="auto"/>
          <w:sz w:val="32"/>
          <w:szCs w:val="32"/>
          <w:highlight w:val="none"/>
          <w:u w:val="none"/>
          <w:lang w:eastAsia="zh-CN"/>
        </w:rPr>
        <w:t>绩效分析</w:t>
      </w:r>
      <w:r>
        <w:rPr>
          <w:rFonts w:hint="default" w:ascii="Times New Roman" w:hAnsi="Times New Roman" w:eastAsia="仿宋_GB2312" w:cs="Times New Roman"/>
          <w:b w:val="0"/>
          <w:bCs w:val="0"/>
          <w:i w:val="0"/>
          <w:iCs w:val="0"/>
          <w:color w:val="auto"/>
          <w:sz w:val="32"/>
          <w:szCs w:val="32"/>
          <w:highlight w:val="none"/>
          <w:u w:val="none"/>
          <w:lang w:val="zh-CN"/>
        </w:rPr>
        <w:tab/>
      </w:r>
    </w:p>
    <w:p w14:paraId="0F00B966">
      <w:pPr>
        <w:spacing w:line="600" w:lineRule="exact"/>
        <w:ind w:firstLine="640" w:firstLineChars="200"/>
        <w:outlineLvl w:val="2"/>
        <w:rPr>
          <w:rFonts w:hint="default" w:ascii="Times New Roman" w:hAnsi="Times New Roman" w:eastAsia="楷体_GB2312" w:cs="Times New Roman"/>
          <w:b w:val="0"/>
          <w:bCs w:val="0"/>
          <w:i w:val="0"/>
          <w:iCs w:val="0"/>
          <w:color w:val="auto"/>
          <w:sz w:val="32"/>
          <w:szCs w:val="32"/>
          <w:highlight w:val="none"/>
          <w:lang w:val="en-US" w:eastAsia="zh-CN"/>
        </w:rPr>
      </w:pPr>
      <w:r>
        <w:rPr>
          <w:rFonts w:hint="default" w:ascii="Times New Roman" w:hAnsi="Times New Roman" w:eastAsia="楷体_GB2312" w:cs="Times New Roman"/>
          <w:b w:val="0"/>
          <w:bCs w:val="0"/>
          <w:i w:val="0"/>
          <w:iCs w:val="0"/>
          <w:color w:val="auto"/>
          <w:sz w:val="32"/>
          <w:szCs w:val="32"/>
          <w:highlight w:val="none"/>
          <w:lang w:val="zh-CN"/>
        </w:rPr>
        <w:t>（一）</w:t>
      </w:r>
      <w:r>
        <w:rPr>
          <w:rFonts w:hint="default" w:ascii="Times New Roman" w:hAnsi="Times New Roman" w:eastAsia="楷体_GB2312" w:cs="Times New Roman"/>
          <w:b w:val="0"/>
          <w:bCs w:val="0"/>
          <w:i w:val="0"/>
          <w:iCs w:val="0"/>
          <w:color w:val="auto"/>
          <w:sz w:val="32"/>
          <w:szCs w:val="32"/>
          <w:highlight w:val="none"/>
          <w:lang w:val="en-US" w:eastAsia="zh-CN"/>
        </w:rPr>
        <w:t>通用指标</w:t>
      </w:r>
      <w:r>
        <w:rPr>
          <w:rFonts w:hint="default" w:ascii="Times New Roman" w:hAnsi="Times New Roman" w:eastAsia="楷体_GB2312" w:cs="Times New Roman"/>
          <w:b w:val="0"/>
          <w:bCs w:val="0"/>
          <w:i w:val="0"/>
          <w:iCs w:val="0"/>
          <w:color w:val="auto"/>
          <w:sz w:val="32"/>
          <w:szCs w:val="32"/>
          <w:highlight w:val="none"/>
          <w:lang w:val="zh-CN"/>
        </w:rPr>
        <w:t>绩效分析。</w:t>
      </w:r>
    </w:p>
    <w:p w14:paraId="1701CAC0">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sz w:val="32"/>
          <w:szCs w:val="32"/>
          <w:lang w:val="en-US" w:eastAsia="zh-CN"/>
        </w:rPr>
        <w:t>1.</w:t>
      </w:r>
      <w:r>
        <w:rPr>
          <w:rFonts w:hint="default" w:ascii="Times New Roman" w:hAnsi="Times New Roman" w:eastAsia="仿宋_GB2312" w:cs="Times New Roman"/>
          <w:b w:val="0"/>
          <w:bCs w:val="0"/>
          <w:i w:val="0"/>
          <w:iCs w:val="0"/>
          <w:color w:val="auto"/>
          <w:sz w:val="32"/>
          <w:szCs w:val="32"/>
          <w:lang w:eastAsia="zh-CN"/>
        </w:rPr>
        <w:t>项目决策。</w:t>
      </w:r>
      <w:r>
        <w:rPr>
          <w:rFonts w:hint="default" w:ascii="Times New Roman" w:hAnsi="Times New Roman" w:eastAsia="仿宋_GB2312" w:cs="Times New Roman"/>
          <w:b w:val="0"/>
          <w:bCs w:val="0"/>
          <w:i w:val="0"/>
          <w:iCs w:val="0"/>
          <w:kern w:val="0"/>
          <w:position w:val="0"/>
          <w:sz w:val="32"/>
          <w:szCs w:val="32"/>
          <w:highlight w:val="none"/>
          <w:lang w:val="zh-CN" w:eastAsia="zh-CN" w:bidi="ar-SA"/>
        </w:rPr>
        <w:t>决策程序规范，规划论证充分，资金投向合理。</w:t>
      </w:r>
    </w:p>
    <w:p w14:paraId="6806CCF9">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仿宋_GB2312" w:cs="Times New Roman"/>
          <w:b w:val="0"/>
          <w:bCs w:val="0"/>
          <w:i w:val="0"/>
          <w:iCs w:val="0"/>
          <w:color w:val="auto"/>
          <w:sz w:val="32"/>
          <w:szCs w:val="32"/>
          <w:lang w:val="zh-CN" w:eastAsia="zh-CN"/>
        </w:rPr>
      </w:pPr>
      <w:r>
        <w:rPr>
          <w:rFonts w:hint="default" w:ascii="Times New Roman" w:hAnsi="Times New Roman" w:eastAsia="仿宋_GB2312" w:cs="Times New Roman"/>
          <w:b w:val="0"/>
          <w:bCs w:val="0"/>
          <w:i w:val="0"/>
          <w:iCs w:val="0"/>
          <w:color w:val="auto"/>
          <w:sz w:val="32"/>
          <w:szCs w:val="32"/>
          <w:lang w:val="en-US" w:eastAsia="zh-CN"/>
        </w:rPr>
        <w:t>2.</w:t>
      </w:r>
      <w:r>
        <w:rPr>
          <w:rFonts w:hint="default" w:ascii="Times New Roman" w:hAnsi="Times New Roman" w:eastAsia="仿宋_GB2312" w:cs="Times New Roman"/>
          <w:b w:val="0"/>
          <w:bCs w:val="0"/>
          <w:i w:val="0"/>
          <w:iCs w:val="0"/>
          <w:color w:val="auto"/>
          <w:sz w:val="32"/>
          <w:szCs w:val="32"/>
          <w:lang w:eastAsia="zh-CN"/>
        </w:rPr>
        <w:t>项目管理。制度健全，分配管理严格，绩效监管到位。</w:t>
      </w:r>
    </w:p>
    <w:p w14:paraId="75F07F0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sz w:val="32"/>
          <w:szCs w:val="32"/>
          <w:lang w:val="en-US" w:eastAsia="zh-CN"/>
        </w:rPr>
        <w:t>3.项目实施。</w:t>
      </w:r>
      <w:r>
        <w:rPr>
          <w:rFonts w:hint="default" w:ascii="Times New Roman" w:hAnsi="Times New Roman" w:eastAsia="仿宋_GB2312" w:cs="Times New Roman"/>
          <w:b w:val="0"/>
          <w:bCs w:val="0"/>
          <w:i w:val="0"/>
          <w:iCs w:val="0"/>
          <w:kern w:val="0"/>
          <w:position w:val="0"/>
          <w:sz w:val="32"/>
          <w:szCs w:val="32"/>
          <w:highlight w:val="none"/>
          <w:lang w:val="zh-CN" w:eastAsia="zh-CN" w:bidi="ar-SA"/>
        </w:rPr>
        <w:t>预算执行率高，资金使用合规。</w:t>
      </w:r>
    </w:p>
    <w:p w14:paraId="5625F57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sz w:val="32"/>
          <w:szCs w:val="32"/>
          <w:lang w:val="en-US" w:eastAsia="zh-CN"/>
        </w:rPr>
        <w:t>4.项目结果。</w:t>
      </w:r>
      <w:r>
        <w:rPr>
          <w:rFonts w:hint="default" w:ascii="Times New Roman" w:hAnsi="Times New Roman" w:eastAsia="仿宋_GB2312" w:cs="Times New Roman"/>
          <w:b w:val="0"/>
          <w:bCs w:val="0"/>
          <w:i w:val="0"/>
          <w:iCs w:val="0"/>
          <w:kern w:val="0"/>
          <w:position w:val="0"/>
          <w:sz w:val="32"/>
          <w:szCs w:val="32"/>
          <w:highlight w:val="none"/>
          <w:lang w:val="en-US" w:eastAsia="zh-CN" w:bidi="ar-SA"/>
        </w:rPr>
        <w:t>目标基本完成，完成时效符合预期。</w:t>
      </w:r>
    </w:p>
    <w:p w14:paraId="23E34910">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楷体_GB2312" w:cs="Times New Roman"/>
          <w:b w:val="0"/>
          <w:bCs w:val="0"/>
          <w:i w:val="0"/>
          <w:iCs w:val="0"/>
          <w:color w:val="auto"/>
          <w:sz w:val="32"/>
          <w:szCs w:val="32"/>
          <w:highlight w:val="none"/>
          <w:lang w:val="zh-CN"/>
        </w:rPr>
      </w:pPr>
      <w:r>
        <w:rPr>
          <w:rFonts w:hint="default" w:ascii="Times New Roman" w:hAnsi="Times New Roman" w:eastAsia="楷体_GB2312" w:cs="Times New Roman"/>
          <w:b w:val="0"/>
          <w:bCs w:val="0"/>
          <w:i w:val="0"/>
          <w:iCs w:val="0"/>
          <w:color w:val="auto"/>
          <w:sz w:val="32"/>
          <w:szCs w:val="32"/>
          <w:highlight w:val="none"/>
          <w:lang w:val="zh-CN"/>
        </w:rPr>
        <w:t>（二）</w:t>
      </w:r>
      <w:r>
        <w:rPr>
          <w:rFonts w:hint="default" w:ascii="Times New Roman" w:hAnsi="Times New Roman" w:eastAsia="楷体_GB2312" w:cs="Times New Roman"/>
          <w:b w:val="0"/>
          <w:bCs w:val="0"/>
          <w:i w:val="0"/>
          <w:iCs w:val="0"/>
          <w:color w:val="auto"/>
          <w:sz w:val="32"/>
          <w:szCs w:val="32"/>
          <w:highlight w:val="none"/>
          <w:lang w:val="en-US" w:eastAsia="zh-CN"/>
        </w:rPr>
        <w:t>专用指标</w:t>
      </w:r>
      <w:r>
        <w:rPr>
          <w:rFonts w:hint="default" w:ascii="Times New Roman" w:hAnsi="Times New Roman" w:eastAsia="楷体_GB2312" w:cs="Times New Roman"/>
          <w:b w:val="0"/>
          <w:bCs w:val="0"/>
          <w:i w:val="0"/>
          <w:iCs w:val="0"/>
          <w:color w:val="auto"/>
          <w:sz w:val="32"/>
          <w:szCs w:val="32"/>
          <w:highlight w:val="none"/>
          <w:lang w:val="zh-CN"/>
        </w:rPr>
        <w:t>绩效分析。</w:t>
      </w:r>
    </w:p>
    <w:p w14:paraId="287FA349">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b w:val="0"/>
          <w:bCs w:val="0"/>
          <w:i w:val="0"/>
          <w:iCs w:val="0"/>
          <w:color w:val="auto"/>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zh-CN" w:eastAsia="zh-CN"/>
        </w:rPr>
        <w:t>民生保障。</w:t>
      </w:r>
      <w:r>
        <w:rPr>
          <w:rFonts w:hint="default" w:ascii="Times New Roman" w:hAnsi="Times New Roman" w:eastAsia="仿宋_GB2312" w:cs="Times New Roman"/>
          <w:b w:val="0"/>
          <w:bCs w:val="0"/>
          <w:i w:val="0"/>
          <w:iCs w:val="0"/>
          <w:kern w:val="0"/>
          <w:position w:val="0"/>
          <w:sz w:val="32"/>
          <w:szCs w:val="32"/>
          <w:highlight w:val="none"/>
          <w:lang w:val="en-US" w:eastAsia="zh-CN" w:bidi="ar-SA"/>
        </w:rPr>
        <w:t>紧急救援金发放及时、到位；生活物资援助覆盖广泛、受助者反馈良好</w:t>
      </w:r>
    </w:p>
    <w:p w14:paraId="5459AC2E">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lang w:val="zh-CN"/>
        </w:rPr>
        <w:t>（三）</w:t>
      </w:r>
      <w:r>
        <w:rPr>
          <w:rFonts w:hint="default" w:ascii="Times New Roman" w:hAnsi="Times New Roman" w:eastAsia="楷体_GB2312" w:cs="Times New Roman"/>
          <w:b w:val="0"/>
          <w:bCs w:val="0"/>
          <w:i w:val="0"/>
          <w:iCs w:val="0"/>
          <w:color w:val="auto"/>
          <w:sz w:val="32"/>
          <w:szCs w:val="32"/>
          <w:highlight w:val="none"/>
          <w:lang w:val="en-US" w:eastAsia="zh-CN"/>
        </w:rPr>
        <w:t>个性指标</w:t>
      </w:r>
      <w:r>
        <w:rPr>
          <w:rFonts w:hint="default" w:ascii="Times New Roman" w:hAnsi="Times New Roman" w:eastAsia="楷体_GB2312" w:cs="Times New Roman"/>
          <w:b w:val="0"/>
          <w:bCs w:val="0"/>
          <w:i w:val="0"/>
          <w:iCs w:val="0"/>
          <w:color w:val="auto"/>
          <w:sz w:val="32"/>
          <w:szCs w:val="32"/>
          <w:highlight w:val="none"/>
          <w:lang w:val="zh-CN"/>
        </w:rPr>
        <w:t>绩效分析。</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项目创新性地结合了物质救助与心理支持两种手段，有效提升了救助效果；同时注重社会宣传与动员工作，增强了公众对红十字事业的认知与支持。</w:t>
      </w:r>
    </w:p>
    <w:p w14:paraId="4D0D89F3">
      <w:pPr>
        <w:pageBreakBefore w:val="0"/>
        <w:widowControl w:val="0"/>
        <w:numPr>
          <w:ilvl w:val="0"/>
          <w:numId w:val="0"/>
        </w:numPr>
        <w:tabs>
          <w:tab w:val="left" w:pos="2160"/>
        </w:tabs>
        <w:kinsoku/>
        <w:wordWrap/>
        <w:overflowPunct/>
        <w:topLinePunct w:val="0"/>
        <w:autoSpaceDE/>
        <w:autoSpaceDN/>
        <w:bidi w:val="0"/>
        <w:adjustRightInd/>
        <w:spacing w:before="93" w:beforeLines="30" w:line="600" w:lineRule="exact"/>
        <w:ind w:firstLine="640" w:firstLineChars="200"/>
        <w:jc w:val="both"/>
        <w:textAlignment w:val="auto"/>
        <w:rPr>
          <w:rFonts w:hint="default" w:ascii="Times New Roman" w:hAnsi="Times New Roman" w:eastAsia="黑体" w:cs="Times New Roman"/>
          <w:b w:val="0"/>
          <w:bCs w:val="0"/>
          <w:i w:val="0"/>
          <w:iCs w:val="0"/>
          <w:color w:val="auto"/>
          <w:kern w:val="2"/>
          <w:sz w:val="32"/>
          <w:szCs w:val="32"/>
          <w:highlight w:val="none"/>
          <w:u w:val="none"/>
          <w:lang w:val="en-US" w:eastAsia="zh-CN" w:bidi="ar-SA"/>
        </w:rPr>
      </w:pPr>
      <w:r>
        <w:rPr>
          <w:rFonts w:hint="default" w:ascii="Times New Roman" w:hAnsi="Times New Roman" w:eastAsia="黑体" w:cs="Times New Roman"/>
          <w:b w:val="0"/>
          <w:bCs w:val="0"/>
          <w:i w:val="0"/>
          <w:iCs w:val="0"/>
          <w:color w:val="auto"/>
          <w:kern w:val="2"/>
          <w:sz w:val="32"/>
          <w:szCs w:val="32"/>
          <w:highlight w:val="none"/>
          <w:u w:val="none"/>
          <w:lang w:val="en-US" w:eastAsia="zh-CN" w:bidi="ar-SA"/>
        </w:rPr>
        <w:t>四、评价结论</w:t>
      </w:r>
    </w:p>
    <w:p w14:paraId="1B63BBEE">
      <w:pPr>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line="600" w:lineRule="exact"/>
        <w:ind w:firstLine="640" w:firstLineChars="200"/>
        <w:jc w:val="both"/>
        <w:textAlignment w:val="auto"/>
        <w:rPr>
          <w:rFonts w:hint="eastAsia"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kern w:val="0"/>
          <w:position w:val="0"/>
          <w:sz w:val="32"/>
          <w:szCs w:val="32"/>
          <w:highlight w:val="none"/>
          <w:lang w:val="en-US" w:eastAsia="zh-CN" w:bidi="ar-SA"/>
        </w:rPr>
        <w:t>本次人道救助项目绩效自评总体结论为“优秀”。项目在有限的资金支持下，成功为区域内众多弱势群体提供了及时有效的人道救助服务，取得了显著的社会效益和公众认可。评价总分为</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87</w:t>
      </w:r>
      <w:r>
        <w:rPr>
          <w:rFonts w:hint="default" w:ascii="Times New Roman" w:hAnsi="Times New Roman" w:eastAsia="仿宋_GB2312" w:cs="Times New Roman"/>
          <w:b w:val="0"/>
          <w:bCs w:val="0"/>
          <w:i w:val="0"/>
          <w:iCs w:val="0"/>
          <w:kern w:val="0"/>
          <w:position w:val="0"/>
          <w:sz w:val="32"/>
          <w:szCs w:val="32"/>
          <w:highlight w:val="none"/>
          <w:lang w:val="en-US" w:eastAsia="zh-CN" w:bidi="ar-SA"/>
        </w:rPr>
        <w:t>分，充分证明了项目实施的有效性和高效性。</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 xml:space="preserve">    </w:t>
      </w:r>
    </w:p>
    <w:p w14:paraId="1A512A23">
      <w:pPr>
        <w:pageBreakBefore w:val="0"/>
        <w:widowControl w:val="0"/>
        <w:numPr>
          <w:ilvl w:val="0"/>
          <w:numId w:val="0"/>
        </w:numPr>
        <w:tabs>
          <w:tab w:val="left" w:pos="2160"/>
        </w:tabs>
        <w:kinsoku/>
        <w:wordWrap/>
        <w:overflowPunct/>
        <w:topLinePunct w:val="0"/>
        <w:autoSpaceDE/>
        <w:autoSpaceDN/>
        <w:bidi w:val="0"/>
        <w:adjustRightInd/>
        <w:spacing w:before="93" w:beforeLines="30" w:line="600" w:lineRule="exact"/>
        <w:ind w:firstLine="640" w:firstLineChars="200"/>
        <w:jc w:val="both"/>
        <w:textAlignment w:val="auto"/>
        <w:rPr>
          <w:rFonts w:hint="default" w:ascii="Times New Roman" w:hAnsi="Times New Roman" w:eastAsia="黑体" w:cs="Times New Roman"/>
          <w:b w:val="0"/>
          <w:bCs w:val="0"/>
          <w:i w:val="0"/>
          <w:iCs w:val="0"/>
          <w:color w:val="auto"/>
          <w:kern w:val="2"/>
          <w:sz w:val="32"/>
          <w:szCs w:val="32"/>
          <w:highlight w:val="none"/>
          <w:u w:val="none"/>
          <w:lang w:val="en-US" w:eastAsia="zh-CN" w:bidi="ar-SA"/>
        </w:rPr>
      </w:pPr>
      <w:r>
        <w:rPr>
          <w:rFonts w:hint="eastAsia" w:ascii="Times New Roman" w:hAnsi="Times New Roman" w:eastAsia="黑体" w:cs="Times New Roman"/>
          <w:b w:val="0"/>
          <w:bCs w:val="0"/>
          <w:i w:val="0"/>
          <w:iCs w:val="0"/>
          <w:color w:val="auto"/>
          <w:kern w:val="2"/>
          <w:sz w:val="32"/>
          <w:szCs w:val="32"/>
          <w:highlight w:val="none"/>
          <w:u w:val="none"/>
          <w:lang w:val="en-US" w:eastAsia="zh-CN" w:bidi="ar-SA"/>
        </w:rPr>
        <w:t>五、存在主要问题</w:t>
      </w:r>
    </w:p>
    <w:p w14:paraId="5807A47E">
      <w:pPr>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line="600" w:lineRule="exact"/>
        <w:ind w:firstLine="640" w:firstLineChars="200"/>
        <w:jc w:val="both"/>
        <w:textAlignment w:val="auto"/>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kern w:val="0"/>
          <w:position w:val="0"/>
          <w:sz w:val="32"/>
          <w:szCs w:val="32"/>
          <w:highlight w:val="none"/>
          <w:lang w:val="en-US" w:eastAsia="zh-CN" w:bidi="ar-SA"/>
        </w:rPr>
        <w:t>尽管项目整体实施效果良好，但在自评过程中也发现了一些问题：部分偏远地区受助者信息获取渠道有限，导致救助服务覆盖不够全面</w:t>
      </w:r>
    </w:p>
    <w:p w14:paraId="2BC32EA8">
      <w:pPr>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line="600" w:lineRule="exact"/>
        <w:ind w:firstLine="640" w:firstLineChars="200"/>
        <w:jc w:val="both"/>
        <w:textAlignment w:val="auto"/>
        <w:rPr>
          <w:rFonts w:hint="default" w:ascii="Times New Roman" w:hAnsi="Times New Roman" w:eastAsia="黑体" w:cs="Times New Roman"/>
          <w:b w:val="0"/>
          <w:bCs w:val="0"/>
          <w:i w:val="0"/>
          <w:iCs w:val="0"/>
          <w:color w:val="auto"/>
          <w:kern w:val="0"/>
          <w:position w:val="3"/>
          <w:sz w:val="32"/>
          <w:szCs w:val="32"/>
          <w:highlight w:val="none"/>
          <w:u w:val="none"/>
          <w:lang w:val="zh-CN" w:eastAsia="zh-CN" w:bidi="ar-SA"/>
        </w:rPr>
      </w:pPr>
      <w:r>
        <w:rPr>
          <w:rFonts w:hint="default" w:ascii="Times New Roman" w:hAnsi="Times New Roman" w:eastAsia="黑体" w:cs="Times New Roman"/>
          <w:b w:val="0"/>
          <w:bCs w:val="0"/>
          <w:i w:val="0"/>
          <w:iCs w:val="0"/>
          <w:color w:val="auto"/>
          <w:kern w:val="0"/>
          <w:position w:val="3"/>
          <w:sz w:val="32"/>
          <w:szCs w:val="32"/>
          <w:highlight w:val="none"/>
          <w:u w:val="none"/>
          <w:lang w:val="zh-CN" w:eastAsia="zh-CN" w:bidi="ar-SA"/>
        </w:rPr>
        <w:t>六、改进建议</w:t>
      </w:r>
    </w:p>
    <w:p w14:paraId="1D987CD8">
      <w:pPr>
        <w:tabs>
          <w:tab w:val="left" w:pos="1911"/>
        </w:tabs>
        <w:jc w:val="left"/>
        <w:rPr>
          <w:rFonts w:hint="eastAsia"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kern w:val="0"/>
          <w:position w:val="0"/>
          <w:sz w:val="32"/>
          <w:szCs w:val="32"/>
          <w:highlight w:val="none"/>
          <w:lang w:val="zh-CN" w:eastAsia="zh-CN" w:bidi="ar-SA"/>
        </w:rPr>
        <w:t xml:space="preserve"> </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 xml:space="preserve">  一是加强与基层组织的合作与交流，拓宽受助者信息获取渠道；二是积极争取更多社会资源的支持与合作，扩大心理咨询服务团队规模和服务范围；三是加强项目宣传与动员工作力度，提高公众对红十字事业的认知度和参与度；四是建立长效跟踪机制持续关注受助者后续生活状况并提供必要的后续支持。</w:t>
      </w:r>
    </w:p>
    <w:p w14:paraId="5858959F">
      <w:pPr>
        <w:rPr>
          <w:rFonts w:ascii="Calibri" w:hAnsi="Calibri" w:eastAsia="仿宋_GB2312"/>
          <w:sz w:val="32"/>
        </w:rPr>
      </w:pPr>
    </w:p>
    <w:p w14:paraId="5022C04B">
      <w:pPr>
        <w:rPr>
          <w:rFonts w:hint="default" w:hAnsi="宋体" w:eastAsia="宋体" w:cs="宋体"/>
          <w:kern w:val="0"/>
          <w:sz w:val="32"/>
          <w:szCs w:val="32"/>
          <w:shd w:val="clear" w:color="auto" w:fill="FFFFFF"/>
          <w:lang w:val="en-US" w:eastAsia="zh-CN"/>
        </w:rPr>
      </w:pPr>
    </w:p>
    <w:p w14:paraId="289C711D">
      <w:pPr>
        <w:rPr>
          <w:rFonts w:hAnsi="宋体" w:cs="宋体"/>
          <w:kern w:val="0"/>
          <w:sz w:val="32"/>
          <w:szCs w:val="32"/>
          <w:shd w:val="clear" w:color="auto" w:fill="FFFFFF"/>
          <w:lang w:val="zh-CN"/>
        </w:rPr>
      </w:pPr>
    </w:p>
    <w:p w14:paraId="4E1ADFDD">
      <w:pPr>
        <w:pStyle w:val="9"/>
        <w:numPr>
          <w:ilvl w:val="0"/>
          <w:numId w:val="0"/>
        </w:numPr>
        <w:rPr>
          <w:rFonts w:hAnsi="宋体" w:cs="宋体"/>
          <w:kern w:val="0"/>
          <w:sz w:val="32"/>
          <w:szCs w:val="32"/>
          <w:shd w:val="clear" w:color="auto" w:fill="FFFFFF"/>
          <w:lang w:val="zh-CN"/>
        </w:rPr>
      </w:pPr>
    </w:p>
    <w:p w14:paraId="33236CBA">
      <w:pPr>
        <w:pStyle w:val="9"/>
        <w:numPr>
          <w:ilvl w:val="0"/>
          <w:numId w:val="0"/>
        </w:numPr>
        <w:rPr>
          <w:rFonts w:hAnsi="宋体" w:cs="宋体"/>
          <w:kern w:val="0"/>
          <w:sz w:val="32"/>
          <w:szCs w:val="32"/>
          <w:shd w:val="clear" w:color="auto" w:fill="FFFFFF"/>
          <w:lang w:val="zh-CN"/>
        </w:rPr>
      </w:pPr>
    </w:p>
    <w:p w14:paraId="2C2B901A">
      <w:pPr>
        <w:pStyle w:val="9"/>
        <w:numPr>
          <w:ilvl w:val="0"/>
          <w:numId w:val="0"/>
        </w:numPr>
        <w:rPr>
          <w:rFonts w:hAnsi="宋体" w:cs="宋体"/>
          <w:kern w:val="0"/>
          <w:sz w:val="32"/>
          <w:szCs w:val="32"/>
          <w:shd w:val="clear" w:color="auto" w:fill="FFFFFF"/>
          <w:lang w:val="zh-CN"/>
        </w:rPr>
      </w:pPr>
    </w:p>
    <w:p w14:paraId="48FE9B57">
      <w:pPr>
        <w:pStyle w:val="9"/>
        <w:numPr>
          <w:ilvl w:val="0"/>
          <w:numId w:val="0"/>
        </w:numPr>
        <w:rPr>
          <w:rFonts w:hAnsi="宋体" w:cs="宋体"/>
          <w:kern w:val="0"/>
          <w:sz w:val="32"/>
          <w:szCs w:val="32"/>
          <w:shd w:val="clear" w:color="auto" w:fill="FFFFFF"/>
          <w:lang w:val="zh-CN"/>
        </w:rPr>
      </w:pPr>
    </w:p>
    <w:p w14:paraId="1BFA4C3F">
      <w:pPr>
        <w:pStyle w:val="9"/>
        <w:numPr>
          <w:ilvl w:val="0"/>
          <w:numId w:val="0"/>
        </w:numPr>
        <w:rPr>
          <w:rFonts w:hAnsi="宋体" w:cs="宋体"/>
          <w:kern w:val="0"/>
          <w:sz w:val="32"/>
          <w:szCs w:val="32"/>
          <w:shd w:val="clear" w:color="auto" w:fill="FFFFFF"/>
          <w:lang w:val="zh-CN"/>
        </w:rPr>
      </w:pPr>
    </w:p>
    <w:p w14:paraId="32AB94A3">
      <w:pPr>
        <w:pStyle w:val="9"/>
        <w:numPr>
          <w:ilvl w:val="0"/>
          <w:numId w:val="0"/>
        </w:numPr>
        <w:rPr>
          <w:rFonts w:hAnsi="宋体" w:cs="宋体"/>
          <w:kern w:val="0"/>
          <w:sz w:val="32"/>
          <w:szCs w:val="32"/>
          <w:shd w:val="clear" w:color="auto" w:fill="FFFFFF"/>
          <w:lang w:val="zh-CN"/>
        </w:rPr>
      </w:pPr>
    </w:p>
    <w:p w14:paraId="465F9FA3">
      <w:pPr>
        <w:pStyle w:val="9"/>
        <w:numPr>
          <w:ilvl w:val="0"/>
          <w:numId w:val="0"/>
        </w:numPr>
        <w:rPr>
          <w:rFonts w:hAnsi="宋体" w:cs="宋体"/>
          <w:kern w:val="0"/>
          <w:sz w:val="32"/>
          <w:szCs w:val="32"/>
          <w:shd w:val="clear" w:color="auto" w:fill="FFFFFF"/>
          <w:lang w:val="zh-CN"/>
        </w:rPr>
      </w:pPr>
    </w:p>
    <w:p w14:paraId="2D54A8DC">
      <w:pPr>
        <w:pStyle w:val="9"/>
        <w:numPr>
          <w:ilvl w:val="0"/>
          <w:numId w:val="0"/>
        </w:numPr>
        <w:rPr>
          <w:rFonts w:hAnsi="宋体" w:cs="宋体"/>
          <w:kern w:val="0"/>
          <w:sz w:val="32"/>
          <w:szCs w:val="32"/>
          <w:shd w:val="clear" w:color="auto" w:fill="FFFFFF"/>
          <w:lang w:val="zh-CN"/>
        </w:rPr>
      </w:pPr>
    </w:p>
    <w:p w14:paraId="26E9641C">
      <w:pPr>
        <w:pStyle w:val="9"/>
        <w:numPr>
          <w:ilvl w:val="0"/>
          <w:numId w:val="0"/>
        </w:numPr>
        <w:rPr>
          <w:rFonts w:hAnsi="宋体" w:cs="宋体"/>
          <w:kern w:val="0"/>
          <w:sz w:val="32"/>
          <w:szCs w:val="32"/>
          <w:shd w:val="clear" w:color="auto" w:fill="FFFFFF"/>
          <w:lang w:val="zh-CN"/>
        </w:rPr>
      </w:pPr>
    </w:p>
    <w:p w14:paraId="31875EC6">
      <w:pPr>
        <w:pStyle w:val="9"/>
        <w:numPr>
          <w:ilvl w:val="0"/>
          <w:numId w:val="0"/>
        </w:numPr>
        <w:rPr>
          <w:rFonts w:hAnsi="宋体" w:cs="宋体"/>
          <w:kern w:val="0"/>
          <w:sz w:val="32"/>
          <w:szCs w:val="32"/>
          <w:shd w:val="clear" w:color="auto" w:fill="FFFFFF"/>
          <w:lang w:val="zh-CN"/>
        </w:rPr>
      </w:pPr>
    </w:p>
    <w:p w14:paraId="1DFC9F87">
      <w:pPr>
        <w:pStyle w:val="9"/>
        <w:numPr>
          <w:ilvl w:val="0"/>
          <w:numId w:val="0"/>
        </w:numPr>
        <w:rPr>
          <w:rFonts w:hAnsi="宋体" w:cs="宋体"/>
          <w:kern w:val="0"/>
          <w:sz w:val="32"/>
          <w:szCs w:val="32"/>
          <w:shd w:val="clear" w:color="auto" w:fill="FFFFFF"/>
          <w:lang w:val="zh-CN"/>
        </w:rPr>
      </w:pPr>
    </w:p>
    <w:p w14:paraId="162E49B0">
      <w:pPr>
        <w:pStyle w:val="9"/>
        <w:numPr>
          <w:ilvl w:val="0"/>
          <w:numId w:val="0"/>
        </w:numPr>
        <w:rPr>
          <w:rFonts w:hAnsi="宋体" w:cs="宋体"/>
          <w:kern w:val="0"/>
          <w:sz w:val="32"/>
          <w:szCs w:val="32"/>
          <w:shd w:val="clear" w:color="auto" w:fill="FFFFFF"/>
          <w:lang w:val="zh-CN"/>
        </w:rPr>
      </w:pPr>
    </w:p>
    <w:p w14:paraId="7C7B5F03">
      <w:pPr>
        <w:pStyle w:val="9"/>
        <w:numPr>
          <w:ilvl w:val="0"/>
          <w:numId w:val="0"/>
        </w:numPr>
        <w:rPr>
          <w:rFonts w:hAnsi="宋体" w:cs="宋体"/>
          <w:kern w:val="0"/>
          <w:sz w:val="32"/>
          <w:szCs w:val="32"/>
          <w:shd w:val="clear" w:color="auto" w:fill="FFFFFF"/>
          <w:lang w:val="zh-CN"/>
        </w:rPr>
      </w:pPr>
    </w:p>
    <w:p w14:paraId="39CC98EE">
      <w:pPr>
        <w:pStyle w:val="9"/>
        <w:numPr>
          <w:ilvl w:val="0"/>
          <w:numId w:val="0"/>
        </w:numPr>
        <w:rPr>
          <w:rFonts w:hAnsi="宋体" w:cs="宋体"/>
          <w:kern w:val="0"/>
          <w:sz w:val="32"/>
          <w:szCs w:val="32"/>
          <w:shd w:val="clear" w:color="auto" w:fill="FFFFFF"/>
          <w:lang w:val="zh-CN"/>
        </w:rPr>
      </w:pPr>
    </w:p>
    <w:p w14:paraId="2DD97F20">
      <w:pPr>
        <w:spacing w:line="600" w:lineRule="exact"/>
        <w:jc w:val="center"/>
        <w:outlineLvl w:val="0"/>
        <w:rPr>
          <w:rFonts w:hint="eastAsia" w:ascii="黑体" w:hAnsi="黑体" w:eastAsia="黑体"/>
          <w:sz w:val="44"/>
          <w:szCs w:val="44"/>
        </w:rPr>
      </w:pPr>
      <w:bookmarkStart w:id="61" w:name="_Toc15396618"/>
    </w:p>
    <w:tbl>
      <w:tblPr>
        <w:tblStyle w:val="20"/>
        <w:tblW w:w="10266" w:type="dxa"/>
        <w:tblInd w:w="-43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0"/>
        <w:gridCol w:w="1500"/>
        <w:gridCol w:w="1305"/>
        <w:gridCol w:w="1457"/>
        <w:gridCol w:w="688"/>
        <w:gridCol w:w="794"/>
        <w:gridCol w:w="586"/>
        <w:gridCol w:w="855"/>
        <w:gridCol w:w="600"/>
        <w:gridCol w:w="570"/>
        <w:gridCol w:w="1131"/>
      </w:tblGrid>
      <w:tr w14:paraId="23303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 w:hRule="atLeast"/>
        </w:trPr>
        <w:tc>
          <w:tcPr>
            <w:tcW w:w="1026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825FD09">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534C1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790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8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82E1A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51090423T000007865284-人道救助</w:t>
            </w:r>
          </w:p>
        </w:tc>
      </w:tr>
      <w:tr w14:paraId="4D307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EC66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2A47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遂宁市安居区红十字会部门</w:t>
            </w:r>
          </w:p>
        </w:tc>
        <w:tc>
          <w:tcPr>
            <w:tcW w:w="855" w:type="dxa"/>
            <w:tcBorders>
              <w:top w:val="nil"/>
              <w:left w:val="nil"/>
              <w:bottom w:val="nil"/>
              <w:right w:val="nil"/>
            </w:tcBorders>
            <w:shd w:val="clear" w:color="auto" w:fill="auto"/>
            <w:vAlign w:val="center"/>
          </w:tcPr>
          <w:p w14:paraId="07AA74F4">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B68B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遂宁市安居区红十字会</w:t>
            </w:r>
          </w:p>
        </w:tc>
      </w:tr>
      <w:tr w14:paraId="1B563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409A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0E8D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1407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EF555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3F9A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9E624">
            <w:pP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44142">
            <w:pPr>
              <w:rPr>
                <w:rFonts w:hint="eastAsia" w:ascii="宋体" w:hAnsi="宋体" w:eastAsia="宋体" w:cs="宋体"/>
                <w:i w:val="0"/>
                <w:iCs w:val="0"/>
                <w:color w:val="000000"/>
                <w:sz w:val="18"/>
                <w:szCs w:val="18"/>
                <w:u w:val="none"/>
              </w:rPr>
            </w:pPr>
          </w:p>
        </w:tc>
        <w:tc>
          <w:tcPr>
            <w:tcW w:w="48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ED65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给予先天性心脏病、白血病、唇腭裂等重大疾病和特困群体人道救助</w:t>
            </w:r>
          </w:p>
        </w:tc>
        <w:tc>
          <w:tcPr>
            <w:tcW w:w="31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5D8E0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较好完成年初设定目标</w:t>
            </w:r>
          </w:p>
        </w:tc>
      </w:tr>
      <w:tr w14:paraId="4E6A9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FA8E2">
            <w:pPr>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C55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8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A6692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给予先天性心脏病、白血病、唇腭裂等重大疾病和特困群体人道救助</w:t>
            </w:r>
          </w:p>
        </w:tc>
      </w:tr>
      <w:tr w14:paraId="0B560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F82D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B4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1C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8C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9570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299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95D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81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FE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C29F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2F6D6">
            <w:pPr>
              <w:jc w:val="center"/>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18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E4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3DF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0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F855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B0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71.79%</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B12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E9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11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D63311">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w:t>
            </w:r>
          </w:p>
        </w:tc>
      </w:tr>
      <w:tr w14:paraId="35695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512BB">
            <w:pPr>
              <w:jc w:val="center"/>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D0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921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1A9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0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AD3A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7E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71.79%</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B00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F9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8413C">
            <w:pPr>
              <w:rPr>
                <w:rFonts w:hint="eastAsia" w:ascii="黑体" w:hAnsi="黑体" w:eastAsia="黑体" w:cs="黑体"/>
                <w:i/>
                <w:iCs/>
                <w:color w:val="000000"/>
                <w:sz w:val="18"/>
                <w:szCs w:val="18"/>
                <w:u w:val="none"/>
              </w:rPr>
            </w:pPr>
          </w:p>
        </w:tc>
      </w:tr>
      <w:tr w14:paraId="62D01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8F396">
            <w:pPr>
              <w:jc w:val="center"/>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52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B02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F5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1030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1B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7D7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F70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36A7E">
            <w:pPr>
              <w:rPr>
                <w:rFonts w:hint="eastAsia" w:ascii="黑体" w:hAnsi="黑体" w:eastAsia="黑体" w:cs="黑体"/>
                <w:i/>
                <w:iCs/>
                <w:color w:val="000000"/>
                <w:sz w:val="18"/>
                <w:szCs w:val="18"/>
                <w:u w:val="none"/>
              </w:rPr>
            </w:pPr>
          </w:p>
        </w:tc>
      </w:tr>
      <w:tr w14:paraId="3A079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083DC">
            <w:pPr>
              <w:jc w:val="center"/>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A5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63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7FD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82E3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32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DC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94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D8183">
            <w:pPr>
              <w:rPr>
                <w:rFonts w:hint="eastAsia" w:ascii="黑体" w:hAnsi="黑体" w:eastAsia="黑体" w:cs="黑体"/>
                <w:i/>
                <w:iCs/>
                <w:color w:val="000000"/>
                <w:sz w:val="18"/>
                <w:szCs w:val="18"/>
                <w:u w:val="none"/>
              </w:rPr>
            </w:pPr>
          </w:p>
        </w:tc>
      </w:tr>
      <w:tr w14:paraId="199AD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1B16B">
            <w:pPr>
              <w:jc w:val="center"/>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6CA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3172">
            <w:pPr>
              <w:jc w:val="center"/>
              <w:rPr>
                <w:rFonts w:hint="eastAsia" w:ascii="微软雅黑" w:hAnsi="微软雅黑" w:eastAsia="微软雅黑" w:cs="微软雅黑"/>
                <w:i/>
                <w:iCs/>
                <w:color w:val="000000"/>
                <w:sz w:val="16"/>
                <w:szCs w:val="16"/>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FB43">
            <w:pPr>
              <w:jc w:val="center"/>
              <w:rPr>
                <w:rFonts w:hint="eastAsia" w:ascii="微软雅黑" w:hAnsi="微软雅黑" w:eastAsia="微软雅黑" w:cs="微软雅黑"/>
                <w:i/>
                <w:iCs/>
                <w:color w:val="000000"/>
                <w:sz w:val="16"/>
                <w:szCs w:val="16"/>
                <w:u w:val="none"/>
              </w:rPr>
            </w:pPr>
          </w:p>
        </w:tc>
        <w:tc>
          <w:tcPr>
            <w:tcW w:w="20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C36C0E">
            <w:pPr>
              <w:jc w:val="center"/>
              <w:rPr>
                <w:rFonts w:hint="eastAsia" w:ascii="微软雅黑" w:hAnsi="微软雅黑" w:eastAsia="微软雅黑" w:cs="微软雅黑"/>
                <w:i/>
                <w:iCs/>
                <w:color w:val="000000"/>
                <w:sz w:val="16"/>
                <w:szCs w:val="16"/>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CA1F">
            <w:pPr>
              <w:jc w:val="center"/>
              <w:rPr>
                <w:rFonts w:hint="eastAsia" w:ascii="微软雅黑" w:hAnsi="微软雅黑" w:eastAsia="微软雅黑" w:cs="微软雅黑"/>
                <w:i/>
                <w:iCs/>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6A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693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90237">
            <w:pPr>
              <w:rPr>
                <w:rFonts w:hint="eastAsia" w:ascii="黑体" w:hAnsi="黑体" w:eastAsia="黑体" w:cs="黑体"/>
                <w:i/>
                <w:iCs/>
                <w:color w:val="000000"/>
                <w:sz w:val="18"/>
                <w:szCs w:val="18"/>
                <w:u w:val="none"/>
              </w:rPr>
            </w:pPr>
          </w:p>
        </w:tc>
      </w:tr>
      <w:tr w14:paraId="09A1B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2CDD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E39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99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03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6B0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05F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409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5E7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B4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556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BDE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3AE3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6B207">
            <w:pPr>
              <w:jc w:val="center"/>
              <w:rPr>
                <w:rFonts w:hint="eastAsia" w:ascii="宋体" w:hAnsi="宋体" w:eastAsia="宋体" w:cs="宋体"/>
                <w:i w:val="0"/>
                <w:iCs w:val="0"/>
                <w:color w:val="000000"/>
                <w:sz w:val="18"/>
                <w:szCs w:val="18"/>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13D0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D1E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75D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救助人数</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9D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02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B4C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C2A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248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35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CC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9833D">
            <w:pPr>
              <w:jc w:val="center"/>
              <w:rPr>
                <w:rFonts w:hint="eastAsia" w:ascii="微软雅黑" w:hAnsi="微软雅黑" w:eastAsia="微软雅黑" w:cs="微软雅黑"/>
                <w:i/>
                <w:iCs/>
                <w:color w:val="000000"/>
                <w:sz w:val="16"/>
                <w:szCs w:val="16"/>
                <w:u w:val="none"/>
              </w:rPr>
            </w:pPr>
          </w:p>
        </w:tc>
      </w:tr>
      <w:tr w14:paraId="2BFB8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BE1CF">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E9525">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7FA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EF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救助质量</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045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FF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优良差</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EA119">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FA1D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69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DD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80C9">
            <w:pPr>
              <w:jc w:val="center"/>
              <w:rPr>
                <w:rFonts w:hint="eastAsia" w:ascii="微软雅黑" w:hAnsi="微软雅黑" w:eastAsia="微软雅黑" w:cs="微软雅黑"/>
                <w:i/>
                <w:iCs/>
                <w:color w:val="000000"/>
                <w:sz w:val="16"/>
                <w:szCs w:val="16"/>
                <w:u w:val="none"/>
              </w:rPr>
            </w:pPr>
          </w:p>
        </w:tc>
      </w:tr>
      <w:tr w14:paraId="7F2A7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15400">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05BB2">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48B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A8E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救助项目完成时限</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84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10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972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8CF65">
            <w:pPr>
              <w:jc w:val="center"/>
              <w:rPr>
                <w:rFonts w:hint="eastAsia" w:ascii="微软雅黑" w:hAnsi="微软雅黑" w:eastAsia="微软雅黑" w:cs="微软雅黑"/>
                <w:i/>
                <w:iCs/>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75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B0D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0E83">
            <w:pPr>
              <w:jc w:val="center"/>
              <w:rPr>
                <w:rFonts w:hint="eastAsia" w:ascii="微软雅黑" w:hAnsi="微软雅黑" w:eastAsia="微软雅黑" w:cs="微软雅黑"/>
                <w:i/>
                <w:iCs/>
                <w:color w:val="000000"/>
                <w:sz w:val="16"/>
                <w:szCs w:val="16"/>
                <w:u w:val="none"/>
              </w:rPr>
            </w:pPr>
          </w:p>
        </w:tc>
      </w:tr>
      <w:tr w14:paraId="4BD3F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9F039">
            <w:pPr>
              <w:jc w:val="center"/>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FB0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4EB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CE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完善补充救助体系</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508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24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优良差</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BDDD">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5C0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634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37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686A1">
            <w:pPr>
              <w:jc w:val="center"/>
              <w:rPr>
                <w:rFonts w:hint="eastAsia" w:ascii="微软雅黑" w:hAnsi="微软雅黑" w:eastAsia="微软雅黑" w:cs="微软雅黑"/>
                <w:i/>
                <w:iCs/>
                <w:color w:val="000000"/>
                <w:sz w:val="16"/>
                <w:szCs w:val="16"/>
                <w:u w:val="none"/>
              </w:rPr>
            </w:pPr>
          </w:p>
        </w:tc>
      </w:tr>
      <w:tr w14:paraId="57727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6CFD7">
            <w:pPr>
              <w:jc w:val="center"/>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680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F83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DE2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被救助对象满意度</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436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83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90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786D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D07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49D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D3D29">
            <w:pPr>
              <w:jc w:val="center"/>
              <w:rPr>
                <w:rFonts w:hint="eastAsia" w:ascii="微软雅黑" w:hAnsi="微软雅黑" w:eastAsia="微软雅黑" w:cs="微软雅黑"/>
                <w:i/>
                <w:iCs/>
                <w:color w:val="000000"/>
                <w:sz w:val="16"/>
                <w:szCs w:val="16"/>
                <w:u w:val="none"/>
              </w:rPr>
            </w:pPr>
          </w:p>
        </w:tc>
      </w:tr>
      <w:tr w14:paraId="363A1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626CC">
            <w:pPr>
              <w:jc w:val="center"/>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8A0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A6E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CE3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救助项目经济成本</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E9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9F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A12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5B5C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3.59</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2B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88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3D164">
            <w:pPr>
              <w:jc w:val="center"/>
              <w:rPr>
                <w:rFonts w:hint="eastAsia" w:ascii="微软雅黑" w:hAnsi="微软雅黑" w:eastAsia="微软雅黑" w:cs="微软雅黑"/>
                <w:i/>
                <w:iCs/>
                <w:color w:val="000000"/>
                <w:sz w:val="16"/>
                <w:szCs w:val="16"/>
                <w:u w:val="none"/>
              </w:rPr>
            </w:pPr>
          </w:p>
        </w:tc>
      </w:tr>
      <w:tr w14:paraId="06A2C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796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B21F6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621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FD6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CCFBE">
            <w:pPr>
              <w:rPr>
                <w:rFonts w:hint="eastAsia" w:ascii="宋体" w:hAnsi="宋体" w:eastAsia="宋体" w:cs="宋体"/>
                <w:i w:val="0"/>
                <w:iCs w:val="0"/>
                <w:color w:val="000000"/>
                <w:sz w:val="18"/>
                <w:szCs w:val="18"/>
                <w:u w:val="none"/>
              </w:rPr>
            </w:pPr>
          </w:p>
        </w:tc>
      </w:tr>
      <w:tr w14:paraId="52010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03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82CB6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项目自评总分87分，有效实施了针对重大疾病及特困群体的救助工作，显著提升了受助者的生活质量和医疗条件，社会反响积极。</w:t>
            </w:r>
          </w:p>
        </w:tc>
      </w:tr>
      <w:tr w14:paraId="14080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812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044C7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存在问题主要为预算执行率不高，被救助对象满意度未达预期目标，需加强服务沟通和后续关怀。</w:t>
            </w:r>
          </w:p>
        </w:tc>
      </w:tr>
      <w:tr w14:paraId="4E9A6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DBB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64BA2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预算执行率问题，建议加强项目预算的精细化管理，提前评估潜在超支风险并预留应急资金。同时，增强与被救助对象的沟通，了解其具体需求，提升服务质量和满意度，力争在未来项目中实现更高水平的绩效目标。</w:t>
            </w:r>
          </w:p>
        </w:tc>
      </w:tr>
      <w:tr w14:paraId="0DF89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57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D40C2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项目负责人：左诗琪</w:t>
            </w:r>
          </w:p>
        </w:tc>
        <w:tc>
          <w:tcPr>
            <w:tcW w:w="45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C2539B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财务负责人：王娟</w:t>
            </w:r>
          </w:p>
        </w:tc>
      </w:tr>
    </w:tbl>
    <w:p w14:paraId="236AFB51">
      <w:pPr>
        <w:pStyle w:val="39"/>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eastAsia" w:ascii="Times New Roman" w:hAnsi="Times New Roman" w:eastAsia="方正小标宋简体" w:cs="Times New Roman"/>
          <w:b w:val="0"/>
          <w:bCs w:val="0"/>
          <w:i w:val="0"/>
          <w:iCs w:val="0"/>
          <w:color w:val="auto"/>
          <w:kern w:val="2"/>
          <w:sz w:val="44"/>
          <w:szCs w:val="44"/>
          <w:highlight w:val="none"/>
          <w:lang w:val="en-US" w:eastAsia="zh-CN"/>
        </w:rPr>
      </w:pPr>
      <w:r>
        <w:rPr>
          <w:rFonts w:hint="eastAsia" w:ascii="Times New Roman" w:hAnsi="Times New Roman" w:eastAsia="方正小标宋简体" w:cs="Times New Roman"/>
          <w:b w:val="0"/>
          <w:bCs w:val="0"/>
          <w:i w:val="0"/>
          <w:iCs w:val="0"/>
          <w:color w:val="auto"/>
          <w:kern w:val="2"/>
          <w:sz w:val="44"/>
          <w:szCs w:val="44"/>
          <w:highlight w:val="none"/>
          <w:lang w:val="en-US" w:eastAsia="zh-CN"/>
        </w:rPr>
        <w:t>附件3：</w:t>
      </w:r>
    </w:p>
    <w:p w14:paraId="7D6DB1E1">
      <w:pPr>
        <w:pStyle w:val="39"/>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简体" w:cs="Times New Roman"/>
          <w:b w:val="0"/>
          <w:bCs w:val="0"/>
          <w:i w:val="0"/>
          <w:iCs w:val="0"/>
          <w:color w:val="auto"/>
          <w:kern w:val="2"/>
          <w:sz w:val="44"/>
          <w:szCs w:val="44"/>
          <w:highlight w:val="none"/>
          <w:lang w:val="en-US" w:eastAsia="zh-CN"/>
        </w:rPr>
      </w:pPr>
      <w:r>
        <w:rPr>
          <w:rFonts w:hint="eastAsia" w:ascii="Times New Roman" w:hAnsi="Times New Roman" w:eastAsia="方正小标宋简体" w:cs="Times New Roman"/>
          <w:b w:val="0"/>
          <w:bCs w:val="0"/>
          <w:i w:val="0"/>
          <w:iCs w:val="0"/>
          <w:color w:val="auto"/>
          <w:kern w:val="2"/>
          <w:sz w:val="44"/>
          <w:szCs w:val="44"/>
          <w:highlight w:val="none"/>
          <w:lang w:val="en-US" w:eastAsia="zh-CN"/>
        </w:rPr>
        <w:t>2023年度</w:t>
      </w:r>
      <w:r>
        <w:rPr>
          <w:rFonts w:hint="default" w:ascii="Times New Roman" w:hAnsi="Times New Roman" w:eastAsia="方正小标宋简体" w:cs="Times New Roman"/>
          <w:b w:val="0"/>
          <w:bCs w:val="0"/>
          <w:i w:val="0"/>
          <w:iCs w:val="0"/>
          <w:color w:val="auto"/>
          <w:kern w:val="2"/>
          <w:sz w:val="44"/>
          <w:szCs w:val="44"/>
          <w:highlight w:val="none"/>
          <w:lang w:val="en-US" w:eastAsia="zh-CN"/>
        </w:rPr>
        <w:t>组织建设、应急救护培训、备灾救灾、“三救三献”宣传发动项目绩效评价报告</w:t>
      </w:r>
    </w:p>
    <w:p w14:paraId="135E3E1B">
      <w:pPr>
        <w:pStyle w:val="39"/>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hint="default" w:ascii="Times New Roman" w:hAnsi="Times New Roman" w:cs="Times New Roman"/>
          <w:b w:val="0"/>
          <w:bCs w:val="0"/>
          <w:i w:val="0"/>
          <w:iCs w:val="0"/>
          <w:color w:val="auto"/>
          <w:kern w:val="2"/>
          <w:sz w:val="32"/>
          <w:szCs w:val="32"/>
          <w:highlight w:val="none"/>
        </w:rPr>
      </w:pPr>
    </w:p>
    <w:p w14:paraId="01ADEA3E">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黑体" w:cs="Times New Roman"/>
          <w:b w:val="0"/>
          <w:bCs w:val="0"/>
          <w:i w:val="0"/>
          <w:iCs w:val="0"/>
          <w:sz w:val="32"/>
          <w:szCs w:val="32"/>
          <w:highlight w:val="none"/>
          <w:lang w:val="zh-CN"/>
        </w:rPr>
      </w:pPr>
      <w:r>
        <w:rPr>
          <w:rFonts w:hint="default" w:ascii="Times New Roman" w:hAnsi="Times New Roman" w:eastAsia="黑体" w:cs="Times New Roman"/>
          <w:b w:val="0"/>
          <w:bCs w:val="0"/>
          <w:i w:val="0"/>
          <w:iCs w:val="0"/>
          <w:sz w:val="32"/>
          <w:szCs w:val="32"/>
          <w:highlight w:val="none"/>
        </w:rPr>
        <w:t>一、</w:t>
      </w:r>
      <w:r>
        <w:rPr>
          <w:rFonts w:hint="default" w:ascii="Times New Roman" w:hAnsi="Times New Roman" w:eastAsia="黑体" w:cs="Times New Roman"/>
          <w:b w:val="0"/>
          <w:bCs w:val="0"/>
          <w:i w:val="0"/>
          <w:iCs w:val="0"/>
          <w:sz w:val="32"/>
          <w:szCs w:val="32"/>
          <w:highlight w:val="none"/>
          <w:lang w:val="zh-CN"/>
        </w:rPr>
        <w:t>项目概况</w:t>
      </w:r>
    </w:p>
    <w:p w14:paraId="7FC18EF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Times New Roman"/>
          <w:b w:val="0"/>
          <w:bCs w:val="0"/>
          <w:i w:val="0"/>
          <w:iCs w:val="0"/>
          <w:color w:val="auto"/>
          <w:kern w:val="0"/>
          <w:sz w:val="32"/>
          <w:szCs w:val="32"/>
          <w:highlight w:val="none"/>
          <w:u w:val="none"/>
          <w:shd w:val="clear" w:color="auto" w:fill="FFFFFF"/>
          <w:lang w:val="zh-CN"/>
        </w:rPr>
      </w:pPr>
      <w:r>
        <w:rPr>
          <w:rFonts w:hint="default" w:ascii="Times New Roman" w:hAnsi="Times New Roman" w:eastAsia="楷体_GB2312" w:cs="Times New Roman"/>
          <w:b w:val="0"/>
          <w:bCs w:val="0"/>
          <w:i w:val="0"/>
          <w:iCs w:val="0"/>
          <w:color w:val="auto"/>
          <w:sz w:val="32"/>
          <w:szCs w:val="32"/>
          <w:highlight w:val="none"/>
          <w:u w:val="none"/>
          <w:lang w:val="zh-CN"/>
        </w:rPr>
        <w:t>（一）设立背景及基本情况。</w:t>
      </w:r>
      <w:r>
        <w:rPr>
          <w:rFonts w:hint="default" w:ascii="Times New Roman" w:hAnsi="Times New Roman" w:eastAsia="仿宋_GB2312" w:cs="Times New Roman"/>
          <w:b w:val="0"/>
          <w:bCs w:val="0"/>
          <w:i w:val="0"/>
          <w:iCs w:val="0"/>
          <w:kern w:val="0"/>
          <w:position w:val="0"/>
          <w:sz w:val="32"/>
          <w:szCs w:val="32"/>
          <w:highlight w:val="none"/>
          <w:lang w:val="en-US" w:eastAsia="zh-CN" w:bidi="ar-SA"/>
        </w:rPr>
        <w:t>随着社会对公益救援和紧急服务需求的日益增长，区红十字会积极响应国家关于加强应急管理体系建设的号召，设立了志愿服务、基层组织建设、应急救护培训、备灾救灾及“三救三献”宣传发动项目。项目旨在提升公众自救互救能力，强化基层红十字会组织体系，增强社区防灾减灾能力，并推动社会形成良好的人道主义氛围。</w:t>
      </w:r>
    </w:p>
    <w:p w14:paraId="0F5124EA">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（二）</w:t>
      </w:r>
      <w:r>
        <w:rPr>
          <w:rFonts w:hint="default" w:ascii="Times New Roman" w:hAnsi="Times New Roman" w:eastAsia="楷体_GB2312" w:cs="Times New Roman"/>
          <w:b w:val="0"/>
          <w:bCs w:val="0"/>
          <w:i w:val="0"/>
          <w:iCs w:val="0"/>
          <w:color w:val="auto"/>
          <w:sz w:val="32"/>
          <w:szCs w:val="32"/>
          <w:highlight w:val="none"/>
          <w:u w:val="none"/>
          <w:lang w:val="en-US" w:eastAsia="zh-CN"/>
        </w:rPr>
        <w:t>实施目的及支持方向。</w:t>
      </w:r>
      <w:r>
        <w:rPr>
          <w:rFonts w:hint="default" w:ascii="Times New Roman" w:hAnsi="Times New Roman" w:eastAsia="仿宋_GB2312" w:cs="Times New Roman"/>
          <w:b w:val="0"/>
          <w:bCs w:val="0"/>
          <w:i w:val="0"/>
          <w:iCs w:val="0"/>
          <w:kern w:val="0"/>
          <w:position w:val="0"/>
          <w:sz w:val="32"/>
          <w:szCs w:val="32"/>
          <w:highlight w:val="none"/>
          <w:lang w:val="en-US" w:eastAsia="zh-CN" w:bidi="ar-SA"/>
        </w:rPr>
        <w:t>本项目资金管理办法已严格按照财政部门要求制定并执行，确保资金使用合规、高效。项目实施目的在于：1</w:t>
      </w:r>
      <w:r>
        <w:rPr>
          <w:rFonts w:hint="eastAsia" w:ascii="Times New Roman" w:hAnsi="Times New Roman" w:cs="Times New Roman"/>
          <w:b w:val="0"/>
          <w:bCs w:val="0"/>
          <w:i w:val="0"/>
          <w:iCs w:val="0"/>
          <w:kern w:val="0"/>
          <w:position w:val="0"/>
          <w:sz w:val="32"/>
          <w:szCs w:val="32"/>
          <w:highlight w:val="none"/>
          <w:lang w:val="en-US" w:eastAsia="zh-CN" w:bidi="ar-SA"/>
        </w:rPr>
        <w:t>.</w:t>
      </w:r>
      <w:r>
        <w:rPr>
          <w:rFonts w:hint="default" w:ascii="Times New Roman" w:hAnsi="Times New Roman" w:eastAsia="仿宋_GB2312" w:cs="Times New Roman"/>
          <w:b w:val="0"/>
          <w:bCs w:val="0"/>
          <w:i w:val="0"/>
          <w:iCs w:val="0"/>
          <w:kern w:val="0"/>
          <w:position w:val="0"/>
          <w:sz w:val="32"/>
          <w:szCs w:val="32"/>
          <w:highlight w:val="none"/>
          <w:lang w:val="en-US" w:eastAsia="zh-CN" w:bidi="ar-SA"/>
        </w:rPr>
        <w:t>壮大红十字会志愿者队伍，提升志愿服务水平；2</w:t>
      </w:r>
      <w:r>
        <w:rPr>
          <w:rFonts w:hint="eastAsia" w:ascii="Times New Roman" w:hAnsi="Times New Roman" w:cs="Times New Roman"/>
          <w:b w:val="0"/>
          <w:bCs w:val="0"/>
          <w:i w:val="0"/>
          <w:iCs w:val="0"/>
          <w:kern w:val="0"/>
          <w:position w:val="0"/>
          <w:sz w:val="32"/>
          <w:szCs w:val="32"/>
          <w:highlight w:val="none"/>
          <w:lang w:val="en-US" w:eastAsia="zh-CN" w:bidi="ar-SA"/>
        </w:rPr>
        <w:t>.</w:t>
      </w:r>
      <w:r>
        <w:rPr>
          <w:rFonts w:hint="default" w:ascii="Times New Roman" w:hAnsi="Times New Roman" w:eastAsia="仿宋_GB2312" w:cs="Times New Roman"/>
          <w:b w:val="0"/>
          <w:bCs w:val="0"/>
          <w:i w:val="0"/>
          <w:iCs w:val="0"/>
          <w:kern w:val="0"/>
          <w:position w:val="0"/>
          <w:sz w:val="32"/>
          <w:szCs w:val="32"/>
          <w:highlight w:val="none"/>
          <w:lang w:val="en-US" w:eastAsia="zh-CN" w:bidi="ar-SA"/>
        </w:rPr>
        <w:t>完善基层红十字会组织体系，实现服务全覆盖；3</w:t>
      </w:r>
      <w:r>
        <w:rPr>
          <w:rFonts w:hint="eastAsia" w:ascii="Times New Roman" w:hAnsi="Times New Roman" w:cs="Times New Roman"/>
          <w:b w:val="0"/>
          <w:bCs w:val="0"/>
          <w:i w:val="0"/>
          <w:iCs w:val="0"/>
          <w:kern w:val="0"/>
          <w:position w:val="0"/>
          <w:sz w:val="32"/>
          <w:szCs w:val="32"/>
          <w:highlight w:val="none"/>
          <w:lang w:val="en-US" w:eastAsia="zh-CN" w:bidi="ar-SA"/>
        </w:rPr>
        <w:t>.</w:t>
      </w:r>
      <w:r>
        <w:rPr>
          <w:rFonts w:hint="default" w:ascii="Times New Roman" w:hAnsi="Times New Roman" w:eastAsia="仿宋_GB2312" w:cs="Times New Roman"/>
          <w:b w:val="0"/>
          <w:bCs w:val="0"/>
          <w:i w:val="0"/>
          <w:iCs w:val="0"/>
          <w:kern w:val="0"/>
          <w:position w:val="0"/>
          <w:sz w:val="32"/>
          <w:szCs w:val="32"/>
          <w:highlight w:val="none"/>
          <w:lang w:val="en-US" w:eastAsia="zh-CN" w:bidi="ar-SA"/>
        </w:rPr>
        <w:t>增强公众应急救护能力，减少灾害损失；4</w:t>
      </w:r>
      <w:r>
        <w:rPr>
          <w:rFonts w:hint="eastAsia" w:ascii="Times New Roman" w:hAnsi="Times New Roman" w:cs="Times New Roman"/>
          <w:b w:val="0"/>
          <w:bCs w:val="0"/>
          <w:i w:val="0"/>
          <w:iCs w:val="0"/>
          <w:kern w:val="0"/>
          <w:position w:val="0"/>
          <w:sz w:val="32"/>
          <w:szCs w:val="32"/>
          <w:highlight w:val="none"/>
          <w:lang w:val="en-US" w:eastAsia="zh-CN" w:bidi="ar-SA"/>
        </w:rPr>
        <w:t>.</w:t>
      </w:r>
      <w:r>
        <w:rPr>
          <w:rFonts w:hint="default" w:ascii="Times New Roman" w:hAnsi="Times New Roman" w:eastAsia="仿宋_GB2312" w:cs="Times New Roman"/>
          <w:b w:val="0"/>
          <w:bCs w:val="0"/>
          <w:i w:val="0"/>
          <w:iCs w:val="0"/>
          <w:kern w:val="0"/>
          <w:position w:val="0"/>
          <w:sz w:val="32"/>
          <w:szCs w:val="32"/>
          <w:highlight w:val="none"/>
          <w:lang w:val="en-US" w:eastAsia="zh-CN" w:bidi="ar-SA"/>
        </w:rPr>
        <w:t>建立健全备灾救灾机制，快速响应灾害需求；5</w:t>
      </w:r>
      <w:r>
        <w:rPr>
          <w:rFonts w:hint="eastAsia" w:ascii="Times New Roman" w:hAnsi="Times New Roman" w:cs="Times New Roman"/>
          <w:b w:val="0"/>
          <w:bCs w:val="0"/>
          <w:i w:val="0"/>
          <w:iCs w:val="0"/>
          <w:kern w:val="0"/>
          <w:position w:val="0"/>
          <w:sz w:val="32"/>
          <w:szCs w:val="32"/>
          <w:highlight w:val="none"/>
          <w:lang w:val="en-US" w:eastAsia="zh-CN" w:bidi="ar-SA"/>
        </w:rPr>
        <w:t>.</w:t>
      </w:r>
      <w:r>
        <w:rPr>
          <w:rFonts w:hint="default" w:ascii="Times New Roman" w:hAnsi="Times New Roman" w:eastAsia="仿宋_GB2312" w:cs="Times New Roman"/>
          <w:b w:val="0"/>
          <w:bCs w:val="0"/>
          <w:i w:val="0"/>
          <w:iCs w:val="0"/>
          <w:kern w:val="0"/>
          <w:position w:val="0"/>
          <w:sz w:val="32"/>
          <w:szCs w:val="32"/>
          <w:highlight w:val="none"/>
          <w:lang w:val="en-US" w:eastAsia="zh-CN" w:bidi="ar-SA"/>
        </w:rPr>
        <w:t>广泛宣传“三救三献”理念，弘扬社会正能量。项目主要支持方向包括志愿者培训费用、基层组织建设经费、应急救护教材与设备购置、救灾物资储备与管理、宣传材料制作与发放等。</w:t>
      </w:r>
    </w:p>
    <w:p w14:paraId="4D65F5C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eastAsia="zh-CN"/>
        </w:rPr>
        <w:t>（三）</w:t>
      </w:r>
      <w:r>
        <w:rPr>
          <w:rFonts w:hint="default" w:ascii="Times New Roman" w:hAnsi="Times New Roman" w:eastAsia="楷体_GB2312" w:cs="Times New Roman"/>
          <w:b w:val="0"/>
          <w:bCs w:val="0"/>
          <w:i w:val="0"/>
          <w:iCs w:val="0"/>
          <w:color w:val="auto"/>
          <w:sz w:val="32"/>
          <w:szCs w:val="32"/>
          <w:highlight w:val="none"/>
          <w:u w:val="none"/>
          <w:lang w:val="en-US" w:eastAsia="zh-CN"/>
        </w:rPr>
        <w:t>预算安排及分配管理</w:t>
      </w:r>
      <w:r>
        <w:rPr>
          <w:rFonts w:hint="default" w:ascii="Times New Roman" w:hAnsi="Times New Roman" w:eastAsia="楷体_GB2312" w:cs="Times New Roman"/>
          <w:b w:val="0"/>
          <w:bCs w:val="0"/>
          <w:i w:val="0"/>
          <w:iCs w:val="0"/>
          <w:color w:val="auto"/>
          <w:sz w:val="32"/>
          <w:szCs w:val="32"/>
          <w:highlight w:val="none"/>
          <w:u w:val="none"/>
          <w:lang w:val="zh-CN" w:eastAsia="zh-CN"/>
        </w:rPr>
        <w:t>。</w:t>
      </w:r>
      <w:r>
        <w:rPr>
          <w:rFonts w:hint="default" w:ascii="Times New Roman" w:hAnsi="Times New Roman" w:eastAsia="仿宋_GB2312" w:cs="Times New Roman"/>
          <w:b w:val="0"/>
          <w:bCs w:val="0"/>
          <w:i w:val="0"/>
          <w:iCs w:val="0"/>
          <w:kern w:val="0"/>
          <w:position w:val="0"/>
          <w:sz w:val="32"/>
          <w:szCs w:val="32"/>
          <w:highlight w:val="none"/>
          <w:lang w:val="zh-CN" w:eastAsia="zh-CN" w:bidi="ar-SA"/>
        </w:rPr>
        <w:t>该项目202</w:t>
      </w:r>
      <w:r>
        <w:rPr>
          <w:rFonts w:hint="eastAsia" w:ascii="Times New Roman" w:hAnsi="Times New Roman" w:cs="Times New Roman"/>
          <w:b w:val="0"/>
          <w:bCs w:val="0"/>
          <w:i w:val="0"/>
          <w:iCs w:val="0"/>
          <w:kern w:val="0"/>
          <w:position w:val="0"/>
          <w:sz w:val="32"/>
          <w:szCs w:val="32"/>
          <w:highlight w:val="none"/>
          <w:lang w:val="en-US" w:eastAsia="zh-CN" w:bidi="ar-SA"/>
        </w:rPr>
        <w:t>3</w:t>
      </w:r>
      <w:r>
        <w:rPr>
          <w:rFonts w:hint="default" w:ascii="Times New Roman" w:hAnsi="Times New Roman" w:eastAsia="仿宋_GB2312" w:cs="Times New Roman"/>
          <w:b w:val="0"/>
          <w:bCs w:val="0"/>
          <w:i w:val="0"/>
          <w:iCs w:val="0"/>
          <w:kern w:val="0"/>
          <w:position w:val="0"/>
          <w:sz w:val="32"/>
          <w:szCs w:val="32"/>
          <w:highlight w:val="none"/>
          <w:lang w:val="zh-CN" w:eastAsia="zh-CN" w:bidi="ar-SA"/>
        </w:rPr>
        <w:t>年预算金额为</w:t>
      </w:r>
      <w:r>
        <w:rPr>
          <w:rFonts w:hint="eastAsia" w:ascii="Times New Roman" w:hAnsi="Times New Roman" w:cs="Times New Roman"/>
          <w:b w:val="0"/>
          <w:bCs w:val="0"/>
          <w:i w:val="0"/>
          <w:iCs w:val="0"/>
          <w:kern w:val="0"/>
          <w:position w:val="0"/>
          <w:sz w:val="32"/>
          <w:szCs w:val="32"/>
          <w:highlight w:val="none"/>
          <w:lang w:val="en-US" w:eastAsia="zh-CN" w:bidi="ar-SA"/>
        </w:rPr>
        <w:t>8</w:t>
      </w:r>
      <w:r>
        <w:rPr>
          <w:rFonts w:hint="default" w:ascii="Times New Roman" w:hAnsi="Times New Roman" w:eastAsia="仿宋_GB2312" w:cs="Times New Roman"/>
          <w:b w:val="0"/>
          <w:bCs w:val="0"/>
          <w:i w:val="0"/>
          <w:iCs w:val="0"/>
          <w:kern w:val="0"/>
          <w:position w:val="0"/>
          <w:sz w:val="32"/>
          <w:szCs w:val="32"/>
          <w:highlight w:val="none"/>
          <w:lang w:val="zh-CN" w:eastAsia="zh-CN" w:bidi="ar-SA"/>
        </w:rPr>
        <w:t>万元，实际支出</w:t>
      </w:r>
      <w:r>
        <w:rPr>
          <w:rFonts w:hint="eastAsia" w:ascii="Times New Roman" w:hAnsi="Times New Roman" w:cs="Times New Roman"/>
          <w:b w:val="0"/>
          <w:bCs w:val="0"/>
          <w:i w:val="0"/>
          <w:iCs w:val="0"/>
          <w:kern w:val="0"/>
          <w:position w:val="0"/>
          <w:sz w:val="32"/>
          <w:szCs w:val="32"/>
          <w:highlight w:val="none"/>
          <w:lang w:val="en-US" w:eastAsia="zh-CN" w:bidi="ar-SA"/>
        </w:rPr>
        <w:t>8</w:t>
      </w:r>
      <w:r>
        <w:rPr>
          <w:rFonts w:hint="default" w:ascii="Times New Roman" w:hAnsi="Times New Roman" w:eastAsia="仿宋_GB2312" w:cs="Times New Roman"/>
          <w:b w:val="0"/>
          <w:bCs w:val="0"/>
          <w:i w:val="0"/>
          <w:iCs w:val="0"/>
          <w:kern w:val="0"/>
          <w:position w:val="0"/>
          <w:sz w:val="32"/>
          <w:szCs w:val="32"/>
          <w:highlight w:val="none"/>
          <w:lang w:val="zh-CN" w:eastAsia="zh-CN" w:bidi="ar-SA"/>
        </w:rPr>
        <w:t>万元，资金主要用于志愿服务、基层组织建设、应急救护培训、备灾救灾、“三救三献”宣传发动等。资金分配过程经过严格审批，确保资金使用的透明度和合规性。</w:t>
      </w:r>
    </w:p>
    <w:p w14:paraId="07F74210">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eastAsia="zh-CN"/>
        </w:rPr>
        <w:t>（四）项目绩效目标设置。</w:t>
      </w:r>
      <w:r>
        <w:rPr>
          <w:rFonts w:hint="default" w:ascii="Times New Roman" w:hAnsi="Times New Roman" w:eastAsia="仿宋_GB2312" w:cs="Times New Roman"/>
          <w:b w:val="0"/>
          <w:bCs w:val="0"/>
          <w:i w:val="0"/>
          <w:iCs w:val="0"/>
          <w:kern w:val="0"/>
          <w:position w:val="0"/>
          <w:sz w:val="32"/>
          <w:szCs w:val="32"/>
          <w:highlight w:val="none"/>
          <w:lang w:val="zh-CN" w:eastAsia="zh-CN" w:bidi="ar-SA"/>
        </w:rPr>
        <w:t>项目整体绩效目标设定为：</w:t>
      </w:r>
      <w:r>
        <w:rPr>
          <w:rFonts w:hint="eastAsia" w:ascii="Times New Roman" w:hAnsi="Times New Roman" w:cs="Times New Roman"/>
          <w:b w:val="0"/>
          <w:bCs w:val="0"/>
          <w:i w:val="0"/>
          <w:iCs w:val="0"/>
          <w:kern w:val="0"/>
          <w:position w:val="0"/>
          <w:sz w:val="32"/>
          <w:szCs w:val="32"/>
          <w:highlight w:val="none"/>
          <w:lang w:val="en-US" w:eastAsia="zh-CN" w:bidi="ar-SA"/>
        </w:rPr>
        <w:t>新建</w:t>
      </w:r>
      <w:r>
        <w:rPr>
          <w:rFonts w:hint="default" w:ascii="Times New Roman" w:hAnsi="Times New Roman" w:eastAsia="仿宋_GB2312" w:cs="Times New Roman"/>
          <w:b w:val="0"/>
          <w:bCs w:val="0"/>
          <w:i w:val="0"/>
          <w:iCs w:val="0"/>
          <w:kern w:val="0"/>
          <w:position w:val="0"/>
          <w:sz w:val="32"/>
          <w:szCs w:val="32"/>
          <w:highlight w:val="none"/>
          <w:lang w:val="zh-CN" w:eastAsia="zh-CN" w:bidi="ar-SA"/>
        </w:rPr>
        <w:t>基层组织</w:t>
      </w:r>
      <w:r>
        <w:rPr>
          <w:rFonts w:hint="eastAsia" w:ascii="Times New Roman" w:hAnsi="Times New Roman" w:cs="Times New Roman"/>
          <w:b w:val="0"/>
          <w:bCs w:val="0"/>
          <w:i w:val="0"/>
          <w:iCs w:val="0"/>
          <w:kern w:val="0"/>
          <w:position w:val="0"/>
          <w:sz w:val="32"/>
          <w:szCs w:val="32"/>
          <w:highlight w:val="none"/>
          <w:lang w:val="en-US" w:eastAsia="zh-CN" w:bidi="ar-SA"/>
        </w:rPr>
        <w:t xml:space="preserve">2个 </w:t>
      </w:r>
      <w:r>
        <w:rPr>
          <w:rFonts w:hint="default" w:ascii="Times New Roman" w:hAnsi="Times New Roman" w:eastAsia="仿宋_GB2312" w:cs="Times New Roman"/>
          <w:b w:val="0"/>
          <w:bCs w:val="0"/>
          <w:i w:val="0"/>
          <w:iCs w:val="0"/>
          <w:kern w:val="0"/>
          <w:position w:val="0"/>
          <w:sz w:val="32"/>
          <w:szCs w:val="32"/>
          <w:highlight w:val="none"/>
          <w:lang w:val="zh-CN" w:eastAsia="zh-CN" w:bidi="ar-SA"/>
        </w:rPr>
        <w:t>，至少举办</w:t>
      </w:r>
      <w:r>
        <w:rPr>
          <w:rFonts w:hint="eastAsia" w:ascii="Times New Roman" w:hAnsi="Times New Roman" w:cs="Times New Roman"/>
          <w:b w:val="0"/>
          <w:bCs w:val="0"/>
          <w:i w:val="0"/>
          <w:iCs w:val="0"/>
          <w:kern w:val="0"/>
          <w:position w:val="0"/>
          <w:sz w:val="32"/>
          <w:szCs w:val="32"/>
          <w:highlight w:val="none"/>
          <w:lang w:val="en-US" w:eastAsia="zh-CN" w:bidi="ar-SA"/>
        </w:rPr>
        <w:t>20</w:t>
      </w:r>
      <w:r>
        <w:rPr>
          <w:rFonts w:hint="default" w:ascii="Times New Roman" w:hAnsi="Times New Roman" w:eastAsia="仿宋_GB2312" w:cs="Times New Roman"/>
          <w:b w:val="0"/>
          <w:bCs w:val="0"/>
          <w:i w:val="0"/>
          <w:iCs w:val="0"/>
          <w:kern w:val="0"/>
          <w:position w:val="0"/>
          <w:sz w:val="32"/>
          <w:szCs w:val="32"/>
          <w:highlight w:val="none"/>
          <w:lang w:val="zh-CN" w:eastAsia="zh-CN" w:bidi="ar-SA"/>
        </w:rPr>
        <w:t>场应急救护培训，惠及</w:t>
      </w:r>
      <w:r>
        <w:rPr>
          <w:rFonts w:hint="eastAsia" w:ascii="Times New Roman" w:hAnsi="Times New Roman" w:cs="Times New Roman"/>
          <w:b w:val="0"/>
          <w:bCs w:val="0"/>
          <w:i w:val="0"/>
          <w:iCs w:val="0"/>
          <w:kern w:val="0"/>
          <w:position w:val="0"/>
          <w:sz w:val="32"/>
          <w:szCs w:val="32"/>
          <w:highlight w:val="none"/>
          <w:lang w:val="en-US" w:eastAsia="zh-CN" w:bidi="ar-SA"/>
        </w:rPr>
        <w:t>5000</w:t>
      </w:r>
      <w:r>
        <w:rPr>
          <w:rFonts w:hint="default" w:ascii="Times New Roman" w:hAnsi="Times New Roman" w:eastAsia="仿宋_GB2312" w:cs="Times New Roman"/>
          <w:b w:val="0"/>
          <w:bCs w:val="0"/>
          <w:i w:val="0"/>
          <w:iCs w:val="0"/>
          <w:kern w:val="0"/>
          <w:position w:val="0"/>
          <w:sz w:val="32"/>
          <w:szCs w:val="32"/>
          <w:highlight w:val="none"/>
          <w:lang w:val="zh-CN" w:eastAsia="zh-CN" w:bidi="ar-SA"/>
        </w:rPr>
        <w:t>名群众，建立有效的备灾救灾响应机制，并完成至少5次“三救三献”宣传活动，提升公众知晓率至80%以上。项目自评工作由区红十字会内部评估小组负责，定期开展自评，确保项目按既定目标推进。</w:t>
      </w:r>
    </w:p>
    <w:p w14:paraId="48BC8B89">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黑体" w:cs="Times New Roman"/>
          <w:b w:val="0"/>
          <w:bCs w:val="0"/>
          <w:i w:val="0"/>
          <w:iCs w:val="0"/>
          <w:sz w:val="32"/>
          <w:szCs w:val="32"/>
          <w:highlight w:val="none"/>
          <w:lang w:eastAsia="zh-CN"/>
        </w:rPr>
      </w:pPr>
      <w:r>
        <w:rPr>
          <w:rFonts w:hint="default" w:ascii="Times New Roman" w:hAnsi="Times New Roman" w:eastAsia="黑体" w:cs="Times New Roman"/>
          <w:b w:val="0"/>
          <w:bCs w:val="0"/>
          <w:i w:val="0"/>
          <w:iCs w:val="0"/>
          <w:sz w:val="32"/>
          <w:szCs w:val="32"/>
          <w:highlight w:val="none"/>
        </w:rPr>
        <w:t>二、</w:t>
      </w:r>
      <w:r>
        <w:rPr>
          <w:rFonts w:hint="default" w:ascii="Times New Roman" w:hAnsi="Times New Roman" w:eastAsia="黑体" w:cs="Times New Roman"/>
          <w:b w:val="0"/>
          <w:bCs w:val="0"/>
          <w:i w:val="0"/>
          <w:iCs w:val="0"/>
          <w:sz w:val="32"/>
          <w:szCs w:val="32"/>
          <w:highlight w:val="none"/>
          <w:lang w:eastAsia="zh-CN"/>
        </w:rPr>
        <w:t>评价实施</w:t>
      </w:r>
    </w:p>
    <w:p w14:paraId="2C3471BD">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（一）评价目的。</w:t>
      </w:r>
      <w:r>
        <w:rPr>
          <w:rFonts w:hint="default" w:ascii="Times New Roman" w:hAnsi="Times New Roman" w:eastAsia="仿宋_GB2312" w:cs="Times New Roman"/>
          <w:b w:val="0"/>
          <w:bCs w:val="0"/>
          <w:i w:val="0"/>
          <w:iCs w:val="0"/>
          <w:kern w:val="0"/>
          <w:position w:val="0"/>
          <w:sz w:val="32"/>
          <w:szCs w:val="32"/>
          <w:highlight w:val="none"/>
          <w:lang w:val="zh-CN" w:eastAsia="zh-CN" w:bidi="ar-SA"/>
        </w:rPr>
        <w:t>通过项目绩效自评，旨在全面评估项目实施的成效与不足，总结经验教训，为后续项目优化提供科学依据，确保项目资金使用的有效性和效益性最大化。</w:t>
      </w:r>
    </w:p>
    <w:p w14:paraId="3A8C2BED">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（二）预设问题及评价重点。</w:t>
      </w:r>
      <w:r>
        <w:rPr>
          <w:rFonts w:hint="default" w:ascii="Times New Roman" w:hAnsi="Times New Roman" w:eastAsia="仿宋_GB2312" w:cs="Times New Roman"/>
          <w:b w:val="0"/>
          <w:bCs w:val="0"/>
          <w:i w:val="0"/>
          <w:iCs w:val="0"/>
          <w:kern w:val="0"/>
          <w:position w:val="0"/>
          <w:sz w:val="32"/>
          <w:szCs w:val="32"/>
          <w:highlight w:val="none"/>
          <w:lang w:val="zh-CN" w:eastAsia="zh-CN" w:bidi="ar-SA"/>
        </w:rPr>
        <w:t>预设问题包括：项目资金是否按预算使用？志愿者招募与培训效果如何？基层组织建设是否达到预期？应急救护培训覆盖率与群众满意度如何？备灾救灾机制是否健全有效？“三救三献”宣传是否深入人心？评价重点将围绕这些问题，对资金支出使用全过程及其实施效果进行综合评价和判断。</w:t>
      </w:r>
    </w:p>
    <w:p w14:paraId="4E21E974">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（三）评价选点。</w:t>
      </w:r>
      <w:r>
        <w:rPr>
          <w:rFonts w:hint="default" w:ascii="Times New Roman" w:hAnsi="Times New Roman" w:eastAsia="仿宋_GB2312" w:cs="Times New Roman"/>
          <w:b w:val="0"/>
          <w:bCs w:val="0"/>
          <w:i w:val="0"/>
          <w:iCs w:val="0"/>
          <w:kern w:val="0"/>
          <w:position w:val="0"/>
          <w:sz w:val="32"/>
          <w:szCs w:val="32"/>
          <w:highlight w:val="none"/>
          <w:lang w:val="zh-CN" w:eastAsia="zh-CN" w:bidi="ar-SA"/>
        </w:rPr>
        <w:t>项目绩效自评抽样点位覆盖了不同类型的社区、学校和企业，确保评价结果的代表性和全面性。</w:t>
      </w:r>
    </w:p>
    <w:p w14:paraId="0935E5A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（四）评价方法。</w:t>
      </w:r>
      <w:r>
        <w:rPr>
          <w:rFonts w:hint="default" w:ascii="Times New Roman" w:hAnsi="Times New Roman" w:eastAsia="仿宋_GB2312" w:cs="Times New Roman"/>
          <w:b w:val="0"/>
          <w:bCs w:val="0"/>
          <w:i w:val="0"/>
          <w:iCs w:val="0"/>
          <w:kern w:val="0"/>
          <w:position w:val="0"/>
          <w:sz w:val="32"/>
          <w:szCs w:val="32"/>
          <w:highlight w:val="none"/>
          <w:lang w:val="zh-CN" w:eastAsia="zh-CN" w:bidi="ar-SA"/>
        </w:rPr>
        <w:t>采用成本效益分析法评估项目投入产出比；标杆管理法对比同行业先进做法，寻找提升空间；案卷研究法审查项目文档资料；单位自评法收集项目实施单位的自我评价；实地勘察法验证项目现场实施情况；问卷调查法收集群众反馈；座谈调研法深入了解项目执行细节与问题。</w:t>
      </w:r>
      <w:r>
        <w:rPr>
          <w:rFonts w:hint="default" w:ascii="Times New Roman" w:hAnsi="Times New Roman" w:eastAsia="楷体_GB2312" w:cs="Times New Roman"/>
          <w:b w:val="0"/>
          <w:bCs w:val="0"/>
          <w:i w:val="0"/>
          <w:iCs w:val="0"/>
          <w:color w:val="auto"/>
          <w:sz w:val="32"/>
          <w:szCs w:val="32"/>
          <w:highlight w:val="none"/>
          <w:u w:val="none"/>
          <w:lang w:val="zh-CN"/>
        </w:rPr>
        <w:t>（五）评价组织。</w:t>
      </w:r>
      <w:r>
        <w:rPr>
          <w:rFonts w:hint="default" w:ascii="Times New Roman" w:hAnsi="Times New Roman" w:eastAsia="仿宋_GB2312" w:cs="Times New Roman"/>
          <w:b w:val="0"/>
          <w:bCs w:val="0"/>
          <w:i w:val="0"/>
          <w:iCs w:val="0"/>
          <w:kern w:val="0"/>
          <w:position w:val="0"/>
          <w:sz w:val="32"/>
          <w:szCs w:val="32"/>
          <w:highlight w:val="none"/>
          <w:lang w:val="zh-CN" w:eastAsia="zh-CN" w:bidi="ar-SA"/>
        </w:rPr>
        <w:t>评价组由区红十字会</w:t>
      </w:r>
      <w:r>
        <w:rPr>
          <w:rFonts w:hint="eastAsia" w:ascii="Times New Roman" w:hAnsi="Times New Roman" w:cs="Times New Roman"/>
          <w:b w:val="0"/>
          <w:bCs w:val="0"/>
          <w:i w:val="0"/>
          <w:iCs w:val="0"/>
          <w:kern w:val="0"/>
          <w:position w:val="0"/>
          <w:sz w:val="32"/>
          <w:szCs w:val="32"/>
          <w:highlight w:val="none"/>
          <w:lang w:val="en-US" w:eastAsia="zh-CN" w:bidi="ar-SA"/>
        </w:rPr>
        <w:t>相关领导与工作人员</w:t>
      </w:r>
      <w:r>
        <w:rPr>
          <w:rFonts w:hint="default" w:ascii="Times New Roman" w:hAnsi="Times New Roman" w:eastAsia="仿宋_GB2312" w:cs="Times New Roman"/>
          <w:b w:val="0"/>
          <w:bCs w:val="0"/>
          <w:i w:val="0"/>
          <w:iCs w:val="0"/>
          <w:kern w:val="0"/>
          <w:position w:val="0"/>
          <w:sz w:val="32"/>
          <w:szCs w:val="32"/>
          <w:highlight w:val="none"/>
          <w:lang w:val="zh-CN" w:eastAsia="zh-CN" w:bidi="ar-SA"/>
        </w:rPr>
        <w:t>组成，分工明确，各司其职，确保评价工作的客观性和专业性。</w:t>
      </w:r>
    </w:p>
    <w:p w14:paraId="6DE30ADD">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cs="Times New Roman"/>
          <w:b w:val="0"/>
          <w:bCs w:val="0"/>
          <w:i w:val="0"/>
          <w:iCs w:val="0"/>
          <w:color w:val="auto"/>
          <w:sz w:val="32"/>
          <w:szCs w:val="32"/>
          <w:highlight w:val="none"/>
          <w:u w:val="none"/>
          <w:lang w:val="zh-CN"/>
        </w:rPr>
      </w:pPr>
      <w:r>
        <w:rPr>
          <w:rFonts w:hint="default" w:ascii="Times New Roman" w:hAnsi="Times New Roman" w:eastAsia="黑体" w:cs="Times New Roman"/>
          <w:b w:val="0"/>
          <w:bCs w:val="0"/>
          <w:i w:val="0"/>
          <w:iCs w:val="0"/>
          <w:color w:val="auto"/>
          <w:sz w:val="32"/>
          <w:szCs w:val="32"/>
          <w:highlight w:val="none"/>
          <w:u w:val="none"/>
        </w:rPr>
        <w:t>三、</w:t>
      </w:r>
      <w:r>
        <w:rPr>
          <w:rFonts w:hint="default" w:ascii="Times New Roman" w:hAnsi="Times New Roman" w:eastAsia="黑体" w:cs="Times New Roman"/>
          <w:b w:val="0"/>
          <w:bCs w:val="0"/>
          <w:i w:val="0"/>
          <w:iCs w:val="0"/>
          <w:color w:val="auto"/>
          <w:sz w:val="32"/>
          <w:szCs w:val="32"/>
          <w:highlight w:val="none"/>
          <w:u w:val="none"/>
          <w:lang w:eastAsia="zh-CN"/>
        </w:rPr>
        <w:t>绩效分析</w:t>
      </w:r>
      <w:r>
        <w:rPr>
          <w:rFonts w:hint="default" w:ascii="Times New Roman" w:hAnsi="Times New Roman" w:cs="Times New Roman"/>
          <w:b w:val="0"/>
          <w:bCs w:val="0"/>
          <w:i w:val="0"/>
          <w:iCs w:val="0"/>
          <w:color w:val="auto"/>
          <w:sz w:val="32"/>
          <w:szCs w:val="32"/>
          <w:highlight w:val="none"/>
          <w:u w:val="none"/>
          <w:lang w:val="zh-CN"/>
        </w:rPr>
        <w:tab/>
      </w:r>
    </w:p>
    <w:p w14:paraId="1CF2A34B">
      <w:pPr>
        <w:spacing w:line="600" w:lineRule="exact"/>
        <w:ind w:firstLine="640" w:firstLineChars="200"/>
        <w:outlineLvl w:val="2"/>
        <w:rPr>
          <w:rFonts w:hint="default" w:ascii="Times New Roman" w:hAnsi="Times New Roman" w:eastAsia="楷体_GB2312" w:cs="Times New Roman"/>
          <w:b w:val="0"/>
          <w:bCs w:val="0"/>
          <w:i w:val="0"/>
          <w:iCs w:val="0"/>
          <w:color w:val="auto"/>
          <w:sz w:val="32"/>
          <w:szCs w:val="32"/>
          <w:highlight w:val="none"/>
          <w:lang w:val="en-US" w:eastAsia="zh-CN"/>
        </w:rPr>
      </w:pPr>
      <w:r>
        <w:rPr>
          <w:rFonts w:hint="default" w:ascii="Times New Roman" w:hAnsi="Times New Roman" w:eastAsia="楷体_GB2312" w:cs="Times New Roman"/>
          <w:b w:val="0"/>
          <w:bCs w:val="0"/>
          <w:i w:val="0"/>
          <w:iCs w:val="0"/>
          <w:color w:val="auto"/>
          <w:sz w:val="32"/>
          <w:szCs w:val="32"/>
          <w:highlight w:val="none"/>
          <w:lang w:val="zh-CN"/>
        </w:rPr>
        <w:t>（一）</w:t>
      </w:r>
      <w:r>
        <w:rPr>
          <w:rFonts w:hint="default" w:ascii="Times New Roman" w:hAnsi="Times New Roman" w:eastAsia="楷体_GB2312" w:cs="Times New Roman"/>
          <w:b w:val="0"/>
          <w:bCs w:val="0"/>
          <w:i w:val="0"/>
          <w:iCs w:val="0"/>
          <w:color w:val="auto"/>
          <w:sz w:val="32"/>
          <w:szCs w:val="32"/>
          <w:highlight w:val="none"/>
          <w:lang w:val="en-US" w:eastAsia="zh-CN"/>
        </w:rPr>
        <w:t>通用指标</w:t>
      </w:r>
      <w:r>
        <w:rPr>
          <w:rFonts w:hint="default" w:ascii="Times New Roman" w:hAnsi="Times New Roman" w:eastAsia="楷体_GB2312" w:cs="Times New Roman"/>
          <w:b w:val="0"/>
          <w:bCs w:val="0"/>
          <w:i w:val="0"/>
          <w:iCs w:val="0"/>
          <w:color w:val="auto"/>
          <w:sz w:val="32"/>
          <w:szCs w:val="32"/>
          <w:highlight w:val="none"/>
          <w:lang w:val="zh-CN"/>
        </w:rPr>
        <w:t>绩效分析。</w:t>
      </w:r>
    </w:p>
    <w:p w14:paraId="614AD601">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sz w:val="32"/>
          <w:szCs w:val="32"/>
          <w:lang w:val="en-US" w:eastAsia="zh-CN"/>
        </w:rPr>
        <w:t>1.</w:t>
      </w:r>
      <w:r>
        <w:rPr>
          <w:rFonts w:hint="default" w:ascii="Times New Roman" w:hAnsi="Times New Roman" w:eastAsia="仿宋_GB2312" w:cs="Times New Roman"/>
          <w:b w:val="0"/>
          <w:bCs w:val="0"/>
          <w:i w:val="0"/>
          <w:iCs w:val="0"/>
          <w:color w:val="auto"/>
          <w:sz w:val="32"/>
          <w:szCs w:val="32"/>
          <w:lang w:eastAsia="zh-CN"/>
        </w:rPr>
        <w:t>项目决策。</w:t>
      </w:r>
      <w:r>
        <w:rPr>
          <w:rFonts w:hint="default" w:ascii="Times New Roman" w:hAnsi="Times New Roman" w:eastAsia="仿宋_GB2312" w:cs="Times New Roman"/>
          <w:b w:val="0"/>
          <w:bCs w:val="0"/>
          <w:i w:val="0"/>
          <w:iCs w:val="0"/>
          <w:kern w:val="0"/>
          <w:position w:val="0"/>
          <w:sz w:val="32"/>
          <w:szCs w:val="32"/>
          <w:highlight w:val="none"/>
          <w:lang w:val="zh-CN" w:eastAsia="zh-CN" w:bidi="ar-SA"/>
        </w:rPr>
        <w:t>决策程序规范，规划论证充分，资金投向合理。</w:t>
      </w:r>
    </w:p>
    <w:p w14:paraId="4B7CFFAB">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仿宋_GB2312" w:cs="Times New Roman"/>
          <w:b w:val="0"/>
          <w:bCs w:val="0"/>
          <w:i w:val="0"/>
          <w:iCs w:val="0"/>
          <w:color w:val="auto"/>
          <w:sz w:val="32"/>
          <w:szCs w:val="32"/>
          <w:lang w:val="zh-CN" w:eastAsia="zh-CN"/>
        </w:rPr>
      </w:pPr>
      <w:r>
        <w:rPr>
          <w:rFonts w:hint="default" w:ascii="Times New Roman" w:hAnsi="Times New Roman" w:eastAsia="仿宋_GB2312" w:cs="Times New Roman"/>
          <w:b w:val="0"/>
          <w:bCs w:val="0"/>
          <w:i w:val="0"/>
          <w:iCs w:val="0"/>
          <w:color w:val="auto"/>
          <w:sz w:val="32"/>
          <w:szCs w:val="32"/>
          <w:lang w:val="en-US" w:eastAsia="zh-CN"/>
        </w:rPr>
        <w:t>2.</w:t>
      </w:r>
      <w:r>
        <w:rPr>
          <w:rFonts w:hint="default" w:ascii="Times New Roman" w:hAnsi="Times New Roman" w:eastAsia="仿宋_GB2312" w:cs="Times New Roman"/>
          <w:b w:val="0"/>
          <w:bCs w:val="0"/>
          <w:i w:val="0"/>
          <w:iCs w:val="0"/>
          <w:color w:val="auto"/>
          <w:sz w:val="32"/>
          <w:szCs w:val="32"/>
          <w:lang w:eastAsia="zh-CN"/>
        </w:rPr>
        <w:t>项目管理。制度健全，分配管理严格，绩效监管到位。</w:t>
      </w:r>
    </w:p>
    <w:p w14:paraId="1787AE2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sz w:val="32"/>
          <w:szCs w:val="32"/>
          <w:lang w:val="en-US" w:eastAsia="zh-CN"/>
        </w:rPr>
        <w:t>3.项目实施。</w:t>
      </w:r>
      <w:r>
        <w:rPr>
          <w:rFonts w:hint="default" w:ascii="Times New Roman" w:hAnsi="Times New Roman" w:eastAsia="仿宋_GB2312" w:cs="Times New Roman"/>
          <w:b w:val="0"/>
          <w:bCs w:val="0"/>
          <w:i w:val="0"/>
          <w:iCs w:val="0"/>
          <w:kern w:val="0"/>
          <w:position w:val="0"/>
          <w:sz w:val="32"/>
          <w:szCs w:val="32"/>
          <w:highlight w:val="none"/>
          <w:lang w:val="zh-CN" w:eastAsia="zh-CN" w:bidi="ar-SA"/>
        </w:rPr>
        <w:t>预算执行率高，资金使用合规。</w:t>
      </w:r>
    </w:p>
    <w:p w14:paraId="3553743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sz w:val="32"/>
          <w:szCs w:val="32"/>
          <w:lang w:val="en-US" w:eastAsia="zh-CN"/>
        </w:rPr>
        <w:t>4.项目结果。</w:t>
      </w:r>
      <w:r>
        <w:rPr>
          <w:rFonts w:hint="default" w:ascii="Times New Roman" w:hAnsi="Times New Roman" w:eastAsia="仿宋_GB2312" w:cs="Times New Roman"/>
          <w:b w:val="0"/>
          <w:bCs w:val="0"/>
          <w:i w:val="0"/>
          <w:iCs w:val="0"/>
          <w:kern w:val="0"/>
          <w:position w:val="0"/>
          <w:sz w:val="32"/>
          <w:szCs w:val="32"/>
          <w:highlight w:val="none"/>
          <w:lang w:val="en-US" w:eastAsia="zh-CN" w:bidi="ar-SA"/>
        </w:rPr>
        <w:t>目标基本完成，完成时效符合预期。</w:t>
      </w:r>
    </w:p>
    <w:p w14:paraId="2C22C865">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楷体_GB2312" w:cs="Times New Roman"/>
          <w:b w:val="0"/>
          <w:bCs w:val="0"/>
          <w:i w:val="0"/>
          <w:iCs w:val="0"/>
          <w:color w:val="auto"/>
          <w:sz w:val="32"/>
          <w:szCs w:val="32"/>
          <w:highlight w:val="none"/>
          <w:lang w:val="zh-CN"/>
        </w:rPr>
      </w:pPr>
      <w:r>
        <w:rPr>
          <w:rFonts w:hint="default" w:ascii="Times New Roman" w:hAnsi="Times New Roman" w:eastAsia="楷体_GB2312" w:cs="Times New Roman"/>
          <w:b w:val="0"/>
          <w:bCs w:val="0"/>
          <w:i w:val="0"/>
          <w:iCs w:val="0"/>
          <w:color w:val="auto"/>
          <w:sz w:val="32"/>
          <w:szCs w:val="32"/>
          <w:highlight w:val="none"/>
          <w:lang w:val="zh-CN"/>
        </w:rPr>
        <w:t>（二）</w:t>
      </w:r>
      <w:r>
        <w:rPr>
          <w:rFonts w:hint="default" w:ascii="Times New Roman" w:hAnsi="Times New Roman" w:eastAsia="楷体_GB2312" w:cs="Times New Roman"/>
          <w:b w:val="0"/>
          <w:bCs w:val="0"/>
          <w:i w:val="0"/>
          <w:iCs w:val="0"/>
          <w:color w:val="auto"/>
          <w:sz w:val="32"/>
          <w:szCs w:val="32"/>
          <w:highlight w:val="none"/>
          <w:lang w:val="en-US" w:eastAsia="zh-CN"/>
        </w:rPr>
        <w:t>专用指标</w:t>
      </w:r>
      <w:r>
        <w:rPr>
          <w:rFonts w:hint="default" w:ascii="Times New Roman" w:hAnsi="Times New Roman" w:eastAsia="楷体_GB2312" w:cs="Times New Roman"/>
          <w:b w:val="0"/>
          <w:bCs w:val="0"/>
          <w:i w:val="0"/>
          <w:iCs w:val="0"/>
          <w:color w:val="auto"/>
          <w:sz w:val="32"/>
          <w:szCs w:val="32"/>
          <w:highlight w:val="none"/>
          <w:lang w:val="zh-CN"/>
        </w:rPr>
        <w:t>绩效分析。</w:t>
      </w:r>
    </w:p>
    <w:p w14:paraId="72F237B7">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eastAsia" w:ascii="Times New Roman" w:hAnsi="Times New Roman" w:cs="Times New Roman"/>
          <w:b w:val="0"/>
          <w:bCs w:val="0"/>
          <w:i w:val="0"/>
          <w:iCs w:val="0"/>
          <w:color w:val="auto"/>
          <w:sz w:val="32"/>
          <w:szCs w:val="32"/>
          <w:lang w:val="en-US" w:eastAsia="zh-CN"/>
        </w:rPr>
        <w:t>1</w:t>
      </w:r>
      <w:r>
        <w:rPr>
          <w:rFonts w:hint="default" w:ascii="Times New Roman" w:hAnsi="Times New Roman" w:eastAsia="仿宋_GB2312" w:cs="Times New Roman"/>
          <w:b w:val="0"/>
          <w:bCs w:val="0"/>
          <w:i w:val="0"/>
          <w:iCs w:val="0"/>
          <w:color w:val="auto"/>
          <w:sz w:val="32"/>
          <w:szCs w:val="32"/>
          <w:lang w:val="en-US" w:eastAsia="zh-CN"/>
        </w:rPr>
        <w:t>.</w:t>
      </w:r>
      <w:r>
        <w:rPr>
          <w:rFonts w:hint="default" w:ascii="Times New Roman" w:hAnsi="Times New Roman" w:eastAsia="仿宋_GB2312" w:cs="Times New Roman"/>
          <w:b w:val="0"/>
          <w:bCs w:val="0"/>
          <w:i w:val="0"/>
          <w:iCs w:val="0"/>
          <w:color w:val="auto"/>
          <w:sz w:val="32"/>
          <w:szCs w:val="32"/>
          <w:lang w:val="zh-CN" w:eastAsia="zh-CN"/>
        </w:rPr>
        <w:t>民生保障。</w:t>
      </w:r>
      <w:r>
        <w:rPr>
          <w:rFonts w:hint="default" w:ascii="Times New Roman" w:hAnsi="Times New Roman" w:eastAsia="仿宋_GB2312" w:cs="Times New Roman"/>
          <w:b w:val="0"/>
          <w:bCs w:val="0"/>
          <w:i w:val="0"/>
          <w:iCs w:val="0"/>
          <w:kern w:val="0"/>
          <w:position w:val="0"/>
          <w:sz w:val="32"/>
          <w:szCs w:val="32"/>
          <w:highlight w:val="none"/>
          <w:lang w:val="en-US" w:eastAsia="zh-CN" w:bidi="ar-SA"/>
        </w:rPr>
        <w:t>志愿者服务质量高，群众满意度高，区域均衡性良好。</w:t>
      </w:r>
    </w:p>
    <w:p w14:paraId="78898EB1">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b w:val="0"/>
          <w:bCs w:val="0"/>
          <w:i w:val="0"/>
          <w:iCs w:val="0"/>
          <w:color w:val="auto"/>
          <w:kern w:val="0"/>
          <w:position w:val="0"/>
          <w:sz w:val="32"/>
          <w:szCs w:val="32"/>
          <w:highlight w:val="none"/>
          <w:lang w:val="en-US" w:eastAsia="zh-CN" w:bidi="ar-SA"/>
        </w:rPr>
      </w:pPr>
      <w:r>
        <w:rPr>
          <w:rFonts w:hint="eastAsia" w:ascii="Times New Roman" w:hAnsi="Times New Roman" w:cs="Times New Roman"/>
          <w:b w:val="0"/>
          <w:bCs w:val="0"/>
          <w:i w:val="0"/>
          <w:iCs w:val="0"/>
          <w:color w:val="auto"/>
          <w:sz w:val="32"/>
          <w:szCs w:val="32"/>
          <w:lang w:val="en-US" w:eastAsia="zh-CN"/>
        </w:rPr>
        <w:t>2</w:t>
      </w:r>
      <w:r>
        <w:rPr>
          <w:rFonts w:hint="default" w:ascii="Times New Roman" w:hAnsi="Times New Roman" w:eastAsia="仿宋_GB2312" w:cs="Times New Roman"/>
          <w:b w:val="0"/>
          <w:bCs w:val="0"/>
          <w:i w:val="0"/>
          <w:iCs w:val="0"/>
          <w:color w:val="auto"/>
          <w:sz w:val="32"/>
          <w:szCs w:val="32"/>
          <w:lang w:val="en-US" w:eastAsia="zh-CN"/>
        </w:rPr>
        <w:t>.基础设施。</w:t>
      </w:r>
      <w:r>
        <w:rPr>
          <w:rFonts w:hint="default" w:ascii="Times New Roman" w:hAnsi="Times New Roman" w:eastAsia="仿宋_GB2312" w:cs="Times New Roman"/>
          <w:b w:val="0"/>
          <w:bCs w:val="0"/>
          <w:i w:val="0"/>
          <w:iCs w:val="0"/>
          <w:kern w:val="0"/>
          <w:position w:val="0"/>
          <w:sz w:val="32"/>
          <w:szCs w:val="32"/>
          <w:highlight w:val="none"/>
          <w:lang w:val="en-US" w:eastAsia="zh-CN" w:bidi="ar-SA"/>
        </w:rPr>
        <w:t>应急救护设备齐全，备灾救灾物资储备充足，管理规范。</w:t>
      </w:r>
    </w:p>
    <w:p w14:paraId="25326F91">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楷体_GB2312" w:cs="Times New Roman"/>
          <w:b w:val="0"/>
          <w:bCs w:val="0"/>
          <w:i w:val="0"/>
          <w:iCs w:val="0"/>
          <w:color w:val="auto"/>
          <w:sz w:val="32"/>
          <w:szCs w:val="32"/>
          <w:highlight w:val="none"/>
          <w:lang w:val="zh-CN"/>
        </w:rPr>
        <w:t>（三）</w:t>
      </w:r>
      <w:r>
        <w:rPr>
          <w:rFonts w:hint="default" w:ascii="Times New Roman" w:hAnsi="Times New Roman" w:eastAsia="楷体_GB2312" w:cs="Times New Roman"/>
          <w:b w:val="0"/>
          <w:bCs w:val="0"/>
          <w:i w:val="0"/>
          <w:iCs w:val="0"/>
          <w:color w:val="auto"/>
          <w:sz w:val="32"/>
          <w:szCs w:val="32"/>
          <w:highlight w:val="none"/>
          <w:lang w:val="en-US" w:eastAsia="zh-CN"/>
        </w:rPr>
        <w:t>个性指标</w:t>
      </w:r>
      <w:r>
        <w:rPr>
          <w:rFonts w:hint="default" w:ascii="Times New Roman" w:hAnsi="Times New Roman" w:eastAsia="楷体_GB2312" w:cs="Times New Roman"/>
          <w:b w:val="0"/>
          <w:bCs w:val="0"/>
          <w:i w:val="0"/>
          <w:iCs w:val="0"/>
          <w:color w:val="auto"/>
          <w:sz w:val="32"/>
          <w:szCs w:val="32"/>
          <w:highlight w:val="none"/>
          <w:lang w:val="zh-CN"/>
        </w:rPr>
        <w:t>绩效分析。</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三救三献</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w:t>
      </w:r>
      <w:r>
        <w:rPr>
          <w:rFonts w:hint="default" w:ascii="Times New Roman" w:hAnsi="Times New Roman" w:eastAsia="仿宋_GB2312" w:cs="Times New Roman"/>
          <w:b w:val="0"/>
          <w:bCs w:val="0"/>
          <w:i w:val="0"/>
          <w:iCs w:val="0"/>
          <w:kern w:val="0"/>
          <w:position w:val="0"/>
          <w:sz w:val="32"/>
          <w:szCs w:val="32"/>
          <w:highlight w:val="none"/>
          <w:lang w:val="zh-CN" w:eastAsia="zh-CN" w:bidi="ar-SA"/>
        </w:rPr>
        <w:t>宣传发动成效显著，通过多样化的宣传渠道和创新的宣传方式，有效提升了公众的知晓率和参与度，达到了预期的宣传效果。</w:t>
      </w:r>
    </w:p>
    <w:p w14:paraId="53FF1FB6">
      <w:pPr>
        <w:pStyle w:val="12"/>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rPr>
      </w:pPr>
      <w:r>
        <w:rPr>
          <w:rFonts w:hint="default" w:ascii="Times New Roman" w:hAnsi="Times New Roman" w:eastAsia="黑体" w:cs="Times New Roman"/>
          <w:b w:val="0"/>
          <w:bCs w:val="0"/>
          <w:i w:val="0"/>
          <w:iCs w:val="0"/>
          <w:color w:val="auto"/>
          <w:sz w:val="32"/>
          <w:szCs w:val="32"/>
          <w:highlight w:val="none"/>
          <w:u w:val="none"/>
          <w:lang w:eastAsia="zh-CN"/>
        </w:rPr>
        <w:t>四</w:t>
      </w:r>
      <w:r>
        <w:rPr>
          <w:rFonts w:hint="default" w:ascii="Times New Roman" w:hAnsi="Times New Roman" w:eastAsia="黑体" w:cs="Times New Roman"/>
          <w:b w:val="0"/>
          <w:bCs w:val="0"/>
          <w:i w:val="0"/>
          <w:iCs w:val="0"/>
          <w:color w:val="auto"/>
          <w:sz w:val="32"/>
          <w:szCs w:val="32"/>
          <w:highlight w:val="none"/>
          <w:u w:val="none"/>
        </w:rPr>
        <w:t>、评价结论</w:t>
      </w:r>
    </w:p>
    <w:p w14:paraId="5BF6CEAC">
      <w:pPr>
        <w:pStyle w:val="12"/>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line="600" w:lineRule="exact"/>
        <w:ind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kern w:val="0"/>
          <w:position w:val="0"/>
          <w:sz w:val="32"/>
          <w:szCs w:val="32"/>
          <w:highlight w:val="none"/>
          <w:lang w:val="en-US" w:eastAsia="zh-CN" w:bidi="ar-SA"/>
        </w:rPr>
        <w:t>本次专项预算项目绩效自评总体结论为“优秀”。评价总分为</w:t>
      </w:r>
      <w:r>
        <w:rPr>
          <w:rFonts w:hint="eastAsia" w:ascii="Times New Roman" w:cs="Times New Roman"/>
          <w:b w:val="0"/>
          <w:bCs w:val="0"/>
          <w:i w:val="0"/>
          <w:iCs w:val="0"/>
          <w:kern w:val="0"/>
          <w:position w:val="0"/>
          <w:sz w:val="32"/>
          <w:szCs w:val="32"/>
          <w:highlight w:val="none"/>
          <w:lang w:val="en-US" w:eastAsia="zh-CN" w:bidi="ar-SA"/>
        </w:rPr>
        <w:t>85</w:t>
      </w:r>
      <w:r>
        <w:rPr>
          <w:rFonts w:hint="default" w:ascii="Times New Roman" w:hAnsi="Times New Roman" w:eastAsia="仿宋_GB2312" w:cs="Times New Roman"/>
          <w:b w:val="0"/>
          <w:bCs w:val="0"/>
          <w:i w:val="0"/>
          <w:iCs w:val="0"/>
          <w:kern w:val="0"/>
          <w:position w:val="0"/>
          <w:sz w:val="32"/>
          <w:szCs w:val="32"/>
          <w:highlight w:val="none"/>
          <w:lang w:val="en-US" w:eastAsia="zh-CN" w:bidi="ar-SA"/>
        </w:rPr>
        <w:t>分，充分表明项目在实施过程中严格遵循了既定的目标和计划，资金使用合理高效，取得了显著的社会效益和公众认可。具体而言，项目成功招募并培训了大量志愿者，有效加强了基层红十字会组织建设，显著提升了公众的应急救护能力，建立健全了备灾救灾机制，并深入推广了“三救三献”理念，为构建和谐社会做出了积极贡献。</w:t>
      </w:r>
    </w:p>
    <w:p w14:paraId="5AAA6D62">
      <w:pPr>
        <w:pStyle w:val="12"/>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line="60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lang w:eastAsia="zh-CN"/>
        </w:rPr>
      </w:pPr>
      <w:r>
        <w:rPr>
          <w:rFonts w:hint="default" w:ascii="Times New Roman" w:hAnsi="Times New Roman" w:eastAsia="黑体" w:cs="Times New Roman"/>
          <w:b w:val="0"/>
          <w:bCs w:val="0"/>
          <w:i w:val="0"/>
          <w:iCs w:val="0"/>
          <w:color w:val="auto"/>
          <w:sz w:val="32"/>
          <w:szCs w:val="32"/>
          <w:highlight w:val="none"/>
          <w:u w:val="none"/>
          <w:lang w:eastAsia="zh-CN"/>
        </w:rPr>
        <w:t>五、存在主要问题</w:t>
      </w:r>
    </w:p>
    <w:p w14:paraId="40B8F067">
      <w:pPr>
        <w:pStyle w:val="12"/>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line="600" w:lineRule="exact"/>
        <w:ind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kern w:val="0"/>
          <w:position w:val="0"/>
          <w:sz w:val="32"/>
          <w:szCs w:val="32"/>
          <w:highlight w:val="none"/>
          <w:lang w:val="en-US" w:eastAsia="zh-CN" w:bidi="ar-SA"/>
        </w:rPr>
        <w:t>尽管项目整体实施效果良好，但在自评过程中也发现了一些存在的问题：一是部分地区基层组织建设相对滞后，志愿者覆盖率有待进一步提高；二是应急救护培训在部分社区和企业中的普及率还不够高，需加大推广力度；三是备灾救灾物资在部分环节上的调配效率还需优化，以确保在灾害发生时能够迅速响应。</w:t>
      </w:r>
    </w:p>
    <w:p w14:paraId="50ECBF48">
      <w:pPr>
        <w:pStyle w:val="12"/>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line="600" w:lineRule="exact"/>
        <w:ind w:firstLine="640" w:firstLineChars="200"/>
        <w:textAlignment w:val="auto"/>
        <w:rPr>
          <w:rFonts w:hint="default" w:ascii="Times New Roman" w:hAnsi="Times New Roman" w:eastAsia="黑体" w:cs="Times New Roman"/>
          <w:b w:val="0"/>
          <w:bCs w:val="0"/>
          <w:i w:val="0"/>
          <w:iCs w:val="0"/>
          <w:color w:val="auto"/>
          <w:kern w:val="0"/>
          <w:position w:val="3"/>
          <w:sz w:val="32"/>
          <w:szCs w:val="32"/>
          <w:highlight w:val="none"/>
          <w:u w:val="none"/>
          <w:lang w:val="zh-CN" w:eastAsia="zh-CN" w:bidi="ar-SA"/>
        </w:rPr>
      </w:pPr>
      <w:r>
        <w:rPr>
          <w:rFonts w:hint="default" w:ascii="Times New Roman" w:hAnsi="Times New Roman" w:eastAsia="黑体" w:cs="Times New Roman"/>
          <w:b w:val="0"/>
          <w:bCs w:val="0"/>
          <w:i w:val="0"/>
          <w:iCs w:val="0"/>
          <w:color w:val="auto"/>
          <w:kern w:val="0"/>
          <w:position w:val="3"/>
          <w:sz w:val="32"/>
          <w:szCs w:val="32"/>
          <w:highlight w:val="none"/>
          <w:u w:val="none"/>
          <w:lang w:val="zh-CN" w:eastAsia="zh-CN" w:bidi="ar-SA"/>
        </w:rPr>
        <w:t>六、改进建议</w:t>
      </w:r>
    </w:p>
    <w:p w14:paraId="652B2634">
      <w:pPr>
        <w:tabs>
          <w:tab w:val="left" w:pos="1911"/>
        </w:tabs>
        <w:jc w:val="left"/>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kern w:val="0"/>
          <w:position w:val="0"/>
          <w:sz w:val="32"/>
          <w:szCs w:val="32"/>
          <w:highlight w:val="none"/>
          <w:lang w:val="zh-CN" w:eastAsia="zh-CN" w:bidi="ar-SA"/>
        </w:rPr>
        <w:t xml:space="preserve"> </w:t>
      </w:r>
      <w:r>
        <w:rPr>
          <w:rFonts w:hint="eastAsia" w:ascii="Times New Roman" w:hAnsi="Times New Roman" w:cs="Times New Roman"/>
          <w:b w:val="0"/>
          <w:bCs w:val="0"/>
          <w:i w:val="0"/>
          <w:iCs w:val="0"/>
          <w:kern w:val="0"/>
          <w:position w:val="0"/>
          <w:sz w:val="32"/>
          <w:szCs w:val="32"/>
          <w:highlight w:val="none"/>
          <w:lang w:val="en-US" w:eastAsia="zh-CN" w:bidi="ar-SA"/>
        </w:rPr>
        <w:t xml:space="preserve">  </w:t>
      </w:r>
      <w:r>
        <w:rPr>
          <w:rFonts w:hint="default" w:ascii="Times New Roman" w:hAnsi="Times New Roman" w:eastAsia="仿宋_GB2312" w:cs="Times New Roman"/>
          <w:b w:val="0"/>
          <w:bCs w:val="0"/>
          <w:i w:val="0"/>
          <w:iCs w:val="0"/>
          <w:kern w:val="0"/>
          <w:position w:val="0"/>
          <w:sz w:val="32"/>
          <w:szCs w:val="32"/>
          <w:highlight w:val="none"/>
          <w:lang w:val="en-US" w:eastAsia="zh-CN" w:bidi="ar-SA"/>
        </w:rPr>
        <w:t>首先，强化志愿者培训体系，引入更多实战演练和在线学习资源，提升志愿者服务质量；其次，加大对基层组织的资金和技术支持，促进其自主发展与创新，确保服务覆盖更广；再次，完善应急救护培训体系，结合区域特点制定针对性课程，提高培训实效性；同时，优化备灾救灾物资管理体系，采用智能化手段提升调配效率，确保快速响应；最后，深化“三救三献”宣传，创新宣传方式，增强公众参与感和认同感，共同推动公益事业向前发展，为构建更加安全、和谐的社会环境贡献力量。</w:t>
      </w:r>
    </w:p>
    <w:p w14:paraId="5C2C5A4A"/>
    <w:p w14:paraId="0CC3E811">
      <w:pPr>
        <w:spacing w:line="600" w:lineRule="exact"/>
        <w:jc w:val="center"/>
        <w:outlineLvl w:val="0"/>
        <w:rPr>
          <w:rFonts w:hint="eastAsia" w:ascii="黑体" w:hAnsi="黑体" w:eastAsia="黑体"/>
          <w:sz w:val="44"/>
          <w:szCs w:val="44"/>
        </w:rPr>
      </w:pPr>
    </w:p>
    <w:tbl>
      <w:tblPr>
        <w:tblStyle w:val="20"/>
        <w:tblW w:w="10040" w:type="dxa"/>
        <w:tblInd w:w="-34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5"/>
        <w:gridCol w:w="1601"/>
        <w:gridCol w:w="1040"/>
        <w:gridCol w:w="1686"/>
        <w:gridCol w:w="415"/>
        <w:gridCol w:w="741"/>
        <w:gridCol w:w="461"/>
        <w:gridCol w:w="1156"/>
        <w:gridCol w:w="415"/>
        <w:gridCol w:w="755"/>
        <w:gridCol w:w="1015"/>
      </w:tblGrid>
      <w:tr w14:paraId="3CF98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0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5CF5509">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5C3CD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6698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8603C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51090423T000008864264-</w:t>
            </w:r>
            <w:bookmarkStart w:id="62" w:name="OLE_LINK9"/>
            <w:r>
              <w:rPr>
                <w:rFonts w:ascii="宋体" w:hAnsi="宋体" w:eastAsia="宋体" w:cs="宋体"/>
                <w:i w:val="0"/>
                <w:iCs w:val="0"/>
                <w:color w:val="000000"/>
                <w:kern w:val="0"/>
                <w:sz w:val="18"/>
                <w:szCs w:val="18"/>
                <w:u w:val="none"/>
                <w:lang w:val="en-US" w:eastAsia="zh-CN" w:bidi="ar"/>
              </w:rPr>
              <w:t>组织建设、应急救护培训、备灾救灾、“三救三献”宣传发动</w:t>
            </w:r>
            <w:bookmarkEnd w:id="62"/>
            <w:r>
              <w:rPr>
                <w:rFonts w:ascii="宋体" w:hAnsi="宋体" w:eastAsia="宋体" w:cs="宋体"/>
                <w:i w:val="0"/>
                <w:iCs w:val="0"/>
                <w:color w:val="000000"/>
                <w:kern w:val="0"/>
                <w:sz w:val="18"/>
                <w:szCs w:val="18"/>
                <w:u w:val="none"/>
                <w:lang w:val="en-US" w:eastAsia="zh-CN" w:bidi="ar"/>
              </w:rPr>
              <w:t>等</w:t>
            </w:r>
          </w:p>
        </w:tc>
      </w:tr>
      <w:tr w14:paraId="77A34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5D3C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A4DD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遂宁市安居区红十字会部门</w:t>
            </w:r>
          </w:p>
        </w:tc>
        <w:tc>
          <w:tcPr>
            <w:tcW w:w="1156" w:type="dxa"/>
            <w:tcBorders>
              <w:top w:val="nil"/>
              <w:left w:val="nil"/>
              <w:bottom w:val="nil"/>
              <w:right w:val="nil"/>
            </w:tcBorders>
            <w:shd w:val="clear" w:color="auto" w:fill="auto"/>
            <w:vAlign w:val="center"/>
          </w:tcPr>
          <w:p w14:paraId="3340B030">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6D61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遂宁市安居区红十字会</w:t>
            </w:r>
          </w:p>
        </w:tc>
      </w:tr>
      <w:tr w14:paraId="63D88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EE7F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6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C000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5EE0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C23AB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2F7F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0A67B">
            <w:pPr>
              <w:rPr>
                <w:rFonts w:hint="eastAsia" w:ascii="宋体" w:hAnsi="宋体" w:eastAsia="宋体" w:cs="宋体"/>
                <w:i w:val="0"/>
                <w:iCs w:val="0"/>
                <w:color w:val="000000"/>
                <w:sz w:val="18"/>
                <w:szCs w:val="18"/>
                <w:u w:val="none"/>
              </w:rPr>
            </w:pPr>
          </w:p>
        </w:tc>
        <w:tc>
          <w:tcPr>
            <w:tcW w:w="1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E7E11">
            <w:pPr>
              <w:rPr>
                <w:rFonts w:hint="eastAsia" w:ascii="宋体" w:hAnsi="宋体" w:eastAsia="宋体" w:cs="宋体"/>
                <w:i w:val="0"/>
                <w:iCs w:val="0"/>
                <w:color w:val="000000"/>
                <w:sz w:val="18"/>
                <w:szCs w:val="18"/>
                <w:u w:val="none"/>
              </w:rPr>
            </w:pPr>
          </w:p>
        </w:tc>
        <w:tc>
          <w:tcPr>
            <w:tcW w:w="43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DD62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在乡镇、企业等成立基层红十字组织，建立红十字志愿者队伍及应急救援队伍各一支。开展应急救护培训、购置备灾救灾物资、日常开展“三救三献”宣传发动</w:t>
            </w:r>
          </w:p>
        </w:tc>
        <w:tc>
          <w:tcPr>
            <w:tcW w:w="33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D1DF4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较好完成年初设定目标</w:t>
            </w:r>
          </w:p>
        </w:tc>
      </w:tr>
      <w:tr w14:paraId="23922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5B9D1">
            <w:pPr>
              <w:rPr>
                <w:rFonts w:hint="eastAsia" w:ascii="宋体" w:hAnsi="宋体" w:eastAsia="宋体" w:cs="宋体"/>
                <w:i w:val="0"/>
                <w:iCs w:val="0"/>
                <w:color w:val="000000"/>
                <w:sz w:val="18"/>
                <w:szCs w:val="18"/>
                <w:u w:val="none"/>
              </w:rPr>
            </w:pP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9E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29EE5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在乡镇、企业等成立基层红十字组织2个，建立红十字志愿者队伍一支。开展应急救护培训、购置备灾救灾物资、日常开展“三救三献”宣传发动</w:t>
            </w:r>
          </w:p>
        </w:tc>
      </w:tr>
      <w:tr w14:paraId="048C4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C824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052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959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BCC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A79A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38E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70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76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D5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0A53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CD7CA">
            <w:pPr>
              <w:jc w:val="center"/>
              <w:rPr>
                <w:rFonts w:hint="eastAsia" w:ascii="宋体" w:hAnsi="宋体" w:eastAsia="宋体" w:cs="宋体"/>
                <w:i w:val="0"/>
                <w:iCs w:val="0"/>
                <w:color w:val="000000"/>
                <w:sz w:val="18"/>
                <w:szCs w:val="18"/>
                <w:u w:val="none"/>
              </w:rPr>
            </w:pP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CF1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D56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743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7.93</w:t>
            </w:r>
          </w:p>
        </w:tc>
        <w:tc>
          <w:tcPr>
            <w:tcW w:w="1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806B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7.93</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7D6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E01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1F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6</w:t>
            </w:r>
          </w:p>
        </w:tc>
        <w:tc>
          <w:tcPr>
            <w:tcW w:w="10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666780">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2E4F3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15B29">
            <w:pPr>
              <w:jc w:val="center"/>
              <w:rPr>
                <w:rFonts w:hint="eastAsia" w:ascii="宋体" w:hAnsi="宋体" w:eastAsia="宋体" w:cs="宋体"/>
                <w:i w:val="0"/>
                <w:iCs w:val="0"/>
                <w:color w:val="000000"/>
                <w:sz w:val="18"/>
                <w:szCs w:val="18"/>
                <w:u w:val="none"/>
              </w:rPr>
            </w:pP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554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D21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113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7.93</w:t>
            </w:r>
          </w:p>
        </w:tc>
        <w:tc>
          <w:tcPr>
            <w:tcW w:w="1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9FF8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7.93</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2E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243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39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95FA3">
            <w:pPr>
              <w:rPr>
                <w:rFonts w:hint="eastAsia" w:ascii="黑体" w:hAnsi="黑体" w:eastAsia="黑体" w:cs="黑体"/>
                <w:i/>
                <w:iCs/>
                <w:color w:val="000000"/>
                <w:sz w:val="18"/>
                <w:szCs w:val="18"/>
                <w:u w:val="none"/>
              </w:rPr>
            </w:pPr>
          </w:p>
        </w:tc>
      </w:tr>
      <w:tr w14:paraId="1C5EB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16D10">
            <w:pPr>
              <w:jc w:val="center"/>
              <w:rPr>
                <w:rFonts w:hint="eastAsia" w:ascii="宋体" w:hAnsi="宋体" w:eastAsia="宋体" w:cs="宋体"/>
                <w:i w:val="0"/>
                <w:iCs w:val="0"/>
                <w:color w:val="000000"/>
                <w:sz w:val="18"/>
                <w:szCs w:val="18"/>
                <w:u w:val="none"/>
              </w:rPr>
            </w:pP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E32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8C2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96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603A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D6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5B2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034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9BBB1">
            <w:pPr>
              <w:rPr>
                <w:rFonts w:hint="eastAsia" w:ascii="黑体" w:hAnsi="黑体" w:eastAsia="黑体" w:cs="黑体"/>
                <w:i/>
                <w:iCs/>
                <w:color w:val="000000"/>
                <w:sz w:val="18"/>
                <w:szCs w:val="18"/>
                <w:u w:val="none"/>
              </w:rPr>
            </w:pPr>
          </w:p>
        </w:tc>
      </w:tr>
      <w:tr w14:paraId="78841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4B5CD">
            <w:pPr>
              <w:jc w:val="center"/>
              <w:rPr>
                <w:rFonts w:hint="eastAsia" w:ascii="宋体" w:hAnsi="宋体" w:eastAsia="宋体" w:cs="宋体"/>
                <w:i w:val="0"/>
                <w:iCs w:val="0"/>
                <w:color w:val="000000"/>
                <w:sz w:val="18"/>
                <w:szCs w:val="18"/>
                <w:u w:val="none"/>
              </w:rPr>
            </w:pP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47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01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B3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7FA1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74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B8C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15F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980D5">
            <w:pPr>
              <w:rPr>
                <w:rFonts w:hint="eastAsia" w:ascii="黑体" w:hAnsi="黑体" w:eastAsia="黑体" w:cs="黑体"/>
                <w:i/>
                <w:iCs/>
                <w:color w:val="000000"/>
                <w:sz w:val="18"/>
                <w:szCs w:val="18"/>
                <w:u w:val="none"/>
              </w:rPr>
            </w:pPr>
          </w:p>
        </w:tc>
      </w:tr>
      <w:tr w14:paraId="7910D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BF5ED">
            <w:pPr>
              <w:jc w:val="center"/>
              <w:rPr>
                <w:rFonts w:hint="eastAsia" w:ascii="宋体" w:hAnsi="宋体" w:eastAsia="宋体" w:cs="宋体"/>
                <w:i w:val="0"/>
                <w:iCs w:val="0"/>
                <w:color w:val="000000"/>
                <w:sz w:val="18"/>
                <w:szCs w:val="18"/>
                <w:u w:val="none"/>
              </w:rPr>
            </w:pP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2D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3EB22">
            <w:pPr>
              <w:jc w:val="center"/>
              <w:rPr>
                <w:rFonts w:hint="eastAsia" w:ascii="微软雅黑" w:hAnsi="微软雅黑" w:eastAsia="微软雅黑" w:cs="微软雅黑"/>
                <w:i/>
                <w:iCs/>
                <w:color w:val="000000"/>
                <w:sz w:val="16"/>
                <w:szCs w:val="16"/>
                <w:u w:val="none"/>
              </w:rPr>
            </w:pP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A5E5">
            <w:pPr>
              <w:jc w:val="center"/>
              <w:rPr>
                <w:rFonts w:hint="eastAsia" w:ascii="微软雅黑" w:hAnsi="微软雅黑" w:eastAsia="微软雅黑" w:cs="微软雅黑"/>
                <w:i/>
                <w:iCs/>
                <w:color w:val="000000"/>
                <w:sz w:val="16"/>
                <w:szCs w:val="16"/>
                <w:u w:val="none"/>
              </w:rPr>
            </w:pPr>
          </w:p>
        </w:tc>
        <w:tc>
          <w:tcPr>
            <w:tcW w:w="1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D383DE">
            <w:pPr>
              <w:jc w:val="center"/>
              <w:rPr>
                <w:rFonts w:hint="eastAsia" w:ascii="微软雅黑" w:hAnsi="微软雅黑" w:eastAsia="微软雅黑" w:cs="微软雅黑"/>
                <w:i/>
                <w:iCs/>
                <w:color w:val="000000"/>
                <w:sz w:val="16"/>
                <w:szCs w:val="16"/>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B9DEC">
            <w:pPr>
              <w:jc w:val="center"/>
              <w:rPr>
                <w:rFonts w:hint="eastAsia" w:ascii="微软雅黑" w:hAnsi="微软雅黑" w:eastAsia="微软雅黑" w:cs="微软雅黑"/>
                <w:i/>
                <w:iCs/>
                <w:color w:val="000000"/>
                <w:sz w:val="16"/>
                <w:szCs w:val="16"/>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740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17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69EA3">
            <w:pPr>
              <w:rPr>
                <w:rFonts w:hint="eastAsia" w:ascii="黑体" w:hAnsi="黑体" w:eastAsia="黑体" w:cs="黑体"/>
                <w:i/>
                <w:iCs/>
                <w:color w:val="000000"/>
                <w:sz w:val="18"/>
                <w:szCs w:val="18"/>
                <w:u w:val="none"/>
              </w:rPr>
            </w:pPr>
          </w:p>
        </w:tc>
      </w:tr>
      <w:tr w14:paraId="23F98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8653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A1D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4AE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F8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60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4F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6B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20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8E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B0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27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3DDB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0F656">
            <w:pPr>
              <w:jc w:val="center"/>
              <w:rPr>
                <w:rFonts w:hint="eastAsia" w:ascii="宋体" w:hAnsi="宋体" w:eastAsia="宋体" w:cs="宋体"/>
                <w:i w:val="0"/>
                <w:iCs w:val="0"/>
                <w:color w:val="000000"/>
                <w:sz w:val="18"/>
                <w:szCs w:val="18"/>
                <w:u w:val="none"/>
              </w:rPr>
            </w:pPr>
          </w:p>
        </w:tc>
        <w:tc>
          <w:tcPr>
            <w:tcW w:w="16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55B5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EB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27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应急救护培训人次</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4C6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887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30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人数</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C50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5B2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282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B8C1">
            <w:pPr>
              <w:jc w:val="center"/>
              <w:rPr>
                <w:rFonts w:hint="eastAsia" w:ascii="微软雅黑" w:hAnsi="微软雅黑" w:eastAsia="微软雅黑" w:cs="微软雅黑"/>
                <w:i/>
                <w:iCs/>
                <w:color w:val="000000"/>
                <w:sz w:val="16"/>
                <w:szCs w:val="16"/>
                <w:u w:val="none"/>
              </w:rPr>
            </w:pPr>
          </w:p>
        </w:tc>
      </w:tr>
      <w:tr w14:paraId="333DA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475FA">
            <w:pPr>
              <w:jc w:val="center"/>
              <w:rPr>
                <w:rFonts w:hint="eastAsia" w:ascii="宋体" w:hAnsi="宋体" w:eastAsia="宋体" w:cs="宋体"/>
                <w:i w:val="0"/>
                <w:iCs w:val="0"/>
                <w:color w:val="000000"/>
                <w:sz w:val="18"/>
                <w:szCs w:val="18"/>
                <w:u w:val="none"/>
              </w:rPr>
            </w:pPr>
          </w:p>
        </w:tc>
        <w:tc>
          <w:tcPr>
            <w:tcW w:w="1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407FF">
            <w:pPr>
              <w:jc w:val="center"/>
              <w:rPr>
                <w:rFonts w:hint="eastAsia" w:ascii="宋体" w:hAnsi="宋体" w:eastAsia="宋体" w:cs="宋体"/>
                <w:i w:val="0"/>
                <w:iCs w:val="0"/>
                <w:color w:val="000000"/>
                <w:sz w:val="18"/>
                <w:szCs w:val="18"/>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58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EA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基层组织建设质量</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CC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F52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优良差</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59F3C">
            <w:pPr>
              <w:jc w:val="center"/>
              <w:rPr>
                <w:rFonts w:hint="eastAsia" w:ascii="宋体" w:hAnsi="宋体" w:eastAsia="宋体" w:cs="宋体"/>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6E46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DC8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2AC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6</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79CB8">
            <w:pPr>
              <w:jc w:val="center"/>
              <w:rPr>
                <w:rFonts w:hint="eastAsia" w:ascii="微软雅黑" w:hAnsi="微软雅黑" w:eastAsia="微软雅黑" w:cs="微软雅黑"/>
                <w:i/>
                <w:iCs/>
                <w:color w:val="000000"/>
                <w:sz w:val="16"/>
                <w:szCs w:val="16"/>
                <w:u w:val="none"/>
              </w:rPr>
            </w:pPr>
          </w:p>
        </w:tc>
      </w:tr>
      <w:tr w14:paraId="7B82D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AE05F">
            <w:pPr>
              <w:jc w:val="center"/>
              <w:rPr>
                <w:rFonts w:hint="eastAsia" w:ascii="宋体" w:hAnsi="宋体" w:eastAsia="宋体" w:cs="宋体"/>
                <w:i w:val="0"/>
                <w:iCs w:val="0"/>
                <w:color w:val="000000"/>
                <w:sz w:val="18"/>
                <w:szCs w:val="18"/>
                <w:u w:val="none"/>
              </w:rPr>
            </w:pPr>
          </w:p>
        </w:tc>
        <w:tc>
          <w:tcPr>
            <w:tcW w:w="1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5392B">
            <w:pPr>
              <w:jc w:val="center"/>
              <w:rPr>
                <w:rFonts w:hint="eastAsia" w:ascii="宋体" w:hAnsi="宋体" w:eastAsia="宋体" w:cs="宋体"/>
                <w:i w:val="0"/>
                <w:iCs w:val="0"/>
                <w:color w:val="000000"/>
                <w:sz w:val="18"/>
                <w:szCs w:val="18"/>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EEF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0D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按进度完成应急培训任务</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7E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CB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77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429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5D3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3EF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A925">
            <w:pPr>
              <w:jc w:val="center"/>
              <w:rPr>
                <w:rFonts w:hint="eastAsia" w:ascii="微软雅黑" w:hAnsi="微软雅黑" w:eastAsia="微软雅黑" w:cs="微软雅黑"/>
                <w:i/>
                <w:iCs/>
                <w:color w:val="000000"/>
                <w:sz w:val="16"/>
                <w:szCs w:val="16"/>
                <w:u w:val="none"/>
              </w:rPr>
            </w:pPr>
          </w:p>
        </w:tc>
      </w:tr>
      <w:tr w14:paraId="5C768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5DAFF">
            <w:pPr>
              <w:jc w:val="center"/>
              <w:rPr>
                <w:rFonts w:hint="eastAsia" w:ascii="宋体" w:hAnsi="宋体" w:eastAsia="宋体" w:cs="宋体"/>
                <w:i w:val="0"/>
                <w:iCs w:val="0"/>
                <w:color w:val="000000"/>
                <w:sz w:val="18"/>
                <w:szCs w:val="18"/>
                <w:u w:val="none"/>
              </w:rPr>
            </w:pP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5D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D3A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B9C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居民应急救护参与积极性</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14A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DF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优良差</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FD740">
            <w:pPr>
              <w:jc w:val="center"/>
              <w:rPr>
                <w:rFonts w:hint="eastAsia" w:ascii="宋体" w:hAnsi="宋体" w:eastAsia="宋体" w:cs="宋体"/>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6F4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051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680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17</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688B">
            <w:pPr>
              <w:jc w:val="center"/>
              <w:rPr>
                <w:rFonts w:hint="eastAsia" w:ascii="微软雅黑" w:hAnsi="微软雅黑" w:eastAsia="微软雅黑" w:cs="微软雅黑"/>
                <w:i/>
                <w:iCs/>
                <w:color w:val="000000"/>
                <w:sz w:val="16"/>
                <w:szCs w:val="16"/>
                <w:u w:val="none"/>
              </w:rPr>
            </w:pPr>
          </w:p>
        </w:tc>
      </w:tr>
      <w:tr w14:paraId="074C4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15A62">
            <w:pPr>
              <w:jc w:val="center"/>
              <w:rPr>
                <w:rFonts w:hint="eastAsia" w:ascii="宋体" w:hAnsi="宋体" w:eastAsia="宋体" w:cs="宋体"/>
                <w:i w:val="0"/>
                <w:iCs w:val="0"/>
                <w:color w:val="000000"/>
                <w:sz w:val="18"/>
                <w:szCs w:val="18"/>
                <w:u w:val="none"/>
              </w:rPr>
            </w:pP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71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66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6A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被服务群众满意度</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C6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6C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B7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2648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3A5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E11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EBC49">
            <w:pPr>
              <w:jc w:val="center"/>
              <w:rPr>
                <w:rFonts w:hint="eastAsia" w:ascii="微软雅黑" w:hAnsi="微软雅黑" w:eastAsia="微软雅黑" w:cs="微软雅黑"/>
                <w:i/>
                <w:iCs/>
                <w:color w:val="000000"/>
                <w:sz w:val="16"/>
                <w:szCs w:val="16"/>
                <w:u w:val="none"/>
              </w:rPr>
            </w:pPr>
          </w:p>
        </w:tc>
      </w:tr>
      <w:tr w14:paraId="3DA40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ACBD4">
            <w:pPr>
              <w:jc w:val="center"/>
              <w:rPr>
                <w:rFonts w:hint="eastAsia" w:ascii="宋体" w:hAnsi="宋体" w:eastAsia="宋体" w:cs="宋体"/>
                <w:i w:val="0"/>
                <w:iCs w:val="0"/>
                <w:color w:val="000000"/>
                <w:sz w:val="18"/>
                <w:szCs w:val="18"/>
                <w:u w:val="none"/>
              </w:rPr>
            </w:pP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321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C53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F9A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组织建设、应急救护培训、备灾救灾、宣传发动经济成本</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A6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DA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FB0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EEEE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7.93</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50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DC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4927">
            <w:pPr>
              <w:jc w:val="center"/>
              <w:rPr>
                <w:rFonts w:hint="eastAsia" w:ascii="微软雅黑" w:hAnsi="微软雅黑" w:eastAsia="微软雅黑" w:cs="微软雅黑"/>
                <w:i/>
                <w:iCs/>
                <w:color w:val="000000"/>
                <w:sz w:val="16"/>
                <w:szCs w:val="16"/>
                <w:u w:val="none"/>
              </w:rPr>
            </w:pPr>
          </w:p>
        </w:tc>
      </w:tr>
      <w:tr w14:paraId="64E04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8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44AFA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7FF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2172">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85</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6D98">
            <w:pPr>
              <w:rPr>
                <w:rFonts w:hint="eastAsia" w:ascii="宋体" w:hAnsi="宋体" w:eastAsia="宋体" w:cs="宋体"/>
                <w:i w:val="0"/>
                <w:iCs w:val="0"/>
                <w:color w:val="000000"/>
                <w:sz w:val="18"/>
                <w:szCs w:val="18"/>
                <w:u w:val="none"/>
              </w:rPr>
            </w:pPr>
          </w:p>
        </w:tc>
      </w:tr>
      <w:tr w14:paraId="1511F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BCC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2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3CECD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项目自评总分85分，表明项目实施效果显著，成功达成了既定目标，特别是在基层红十字组织建设、应急救护培训方面取得了重要成果。</w:t>
            </w:r>
          </w:p>
        </w:tc>
      </w:tr>
      <w:tr w14:paraId="16554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13C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2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7A376A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虽然项目整体完成良好，但满意度指标得分略低于满分，在服务过程中可能存在沟通不足或服务细节待提升之处。</w:t>
            </w:r>
          </w:p>
        </w:tc>
      </w:tr>
      <w:tr w14:paraId="7C888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345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2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A97D5A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满意度指标问题，建议加强与服务对象的沟通，深入了解其需求和反馈，优化服务流程，提升服务质量。同时，可以考虑开展定期的满意度调查，以便及时发现问题并持续改进。此外，加强对志愿者及救援队伍的培训和管理，提高整体服务水平和应急响应能力。</w:t>
            </w:r>
          </w:p>
        </w:tc>
      </w:tr>
      <w:tr w14:paraId="7911E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AB706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项目负责人：左诗琪</w:t>
            </w:r>
          </w:p>
        </w:tc>
        <w:tc>
          <w:tcPr>
            <w:tcW w:w="454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BDDB93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财务负责人：王娟</w:t>
            </w:r>
          </w:p>
        </w:tc>
      </w:tr>
    </w:tbl>
    <w:p w14:paraId="2AC890C9">
      <w:pPr>
        <w:spacing w:line="600" w:lineRule="exact"/>
        <w:jc w:val="center"/>
        <w:outlineLvl w:val="0"/>
      </w:pPr>
    </w:p>
    <w:p w14:paraId="0EEB0795">
      <w:pPr>
        <w:spacing w:line="600" w:lineRule="exact"/>
        <w:jc w:val="center"/>
        <w:outlineLvl w:val="0"/>
      </w:pPr>
    </w:p>
    <w:p w14:paraId="37B90B89">
      <w:pPr>
        <w:spacing w:line="600" w:lineRule="exact"/>
        <w:jc w:val="center"/>
        <w:outlineLvl w:val="0"/>
      </w:pPr>
    </w:p>
    <w:p w14:paraId="1D480A7B">
      <w:pPr>
        <w:spacing w:line="600" w:lineRule="exact"/>
        <w:jc w:val="center"/>
        <w:outlineLvl w:val="0"/>
      </w:pPr>
    </w:p>
    <w:p w14:paraId="642D4C4E">
      <w:pPr>
        <w:spacing w:line="600" w:lineRule="exact"/>
        <w:jc w:val="center"/>
        <w:outlineLvl w:val="0"/>
      </w:pPr>
    </w:p>
    <w:p w14:paraId="52110AA5">
      <w:pPr>
        <w:spacing w:line="600" w:lineRule="exact"/>
        <w:jc w:val="center"/>
        <w:outlineLvl w:val="0"/>
      </w:pPr>
    </w:p>
    <w:p w14:paraId="086D3189">
      <w:pPr>
        <w:spacing w:line="600" w:lineRule="exact"/>
        <w:jc w:val="center"/>
        <w:outlineLvl w:val="0"/>
      </w:pPr>
    </w:p>
    <w:p w14:paraId="08771E4D">
      <w:pPr>
        <w:spacing w:line="600" w:lineRule="exact"/>
        <w:jc w:val="center"/>
        <w:outlineLvl w:val="0"/>
      </w:pPr>
    </w:p>
    <w:p w14:paraId="7B87D185">
      <w:pPr>
        <w:spacing w:line="600" w:lineRule="exact"/>
        <w:jc w:val="center"/>
        <w:outlineLvl w:val="0"/>
      </w:pPr>
    </w:p>
    <w:p w14:paraId="6983561B">
      <w:pPr>
        <w:spacing w:line="600" w:lineRule="exact"/>
        <w:jc w:val="center"/>
        <w:outlineLvl w:val="0"/>
      </w:pPr>
    </w:p>
    <w:p w14:paraId="342CAECC">
      <w:pPr>
        <w:spacing w:line="600" w:lineRule="exact"/>
        <w:jc w:val="center"/>
        <w:outlineLvl w:val="0"/>
      </w:pPr>
    </w:p>
    <w:p w14:paraId="3A6EA0DC">
      <w:pPr>
        <w:spacing w:line="600" w:lineRule="exact"/>
        <w:jc w:val="center"/>
        <w:outlineLvl w:val="0"/>
      </w:pPr>
    </w:p>
    <w:p w14:paraId="766FC21C">
      <w:pPr>
        <w:spacing w:line="600" w:lineRule="exact"/>
        <w:jc w:val="center"/>
        <w:outlineLvl w:val="0"/>
      </w:pPr>
    </w:p>
    <w:p w14:paraId="520556FA">
      <w:pPr>
        <w:spacing w:line="600" w:lineRule="exact"/>
        <w:jc w:val="center"/>
        <w:outlineLvl w:val="0"/>
      </w:pPr>
    </w:p>
    <w:p w14:paraId="01EBC2C9">
      <w:pPr>
        <w:spacing w:line="600" w:lineRule="exact"/>
        <w:jc w:val="center"/>
        <w:outlineLvl w:val="0"/>
      </w:pPr>
    </w:p>
    <w:p w14:paraId="3AEB2FFE">
      <w:pPr>
        <w:spacing w:line="600" w:lineRule="exact"/>
        <w:jc w:val="center"/>
        <w:outlineLvl w:val="0"/>
      </w:pPr>
    </w:p>
    <w:p w14:paraId="0D2DD295">
      <w:pPr>
        <w:spacing w:line="600" w:lineRule="exact"/>
        <w:jc w:val="center"/>
        <w:outlineLvl w:val="0"/>
      </w:pPr>
    </w:p>
    <w:p w14:paraId="7AD91A28">
      <w:pPr>
        <w:spacing w:line="600" w:lineRule="exact"/>
        <w:jc w:val="center"/>
        <w:outlineLvl w:val="0"/>
      </w:pPr>
    </w:p>
    <w:p w14:paraId="0513A163">
      <w:pPr>
        <w:spacing w:line="600" w:lineRule="exact"/>
        <w:jc w:val="center"/>
        <w:outlineLvl w:val="0"/>
      </w:pPr>
    </w:p>
    <w:p w14:paraId="4893458F">
      <w:pPr>
        <w:spacing w:line="600" w:lineRule="exact"/>
        <w:jc w:val="center"/>
        <w:outlineLvl w:val="0"/>
      </w:pPr>
    </w:p>
    <w:p w14:paraId="3858F7AD">
      <w:pPr>
        <w:spacing w:line="600" w:lineRule="exact"/>
        <w:jc w:val="center"/>
        <w:outlineLvl w:val="0"/>
      </w:pPr>
    </w:p>
    <w:p w14:paraId="08FC51C7">
      <w:pPr>
        <w:spacing w:line="600" w:lineRule="exact"/>
        <w:jc w:val="center"/>
        <w:outlineLvl w:val="0"/>
        <w:rPr>
          <w:rFonts w:ascii="仿宋" w:hAnsi="仿宋" w:eastAsia="仿宋"/>
        </w:rPr>
      </w:pPr>
      <w:r>
        <w:rPr>
          <w:rFonts w:hint="eastAsia" w:ascii="黑体" w:hAnsi="黑体" w:eastAsia="黑体"/>
          <w:sz w:val="44"/>
          <w:szCs w:val="44"/>
        </w:rPr>
        <w:t>第</w:t>
      </w:r>
      <w:r>
        <w:rPr>
          <w:rStyle w:val="33"/>
          <w:rFonts w:hint="eastAsia" w:ascii="黑体" w:hAnsi="黑体" w:eastAsia="黑体"/>
          <w:b w:val="0"/>
        </w:rPr>
        <w:t>五部分 附表</w:t>
      </w:r>
      <w:bookmarkEnd w:id="59"/>
      <w:bookmarkEnd w:id="61"/>
      <w:bookmarkStart w:id="63" w:name="_Toc15396619"/>
    </w:p>
    <w:p w14:paraId="73C3CCEB">
      <w:pPr>
        <w:pStyle w:val="6"/>
        <w:rPr>
          <w:rFonts w:ascii="仿宋" w:hAnsi="仿宋" w:eastAsia="仿宋"/>
        </w:rPr>
      </w:pPr>
      <w:r>
        <w:rPr>
          <w:rFonts w:hint="eastAsia" w:ascii="仿宋" w:hAnsi="仿宋" w:eastAsia="仿宋"/>
          <w:b w:val="0"/>
        </w:rPr>
        <w:t>一、收</w:t>
      </w:r>
      <w:r>
        <w:rPr>
          <w:rStyle w:val="34"/>
          <w:rFonts w:hint="eastAsia" w:ascii="仿宋" w:hAnsi="仿宋" w:eastAsia="仿宋"/>
          <w:b w:val="0"/>
          <w:bCs w:val="0"/>
        </w:rPr>
        <w:t>入支出决算总表</w:t>
      </w:r>
      <w:bookmarkEnd w:id="63"/>
    </w:p>
    <w:p w14:paraId="5840EA45">
      <w:pPr>
        <w:pStyle w:val="6"/>
        <w:rPr>
          <w:rFonts w:ascii="仿宋" w:hAnsi="仿宋" w:eastAsia="仿宋"/>
        </w:rPr>
      </w:pPr>
      <w:bookmarkStart w:id="64" w:name="_Toc15396620"/>
      <w:r>
        <w:rPr>
          <w:rFonts w:hint="eastAsia" w:ascii="仿宋" w:hAnsi="仿宋" w:eastAsia="仿宋"/>
          <w:b w:val="0"/>
        </w:rPr>
        <w:t>二、收</w:t>
      </w:r>
      <w:r>
        <w:rPr>
          <w:rStyle w:val="34"/>
          <w:rFonts w:hint="eastAsia" w:ascii="仿宋" w:hAnsi="仿宋" w:eastAsia="仿宋"/>
          <w:b w:val="0"/>
          <w:bCs w:val="0"/>
        </w:rPr>
        <w:t>入决算表</w:t>
      </w:r>
      <w:bookmarkEnd w:id="64"/>
    </w:p>
    <w:p w14:paraId="4A5C5E71">
      <w:pPr>
        <w:pStyle w:val="6"/>
        <w:rPr>
          <w:rFonts w:ascii="仿宋" w:hAnsi="仿宋" w:eastAsia="仿宋"/>
        </w:rPr>
      </w:pPr>
      <w:bookmarkStart w:id="65" w:name="_Toc15396621"/>
      <w:r>
        <w:rPr>
          <w:rStyle w:val="34"/>
          <w:rFonts w:hint="eastAsia" w:ascii="仿宋" w:hAnsi="仿宋" w:eastAsia="仿宋"/>
          <w:b w:val="0"/>
          <w:bCs w:val="0"/>
        </w:rPr>
        <w:t>三、</w:t>
      </w:r>
      <w:r>
        <w:rPr>
          <w:rFonts w:hint="eastAsia" w:ascii="仿宋" w:hAnsi="仿宋" w:eastAsia="仿宋"/>
          <w:b w:val="0"/>
        </w:rPr>
        <w:t>支</w:t>
      </w:r>
      <w:r>
        <w:rPr>
          <w:rStyle w:val="34"/>
          <w:rFonts w:hint="eastAsia" w:ascii="仿宋" w:hAnsi="仿宋" w:eastAsia="仿宋"/>
          <w:b w:val="0"/>
          <w:bCs w:val="0"/>
        </w:rPr>
        <w:t>出决算表</w:t>
      </w:r>
      <w:bookmarkEnd w:id="65"/>
    </w:p>
    <w:p w14:paraId="50A8C798">
      <w:pPr>
        <w:pStyle w:val="6"/>
        <w:rPr>
          <w:rFonts w:ascii="仿宋" w:hAnsi="仿宋" w:eastAsia="仿宋"/>
          <w:b w:val="0"/>
        </w:rPr>
      </w:pPr>
      <w:bookmarkStart w:id="66" w:name="_Toc15396622"/>
      <w:r>
        <w:rPr>
          <w:rStyle w:val="34"/>
          <w:rFonts w:hint="eastAsia" w:ascii="仿宋" w:hAnsi="仿宋" w:eastAsia="仿宋"/>
          <w:b w:val="0"/>
          <w:bCs w:val="0"/>
        </w:rPr>
        <w:t>四、</w:t>
      </w:r>
      <w:r>
        <w:rPr>
          <w:rFonts w:hint="eastAsia" w:ascii="仿宋" w:hAnsi="仿宋" w:eastAsia="仿宋"/>
          <w:b w:val="0"/>
        </w:rPr>
        <w:t>财</w:t>
      </w:r>
      <w:r>
        <w:rPr>
          <w:rStyle w:val="34"/>
          <w:rFonts w:hint="eastAsia" w:ascii="仿宋" w:hAnsi="仿宋" w:eastAsia="仿宋"/>
          <w:b w:val="0"/>
          <w:bCs w:val="0"/>
        </w:rPr>
        <w:t>政拨款收入支出决算总表</w:t>
      </w:r>
      <w:bookmarkEnd w:id="66"/>
    </w:p>
    <w:p w14:paraId="4CBC1CA8">
      <w:pPr>
        <w:pStyle w:val="6"/>
        <w:rPr>
          <w:rStyle w:val="34"/>
          <w:rFonts w:ascii="仿宋" w:hAnsi="仿宋" w:eastAsia="仿宋"/>
          <w:b w:val="0"/>
          <w:bCs w:val="0"/>
        </w:rPr>
      </w:pPr>
      <w:bookmarkStart w:id="67" w:name="_Toc15396623"/>
      <w:r>
        <w:rPr>
          <w:rStyle w:val="34"/>
          <w:rFonts w:hint="eastAsia" w:ascii="仿宋" w:hAnsi="仿宋" w:eastAsia="仿宋"/>
          <w:b w:val="0"/>
          <w:bCs w:val="0"/>
        </w:rPr>
        <w:t>五、</w:t>
      </w:r>
      <w:r>
        <w:rPr>
          <w:rFonts w:hint="eastAsia" w:ascii="仿宋" w:hAnsi="仿宋" w:eastAsia="仿宋"/>
          <w:b w:val="0"/>
        </w:rPr>
        <w:t>财</w:t>
      </w:r>
      <w:r>
        <w:rPr>
          <w:rStyle w:val="34"/>
          <w:rFonts w:hint="eastAsia" w:ascii="仿宋" w:hAnsi="仿宋" w:eastAsia="仿宋"/>
          <w:b w:val="0"/>
          <w:bCs w:val="0"/>
        </w:rPr>
        <w:t>政拨款支出决算明细表</w:t>
      </w:r>
      <w:bookmarkEnd w:id="67"/>
      <w:bookmarkStart w:id="68" w:name="_Toc15396624"/>
    </w:p>
    <w:p w14:paraId="5F755F02">
      <w:pPr>
        <w:pStyle w:val="6"/>
        <w:rPr>
          <w:rFonts w:ascii="仿宋" w:hAnsi="仿宋" w:eastAsia="仿宋"/>
        </w:rPr>
      </w:pPr>
      <w:r>
        <w:rPr>
          <w:rStyle w:val="34"/>
          <w:rFonts w:hint="eastAsia" w:ascii="仿宋" w:hAnsi="仿宋" w:eastAsia="仿宋"/>
          <w:b w:val="0"/>
          <w:bCs w:val="0"/>
        </w:rPr>
        <w:t>六、</w:t>
      </w:r>
      <w:r>
        <w:rPr>
          <w:rFonts w:hint="eastAsia" w:ascii="仿宋" w:hAnsi="仿宋" w:eastAsia="仿宋"/>
          <w:b w:val="0"/>
        </w:rPr>
        <w:t>一</w:t>
      </w:r>
      <w:r>
        <w:rPr>
          <w:rStyle w:val="34"/>
          <w:rFonts w:hint="eastAsia" w:ascii="仿宋" w:hAnsi="仿宋" w:eastAsia="仿宋"/>
          <w:b w:val="0"/>
          <w:bCs w:val="0"/>
        </w:rPr>
        <w:t>般公共预算财政拨款支出决算表</w:t>
      </w:r>
      <w:bookmarkEnd w:id="68"/>
      <w:bookmarkStart w:id="76" w:name="_GoBack"/>
      <w:bookmarkEnd w:id="76"/>
    </w:p>
    <w:p w14:paraId="586B8DAE">
      <w:pPr>
        <w:pStyle w:val="6"/>
        <w:rPr>
          <w:rFonts w:ascii="仿宋" w:hAnsi="仿宋" w:eastAsia="仿宋"/>
        </w:rPr>
      </w:pPr>
      <w:bookmarkStart w:id="69" w:name="_Toc15396625"/>
      <w:r>
        <w:rPr>
          <w:rStyle w:val="34"/>
          <w:rFonts w:hint="eastAsia" w:ascii="仿宋" w:hAnsi="仿宋" w:eastAsia="仿宋"/>
          <w:b w:val="0"/>
          <w:bCs w:val="0"/>
        </w:rPr>
        <w:t>七、</w:t>
      </w:r>
      <w:r>
        <w:rPr>
          <w:rFonts w:hint="eastAsia" w:ascii="仿宋" w:hAnsi="仿宋" w:eastAsia="仿宋"/>
          <w:b w:val="0"/>
        </w:rPr>
        <w:t>一</w:t>
      </w:r>
      <w:r>
        <w:rPr>
          <w:rStyle w:val="34"/>
          <w:rFonts w:hint="eastAsia" w:ascii="仿宋" w:hAnsi="仿宋" w:eastAsia="仿宋"/>
          <w:b w:val="0"/>
          <w:bCs w:val="0"/>
        </w:rPr>
        <w:t>般公共预算财政拨款支出决算明细表</w:t>
      </w:r>
      <w:bookmarkEnd w:id="69"/>
    </w:p>
    <w:p w14:paraId="773C066D">
      <w:pPr>
        <w:pStyle w:val="6"/>
        <w:rPr>
          <w:rFonts w:ascii="仿宋" w:hAnsi="仿宋" w:eastAsia="仿宋"/>
        </w:rPr>
      </w:pPr>
      <w:bookmarkStart w:id="70" w:name="_Toc15396626"/>
      <w:r>
        <w:rPr>
          <w:rStyle w:val="34"/>
          <w:rFonts w:hint="eastAsia" w:ascii="仿宋" w:hAnsi="仿宋" w:eastAsia="仿宋"/>
          <w:b w:val="0"/>
          <w:bCs w:val="0"/>
        </w:rPr>
        <w:t>八、</w:t>
      </w:r>
      <w:r>
        <w:rPr>
          <w:rFonts w:hint="eastAsia" w:ascii="仿宋" w:hAnsi="仿宋" w:eastAsia="仿宋"/>
          <w:b w:val="0"/>
        </w:rPr>
        <w:t>一</w:t>
      </w:r>
      <w:r>
        <w:rPr>
          <w:rStyle w:val="34"/>
          <w:rFonts w:hint="eastAsia" w:ascii="仿宋" w:hAnsi="仿宋" w:eastAsia="仿宋"/>
          <w:b w:val="0"/>
          <w:bCs w:val="0"/>
        </w:rPr>
        <w:t>般公共预算财政拨款基本支出决算表</w:t>
      </w:r>
      <w:bookmarkEnd w:id="70"/>
    </w:p>
    <w:p w14:paraId="1D184435">
      <w:pPr>
        <w:pStyle w:val="6"/>
        <w:rPr>
          <w:rFonts w:ascii="仿宋" w:hAnsi="仿宋" w:eastAsia="仿宋"/>
        </w:rPr>
      </w:pPr>
      <w:bookmarkStart w:id="71" w:name="_Toc15396627"/>
      <w:r>
        <w:rPr>
          <w:rStyle w:val="34"/>
          <w:rFonts w:hint="eastAsia" w:ascii="仿宋" w:hAnsi="仿宋" w:eastAsia="仿宋"/>
          <w:b w:val="0"/>
          <w:bCs w:val="0"/>
        </w:rPr>
        <w:t>九、</w:t>
      </w:r>
      <w:r>
        <w:rPr>
          <w:rFonts w:hint="eastAsia" w:ascii="仿宋" w:hAnsi="仿宋" w:eastAsia="仿宋"/>
          <w:b w:val="0"/>
        </w:rPr>
        <w:t>一</w:t>
      </w:r>
      <w:r>
        <w:rPr>
          <w:rStyle w:val="34"/>
          <w:rFonts w:hint="eastAsia" w:ascii="仿宋" w:hAnsi="仿宋" w:eastAsia="仿宋"/>
          <w:b w:val="0"/>
          <w:bCs w:val="0"/>
        </w:rPr>
        <w:t>般公共预算财政拨款项目支出决算表</w:t>
      </w:r>
      <w:bookmarkEnd w:id="71"/>
    </w:p>
    <w:p w14:paraId="5CFF0837">
      <w:pPr>
        <w:pStyle w:val="6"/>
        <w:rPr>
          <w:rFonts w:ascii="仿宋" w:hAnsi="仿宋" w:eastAsia="仿宋"/>
        </w:rPr>
      </w:pPr>
      <w:bookmarkStart w:id="72" w:name="_Toc15396628"/>
      <w:r>
        <w:rPr>
          <w:rStyle w:val="34"/>
          <w:rFonts w:hint="eastAsia" w:ascii="仿宋" w:hAnsi="仿宋" w:eastAsia="仿宋"/>
          <w:b w:val="0"/>
          <w:bCs w:val="0"/>
        </w:rPr>
        <w:t>十、</w:t>
      </w:r>
      <w:bookmarkEnd w:id="72"/>
      <w:r>
        <w:rPr>
          <w:rFonts w:hint="eastAsia" w:ascii="仿宋" w:hAnsi="仿宋" w:eastAsia="仿宋"/>
          <w:b w:val="0"/>
        </w:rPr>
        <w:t>政</w:t>
      </w:r>
      <w:r>
        <w:rPr>
          <w:rStyle w:val="34"/>
          <w:rFonts w:hint="eastAsia" w:ascii="仿宋" w:hAnsi="仿宋" w:eastAsia="仿宋"/>
          <w:b w:val="0"/>
          <w:bCs w:val="0"/>
        </w:rPr>
        <w:t>府性基金预算财政拨款收入支出决算表</w:t>
      </w:r>
    </w:p>
    <w:p w14:paraId="30D0A946">
      <w:pPr>
        <w:pStyle w:val="6"/>
        <w:rPr>
          <w:rFonts w:ascii="仿宋" w:hAnsi="仿宋" w:eastAsia="仿宋"/>
        </w:rPr>
      </w:pPr>
      <w:bookmarkStart w:id="73" w:name="_Toc15396629"/>
      <w:r>
        <w:rPr>
          <w:rStyle w:val="34"/>
          <w:rFonts w:hint="eastAsia" w:ascii="仿宋" w:hAnsi="仿宋" w:eastAsia="仿宋"/>
          <w:b w:val="0"/>
          <w:bCs w:val="0"/>
        </w:rPr>
        <w:t>十一、</w:t>
      </w:r>
      <w:bookmarkEnd w:id="73"/>
      <w:r>
        <w:rPr>
          <w:rFonts w:hint="eastAsia" w:ascii="仿宋" w:hAnsi="仿宋" w:eastAsia="仿宋"/>
          <w:b w:val="0"/>
        </w:rPr>
        <w:t>国</w:t>
      </w:r>
      <w:r>
        <w:rPr>
          <w:rStyle w:val="34"/>
          <w:rFonts w:hint="eastAsia" w:ascii="仿宋" w:hAnsi="仿宋" w:eastAsia="仿宋"/>
          <w:b w:val="0"/>
          <w:bCs w:val="0"/>
        </w:rPr>
        <w:t>有资本经营预算财政拨款收入支出决算表</w:t>
      </w:r>
    </w:p>
    <w:p w14:paraId="47D167B6">
      <w:pPr>
        <w:pStyle w:val="6"/>
        <w:rPr>
          <w:rFonts w:ascii="仿宋" w:hAnsi="仿宋" w:eastAsia="仿宋"/>
        </w:rPr>
      </w:pPr>
      <w:bookmarkStart w:id="74" w:name="_Toc15396630"/>
      <w:r>
        <w:rPr>
          <w:rStyle w:val="34"/>
          <w:rFonts w:hint="eastAsia" w:ascii="仿宋" w:hAnsi="仿宋" w:eastAsia="仿宋"/>
          <w:b w:val="0"/>
          <w:bCs w:val="0"/>
        </w:rPr>
        <w:t>十二、</w:t>
      </w:r>
      <w:bookmarkEnd w:id="74"/>
      <w:r>
        <w:rPr>
          <w:rStyle w:val="34"/>
          <w:rFonts w:hint="eastAsia" w:ascii="仿宋" w:hAnsi="仿宋" w:eastAsia="仿宋"/>
          <w:b w:val="0"/>
          <w:bCs w:val="0"/>
        </w:rPr>
        <w:t>国有资本经营预算财政拨款支出决算表</w:t>
      </w:r>
    </w:p>
    <w:p w14:paraId="6AA86212">
      <w:pPr>
        <w:pStyle w:val="6"/>
        <w:rPr>
          <w:rFonts w:eastAsia="仿宋"/>
        </w:rPr>
      </w:pPr>
      <w:bookmarkStart w:id="75" w:name="_Toc15396631"/>
      <w:r>
        <w:rPr>
          <w:rStyle w:val="34"/>
          <w:rFonts w:hint="eastAsia" w:ascii="仿宋" w:hAnsi="仿宋" w:eastAsia="仿宋"/>
          <w:b w:val="0"/>
          <w:bCs w:val="0"/>
        </w:rPr>
        <w:t>十三、</w:t>
      </w:r>
      <w:bookmarkEnd w:id="75"/>
      <w:r>
        <w:rPr>
          <w:rStyle w:val="34"/>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5C8E1894">
        <w:pPr>
          <w:pStyle w:val="15"/>
          <w:jc w:val="center"/>
        </w:pPr>
        <w:r>
          <w:fldChar w:fldCharType="begin"/>
        </w:r>
        <w:r>
          <w:instrText xml:space="preserve">PAGE   \* MERGEFORMAT</w:instrText>
        </w:r>
        <w:r>
          <w:fldChar w:fldCharType="separate"/>
        </w:r>
        <w:r>
          <w:rPr>
            <w:lang w:val="zh-CN"/>
          </w:rPr>
          <w:t>3</w:t>
        </w:r>
        <w:r>
          <w:fldChar w:fldCharType="end"/>
        </w:r>
      </w:p>
    </w:sdtContent>
  </w:sdt>
  <w:p w14:paraId="51FCB747">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3D76A">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9988F3"/>
    <w:multiLevelType w:val="singleLevel"/>
    <w:tmpl w:val="969988F3"/>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EFBC90A3"/>
    <w:multiLevelType w:val="singleLevel"/>
    <w:tmpl w:val="EFBC90A3"/>
    <w:lvl w:ilvl="0" w:tentative="0">
      <w:start w:val="1"/>
      <w:numFmt w:val="decimal"/>
      <w:lvlText w:val="%1."/>
      <w:lvlJc w:val="left"/>
      <w:pPr>
        <w:tabs>
          <w:tab w:val="left" w:pos="312"/>
        </w:tabs>
      </w:pPr>
    </w:lvl>
  </w:abstractNum>
  <w:abstractNum w:abstractNumId="4">
    <w:nsid w:val="F62218D7"/>
    <w:multiLevelType w:val="singleLevel"/>
    <w:tmpl w:val="F62218D7"/>
    <w:lvl w:ilvl="0" w:tentative="0">
      <w:start w:val="4"/>
      <w:numFmt w:val="decimal"/>
      <w:lvlText w:val="%1."/>
      <w:lvlJc w:val="left"/>
      <w:pPr>
        <w:tabs>
          <w:tab w:val="left" w:pos="312"/>
        </w:tabs>
      </w:pPr>
    </w:lvl>
  </w:abstractNum>
  <w:abstractNum w:abstractNumId="5">
    <w:nsid w:val="18577F50"/>
    <w:multiLevelType w:val="singleLevel"/>
    <w:tmpl w:val="18577F50"/>
    <w:lvl w:ilvl="0" w:tentative="0">
      <w:start w:val="1"/>
      <w:numFmt w:val="chineseCounting"/>
      <w:suff w:val="space"/>
      <w:lvlText w:val="第%1部分"/>
      <w:lvlJc w:val="left"/>
      <w:rPr>
        <w:rFonts w:hint="eastAsia"/>
      </w:rPr>
    </w:lvl>
  </w:abstractNum>
  <w:abstractNum w:abstractNumId="6">
    <w:nsid w:val="33819B88"/>
    <w:multiLevelType w:val="singleLevel"/>
    <w:tmpl w:val="33819B88"/>
    <w:lvl w:ilvl="0" w:tentative="0">
      <w:start w:val="1"/>
      <w:numFmt w:val="decimal"/>
      <w:pStyle w:val="9"/>
      <w:lvlText w:val="%1."/>
      <w:lvlJc w:val="left"/>
      <w:pPr>
        <w:tabs>
          <w:tab w:val="left" w:pos="360"/>
        </w:tabs>
        <w:ind w:left="360" w:hanging="360"/>
      </w:pPr>
    </w:lvl>
  </w:abstractNum>
  <w:num w:numId="1">
    <w:abstractNumId w:val="6"/>
  </w:num>
  <w:num w:numId="2">
    <w:abstractNumId w:val="5"/>
  </w:num>
  <w:num w:numId="3">
    <w:abstractNumId w:val="0"/>
  </w:num>
  <w:num w:numId="4">
    <w:abstractNumId w:val="3"/>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jNTczMjk0ODJmNzkxZTIyMDk2OWU3NWIzNzE1NW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08C"/>
    <w:rsid w:val="000B6FF3"/>
    <w:rsid w:val="000C3467"/>
    <w:rsid w:val="000C3CA6"/>
    <w:rsid w:val="000D1267"/>
    <w:rsid w:val="000D1D50"/>
    <w:rsid w:val="000D5782"/>
    <w:rsid w:val="000E6613"/>
    <w:rsid w:val="000E7119"/>
    <w:rsid w:val="00102745"/>
    <w:rsid w:val="00114E9B"/>
    <w:rsid w:val="00142216"/>
    <w:rsid w:val="00144D6A"/>
    <w:rsid w:val="0014729F"/>
    <w:rsid w:val="00157BAB"/>
    <w:rsid w:val="001654D1"/>
    <w:rsid w:val="00174518"/>
    <w:rsid w:val="0018106D"/>
    <w:rsid w:val="001877A7"/>
    <w:rsid w:val="00191536"/>
    <w:rsid w:val="00196687"/>
    <w:rsid w:val="001C0962"/>
    <w:rsid w:val="001C5462"/>
    <w:rsid w:val="001D7531"/>
    <w:rsid w:val="001E737D"/>
    <w:rsid w:val="001F0592"/>
    <w:rsid w:val="001F7506"/>
    <w:rsid w:val="002006CD"/>
    <w:rsid w:val="00202B36"/>
    <w:rsid w:val="00204B7A"/>
    <w:rsid w:val="00204CDE"/>
    <w:rsid w:val="0021101A"/>
    <w:rsid w:val="00220536"/>
    <w:rsid w:val="00235629"/>
    <w:rsid w:val="00253737"/>
    <w:rsid w:val="00260C38"/>
    <w:rsid w:val="002616C0"/>
    <w:rsid w:val="00265372"/>
    <w:rsid w:val="002662AA"/>
    <w:rsid w:val="00280496"/>
    <w:rsid w:val="00294DC9"/>
    <w:rsid w:val="00295495"/>
    <w:rsid w:val="002A31DE"/>
    <w:rsid w:val="002B2613"/>
    <w:rsid w:val="002D6D05"/>
    <w:rsid w:val="002F1818"/>
    <w:rsid w:val="002F567B"/>
    <w:rsid w:val="002F7986"/>
    <w:rsid w:val="003216A9"/>
    <w:rsid w:val="003347D3"/>
    <w:rsid w:val="00335A74"/>
    <w:rsid w:val="0036561B"/>
    <w:rsid w:val="0037013F"/>
    <w:rsid w:val="00370FDC"/>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51A0A"/>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35D87"/>
    <w:rsid w:val="005664BB"/>
    <w:rsid w:val="00566FFA"/>
    <w:rsid w:val="0057481D"/>
    <w:rsid w:val="0058486E"/>
    <w:rsid w:val="00585B33"/>
    <w:rsid w:val="00586C8C"/>
    <w:rsid w:val="0059014D"/>
    <w:rsid w:val="005B5C64"/>
    <w:rsid w:val="005C5337"/>
    <w:rsid w:val="005C6BD0"/>
    <w:rsid w:val="005D1C8B"/>
    <w:rsid w:val="005D468D"/>
    <w:rsid w:val="005D5CED"/>
    <w:rsid w:val="005F1A4C"/>
    <w:rsid w:val="005F747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712"/>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C4987"/>
    <w:rsid w:val="007D1682"/>
    <w:rsid w:val="007D312A"/>
    <w:rsid w:val="007D3F19"/>
    <w:rsid w:val="007D5963"/>
    <w:rsid w:val="007E23B0"/>
    <w:rsid w:val="007E23E5"/>
    <w:rsid w:val="007F1991"/>
    <w:rsid w:val="007F2C2F"/>
    <w:rsid w:val="007F55FC"/>
    <w:rsid w:val="007F5665"/>
    <w:rsid w:val="00800112"/>
    <w:rsid w:val="00813348"/>
    <w:rsid w:val="008253BB"/>
    <w:rsid w:val="00833848"/>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1C7F"/>
    <w:rsid w:val="00954C49"/>
    <w:rsid w:val="00955E37"/>
    <w:rsid w:val="0097099F"/>
    <w:rsid w:val="00971997"/>
    <w:rsid w:val="00971FFC"/>
    <w:rsid w:val="0098660A"/>
    <w:rsid w:val="009931C3"/>
    <w:rsid w:val="009A1A00"/>
    <w:rsid w:val="009B2C43"/>
    <w:rsid w:val="009B4EAE"/>
    <w:rsid w:val="009B7573"/>
    <w:rsid w:val="009C22F4"/>
    <w:rsid w:val="009C2A4B"/>
    <w:rsid w:val="009C2E98"/>
    <w:rsid w:val="009D3447"/>
    <w:rsid w:val="009D4711"/>
    <w:rsid w:val="009F1185"/>
    <w:rsid w:val="009F18CD"/>
    <w:rsid w:val="009F2A13"/>
    <w:rsid w:val="009F7527"/>
    <w:rsid w:val="00A04EB0"/>
    <w:rsid w:val="00A13054"/>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762E4"/>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22675"/>
    <w:rsid w:val="00B310B9"/>
    <w:rsid w:val="00B35F3F"/>
    <w:rsid w:val="00B36CBB"/>
    <w:rsid w:val="00B425E0"/>
    <w:rsid w:val="00B440AA"/>
    <w:rsid w:val="00B44B70"/>
    <w:rsid w:val="00B53C56"/>
    <w:rsid w:val="00B57DAF"/>
    <w:rsid w:val="00B77EA6"/>
    <w:rsid w:val="00B81598"/>
    <w:rsid w:val="00B83797"/>
    <w:rsid w:val="00B841F1"/>
    <w:rsid w:val="00B912F5"/>
    <w:rsid w:val="00B944D6"/>
    <w:rsid w:val="00BA377A"/>
    <w:rsid w:val="00BB4DF0"/>
    <w:rsid w:val="00BC289F"/>
    <w:rsid w:val="00BC2D50"/>
    <w:rsid w:val="00BC5361"/>
    <w:rsid w:val="00BC5460"/>
    <w:rsid w:val="00BC6B50"/>
    <w:rsid w:val="00BD0E25"/>
    <w:rsid w:val="00BE53BE"/>
    <w:rsid w:val="00BF5BD6"/>
    <w:rsid w:val="00C02DC1"/>
    <w:rsid w:val="00C03E31"/>
    <w:rsid w:val="00C33E72"/>
    <w:rsid w:val="00C354B2"/>
    <w:rsid w:val="00C35554"/>
    <w:rsid w:val="00C42709"/>
    <w:rsid w:val="00C533CC"/>
    <w:rsid w:val="00C5751C"/>
    <w:rsid w:val="00C61BFC"/>
    <w:rsid w:val="00C62B85"/>
    <w:rsid w:val="00C65438"/>
    <w:rsid w:val="00C81A13"/>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47E66"/>
    <w:rsid w:val="00D51276"/>
    <w:rsid w:val="00D54593"/>
    <w:rsid w:val="00D7035F"/>
    <w:rsid w:val="00DA3196"/>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43E91"/>
    <w:rsid w:val="04973996"/>
    <w:rsid w:val="066E0107"/>
    <w:rsid w:val="069A65B0"/>
    <w:rsid w:val="07996F6E"/>
    <w:rsid w:val="097E3F67"/>
    <w:rsid w:val="0A2032A3"/>
    <w:rsid w:val="0AAC240E"/>
    <w:rsid w:val="0AEA2E75"/>
    <w:rsid w:val="0B852C60"/>
    <w:rsid w:val="0BB60DE0"/>
    <w:rsid w:val="0CAF013E"/>
    <w:rsid w:val="0D701D97"/>
    <w:rsid w:val="0EA23614"/>
    <w:rsid w:val="0F98263C"/>
    <w:rsid w:val="101860EC"/>
    <w:rsid w:val="10BF041C"/>
    <w:rsid w:val="10C055FF"/>
    <w:rsid w:val="10FB40F0"/>
    <w:rsid w:val="118107EC"/>
    <w:rsid w:val="13D50BC4"/>
    <w:rsid w:val="14922675"/>
    <w:rsid w:val="16BB723D"/>
    <w:rsid w:val="16F72C63"/>
    <w:rsid w:val="181C317B"/>
    <w:rsid w:val="1A330456"/>
    <w:rsid w:val="1ADFCCDA"/>
    <w:rsid w:val="1BE8440E"/>
    <w:rsid w:val="1C4C3A51"/>
    <w:rsid w:val="1D155CEE"/>
    <w:rsid w:val="1FF35744"/>
    <w:rsid w:val="20BD316F"/>
    <w:rsid w:val="227417CB"/>
    <w:rsid w:val="22FF7A6F"/>
    <w:rsid w:val="23860B96"/>
    <w:rsid w:val="240371BF"/>
    <w:rsid w:val="2550670A"/>
    <w:rsid w:val="258B383C"/>
    <w:rsid w:val="288822B5"/>
    <w:rsid w:val="29FD04D3"/>
    <w:rsid w:val="2A094D30"/>
    <w:rsid w:val="2C155C0E"/>
    <w:rsid w:val="2C815051"/>
    <w:rsid w:val="2C8A61B5"/>
    <w:rsid w:val="2DA972EB"/>
    <w:rsid w:val="2DF04E50"/>
    <w:rsid w:val="2E114AFB"/>
    <w:rsid w:val="2E5956C2"/>
    <w:rsid w:val="2F040D46"/>
    <w:rsid w:val="315378EB"/>
    <w:rsid w:val="31745184"/>
    <w:rsid w:val="319F7F4E"/>
    <w:rsid w:val="3202017D"/>
    <w:rsid w:val="32177AEA"/>
    <w:rsid w:val="323503C0"/>
    <w:rsid w:val="3304709D"/>
    <w:rsid w:val="35417A73"/>
    <w:rsid w:val="36AA5135"/>
    <w:rsid w:val="36EE4AA8"/>
    <w:rsid w:val="376D39B2"/>
    <w:rsid w:val="37E16F03"/>
    <w:rsid w:val="38044D88"/>
    <w:rsid w:val="386A68D5"/>
    <w:rsid w:val="38D469F0"/>
    <w:rsid w:val="391E1E7A"/>
    <w:rsid w:val="39EF693E"/>
    <w:rsid w:val="3D013657"/>
    <w:rsid w:val="3D98207C"/>
    <w:rsid w:val="3DEB862A"/>
    <w:rsid w:val="3E2919ED"/>
    <w:rsid w:val="3E78745D"/>
    <w:rsid w:val="3E9FB80C"/>
    <w:rsid w:val="3F7F6A10"/>
    <w:rsid w:val="3FF45D2C"/>
    <w:rsid w:val="40FA4E7B"/>
    <w:rsid w:val="4226071D"/>
    <w:rsid w:val="44A678F3"/>
    <w:rsid w:val="44E268DA"/>
    <w:rsid w:val="451C130D"/>
    <w:rsid w:val="45AFC0D3"/>
    <w:rsid w:val="48D24C1A"/>
    <w:rsid w:val="49BA1438"/>
    <w:rsid w:val="4A627F82"/>
    <w:rsid w:val="4AFD0A86"/>
    <w:rsid w:val="4B0E749A"/>
    <w:rsid w:val="4B4F25DA"/>
    <w:rsid w:val="4B915694"/>
    <w:rsid w:val="4BE068DB"/>
    <w:rsid w:val="4D196FC1"/>
    <w:rsid w:val="4D577224"/>
    <w:rsid w:val="4E4C2BE2"/>
    <w:rsid w:val="4EAB630A"/>
    <w:rsid w:val="4ECE2238"/>
    <w:rsid w:val="507C775A"/>
    <w:rsid w:val="516657B9"/>
    <w:rsid w:val="51EE6435"/>
    <w:rsid w:val="5285323E"/>
    <w:rsid w:val="537E6D0A"/>
    <w:rsid w:val="544D08A5"/>
    <w:rsid w:val="552A3C28"/>
    <w:rsid w:val="556F5ADF"/>
    <w:rsid w:val="55A41C2D"/>
    <w:rsid w:val="55E99009"/>
    <w:rsid w:val="573214BA"/>
    <w:rsid w:val="586C5C38"/>
    <w:rsid w:val="5AF92295"/>
    <w:rsid w:val="5CD71FC4"/>
    <w:rsid w:val="5FFFAC0C"/>
    <w:rsid w:val="6094289E"/>
    <w:rsid w:val="61C80A51"/>
    <w:rsid w:val="62757F0F"/>
    <w:rsid w:val="65982E30"/>
    <w:rsid w:val="660109D5"/>
    <w:rsid w:val="67485088"/>
    <w:rsid w:val="67CF790E"/>
    <w:rsid w:val="699B4B47"/>
    <w:rsid w:val="69D54FE0"/>
    <w:rsid w:val="6A615167"/>
    <w:rsid w:val="6AF33A40"/>
    <w:rsid w:val="6B395763"/>
    <w:rsid w:val="6BEC2D0B"/>
    <w:rsid w:val="6C4A05C8"/>
    <w:rsid w:val="6D323B6A"/>
    <w:rsid w:val="6D57E6E8"/>
    <w:rsid w:val="6E4C5E26"/>
    <w:rsid w:val="6E7E3605"/>
    <w:rsid w:val="6EE113A4"/>
    <w:rsid w:val="6FBD7F1F"/>
    <w:rsid w:val="6FDE2064"/>
    <w:rsid w:val="6FF5CC65"/>
    <w:rsid w:val="715C0E4B"/>
    <w:rsid w:val="72623483"/>
    <w:rsid w:val="72734D90"/>
    <w:rsid w:val="73243F55"/>
    <w:rsid w:val="735D66DC"/>
    <w:rsid w:val="73AD73D5"/>
    <w:rsid w:val="73B6EB34"/>
    <w:rsid w:val="74371C48"/>
    <w:rsid w:val="744731E5"/>
    <w:rsid w:val="75D57127"/>
    <w:rsid w:val="762E2530"/>
    <w:rsid w:val="763F344D"/>
    <w:rsid w:val="76E3355F"/>
    <w:rsid w:val="778769C8"/>
    <w:rsid w:val="78E11280"/>
    <w:rsid w:val="79EE5BA4"/>
    <w:rsid w:val="7A894339"/>
    <w:rsid w:val="7A97325F"/>
    <w:rsid w:val="7B75C560"/>
    <w:rsid w:val="7B7E7411"/>
    <w:rsid w:val="7CB4634A"/>
    <w:rsid w:val="7E10589B"/>
    <w:rsid w:val="7EEF11D3"/>
    <w:rsid w:val="7EFC0E77"/>
    <w:rsid w:val="7F1E9BC2"/>
    <w:rsid w:val="7F5F041E"/>
    <w:rsid w:val="7FA30C79"/>
    <w:rsid w:val="7FB14DC3"/>
    <w:rsid w:val="7FB7269E"/>
    <w:rsid w:val="7FC96657"/>
    <w:rsid w:val="7FFF05B9"/>
    <w:rsid w:val="7FFFED6B"/>
    <w:rsid w:val="9BDEFD15"/>
    <w:rsid w:val="BEED7A23"/>
    <w:rsid w:val="C7DD3336"/>
    <w:rsid w:val="C7DFCA7B"/>
    <w:rsid w:val="CF7F2C0B"/>
    <w:rsid w:val="CFDF1C6B"/>
    <w:rsid w:val="CFF7FB67"/>
    <w:rsid w:val="D3F7552F"/>
    <w:rsid w:val="D6FF8703"/>
    <w:rsid w:val="D8D6DB89"/>
    <w:rsid w:val="DB6F4CAB"/>
    <w:rsid w:val="DF6F9789"/>
    <w:rsid w:val="DFD291FC"/>
    <w:rsid w:val="DFDF0BEC"/>
    <w:rsid w:val="DFFF592C"/>
    <w:rsid w:val="F2FFFD0D"/>
    <w:rsid w:val="F7B728D1"/>
    <w:rsid w:val="FA9B25E5"/>
    <w:rsid w:val="FCEFC22E"/>
    <w:rsid w:val="FDDD56F1"/>
    <w:rsid w:val="FFBA8089"/>
    <w:rsid w:val="FFFFD62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3"/>
    <w:autoRedefine/>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4"/>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7"/>
    <w:autoRedefine/>
    <w:unhideWhenUsed/>
    <w:qFormat/>
    <w:uiPriority w:val="9"/>
    <w:pPr>
      <w:keepNext/>
      <w:keepLines/>
      <w:spacing w:before="260" w:after="260" w:line="416" w:lineRule="auto"/>
      <w:outlineLvl w:val="2"/>
    </w:pPr>
    <w:rPr>
      <w:b/>
      <w:bCs/>
      <w:sz w:val="32"/>
      <w:szCs w:val="32"/>
    </w:rPr>
  </w:style>
  <w:style w:type="character" w:default="1" w:styleId="21">
    <w:name w:val="Default Paragraph Font"/>
    <w:autoRedefine/>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autoRedefine/>
    <w:unhideWhenUsed/>
    <w:qFormat/>
    <w:uiPriority w:val="99"/>
    <w:pPr>
      <w:ind w:firstLine="420" w:firstLineChars="200"/>
    </w:pPr>
  </w:style>
  <w:style w:type="paragraph" w:styleId="4">
    <w:name w:val="Body Text Indent"/>
    <w:basedOn w:val="1"/>
    <w:next w:val="3"/>
    <w:autoRedefine/>
    <w:qFormat/>
    <w:uiPriority w:val="0"/>
    <w:pPr>
      <w:spacing w:after="120"/>
      <w:ind w:left="200" w:leftChars="200"/>
    </w:pPr>
    <w:rPr>
      <w:rFonts w:ascii="仿宋_GB2312"/>
      <w:szCs w:val="32"/>
    </w:rPr>
  </w:style>
  <w:style w:type="paragraph" w:styleId="8">
    <w:name w:val="index 8"/>
    <w:basedOn w:val="1"/>
    <w:next w:val="1"/>
    <w:autoRedefine/>
    <w:unhideWhenUsed/>
    <w:qFormat/>
    <w:uiPriority w:val="99"/>
    <w:pPr>
      <w:ind w:left="2940"/>
    </w:pPr>
  </w:style>
  <w:style w:type="paragraph" w:styleId="9">
    <w:name w:val="List Number"/>
    <w:basedOn w:val="1"/>
    <w:autoRedefine/>
    <w:unhideWhenUsed/>
    <w:qFormat/>
    <w:uiPriority w:val="99"/>
    <w:pPr>
      <w:numPr>
        <w:ilvl w:val="0"/>
        <w:numId w:val="1"/>
      </w:numPr>
    </w:pPr>
  </w:style>
  <w:style w:type="paragraph" w:styleId="10">
    <w:name w:val="annotation text"/>
    <w:basedOn w:val="1"/>
    <w:autoRedefine/>
    <w:semiHidden/>
    <w:unhideWhenUsed/>
    <w:qFormat/>
    <w:uiPriority w:val="99"/>
    <w:pPr>
      <w:jc w:val="left"/>
    </w:pPr>
    <w:rPr>
      <w:rFonts w:ascii="Times New Roman" w:hAnsi="Times New Roman" w:eastAsia="宋体"/>
      <w:sz w:val="32"/>
    </w:rPr>
  </w:style>
  <w:style w:type="paragraph" w:styleId="11">
    <w:name w:val="Salutation"/>
    <w:basedOn w:val="1"/>
    <w:next w:val="1"/>
    <w:autoRedefine/>
    <w:qFormat/>
    <w:uiPriority w:val="0"/>
  </w:style>
  <w:style w:type="paragraph" w:styleId="12">
    <w:name w:val="Body Text"/>
    <w:basedOn w:val="1"/>
    <w:link w:val="30"/>
    <w:autoRedefine/>
    <w:qFormat/>
    <w:uiPriority w:val="99"/>
    <w:pPr>
      <w:spacing w:beforeLines="30"/>
    </w:pPr>
    <w:rPr>
      <w:rFonts w:ascii="仿宋_GB2312" w:eastAsia="仿宋_GB2312"/>
      <w:kern w:val="0"/>
      <w:sz w:val="30"/>
    </w:rPr>
  </w:style>
  <w:style w:type="paragraph" w:styleId="13">
    <w:name w:val="toc 3"/>
    <w:basedOn w:val="1"/>
    <w:next w:val="1"/>
    <w:autoRedefine/>
    <w:unhideWhenUsed/>
    <w:qFormat/>
    <w:uiPriority w:val="39"/>
    <w:pPr>
      <w:tabs>
        <w:tab w:val="right" w:leader="dot" w:pos="8296"/>
      </w:tabs>
      <w:ind w:left="840" w:leftChars="400"/>
    </w:pPr>
  </w:style>
  <w:style w:type="paragraph" w:styleId="14">
    <w:name w:val="Balloon Text"/>
    <w:basedOn w:val="1"/>
    <w:link w:val="36"/>
    <w:autoRedefine/>
    <w:semiHidden/>
    <w:unhideWhenUsed/>
    <w:qFormat/>
    <w:uiPriority w:val="99"/>
    <w:rPr>
      <w:sz w:val="18"/>
      <w:szCs w:val="18"/>
    </w:rPr>
  </w:style>
  <w:style w:type="paragraph" w:styleId="15">
    <w:name w:val="footer"/>
    <w:basedOn w:val="1"/>
    <w:link w:val="28"/>
    <w:autoRedefine/>
    <w:qFormat/>
    <w:uiPriority w:val="99"/>
    <w:pPr>
      <w:tabs>
        <w:tab w:val="center" w:pos="4153"/>
        <w:tab w:val="right" w:pos="8306"/>
      </w:tabs>
      <w:snapToGrid w:val="0"/>
      <w:jc w:val="left"/>
    </w:pPr>
    <w:rPr>
      <w:rFonts w:ascii="Calibri" w:hAnsi="Calibri"/>
      <w:kern w:val="0"/>
      <w:sz w:val="18"/>
      <w:szCs w:val="18"/>
    </w:rPr>
  </w:style>
  <w:style w:type="paragraph" w:styleId="16">
    <w:name w:val="header"/>
    <w:basedOn w:val="1"/>
    <w:link w:val="26"/>
    <w:autoRedefine/>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7">
    <w:name w:val="toc 1"/>
    <w:basedOn w:val="1"/>
    <w:next w:val="1"/>
    <w:autoRedefine/>
    <w:unhideWhenUsed/>
    <w:qFormat/>
    <w:uiPriority w:val="39"/>
    <w:pPr>
      <w:tabs>
        <w:tab w:val="right" w:leader="dot" w:pos="8296"/>
      </w:tabs>
      <w:spacing w:before="93"/>
      <w:jc w:val="center"/>
    </w:pPr>
    <w:rPr>
      <w:rFonts w:ascii="仿宋" w:hAnsi="仿宋" w:eastAsia="仿宋"/>
      <w:sz w:val="28"/>
      <w:szCs w:val="28"/>
    </w:rPr>
  </w:style>
  <w:style w:type="paragraph" w:styleId="18">
    <w:name w:val="toc 2"/>
    <w:basedOn w:val="1"/>
    <w:next w:val="1"/>
    <w:autoRedefine/>
    <w:unhideWhenUsed/>
    <w:qFormat/>
    <w:uiPriority w:val="39"/>
    <w:pPr>
      <w:tabs>
        <w:tab w:val="right" w:leader="dot" w:pos="8296"/>
      </w:tabs>
      <w:ind w:left="420" w:leftChars="200"/>
    </w:pPr>
  </w:style>
  <w:style w:type="paragraph" w:styleId="19">
    <w:name w:val="Normal (Web)"/>
    <w:basedOn w:val="1"/>
    <w:autoRedefine/>
    <w:semiHidden/>
    <w:unhideWhenUsed/>
    <w:qFormat/>
    <w:uiPriority w:val="99"/>
    <w:pPr>
      <w:spacing w:beforeAutospacing="1" w:afterAutospacing="1"/>
      <w:jc w:val="left"/>
    </w:pPr>
    <w:rPr>
      <w:kern w:val="0"/>
      <w:sz w:val="24"/>
    </w:rPr>
  </w:style>
  <w:style w:type="character" w:styleId="22">
    <w:name w:val="Strong"/>
    <w:basedOn w:val="21"/>
    <w:autoRedefine/>
    <w:qFormat/>
    <w:uiPriority w:val="99"/>
    <w:rPr>
      <w:b/>
    </w:rPr>
  </w:style>
  <w:style w:type="character" w:styleId="23">
    <w:name w:val="Hyperlink"/>
    <w:basedOn w:val="21"/>
    <w:autoRedefine/>
    <w:unhideWhenUsed/>
    <w:qFormat/>
    <w:uiPriority w:val="99"/>
    <w:rPr>
      <w:color w:val="0000FF" w:themeColor="hyperlink"/>
      <w:u w:val="single"/>
      <w14:textFill>
        <w14:solidFill>
          <w14:schemeClr w14:val="hlink"/>
        </w14:solidFill>
      </w14:textFill>
    </w:rPr>
  </w:style>
  <w:style w:type="paragraph" w:customStyle="1" w:styleId="24">
    <w:name w:val="标题 5（有编号）（绿盟科技）"/>
    <w:next w:val="1"/>
    <w:autoRedefine/>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5">
    <w:name w:val="Header Char"/>
    <w:basedOn w:val="21"/>
    <w:autoRedefine/>
    <w:semiHidden/>
    <w:qFormat/>
    <w:uiPriority w:val="99"/>
    <w:rPr>
      <w:rFonts w:ascii="Times New Roman" w:hAnsi="Times New Roman"/>
      <w:sz w:val="18"/>
      <w:szCs w:val="18"/>
    </w:rPr>
  </w:style>
  <w:style w:type="character" w:customStyle="1" w:styleId="26">
    <w:name w:val="页眉 Char"/>
    <w:link w:val="16"/>
    <w:autoRedefine/>
    <w:semiHidden/>
    <w:qFormat/>
    <w:locked/>
    <w:uiPriority w:val="99"/>
    <w:rPr>
      <w:sz w:val="18"/>
    </w:rPr>
  </w:style>
  <w:style w:type="character" w:customStyle="1" w:styleId="27">
    <w:name w:val="Footer Char"/>
    <w:basedOn w:val="21"/>
    <w:autoRedefine/>
    <w:semiHidden/>
    <w:qFormat/>
    <w:uiPriority w:val="99"/>
    <w:rPr>
      <w:rFonts w:ascii="Times New Roman" w:hAnsi="Times New Roman"/>
      <w:sz w:val="18"/>
      <w:szCs w:val="18"/>
    </w:rPr>
  </w:style>
  <w:style w:type="character" w:customStyle="1" w:styleId="28">
    <w:name w:val="页脚 Char"/>
    <w:link w:val="15"/>
    <w:autoRedefine/>
    <w:qFormat/>
    <w:locked/>
    <w:uiPriority w:val="99"/>
    <w:rPr>
      <w:sz w:val="18"/>
    </w:rPr>
  </w:style>
  <w:style w:type="character" w:customStyle="1" w:styleId="29">
    <w:name w:val="Body Text Char"/>
    <w:basedOn w:val="21"/>
    <w:autoRedefine/>
    <w:semiHidden/>
    <w:qFormat/>
    <w:uiPriority w:val="99"/>
    <w:rPr>
      <w:rFonts w:ascii="Times New Roman" w:hAnsi="Times New Roman"/>
      <w:szCs w:val="24"/>
    </w:rPr>
  </w:style>
  <w:style w:type="character" w:customStyle="1" w:styleId="30">
    <w:name w:val="正文文本 Char"/>
    <w:link w:val="12"/>
    <w:autoRedefine/>
    <w:qFormat/>
    <w:locked/>
    <w:uiPriority w:val="99"/>
    <w:rPr>
      <w:rFonts w:ascii="仿宋_GB2312" w:hAnsi="Times New Roman" w:eastAsia="仿宋_GB2312"/>
      <w:sz w:val="24"/>
    </w:rPr>
  </w:style>
  <w:style w:type="paragraph" w:customStyle="1" w:styleId="31">
    <w:name w:val="Default"/>
    <w:autoRedefine/>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2">
    <w:name w:val="List Paragraph"/>
    <w:basedOn w:val="1"/>
    <w:autoRedefine/>
    <w:qFormat/>
    <w:uiPriority w:val="34"/>
    <w:pPr>
      <w:ind w:firstLine="420" w:firstLineChars="200"/>
    </w:pPr>
  </w:style>
  <w:style w:type="character" w:customStyle="1" w:styleId="33">
    <w:name w:val="标题 1 Char"/>
    <w:basedOn w:val="21"/>
    <w:link w:val="5"/>
    <w:autoRedefine/>
    <w:qFormat/>
    <w:uiPriority w:val="9"/>
    <w:rPr>
      <w:rFonts w:ascii="Times New Roman" w:hAnsi="Times New Roman"/>
      <w:b/>
      <w:bCs/>
      <w:kern w:val="44"/>
      <w:sz w:val="44"/>
      <w:szCs w:val="44"/>
    </w:rPr>
  </w:style>
  <w:style w:type="character" w:customStyle="1" w:styleId="34">
    <w:name w:val="标题 2 Char"/>
    <w:basedOn w:val="21"/>
    <w:link w:val="6"/>
    <w:autoRedefine/>
    <w:qFormat/>
    <w:uiPriority w:val="9"/>
    <w:rPr>
      <w:rFonts w:asciiTheme="majorHAnsi" w:hAnsiTheme="majorHAnsi" w:eastAsiaTheme="majorEastAsia" w:cstheme="majorBidi"/>
      <w:b/>
      <w:bCs/>
      <w:kern w:val="2"/>
      <w:sz w:val="32"/>
      <w:szCs w:val="32"/>
    </w:rPr>
  </w:style>
  <w:style w:type="paragraph" w:customStyle="1" w:styleId="35">
    <w:name w:val="TOC 标题1"/>
    <w:basedOn w:val="5"/>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1"/>
    <w:link w:val="14"/>
    <w:autoRedefine/>
    <w:semiHidden/>
    <w:qFormat/>
    <w:uiPriority w:val="99"/>
    <w:rPr>
      <w:rFonts w:ascii="Times New Roman" w:hAnsi="Times New Roman"/>
      <w:kern w:val="2"/>
      <w:sz w:val="18"/>
      <w:szCs w:val="18"/>
    </w:rPr>
  </w:style>
  <w:style w:type="character" w:customStyle="1" w:styleId="37">
    <w:name w:val="标题 3 Char"/>
    <w:basedOn w:val="21"/>
    <w:link w:val="7"/>
    <w:autoRedefine/>
    <w:qFormat/>
    <w:uiPriority w:val="9"/>
    <w:rPr>
      <w:rFonts w:ascii="Times New Roman" w:hAnsi="Times New Roman"/>
      <w:b/>
      <w:bCs/>
      <w:kern w:val="2"/>
      <w:sz w:val="32"/>
      <w:szCs w:val="32"/>
    </w:rPr>
  </w:style>
  <w:style w:type="paragraph" w:customStyle="1" w:styleId="38">
    <w:name w:val="TOC 标题2"/>
    <w:basedOn w:val="5"/>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9">
    <w:name w:val="四号正文"/>
    <w:basedOn w:val="1"/>
    <w:autoRedefine/>
    <w:qFormat/>
    <w:uiPriority w:val="0"/>
    <w:pPr>
      <w:spacing w:line="360" w:lineRule="auto"/>
    </w:pPr>
    <w:rPr>
      <w:rFonts w:ascii="??" w:hAnsi="??"/>
      <w:color w:val="000000"/>
      <w:kern w:val="0"/>
      <w:sz w:val="28"/>
      <w:szCs w:val="21"/>
      <w:lang w:val="zh-CN"/>
    </w:rPr>
  </w:style>
  <w:style w:type="paragraph" w:customStyle="1" w:styleId="40">
    <w:name w:val="Body text|2"/>
    <w:basedOn w:val="1"/>
    <w:autoRedefine/>
    <w:qFormat/>
    <w:uiPriority w:val="0"/>
    <w:pPr>
      <w:spacing w:after="30"/>
    </w:pPr>
    <w:rPr>
      <w:rFonts w:ascii="宋体" w:hAnsi="宋体" w:cs="宋体"/>
      <w:sz w:val="22"/>
      <w:szCs w:val="22"/>
      <w:lang w:val="zh-TW" w:eastAsia="zh-TW" w:bidi="zh-TW"/>
    </w:rPr>
  </w:style>
  <w:style w:type="paragraph" w:customStyle="1" w:styleId="41">
    <w:name w:val="_Style 1"/>
    <w:autoRedefine/>
    <w:qFormat/>
    <w:uiPriority w:val="0"/>
    <w:pPr>
      <w:widowControl w:val="0"/>
      <w:jc w:val="both"/>
    </w:pPr>
    <w:rPr>
      <w:rFonts w:ascii="仿宋" w:hAnsi="仿宋" w:eastAsia="仿宋" w:cs="Times New Roman"/>
      <w:kern w:val="2"/>
      <w:sz w:val="21"/>
      <w:szCs w:val="22"/>
      <w:lang w:val="en-US" w:eastAsia="zh-CN" w:bidi="ar-SA"/>
    </w:rPr>
  </w:style>
  <w:style w:type="paragraph" w:customStyle="1" w:styleId="42">
    <w:name w:val="Body text|1"/>
    <w:basedOn w:val="1"/>
    <w:autoRedefine/>
    <w:qFormat/>
    <w:uiPriority w:val="0"/>
    <w:pPr>
      <w:spacing w:line="418" w:lineRule="auto"/>
      <w:ind w:firstLine="400"/>
    </w:pPr>
    <w:rPr>
      <w:rFonts w:ascii="宋体" w:hAnsi="宋体" w:cs="宋体"/>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1.xml"/><Relationship Id="rId1" Type="http://schemas.openxmlformats.org/officeDocument/2006/relationships/oleObject" Target="file:///G:\360MoveData\Users\Administrator\Desktop\&#20915;&#31639;&#20844;&#24320;&#22270;&#34920;_&#23433;&#23621;&#20013;&#23398;.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2.xml"/><Relationship Id="rId1" Type="http://schemas.openxmlformats.org/officeDocument/2006/relationships/oleObject" Target="file:///G:\360MoveData\Users\Administrator\Desktop\&#20915;&#31639;&#20844;&#24320;&#22270;&#34920;_&#23433;&#23621;&#20013;&#23398;.xlsx" TargetMode="External"/></Relationships>
</file>

<file path=word/charts/_rels/chart6.xml.rels><?xml version="1.0" encoding="UTF-8" standalone="yes"?>
<Relationships xmlns="http://schemas.openxmlformats.org/package/2006/relationships"><Relationship Id="rId4" Type="http://schemas.microsoft.com/office/2011/relationships/chartColorStyle" Target="colors5.xml"/><Relationship Id="rId3" Type="http://schemas.microsoft.com/office/2011/relationships/chartStyle" Target="style5.xml"/><Relationship Id="rId2" Type="http://schemas.openxmlformats.org/officeDocument/2006/relationships/themeOverride" Target="../theme/themeOverride3.xml"/><Relationship Id="rId1" Type="http://schemas.openxmlformats.org/officeDocument/2006/relationships/oleObject" Target="file:///G:\360MoveData\Users\Administrator\Desktop\&#20915;&#31639;&#20844;&#24320;&#22270;&#34920;_&#23433;&#23621;&#20013;&#23398;.xlsx" TargetMode="External"/></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收入总计（万元）</c:v>
                </c:pt>
                <c:pt idx="1">
                  <c:v>支出总计（万元）</c:v>
                </c:pt>
              </c:strCache>
            </c:strRef>
          </c:cat>
          <c:val>
            <c:numRef>
              <c:f>Sheet1!$B$2:$B$3</c:f>
              <c:numCache>
                <c:formatCode>General</c:formatCode>
                <c:ptCount val="2"/>
                <c:pt idx="0">
                  <c:v>43.42</c:v>
                </c:pt>
                <c:pt idx="1">
                  <c:v>43.42</c:v>
                </c:pt>
              </c:numCache>
            </c:numRef>
          </c:val>
        </c:ser>
        <c:ser>
          <c:idx val="1"/>
          <c:order val="1"/>
          <c:tx>
            <c:strRef>
              <c:f>Sheet1!$C$1</c:f>
              <c:strCache>
                <c:ptCount val="1"/>
                <c:pt idx="0">
                  <c:v>2023年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收入总计（万元）</c:v>
                </c:pt>
                <c:pt idx="1">
                  <c:v>支出总计（万元）</c:v>
                </c:pt>
              </c:strCache>
            </c:strRef>
          </c:cat>
          <c:val>
            <c:numRef>
              <c:f>Sheet1!$C$2:$C$3</c:f>
              <c:numCache>
                <c:formatCode>General</c:formatCode>
                <c:ptCount val="2"/>
                <c:pt idx="0">
                  <c:v>69.25</c:v>
                </c:pt>
                <c:pt idx="1">
                  <c:v>69.25</c:v>
                </c:pt>
              </c:numCache>
            </c:numRef>
          </c:val>
        </c:ser>
        <c:dLbls>
          <c:showLegendKey val="0"/>
          <c:showVal val="1"/>
          <c:showCatName val="0"/>
          <c:showSerName val="0"/>
          <c:showPercent val="0"/>
          <c:showBubbleSize val="0"/>
        </c:dLbls>
        <c:gapWidth val="246"/>
        <c:overlap val="-28"/>
        <c:axId val="14966953"/>
        <c:axId val="729434844"/>
      </c:barChart>
      <c:catAx>
        <c:axId val="1496695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9434844"/>
        <c:crosses val="autoZero"/>
        <c:auto val="1"/>
        <c:lblAlgn val="ctr"/>
        <c:lblOffset val="100"/>
        <c:noMultiLvlLbl val="0"/>
      </c:catAx>
      <c:valAx>
        <c:axId val="729434844"/>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96695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13823529411765"/>
          <c:y val="0.00675523530736321"/>
        </c:manualLayout>
      </c:layout>
      <c:overlay val="0"/>
      <c:spPr>
        <a:noFill/>
        <a:ln>
          <a:noFill/>
        </a:ln>
        <a:effectLst/>
      </c:spPr>
      <c:txPr>
        <a:bodyPr rot="0" spcFirstLastPara="1" vertOverflow="ellipsis" vert="horz" wrap="square" anchor="ctr" anchorCtr="1"/>
        <a:lstStyle/>
        <a:p>
          <a:pPr>
            <a:defRPr lang="zh-CN" sz="108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2185"/>
          <c:y val="0.106483309826046"/>
          <c:w val="0.695"/>
          <c:h val="0.926666666666667"/>
        </c:manualLayout>
      </c:layout>
      <c:pieChart>
        <c:varyColors val="1"/>
        <c:ser>
          <c:idx val="0"/>
          <c:order val="0"/>
          <c:tx>
            <c:strRef>
              <c:f>Sheet1!$B$1</c:f>
              <c:strCache>
                <c:ptCount val="1"/>
                <c:pt idx="0">
                  <c:v>收入决算结构图</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Lbl>
              <c:idx val="0"/>
              <c:layout>
                <c:manualLayout>
                  <c:x val="-0.203676470588235"/>
                  <c:y val="-0.203084763382834"/>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27"/>
                  <c:y val="0.429891607343158"/>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2575"/>
                  <c:y val="0.022233701117151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295"/>
                  <c:y val="0.3241555701165"/>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22"/>
                  <c:y val="0.0307846251235521"/>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5"/>
              <c:layout>
                <c:manualLayout>
                  <c:x val="-0.3225"/>
                  <c:y val="0.179007252090668"/>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6"/>
              <c:layout>
                <c:manualLayout>
                  <c:x val="0.1925"/>
                  <c:y val="0.253633708339349"/>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eparator>
</c:separator>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prstDash val="solid"/>
                      <a:round/>
                    </a:ln>
                    <a:effectLst/>
                  </c:spPr>
                </c15:leaderLines>
              </c:ext>
            </c:extLst>
          </c:dLbls>
          <c:cat>
            <c:strRef>
              <c:f>Sheet1!$A$2:$A$8</c:f>
              <c:strCache>
                <c:ptCount val="7"/>
                <c:pt idx="0">
                  <c:v>一般公共预算财政拨款收入</c:v>
                </c:pt>
                <c:pt idx="1">
                  <c:v>政府性基金预算财政拨款收入</c:v>
                </c:pt>
                <c:pt idx="2">
                  <c:v>上级补助收入</c:v>
                </c:pt>
                <c:pt idx="3">
                  <c:v>事业收入</c:v>
                </c:pt>
                <c:pt idx="4">
                  <c:v>经营收入</c:v>
                </c:pt>
                <c:pt idx="5">
                  <c:v>附属单位上缴收</c:v>
                </c:pt>
                <c:pt idx="6">
                  <c:v>其他收入</c:v>
                </c:pt>
              </c:strCache>
            </c:strRef>
          </c:cat>
          <c:val>
            <c:numRef>
              <c:f>Sheet1!$B$2:$B$8</c:f>
              <c:numCache>
                <c:formatCode>#,##0.00_ </c:formatCode>
                <c:ptCount val="7"/>
                <c:pt idx="0">
                  <c:v>186.86</c:v>
                </c:pt>
                <c:pt idx="1">
                  <c:v>0</c:v>
                </c:pt>
                <c:pt idx="2" c:formatCode="General">
                  <c:v>0</c:v>
                </c:pt>
                <c:pt idx="3" c:formatCode="General">
                  <c:v>0</c:v>
                </c:pt>
                <c:pt idx="4" c:formatCode="General">
                  <c:v>0</c:v>
                </c:pt>
                <c:pt idx="5" c:formatCode="General">
                  <c:v>0</c:v>
                </c:pt>
                <c:pt idx="6" c:formatCode="General">
                  <c:v>0</c:v>
                </c:pt>
              </c:numCache>
            </c:numRef>
          </c:val>
        </c:ser>
        <c:dLbls>
          <c:showLegendKey val="0"/>
          <c:showVal val="0"/>
          <c:showCatName val="0"/>
          <c:showSerName val="0"/>
          <c:showPercent val="1"/>
          <c:showBubbleSize val="0"/>
          <c:showLeaderLines val="0"/>
        </c:dLbls>
        <c:firstSliceAng val="0"/>
      </c:pieChart>
      <c:spPr>
        <a:noFill/>
        <a:ln>
          <a:noFill/>
        </a:ln>
        <a:effectLst/>
      </c:spPr>
    </c:plotArea>
    <c:legend>
      <c:legendPos val="b"/>
      <c:legendEntry>
        <c:idx val="0"/>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egendEntry>
        <c:idx val="2"/>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egendEntry>
        <c:idx val="3"/>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egendEntry>
        <c:idx val="4"/>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egendEntry>
        <c:idx val="5"/>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egendEntry>
        <c:idx val="6"/>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ayout>
        <c:manualLayout>
          <c:xMode val="edge"/>
          <c:yMode val="edge"/>
          <c:x val="0.0414452709883103"/>
          <c:y val="0.906506736772921"/>
          <c:w val="0.850007590708972"/>
          <c:h val="0.0882352941176471"/>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sz="900"/>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0" i="0" u="none" strike="noStrike" kern="1200" spc="0" baseline="0">
                <a:solidFill>
                  <a:sysClr val="windowText" lastClr="000000">
                    <a:lumMod val="65000"/>
                    <a:lumOff val="35000"/>
                  </a:sysClr>
                </a:solidFill>
                <a:latin typeface="+mn-lt"/>
                <a:ea typeface="+mn-ea"/>
                <a:cs typeface="+mn-cs"/>
              </a:defRPr>
            </a:pPr>
            <a:r>
              <a:rPr sz="1600" b="1"/>
              <a:t>支出决算结构图</a:t>
            </a:r>
            <a:endParaRPr sz="1600" b="1"/>
          </a:p>
        </c:rich>
      </c:tx>
      <c:layout>
        <c:manualLayout>
          <c:xMode val="edge"/>
          <c:yMode val="edge"/>
          <c:x val="0.326918238993711"/>
          <c:y val="0.0763888888888889"/>
        </c:manualLayout>
      </c:layout>
      <c:overlay val="0"/>
      <c:spPr>
        <a:noFill/>
        <a:ln>
          <a:noFill/>
        </a:ln>
        <a:effectLst/>
      </c:spPr>
    </c:title>
    <c:autoTitleDeleted val="0"/>
    <c:plotArea>
      <c:layout/>
      <c:pieChart>
        <c:varyColors val="1"/>
        <c:ser>
          <c:idx val="0"/>
          <c:order val="0"/>
          <c:spPr/>
          <c:explosion val="0"/>
          <c:dPt>
            <c:idx val="0"/>
            <c:bubble3D val="0"/>
            <c:spPr>
              <a:solidFill>
                <a:srgbClr val="5B9BD5"/>
              </a:solidFill>
              <a:ln w="19050">
                <a:solidFill>
                  <a:sysClr val="window" lastClr="FFFFFF"/>
                </a:solidFill>
              </a:ln>
              <a:effectLst/>
            </c:spPr>
          </c:dPt>
          <c:dPt>
            <c:idx val="1"/>
            <c:bubble3D val="0"/>
            <c:spPr>
              <a:solidFill>
                <a:srgbClr val="ED7D31"/>
              </a:solidFill>
              <a:ln w="19050">
                <a:solidFill>
                  <a:sysClr val="window" lastClr="FFFFFF"/>
                </a:solidFill>
              </a:ln>
              <a:effectLst/>
            </c:spPr>
          </c:dPt>
          <c:dLbls>
            <c:dLbl>
              <c:idx val="0"/>
              <c:layout/>
              <c:dLblPos val="inEnd"/>
              <c:showLegendKey val="0"/>
              <c:showVal val="1"/>
              <c:showCatName val="1"/>
              <c:showSerName val="0"/>
              <c:showPercent val="1"/>
              <c:showBubbleSize val="0"/>
              <c:separator>
</c:separator>
              <c:extLst>
                <c:ext xmlns:c15="http://schemas.microsoft.com/office/drawing/2012/chart" uri="{CE6537A1-D6FC-4f65-9D91-7224C49458BB}">
                  <c15:layout>
                    <c:manualLayout>
                      <c:w val="0.189098532494759"/>
                      <c:h val="0.228186274509804"/>
                    </c:manualLayout>
                  </c15:layout>
                </c:ext>
              </c:extLst>
            </c:dLbl>
            <c:dLbl>
              <c:idx val="1"/>
              <c:layout/>
              <c:dLblPos val="inEnd"/>
              <c:showLegendKey val="0"/>
              <c:showVal val="1"/>
              <c:showCatName val="1"/>
              <c:showSerName val="0"/>
              <c:showPercent val="1"/>
              <c:showBubbleSize val="0"/>
              <c:separator>
</c:separator>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lumMod val="75000"/>
                        <a:lumOff val="25000"/>
                      </a:sysClr>
                    </a:solidFill>
                    <a:latin typeface="+mn-lt"/>
                    <a:ea typeface="+mn-ea"/>
                    <a:cs typeface="+mn-cs"/>
                  </a:defRPr>
                </a:pPr>
              </a:p>
            </c:txPr>
            <c:dLblPos val="inEnd"/>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[决算公开图表_安居中学.xlsx]安居中学!$A$30:$A$31</c:f>
              <c:strCache>
                <c:ptCount val="2"/>
                <c:pt idx="0">
                  <c:v>基本支出</c:v>
                </c:pt>
                <c:pt idx="1">
                  <c:v>项目支出</c:v>
                </c:pt>
              </c:strCache>
            </c:strRef>
          </c:cat>
          <c:val>
            <c:numRef>
              <c:f>[决算公开图表_安居中学.xlsx]安居中学!$B$30:$B$31</c:f>
              <c:numCache>
                <c:formatCode>#,##0.00</c:formatCode>
                <c:ptCount val="2"/>
                <c:pt idx="0">
                  <c:v>57.73</c:v>
                </c:pt>
                <c:pt idx="1">
                  <c:v>11.52</c:v>
                </c:pt>
              </c:numCache>
            </c:numRef>
          </c:val>
        </c:ser>
        <c:dLbls>
          <c:showLegendKey val="0"/>
          <c:showVal val="0"/>
          <c:showCatName val="1"/>
          <c:showSerName val="0"/>
          <c:showPercent val="1"/>
          <c:showBubbleSize val="0"/>
          <c:showLeaderLines val="1"/>
        </c:dLbls>
        <c:firstSliceAng val="0"/>
      </c:pieChart>
      <c:spPr>
        <a:noFill/>
        <a:ln>
          <a:noFill/>
        </a:ln>
        <a:effectLst/>
      </c:spPr>
    </c:plotArea>
    <c:legend>
      <c:legendPos val="b"/>
      <c:layout>
        <c:manualLayout>
          <c:xMode val="edge"/>
          <c:yMode val="edge"/>
          <c:x val="0.365347222222222"/>
          <c:y val="0.83135135135135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
    <c:plotVisOnly val="1"/>
    <c:dispBlanksAs val="gap"/>
    <c:showDLblsOverMax val="0"/>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财政拨款收、支决算总计变动情况图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收入总计（万元）</c:v>
                </c:pt>
                <c:pt idx="1">
                  <c:v>支出总计（万元）</c:v>
                </c:pt>
              </c:strCache>
            </c:strRef>
          </c:cat>
          <c:val>
            <c:numRef>
              <c:f>Sheet1!$B$2:$B$3</c:f>
              <c:numCache>
                <c:formatCode>General</c:formatCode>
                <c:ptCount val="2"/>
                <c:pt idx="0">
                  <c:v>43.42</c:v>
                </c:pt>
                <c:pt idx="1">
                  <c:v>43.42</c:v>
                </c:pt>
              </c:numCache>
            </c:numRef>
          </c:val>
        </c:ser>
        <c:ser>
          <c:idx val="1"/>
          <c:order val="1"/>
          <c:tx>
            <c:strRef>
              <c:f>Sheet1!$C$1</c:f>
              <c:strCache>
                <c:ptCount val="1"/>
                <c:pt idx="0">
                  <c:v>2023年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收入总计（万元）</c:v>
                </c:pt>
                <c:pt idx="1">
                  <c:v>支出总计（万元）</c:v>
                </c:pt>
              </c:strCache>
            </c:strRef>
          </c:cat>
          <c:val>
            <c:numRef>
              <c:f>Sheet1!$C$2:$C$3</c:f>
              <c:numCache>
                <c:formatCode>General</c:formatCode>
                <c:ptCount val="2"/>
                <c:pt idx="0">
                  <c:v>69.25</c:v>
                </c:pt>
                <c:pt idx="1">
                  <c:v>69.25</c:v>
                </c:pt>
              </c:numCache>
            </c:numRef>
          </c:val>
        </c:ser>
        <c:dLbls>
          <c:showLegendKey val="0"/>
          <c:showVal val="1"/>
          <c:showCatName val="0"/>
          <c:showSerName val="0"/>
          <c:showPercent val="0"/>
          <c:showBubbleSize val="0"/>
        </c:dLbls>
        <c:gapWidth val="246"/>
        <c:overlap val="-28"/>
        <c:axId val="14966953"/>
        <c:axId val="729434844"/>
      </c:barChart>
      <c:catAx>
        <c:axId val="1496695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9434844"/>
        <c:crosses val="autoZero"/>
        <c:auto val="1"/>
        <c:lblAlgn val="ctr"/>
        <c:lblOffset val="100"/>
        <c:noMultiLvlLbl val="0"/>
      </c:catAx>
      <c:valAx>
        <c:axId val="729434844"/>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96695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0" i="0" u="none" strike="noStrike" kern="1200" spc="0" baseline="0">
                <a:solidFill>
                  <a:sysClr val="windowText" lastClr="000000">
                    <a:lumMod val="65000"/>
                    <a:lumOff val="35000"/>
                  </a:sysClr>
                </a:solidFill>
                <a:latin typeface="+mn-lt"/>
                <a:ea typeface="+mn-ea"/>
                <a:cs typeface="+mn-cs"/>
              </a:defRPr>
            </a:pPr>
            <a:r>
              <a:rPr sz="1600" b="1"/>
              <a:t>一般公共预算财政拨款支出决算变动情况图</a:t>
            </a:r>
            <a:endParaRPr sz="1600" b="1"/>
          </a:p>
        </c:rich>
      </c:tx>
      <c:layout/>
      <c:overlay val="0"/>
      <c:spPr>
        <a:noFill/>
        <a:ln>
          <a:noFill/>
        </a:ln>
        <a:effectLst/>
      </c:spPr>
    </c:title>
    <c:autoTitleDeleted val="0"/>
    <c:plotArea>
      <c:layout>
        <c:manualLayout>
          <c:layoutTarget val="inner"/>
          <c:xMode val="edge"/>
          <c:yMode val="edge"/>
          <c:x val="0.120838244924689"/>
          <c:y val="0.174925052554611"/>
          <c:w val="0.844222222222222"/>
          <c:h val="0.711666666666667"/>
        </c:manualLayout>
      </c:layout>
      <c:barChart>
        <c:barDir val="col"/>
        <c:grouping val="clustered"/>
        <c:varyColors val="0"/>
        <c:ser>
          <c:idx val="0"/>
          <c:order val="0"/>
          <c:spPr>
            <a:solidFill>
              <a:srgbClr val="5B9BD5"/>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[决算公开图表_安居中学.xlsx]安居中学!$A$2:$B$2</c:f>
              <c:strCache>
                <c:ptCount val="2"/>
                <c:pt idx="0">
                  <c:v>2023年度</c:v>
                </c:pt>
                <c:pt idx="1">
                  <c:v>2022年度</c:v>
                </c:pt>
              </c:strCache>
            </c:strRef>
          </c:cat>
          <c:val>
            <c:numRef>
              <c:f>[决算公开图表_安居中学.xlsx]安居中学!$A$3:$B$3</c:f>
              <c:numCache>
                <c:formatCode>#,##0.00</c:formatCode>
                <c:ptCount val="2"/>
                <c:pt idx="0">
                  <c:v>69.25</c:v>
                </c:pt>
                <c:pt idx="1">
                  <c:v>43.42</c:v>
                </c:pt>
              </c:numCache>
            </c:numRef>
          </c:val>
        </c:ser>
        <c:dLbls>
          <c:showLegendKey val="0"/>
          <c:showVal val="0"/>
          <c:showCatName val="0"/>
          <c:showSerName val="0"/>
          <c:showPercent val="0"/>
          <c:showBubbleSize val="0"/>
        </c:dLbls>
        <c:gapWidth val="219"/>
        <c:overlap val="-27"/>
        <c:axId val="571327525"/>
        <c:axId val="463982709"/>
      </c:barChart>
      <c:catAx>
        <c:axId val="571327525"/>
        <c:scaling>
          <c:orientation val="minMax"/>
        </c:scaling>
        <c:delete val="0"/>
        <c:axPos val="b"/>
        <c:majorTickMark val="none"/>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463982709"/>
        <c:crosses val="autoZero"/>
        <c:auto val="1"/>
        <c:lblAlgn val="ctr"/>
        <c:lblOffset val="100"/>
        <c:noMultiLvlLbl val="0"/>
      </c:catAx>
      <c:valAx>
        <c:axId val="463982709"/>
        <c:scaling>
          <c:orientation val="minMax"/>
        </c:scaling>
        <c:delete val="0"/>
        <c:axPos val="l"/>
        <c:majorGridlines>
          <c:spPr>
            <a:ln w="9525" cap="flat" cmpd="sng" algn="ctr">
              <a:solidFill>
                <a:sysClr val="windowText" lastClr="000000">
                  <a:lumMod val="15000"/>
                  <a:lumOff val="85000"/>
                </a:sys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571327525"/>
        <c:crosses val="autoZero"/>
        <c:crossBetween val="between"/>
      </c:valAx>
      <c:spPr>
        <a:noFill/>
        <a:ln>
          <a:noFill/>
        </a:ln>
        <a:effectLst/>
      </c:spPr>
    </c:plotArea>
    <c:plotVisOnly val="1"/>
    <c:dispBlanksAs val="gap"/>
    <c:showDLblsOverMax val="0"/>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600" b="1" i="0" u="none" strike="noStrike" kern="1200" spc="0" baseline="0">
                <a:solidFill>
                  <a:sysClr val="windowText" lastClr="000000">
                    <a:lumMod val="65000"/>
                    <a:lumOff val="35000"/>
                  </a:sysClr>
                </a:solidFill>
                <a:latin typeface="+mn-lt"/>
                <a:ea typeface="+mn-ea"/>
                <a:cs typeface="+mn-cs"/>
              </a:defRPr>
            </a:pPr>
            <a:r>
              <a:rPr sz="1600" b="1"/>
              <a:t>一般公共预算财政拨款支出决算结构</a:t>
            </a:r>
            <a:endParaRPr sz="1600" b="1"/>
          </a:p>
        </c:rich>
      </c:tx>
      <c:layout>
        <c:manualLayout>
          <c:xMode val="edge"/>
          <c:yMode val="edge"/>
          <c:x val="0.147751605995717"/>
          <c:y val="0.0225903614457831"/>
        </c:manualLayout>
      </c:layout>
      <c:overlay val="0"/>
      <c:spPr>
        <a:noFill/>
        <a:ln>
          <a:noFill/>
        </a:ln>
        <a:effectLst/>
      </c:spPr>
    </c:title>
    <c:autoTitleDeleted val="0"/>
    <c:plotArea>
      <c:layout/>
      <c:pieChart>
        <c:varyColors val="1"/>
        <c:ser>
          <c:idx val="0"/>
          <c:order val="0"/>
          <c:spPr/>
          <c:explosion val="0"/>
          <c:dPt>
            <c:idx val="0"/>
            <c:bubble3D val="0"/>
            <c:spPr>
              <a:solidFill>
                <a:srgbClr val="5B9BD5"/>
              </a:solidFill>
              <a:ln w="19050">
                <a:solidFill>
                  <a:sysClr val="window" lastClr="FFFFFF"/>
                </a:solidFill>
              </a:ln>
              <a:effectLst/>
            </c:spPr>
          </c:dPt>
          <c:dPt>
            <c:idx val="1"/>
            <c:bubble3D val="0"/>
            <c:spPr>
              <a:solidFill>
                <a:srgbClr val="ED7D31"/>
              </a:solidFill>
              <a:ln w="19050">
                <a:solidFill>
                  <a:sysClr val="window" lastClr="FFFFFF"/>
                </a:solidFill>
              </a:ln>
              <a:effectLst/>
            </c:spPr>
          </c:dPt>
          <c:dPt>
            <c:idx val="2"/>
            <c:bubble3D val="0"/>
            <c:spPr>
              <a:solidFill>
                <a:srgbClr val="A5A5A5"/>
              </a:solidFill>
              <a:ln w="19050">
                <a:solidFill>
                  <a:sysClr val="window" lastClr="FFFFFF"/>
                </a:solidFill>
              </a:ln>
              <a:effectLst/>
            </c:spPr>
          </c:dPt>
          <c:dPt>
            <c:idx val="3"/>
            <c:bubble3D val="0"/>
            <c:spPr>
              <a:solidFill>
                <a:srgbClr val="FFC000"/>
              </a:solidFill>
              <a:ln w="19050">
                <a:solidFill>
                  <a:sysClr val="window" lastClr="FFFFFF"/>
                </a:solidFill>
              </a:ln>
              <a:effectLst/>
            </c:spPr>
          </c:dPt>
          <c:dLbls>
            <c:dLbl>
              <c:idx val="0"/>
              <c:layout>
                <c:manualLayout>
                  <c:x val="0.187567384044139"/>
                  <c:y val="0.0584393324926037"/>
                </c:manualLayout>
              </c:layout>
              <c:dLblPos val="bestFit"/>
              <c:showLegendKey val="0"/>
              <c:showVal val="1"/>
              <c:showCatName val="1"/>
              <c:showSerName val="0"/>
              <c:showPercent val="1"/>
              <c:showBubbleSize val="0"/>
              <c:separator>;</c:separator>
              <c:extLst>
                <c:ext xmlns:c15="http://schemas.microsoft.com/office/drawing/2012/chart" uri="{CE6537A1-D6FC-4f65-9D91-7224C49458BB}">
                  <c15:layout/>
                </c:ext>
              </c:extLst>
            </c:dLbl>
            <c:dLbl>
              <c:idx val="1"/>
              <c:layout>
                <c:manualLayout>
                  <c:x val="0.108404710920771"/>
                  <c:y val="0"/>
                </c:manualLayout>
              </c:layout>
              <c:dLblPos val="bestFit"/>
              <c:showLegendKey val="0"/>
              <c:showVal val="1"/>
              <c:showCatName val="1"/>
              <c:showSerName val="0"/>
              <c:showPercent val="1"/>
              <c:showBubbleSize val="0"/>
              <c:separator>;</c:separator>
              <c:extLst>
                <c:ext xmlns:c15="http://schemas.microsoft.com/office/drawing/2012/chart" uri="{CE6537A1-D6FC-4f65-9D91-7224C49458BB}">
                  <c15:layout>
                    <c:manualLayout>
                      <c:w val="0.158178360101437"/>
                      <c:h val="0.25164960182025"/>
                    </c:manualLayout>
                  </c15:layout>
                </c:ext>
              </c:extLst>
            </c:dLbl>
            <c:dLbl>
              <c:idx val="2"/>
              <c:layout>
                <c:manualLayout>
                  <c:x val="-0.137127642052953"/>
                  <c:y val="0.216006761004128"/>
                </c:manualLayout>
              </c:layout>
              <c:dLblPos val="bestFit"/>
              <c:showLegendKey val="0"/>
              <c:showVal val="1"/>
              <c:showCatName val="1"/>
              <c:showSerName val="0"/>
              <c:showPercent val="1"/>
              <c:showBubbleSize val="0"/>
              <c:separator>;</c:separator>
              <c:extLst>
                <c:ext xmlns:c15="http://schemas.microsoft.com/office/drawing/2012/chart" uri="{CE6537A1-D6FC-4f65-9D91-7224C49458BB}">
                  <c15:layout>
                    <c:manualLayout>
                      <c:w val="0.129966187658495"/>
                      <c:h val="0.229579067121729"/>
                    </c:manualLayout>
                  </c15:layout>
                </c:ext>
              </c:extLst>
            </c:dLbl>
            <c:dLbl>
              <c:idx val="3"/>
              <c:layout>
                <c:manualLayout>
                  <c:x val="-0.0839188360592386"/>
                  <c:y val="0.0677710843373494"/>
                </c:manualLayout>
              </c:layout>
              <c:dLblPos val="bestFit"/>
              <c:showLegendKey val="0"/>
              <c:showVal val="1"/>
              <c:showCatName val="1"/>
              <c:showSerName val="0"/>
              <c:showPercent val="1"/>
              <c:showBubbleSize val="0"/>
              <c:separator>;</c:separator>
              <c:extLst>
                <c:ext xmlns:c15="http://schemas.microsoft.com/office/drawing/2012/chart" uri="{CE6537A1-D6FC-4f65-9D91-7224C49458BB}">
                  <c15:layout>
                    <c:manualLayout>
                      <c:w val="0.142434488588335"/>
                      <c:h val="0.265073947667804"/>
                    </c:manualLayout>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lumMod val="75000"/>
                        <a:lumOff val="25000"/>
                      </a:sysClr>
                    </a:solidFill>
                    <a:latin typeface="+mn-lt"/>
                    <a:ea typeface="+mn-ea"/>
                    <a:cs typeface="+mn-cs"/>
                  </a:defRPr>
                </a:pPr>
              </a:p>
            </c:txPr>
            <c:dLblPos val="bestFit"/>
            <c:showLegendKey val="0"/>
            <c:showVal val="1"/>
            <c:showCatName val="1"/>
            <c:showSerName val="0"/>
            <c:showPercent val="1"/>
            <c:showBubbleSize val="0"/>
            <c:separator>;</c:separator>
            <c:showLeaderLines val="1"/>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[决算公开图表_安居中学.xlsx]安居中学!$A$75:$A$78</c:f>
              <c:strCache>
                <c:ptCount val="4"/>
                <c:pt idx="0">
                  <c:v>一般公共服务支出</c:v>
                </c:pt>
                <c:pt idx="1">
                  <c:v>社会保障和就业支出</c:v>
                </c:pt>
                <c:pt idx="2">
                  <c:v>卫生健康支出</c:v>
                </c:pt>
                <c:pt idx="3">
                  <c:v>住房保障支出</c:v>
                </c:pt>
              </c:strCache>
            </c:strRef>
          </c:cat>
          <c:val>
            <c:numRef>
              <c:f>[决算公开图表_安居中学.xlsx]安居中学!$B$75:$B$78</c:f>
              <c:numCache>
                <c:formatCode>#,##0.00</c:formatCode>
                <c:ptCount val="4"/>
                <c:pt idx="0">
                  <c:v>0.1</c:v>
                </c:pt>
                <c:pt idx="1" c:formatCode="General">
                  <c:v>61.97</c:v>
                </c:pt>
                <c:pt idx="2" c:formatCode="General">
                  <c:v>2.92</c:v>
                </c:pt>
                <c:pt idx="3" c:formatCode="General">
                  <c:v>4.26</c:v>
                </c:pt>
              </c:numCache>
            </c:numRef>
          </c:val>
        </c:ser>
        <c:dLbls>
          <c:showLegendKey val="0"/>
          <c:showVal val="0"/>
          <c:showCatName val="1"/>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
    <c:plotVisOnly val="1"/>
    <c:dispBlanksAs val="gap"/>
    <c:showDLblsOverMax val="0"/>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“三公”经费财政拨款支出结构图</c:v>
                </c:pt>
              </c:strCache>
            </c:strRef>
          </c:tx>
          <c:explosion val="0"/>
          <c:dPt>
            <c:idx val="0"/>
            <c:bubble3D val="0"/>
            <c:spPr>
              <a:solidFill>
                <a:schemeClr val="accent1"/>
              </a:solidFill>
              <a:ln w="19050">
                <a:solidFill>
                  <a:schemeClr val="lt1"/>
                </a:solidFill>
              </a:ln>
              <a:effectLst/>
            </c:spPr>
          </c:dPt>
          <c:dLbls>
            <c:dLbl>
              <c:idx val="0"/>
              <c:layout>
                <c:manualLayout>
                  <c:x val="-0.0682600273402022"/>
                  <c:y val="-0.0853532447417939"/>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zh-CN" altLang="en-US"/>
                      <a:t>国内公务接待支出</a:t>
                    </a:r>
                    <a:r>
                      <a:rPr lang="en-US" altLang="zh-CN"/>
                      <a:t>100%</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manualLayout>
                      <c:w val="0.345529010238908"/>
                      <c:h val="0.065612461647392"/>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公务接待费支出</c:v>
                </c:pt>
              </c:strCache>
            </c:strRef>
          </c:cat>
          <c:val>
            <c:numRef>
              <c:f>Sheet1!$B$2</c:f>
              <c:numCache>
                <c:formatCode>0%</c:formatCode>
                <c:ptCount val="1"/>
                <c:pt idx="0">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900" kern="1200"/>
  </cs:chartArea>
  <cs:dataLabel>
    <cs:lnRef idx="0"/>
    <cs:fillRef idx="0"/>
    <cs:effectRef idx="0"/>
    <cs:fontRef idx="minor">
      <a:sysClr val="windowText" lastClr="000000">
        <a:lumMod val="75000"/>
        <a:lumOff val="25000"/>
      </a:sysClr>
    </cs:fontRef>
    <cs:defRPr sz="9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ysClr val="windowText" lastClr="000000"/>
    </cs:fontRef>
    <cs:spPr>
      <a:ln w="19050">
        <a:solidFill>
          <a:sysClr val="window" lastClr="FFFFFF"/>
        </a:solidFill>
      </a:ln>
    </cs:spPr>
  </cs:dataPoint>
  <cs:dataPoint3D>
    <cs:lnRef idx="0"/>
    <cs:fillRef idx="1">
      <cs:styleClr val="auto"/>
    </cs:fillRef>
    <cs:effectRef idx="0"/>
    <cs:fontRef idx="minor">
      <a:sysClr val="windowText" lastClr="000000"/>
    </cs:fontRef>
    <cs:spPr>
      <a:ln w="25400">
        <a:solidFill>
          <a:sysClr val="window" lastClr="FFFFFF"/>
        </a:solidFill>
      </a:ln>
    </cs:spPr>
  </cs:dataPoint3D>
  <cs:dataPointLine>
    <cs:lnRef idx="0">
      <cs:styleClr val="auto"/>
    </cs:lnRef>
    <cs:fillRef idx="0"/>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0"/>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75000"/>
          <a:lumOff val="25000"/>
        </a:sysClr>
      </a:solidFill>
      <a:ln w="9525" cap="flat" cmpd="sng" algn="ctr">
        <a:solidFill>
          <a:sysClr val="windowText" lastClr="000000">
            <a:lumMod val="65000"/>
            <a:lumOff val="35000"/>
          </a:sysClr>
        </a:solidFill>
        <a:round/>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Text" lastClr="000000">
            <a:lumMod val="15000"/>
            <a:lumOff val="850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50000"/>
            <a:lumOff val="50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65000"/>
        <a:lumOff val="35000"/>
      </a:sysClr>
    </cs:fontRef>
    <cs:defRPr sz="1400" b="0" kern="1200" spc="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cap="flat" cmpd="sng" algn="ctr">
        <a:solidFill>
          <a:sysClr val="windowText" lastClr="000000">
            <a:lumMod val="65000"/>
            <a:lumOff val="35000"/>
          </a:sysClr>
        </a:solidFill>
        <a:round/>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9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ysClr val="windowText" lastClr="000000"/>
    </cs:fontRef>
  </cs:dataPoint>
  <cs:dataPoint3D>
    <cs:lnRef idx="0"/>
    <cs:fillRef idx="1">
      <cs:styleClr val="auto"/>
    </cs:fillRef>
    <cs:effectRef idx="0"/>
    <cs:fontRef idx="minor">
      <a:sysClr val="windowText" lastClr="000000"/>
    </cs:fontRef>
  </cs:dataPoint3D>
  <cs:dataPointLine>
    <cs:lnRef idx="0">
      <cs:styleClr val="auto"/>
    </cs:lnRef>
    <cs:fillRef idx="1"/>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Text" lastClr="000000">
            <a:lumMod val="15000"/>
            <a:lumOff val="850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65000"/>
        <a:lumOff val="35000"/>
      </a:sysClr>
    </cs:fontRef>
    <cs:defRPr sz="1400" b="0" kern="1200" spc="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900" kern="1200"/>
  </cs:chartArea>
  <cs:dataLabel>
    <cs:lnRef idx="0"/>
    <cs:fillRef idx="0"/>
    <cs:effectRef idx="0"/>
    <cs:fontRef idx="minor">
      <a:sysClr val="windowText" lastClr="000000">
        <a:lumMod val="75000"/>
        <a:lumOff val="25000"/>
      </a:sysClr>
    </cs:fontRef>
    <cs:defRPr sz="9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ysClr val="windowText" lastClr="000000"/>
    </cs:fontRef>
    <cs:spPr>
      <a:ln w="19050">
        <a:solidFill>
          <a:sysClr val="window" lastClr="FFFFFF"/>
        </a:solidFill>
      </a:ln>
    </cs:spPr>
  </cs:dataPoint>
  <cs:dataPoint3D>
    <cs:lnRef idx="0"/>
    <cs:fillRef idx="1">
      <cs:styleClr val="auto"/>
    </cs:fillRef>
    <cs:effectRef idx="0"/>
    <cs:fontRef idx="minor">
      <a:sysClr val="windowText" lastClr="000000"/>
    </cs:fontRef>
    <cs:spPr>
      <a:ln w="25400">
        <a:solidFill>
          <a:sysClr val="window" lastClr="FFFFFF"/>
        </a:solidFill>
      </a:ln>
    </cs:spPr>
  </cs:dataPoint3D>
  <cs:dataPointLine>
    <cs:lnRef idx="0">
      <cs:styleClr val="auto"/>
    </cs:lnRef>
    <cs:fillRef idx="0"/>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0"/>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75000"/>
          <a:lumOff val="25000"/>
        </a:sysClr>
      </a:solidFill>
      <a:ln w="9525" cap="flat" cmpd="sng" algn="ctr">
        <a:solidFill>
          <a:sysClr val="windowText" lastClr="000000">
            <a:lumMod val="65000"/>
            <a:lumOff val="35000"/>
          </a:sysClr>
        </a:solidFill>
        <a:round/>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Text" lastClr="000000">
            <a:lumMod val="15000"/>
            <a:lumOff val="850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50000"/>
            <a:lumOff val="50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65000"/>
        <a:lumOff val="35000"/>
      </a:sysClr>
    </cs:fontRef>
    <cs:defRPr sz="1400" b="0" kern="1200" spc="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cap="flat" cmpd="sng" algn="ctr">
        <a:solidFill>
          <a:sysClr val="windowText" lastClr="000000">
            <a:lumMod val="65000"/>
            <a:lumOff val="35000"/>
          </a:sysClr>
        </a:solidFill>
        <a:round/>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5E401-C7FC-40E8-A09F-7B0A29BE7B4F}">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33</Pages>
  <Words>11975</Words>
  <Characters>14862</Characters>
  <Lines>81</Lines>
  <Paragraphs>23</Paragraphs>
  <TotalTime>15</TotalTime>
  <ScaleCrop>false</ScaleCrop>
  <LinksUpToDate>false</LinksUpToDate>
  <CharactersWithSpaces>14903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2020-08-06T01:49:00Z</dcterms:created>
  <dc:creator>曹颖</dc:creator>
  <cp:lastModifiedBy>Administrator</cp:lastModifiedBy>
  <cp:lastPrinted>2023-08-01T02:35:00Z</cp:lastPrinted>
  <dcterms:modified xsi:type="dcterms:W3CDTF">2024-08-28T02:57:54Z</dcterms:modified>
  <dc:title>四川省***</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A3D82B06649646E7B4F24F9568A8F3D5_12</vt:lpwstr>
  </property>
</Properties>
</file>