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方正小标宋简体" w:hAnsi="宋体" w:eastAsia="方正小标宋简体"/>
          <w:szCs w:val="21"/>
        </w:rPr>
      </w:pPr>
      <w:bookmarkStart w:id="0" w:name="_Toc15306267"/>
    </w:p>
    <w:p>
      <w:pPr>
        <w:spacing w:line="600" w:lineRule="exact"/>
        <w:jc w:val="center"/>
        <w:outlineLvl w:val="0"/>
        <w:rPr>
          <w:rFonts w:hint="eastAsia" w:ascii="方正小标宋简体" w:hAnsi="宋体" w:eastAsia="方正小标宋简体"/>
          <w:sz w:val="72"/>
          <w:szCs w:val="72"/>
        </w:rPr>
      </w:pPr>
    </w:p>
    <w:p>
      <w:pPr>
        <w:spacing w:line="600" w:lineRule="exact"/>
        <w:jc w:val="center"/>
        <w:outlineLvl w:val="0"/>
        <w:rPr>
          <w:rFonts w:hint="eastAsia" w:ascii="方正小标宋简体" w:hAnsi="宋体" w:eastAsia="方正小标宋简体"/>
          <w:sz w:val="72"/>
          <w:szCs w:val="72"/>
        </w:rPr>
      </w:pPr>
    </w:p>
    <w:p>
      <w:pPr>
        <w:adjustRightInd w:val="0"/>
        <w:snapToGrid w:val="0"/>
        <w:spacing w:line="360" w:lineRule="auto"/>
        <w:jc w:val="center"/>
        <w:outlineLvl w:val="0"/>
        <w:rPr>
          <w:rFonts w:hint="eastAsia" w:ascii="宋体" w:hAnsi="宋体" w:eastAsia="宋体" w:cs="宋体"/>
          <w:sz w:val="72"/>
          <w:szCs w:val="72"/>
        </w:rPr>
      </w:pPr>
      <w:bookmarkStart w:id="1" w:name="_Toc15378441"/>
      <w:bookmarkStart w:id="2" w:name="_Toc15377425"/>
      <w:bookmarkStart w:id="3" w:name="_Toc15377193"/>
      <w:bookmarkStart w:id="4" w:name="_Toc15396597"/>
      <w:bookmarkStart w:id="5" w:name="_Toc15396475"/>
      <w:r>
        <w:rPr>
          <w:rFonts w:hint="eastAsia" w:ascii="宋体" w:hAnsi="宋体" w:eastAsia="宋体" w:cs="宋体"/>
          <w:sz w:val="72"/>
          <w:szCs w:val="72"/>
        </w:rPr>
        <w:t>202</w:t>
      </w:r>
      <w:r>
        <w:rPr>
          <w:rFonts w:hint="eastAsia" w:ascii="宋体" w:hAnsi="宋体" w:eastAsia="宋体" w:cs="宋体"/>
          <w:sz w:val="72"/>
          <w:szCs w:val="72"/>
          <w:lang w:val="en-US" w:eastAsia="zh-CN"/>
        </w:rPr>
        <w:t>3</w:t>
      </w:r>
      <w:r>
        <w:rPr>
          <w:rFonts w:hint="eastAsia" w:ascii="宋体" w:hAnsi="宋体" w:eastAsia="宋体" w:cs="宋体"/>
          <w:sz w:val="72"/>
          <w:szCs w:val="72"/>
        </w:rPr>
        <w:t>年度</w:t>
      </w:r>
      <w:bookmarkEnd w:id="0"/>
      <w:bookmarkEnd w:id="1"/>
      <w:bookmarkEnd w:id="2"/>
      <w:bookmarkEnd w:id="3"/>
      <w:bookmarkEnd w:id="4"/>
      <w:bookmarkEnd w:id="5"/>
      <w:bookmarkStart w:id="6" w:name="_Toc15396598"/>
      <w:bookmarkStart w:id="7" w:name="_Toc15377426"/>
      <w:bookmarkStart w:id="8" w:name="_Toc15378442"/>
      <w:bookmarkStart w:id="9" w:name="_Toc15377194"/>
      <w:bookmarkStart w:id="10" w:name="_Toc15306268"/>
      <w:bookmarkStart w:id="11" w:name="_Toc15396476"/>
      <w:r>
        <w:rPr>
          <w:rFonts w:hint="eastAsia" w:ascii="宋体" w:hAnsi="宋体" w:eastAsia="宋体" w:cs="宋体"/>
          <w:sz w:val="72"/>
          <w:szCs w:val="72"/>
        </w:rPr>
        <w:t>遂宁市安居区</w:t>
      </w:r>
    </w:p>
    <w:p>
      <w:pPr>
        <w:adjustRightInd w:val="0"/>
        <w:snapToGrid w:val="0"/>
        <w:spacing w:line="360" w:lineRule="auto"/>
        <w:jc w:val="center"/>
        <w:outlineLvl w:val="0"/>
        <w:rPr>
          <w:rFonts w:hint="eastAsia" w:ascii="仿宋" w:hAnsi="仿宋" w:eastAsia="仿宋" w:cs="仿宋"/>
          <w:sz w:val="72"/>
          <w:szCs w:val="72"/>
          <w:lang w:val="en-US" w:eastAsia="zh-CN"/>
        </w:rPr>
      </w:pPr>
      <w:r>
        <w:rPr>
          <w:rFonts w:hint="eastAsia" w:ascii="仿宋" w:hAnsi="仿宋" w:eastAsia="仿宋" w:cs="仿宋"/>
          <w:sz w:val="72"/>
          <w:szCs w:val="72"/>
          <w:lang w:val="en-US" w:eastAsia="zh-CN"/>
        </w:rPr>
        <w:t>常理镇龙头小学校</w:t>
      </w:r>
    </w:p>
    <w:p>
      <w:pPr>
        <w:adjustRightInd w:val="0"/>
        <w:snapToGrid w:val="0"/>
        <w:spacing w:line="360" w:lineRule="auto"/>
        <w:jc w:val="center"/>
        <w:outlineLvl w:val="0"/>
        <w:rPr>
          <w:rFonts w:hint="eastAsia" w:ascii="仿宋" w:hAnsi="仿宋" w:eastAsia="仿宋" w:cs="仿宋"/>
          <w:sz w:val="72"/>
          <w:szCs w:val="72"/>
        </w:rPr>
      </w:pPr>
      <w:r>
        <w:rPr>
          <w:rFonts w:hint="eastAsia" w:ascii="仿宋" w:hAnsi="仿宋" w:eastAsia="仿宋" w:cs="仿宋"/>
          <w:sz w:val="72"/>
          <w:szCs w:val="72"/>
        </w:rPr>
        <w:t>单位决算</w:t>
      </w:r>
      <w:bookmarkEnd w:id="6"/>
      <w:bookmarkEnd w:id="7"/>
      <w:bookmarkEnd w:id="8"/>
      <w:bookmarkEnd w:id="9"/>
      <w:bookmarkEnd w:id="10"/>
      <w:bookmarkEnd w:id="11"/>
      <w:bookmarkStart w:id="71" w:name="_GoBack"/>
      <w:bookmarkEnd w:id="71"/>
    </w:p>
    <w:p>
      <w:pPr>
        <w:pStyle w:val="2"/>
        <w:jc w:val="center"/>
        <w:rPr>
          <w:rFonts w:hint="eastAsia" w:ascii="仿宋" w:hAnsi="仿宋" w:eastAsia="仿宋" w:cs="仿宋"/>
          <w:lang w:val="en-US" w:eastAsia="zh-CN"/>
        </w:rPr>
      </w:pPr>
      <w:r>
        <w:rPr>
          <w:rFonts w:hint="eastAsia" w:ascii="仿宋" w:hAnsi="仿宋" w:eastAsia="仿宋" w:cs="仿宋"/>
          <w:sz w:val="72"/>
          <w:szCs w:val="72"/>
          <w:lang w:val="en-US" w:eastAsia="zh-CN"/>
        </w:rPr>
        <w:t>编制说明</w:t>
      </w:r>
    </w:p>
    <w:p>
      <w:pPr>
        <w:widowControl/>
        <w:jc w:val="center"/>
        <w:rPr>
          <w:rFonts w:hint="eastAsia" w:ascii="仿宋" w:hAnsi="仿宋" w:eastAsia="仿宋" w:cs="仿宋"/>
          <w:sz w:val="48"/>
          <w:szCs w:val="48"/>
        </w:rPr>
      </w:pPr>
      <w:r>
        <w:rPr>
          <w:rFonts w:hint="eastAsia" w:ascii="仿宋" w:hAnsi="仿宋" w:eastAsia="仿宋" w:cs="仿宋"/>
          <w:sz w:val="36"/>
          <w:szCs w:val="36"/>
        </w:rPr>
        <w:br w:type="page"/>
      </w:r>
      <w:r>
        <w:rPr>
          <w:rFonts w:hint="eastAsia" w:ascii="仿宋" w:hAnsi="仿宋" w:eastAsia="仿宋" w:cs="仿宋"/>
          <w:sz w:val="48"/>
          <w:szCs w:val="48"/>
        </w:rPr>
        <w:t>目录</w:t>
      </w:r>
    </w:p>
    <w:p>
      <w:pPr>
        <w:widowControl/>
        <w:jc w:val="center"/>
        <w:rPr>
          <w:rFonts w:hint="eastAsia" w:ascii="仿宋" w:hAnsi="仿宋" w:eastAsia="仿宋" w:cs="仿宋"/>
          <w:sz w:val="28"/>
          <w:szCs w:val="28"/>
        </w:rPr>
      </w:pPr>
    </w:p>
    <w:p>
      <w:pPr>
        <w:pStyle w:val="10"/>
        <w:rPr>
          <w:rFonts w:hint="eastAsia" w:ascii="仿宋" w:hAnsi="仿宋" w:eastAsia="仿宋" w:cs="仿宋"/>
        </w:rPr>
      </w:pPr>
      <w:r>
        <w:rPr>
          <w:rFonts w:hint="eastAsia" w:ascii="仿宋" w:hAnsi="仿宋" w:eastAsia="仿宋" w:cs="仿宋"/>
        </w:rPr>
        <w:t>公开时间：202</w:t>
      </w:r>
      <w:r>
        <w:rPr>
          <w:rFonts w:hint="eastAsia" w:ascii="仿宋" w:hAnsi="仿宋" w:eastAsia="仿宋" w:cs="仿宋"/>
          <w:lang w:val="en-US" w:eastAsia="zh-CN"/>
        </w:rPr>
        <w:t>4</w:t>
      </w:r>
      <w:r>
        <w:rPr>
          <w:rFonts w:hint="eastAsia" w:ascii="仿宋" w:hAnsi="仿宋" w:eastAsia="仿宋" w:cs="仿宋"/>
        </w:rPr>
        <w:t>年8月2</w:t>
      </w:r>
      <w:r>
        <w:rPr>
          <w:rFonts w:hint="eastAsia" w:ascii="仿宋" w:hAnsi="仿宋" w:eastAsia="仿宋" w:cs="仿宋"/>
          <w:lang w:val="en-US" w:eastAsia="zh-CN"/>
        </w:rPr>
        <w:t>8</w:t>
      </w:r>
      <w:r>
        <w:rPr>
          <w:rFonts w:hint="eastAsia" w:ascii="仿宋" w:hAnsi="仿宋" w:eastAsia="仿宋" w:cs="仿宋"/>
        </w:rPr>
        <w:t>日</w:t>
      </w:r>
    </w:p>
    <w:p>
      <w:pPr>
        <w:rPr>
          <w:rFonts w:hint="eastAsia" w:ascii="仿宋" w:hAnsi="仿宋" w:eastAsia="仿宋" w:cs="仿宋"/>
        </w:rPr>
      </w:pPr>
    </w:p>
    <w:p>
      <w:pPr>
        <w:pStyle w:val="10"/>
        <w:adjustRightInd w:val="0"/>
        <w:snapToGrid w:val="0"/>
        <w:spacing w:before="0" w:line="440" w:lineRule="exact"/>
        <w:jc w:val="left"/>
        <w:rPr>
          <w:rFonts w:hint="eastAsia" w:ascii="仿宋" w:hAnsi="仿宋" w:eastAsia="仿宋" w:cs="仿宋"/>
          <w:sz w:val="24"/>
          <w:szCs w:val="24"/>
        </w:rPr>
      </w:pPr>
      <w:r>
        <w:rPr>
          <w:rFonts w:hint="eastAsia" w:ascii="仿宋" w:hAnsi="仿宋" w:eastAsia="仿宋" w:cs="仿宋"/>
          <w:sz w:val="24"/>
        </w:rPr>
        <w:t>第一部分单位概况</w:t>
      </w:r>
      <w:r>
        <w:rPr>
          <w:rFonts w:hint="eastAsia" w:ascii="仿宋" w:hAnsi="仿宋" w:eastAsia="仿宋" w:cs="仿宋"/>
        </w:rPr>
        <w:tab/>
      </w:r>
      <w:r>
        <w:rPr>
          <w:rFonts w:hint="eastAsia" w:ascii="仿宋" w:hAnsi="仿宋" w:eastAsia="仿宋" w:cs="仿宋"/>
        </w:rPr>
        <w:t>4</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一、主要职责</w:t>
      </w:r>
      <w:r>
        <w:rPr>
          <w:rFonts w:hint="eastAsia" w:ascii="仿宋" w:hAnsi="仿宋" w:eastAsia="仿宋" w:cs="仿宋"/>
        </w:rPr>
        <w:tab/>
      </w:r>
      <w:r>
        <w:rPr>
          <w:rFonts w:hint="eastAsia" w:ascii="仿宋" w:hAnsi="仿宋" w:eastAsia="仿宋" w:cs="仿宋"/>
        </w:rPr>
        <w:t>4</w:t>
      </w:r>
    </w:p>
    <w:p>
      <w:pPr>
        <w:pStyle w:val="11"/>
        <w:adjustRightInd w:val="0"/>
        <w:snapToGrid w:val="0"/>
        <w:spacing w:line="440" w:lineRule="exact"/>
        <w:jc w:val="left"/>
        <w:rPr>
          <w:rFonts w:hint="eastAsia" w:ascii="仿宋" w:hAnsi="仿宋" w:eastAsia="仿宋" w:cs="仿宋"/>
        </w:rPr>
      </w:pPr>
      <w:r>
        <w:rPr>
          <w:rFonts w:hint="eastAsia" w:ascii="仿宋" w:hAnsi="仿宋" w:eastAsia="仿宋" w:cs="仿宋"/>
          <w:sz w:val="24"/>
        </w:rPr>
        <w:t>二、机构设置</w:t>
      </w:r>
      <w:r>
        <w:rPr>
          <w:rFonts w:hint="eastAsia" w:ascii="仿宋" w:hAnsi="仿宋" w:eastAsia="仿宋" w:cs="仿宋"/>
        </w:rPr>
        <w:tab/>
      </w:r>
      <w:r>
        <w:rPr>
          <w:rFonts w:hint="eastAsia" w:ascii="仿宋" w:hAnsi="仿宋" w:eastAsia="仿宋" w:cs="仿宋"/>
        </w:rPr>
        <w:t>4</w:t>
      </w:r>
    </w:p>
    <w:p>
      <w:pPr>
        <w:pStyle w:val="10"/>
        <w:adjustRightInd w:val="0"/>
        <w:snapToGrid w:val="0"/>
        <w:spacing w:before="0" w:line="440" w:lineRule="exact"/>
        <w:jc w:val="left"/>
        <w:rPr>
          <w:rFonts w:hint="eastAsia" w:ascii="仿宋" w:hAnsi="仿宋" w:eastAsia="仿宋" w:cs="仿宋"/>
          <w:sz w:val="24"/>
          <w:szCs w:val="24"/>
        </w:rPr>
      </w:pPr>
      <w:r>
        <w:rPr>
          <w:rFonts w:hint="eastAsia" w:ascii="仿宋" w:hAnsi="仿宋" w:eastAsia="仿宋" w:cs="仿宋"/>
          <w:sz w:val="24"/>
        </w:rPr>
        <w:t>第二部分 202</w:t>
      </w:r>
      <w:r>
        <w:rPr>
          <w:rFonts w:hint="eastAsia" w:ascii="仿宋" w:hAnsi="仿宋" w:eastAsia="仿宋" w:cs="仿宋"/>
          <w:sz w:val="24"/>
          <w:lang w:val="en-US" w:eastAsia="zh-CN"/>
        </w:rPr>
        <w:t>3</w:t>
      </w:r>
      <w:r>
        <w:rPr>
          <w:rFonts w:hint="eastAsia" w:ascii="仿宋" w:hAnsi="仿宋" w:eastAsia="仿宋" w:cs="仿宋"/>
          <w:sz w:val="24"/>
        </w:rPr>
        <w:t>年度单位决算情况说明</w:t>
      </w:r>
      <w:r>
        <w:rPr>
          <w:rFonts w:hint="eastAsia" w:ascii="仿宋" w:hAnsi="仿宋" w:eastAsia="仿宋" w:cs="仿宋"/>
        </w:rPr>
        <w:tab/>
      </w:r>
      <w:r>
        <w:rPr>
          <w:rFonts w:hint="eastAsia" w:ascii="仿宋" w:hAnsi="仿宋" w:eastAsia="仿宋" w:cs="仿宋"/>
        </w:rPr>
        <w:t>5</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一、收入支出决算总体情况说明</w:t>
      </w:r>
      <w:r>
        <w:rPr>
          <w:rFonts w:hint="eastAsia" w:ascii="仿宋" w:hAnsi="仿宋" w:eastAsia="仿宋" w:cs="仿宋"/>
        </w:rPr>
        <w:tab/>
      </w:r>
      <w:r>
        <w:rPr>
          <w:rFonts w:hint="eastAsia" w:ascii="仿宋" w:hAnsi="仿宋" w:eastAsia="仿宋" w:cs="仿宋"/>
        </w:rPr>
        <w:t>5</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二、收入决算情况说明</w:t>
      </w:r>
      <w:r>
        <w:rPr>
          <w:rFonts w:hint="eastAsia" w:ascii="仿宋" w:hAnsi="仿宋" w:eastAsia="仿宋" w:cs="仿宋"/>
        </w:rPr>
        <w:tab/>
      </w:r>
      <w:r>
        <w:rPr>
          <w:rFonts w:hint="eastAsia" w:ascii="仿宋" w:hAnsi="仿宋" w:eastAsia="仿宋" w:cs="仿宋"/>
        </w:rPr>
        <w:t>5</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三、支出决算情况说明</w:t>
      </w:r>
      <w:r>
        <w:rPr>
          <w:rFonts w:hint="eastAsia" w:ascii="仿宋" w:hAnsi="仿宋" w:eastAsia="仿宋" w:cs="仿宋"/>
        </w:rPr>
        <w:tab/>
      </w:r>
      <w:r>
        <w:rPr>
          <w:rFonts w:hint="eastAsia" w:ascii="仿宋" w:hAnsi="仿宋" w:eastAsia="仿宋" w:cs="仿宋"/>
        </w:rPr>
        <w:t>6</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四、财政拨款收入支出决算总体情况说明</w:t>
      </w:r>
      <w:r>
        <w:rPr>
          <w:rFonts w:hint="eastAsia" w:ascii="仿宋" w:hAnsi="仿宋" w:eastAsia="仿宋" w:cs="仿宋"/>
        </w:rPr>
        <w:tab/>
      </w:r>
      <w:r>
        <w:rPr>
          <w:rFonts w:hint="eastAsia" w:ascii="仿宋" w:hAnsi="仿宋" w:eastAsia="仿宋" w:cs="仿宋"/>
        </w:rPr>
        <w:t>7</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五、一般公共预算财政拨款支出决算情况说明</w:t>
      </w:r>
      <w:r>
        <w:rPr>
          <w:rFonts w:hint="eastAsia" w:ascii="仿宋" w:hAnsi="仿宋" w:eastAsia="仿宋" w:cs="仿宋"/>
        </w:rPr>
        <w:tab/>
      </w:r>
      <w:r>
        <w:rPr>
          <w:rFonts w:hint="eastAsia" w:ascii="仿宋" w:hAnsi="仿宋" w:eastAsia="仿宋" w:cs="仿宋"/>
        </w:rPr>
        <w:t>8</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六、一般公共预算财政拨款基本支出决算情况说明</w:t>
      </w:r>
      <w:r>
        <w:rPr>
          <w:rFonts w:hint="eastAsia" w:ascii="仿宋" w:hAnsi="仿宋" w:eastAsia="仿宋" w:cs="仿宋"/>
        </w:rPr>
        <w:tab/>
      </w:r>
      <w:r>
        <w:rPr>
          <w:rFonts w:hint="eastAsia" w:ascii="仿宋" w:hAnsi="仿宋" w:eastAsia="仿宋" w:cs="仿宋"/>
        </w:rPr>
        <w:t>9</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七、财政拨款“三公”经费支出决算情况说明</w:t>
      </w:r>
      <w:r>
        <w:rPr>
          <w:rFonts w:hint="eastAsia" w:ascii="仿宋" w:hAnsi="仿宋" w:eastAsia="仿宋" w:cs="仿宋"/>
        </w:rPr>
        <w:tab/>
      </w:r>
      <w:r>
        <w:rPr>
          <w:rFonts w:hint="eastAsia" w:ascii="仿宋" w:hAnsi="仿宋" w:eastAsia="仿宋" w:cs="仿宋"/>
        </w:rPr>
        <w:t>10</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八、政府性基金预算支出决算情况说明</w:t>
      </w:r>
      <w:r>
        <w:rPr>
          <w:rFonts w:hint="eastAsia" w:ascii="仿宋" w:hAnsi="仿宋" w:eastAsia="仿宋" w:cs="仿宋"/>
        </w:rPr>
        <w:tab/>
      </w:r>
      <w:r>
        <w:rPr>
          <w:rFonts w:hint="eastAsia" w:ascii="仿宋" w:hAnsi="仿宋" w:eastAsia="仿宋" w:cs="仿宋"/>
        </w:rPr>
        <w:t>10</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九、国有资本经营预算支出决算情况说明</w:t>
      </w:r>
      <w:r>
        <w:rPr>
          <w:rFonts w:hint="eastAsia" w:ascii="仿宋" w:hAnsi="仿宋" w:eastAsia="仿宋" w:cs="仿宋"/>
        </w:rPr>
        <w:tab/>
      </w:r>
      <w:r>
        <w:rPr>
          <w:rFonts w:hint="eastAsia" w:ascii="仿宋" w:hAnsi="仿宋" w:eastAsia="仿宋" w:cs="仿宋"/>
        </w:rPr>
        <w:t>10</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十、其他重要事项的情况说明</w:t>
      </w:r>
      <w:r>
        <w:rPr>
          <w:rFonts w:hint="eastAsia" w:ascii="仿宋" w:hAnsi="仿宋" w:eastAsia="仿宋" w:cs="仿宋"/>
        </w:rPr>
        <w:tab/>
      </w:r>
      <w:r>
        <w:rPr>
          <w:rFonts w:hint="eastAsia" w:ascii="仿宋" w:hAnsi="仿宋" w:eastAsia="仿宋" w:cs="仿宋"/>
        </w:rPr>
        <w:t>11</w:t>
      </w:r>
    </w:p>
    <w:p>
      <w:pPr>
        <w:pStyle w:val="10"/>
        <w:adjustRightInd w:val="0"/>
        <w:snapToGrid w:val="0"/>
        <w:spacing w:before="0" w:line="440" w:lineRule="exact"/>
        <w:jc w:val="left"/>
        <w:rPr>
          <w:rFonts w:hint="eastAsia" w:ascii="仿宋" w:hAnsi="仿宋" w:eastAsia="仿宋" w:cs="仿宋"/>
          <w:sz w:val="24"/>
          <w:szCs w:val="24"/>
          <w:lang w:eastAsia="zh-CN"/>
        </w:rPr>
      </w:pPr>
      <w:r>
        <w:rPr>
          <w:rFonts w:hint="eastAsia" w:ascii="仿宋" w:hAnsi="仿宋" w:eastAsia="仿宋" w:cs="仿宋"/>
          <w:sz w:val="24"/>
        </w:rPr>
        <w:t>第三部分名词解释</w:t>
      </w:r>
      <w:r>
        <w:rPr>
          <w:rFonts w:hint="eastAsia" w:ascii="仿宋" w:hAnsi="仿宋" w:eastAsia="仿宋" w:cs="仿宋"/>
        </w:rPr>
        <w:tab/>
      </w:r>
      <w:r>
        <w:rPr>
          <w:rFonts w:hint="eastAsia" w:ascii="仿宋" w:hAnsi="仿宋" w:eastAsia="仿宋" w:cs="仿宋"/>
        </w:rPr>
        <w:t>1</w:t>
      </w:r>
      <w:r>
        <w:rPr>
          <w:rFonts w:hint="eastAsia" w:cs="仿宋"/>
          <w:lang w:val="en-US" w:eastAsia="zh-CN"/>
        </w:rPr>
        <w:t>3</w:t>
      </w:r>
    </w:p>
    <w:p>
      <w:pPr>
        <w:pStyle w:val="10"/>
        <w:adjustRightInd w:val="0"/>
        <w:snapToGrid w:val="0"/>
        <w:spacing w:before="0" w:line="440" w:lineRule="exact"/>
        <w:jc w:val="left"/>
        <w:rPr>
          <w:rFonts w:hint="eastAsia" w:ascii="仿宋" w:hAnsi="仿宋" w:eastAsia="仿宋" w:cs="仿宋"/>
          <w:sz w:val="24"/>
          <w:szCs w:val="24"/>
          <w:lang w:eastAsia="zh-CN"/>
        </w:rPr>
      </w:pPr>
      <w:r>
        <w:rPr>
          <w:rFonts w:hint="eastAsia" w:ascii="仿宋" w:hAnsi="仿宋" w:eastAsia="仿宋" w:cs="仿宋"/>
          <w:sz w:val="24"/>
        </w:rPr>
        <w:t>第四部分附件</w:t>
      </w:r>
      <w:r>
        <w:rPr>
          <w:rFonts w:hint="eastAsia" w:ascii="仿宋" w:hAnsi="仿宋" w:eastAsia="仿宋" w:cs="仿宋"/>
        </w:rPr>
        <w:tab/>
      </w:r>
      <w:r>
        <w:rPr>
          <w:rFonts w:hint="eastAsia" w:ascii="仿宋" w:hAnsi="仿宋" w:eastAsia="仿宋" w:cs="仿宋"/>
        </w:rPr>
        <w:t>1</w:t>
      </w:r>
      <w:r>
        <w:rPr>
          <w:rFonts w:hint="eastAsia" w:cs="仿宋"/>
          <w:lang w:val="en-US" w:eastAsia="zh-CN"/>
        </w:rPr>
        <w:t>5</w:t>
      </w:r>
    </w:p>
    <w:p>
      <w:pPr>
        <w:pStyle w:val="10"/>
        <w:adjustRightInd w:val="0"/>
        <w:snapToGrid w:val="0"/>
        <w:spacing w:before="0" w:line="440" w:lineRule="exact"/>
        <w:jc w:val="left"/>
        <w:rPr>
          <w:rFonts w:hint="eastAsia" w:ascii="仿宋" w:hAnsi="仿宋" w:eastAsia="仿宋" w:cs="仿宋"/>
          <w:sz w:val="24"/>
          <w:szCs w:val="24"/>
          <w:lang w:val="en-US" w:eastAsia="zh-CN"/>
        </w:rPr>
      </w:pPr>
      <w:r>
        <w:rPr>
          <w:rFonts w:hint="eastAsia" w:ascii="仿宋" w:hAnsi="仿宋" w:eastAsia="仿宋" w:cs="仿宋"/>
          <w:sz w:val="24"/>
        </w:rPr>
        <w:t>第五部分附表</w:t>
      </w:r>
      <w:r>
        <w:rPr>
          <w:rFonts w:hint="eastAsia" w:ascii="仿宋" w:hAnsi="仿宋" w:eastAsia="仿宋" w:cs="仿宋"/>
        </w:rPr>
        <w:tab/>
      </w:r>
      <w:r>
        <w:rPr>
          <w:rFonts w:hint="eastAsia" w:ascii="仿宋" w:hAnsi="仿宋" w:eastAsia="仿宋" w:cs="仿宋"/>
          <w:lang w:val="en-US" w:eastAsia="zh-CN"/>
        </w:rPr>
        <w:t>3</w:t>
      </w:r>
      <w:r>
        <w:rPr>
          <w:rFonts w:hint="eastAsia" w:cs="仿宋"/>
          <w:lang w:val="en-US" w:eastAsia="zh-CN"/>
        </w:rPr>
        <w:t>1</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一、收入支出决算总表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二、收入决算表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三、支出决算表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四、财政拨款收入支出决算总表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五、财政拨款支出决算明细表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六、一般公共预算财政拨款支出决算表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七、一般公共预算财政拨款支出决算明细表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八、一般公共预算财政拨款基本支出决算明细表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九、一般公共预算财政拨款项目支出决算表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十、政府性基金预算财政拨款收入支出决算表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十一、国有资本经营预算财政拨款收入支出决算表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十二、国有资本经营预算财政拨款支出决算表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十三、财政拨款“三公”经费支出决算表</w:t>
      </w:r>
    </w:p>
    <w:p>
      <w:pPr>
        <w:widowControl/>
        <w:spacing w:line="440" w:lineRule="exact"/>
        <w:jc w:val="left"/>
        <w:rPr>
          <w:rFonts w:hint="eastAsia" w:ascii="仿宋" w:hAnsi="仿宋" w:eastAsia="仿宋" w:cs="仿宋"/>
          <w:bCs/>
          <w:kern w:val="44"/>
          <w:sz w:val="24"/>
        </w:rPr>
      </w:pPr>
      <w:bookmarkStart w:id="12" w:name="_Toc15377196"/>
      <w:bookmarkStart w:id="13" w:name="_Toc15396599"/>
      <w:r>
        <w:rPr>
          <w:rFonts w:hint="eastAsia" w:ascii="仿宋" w:hAnsi="仿宋" w:eastAsia="仿宋" w:cs="仿宋"/>
          <w:b/>
          <w:sz w:val="24"/>
        </w:rPr>
        <w:br w:type="page"/>
      </w:r>
    </w:p>
    <w:p>
      <w:pPr>
        <w:pStyle w:val="3"/>
        <w:jc w:val="center"/>
        <w:rPr>
          <w:rFonts w:hint="eastAsia" w:ascii="仿宋" w:hAnsi="仿宋" w:eastAsia="仿宋" w:cs="仿宋"/>
          <w:sz w:val="32"/>
          <w:szCs w:val="32"/>
        </w:rPr>
      </w:pPr>
      <w:r>
        <w:rPr>
          <w:rFonts w:hint="eastAsia" w:ascii="仿宋" w:hAnsi="仿宋" w:eastAsia="仿宋" w:cs="仿宋"/>
          <w:b w:val="0"/>
        </w:rPr>
        <w:t>第一部分 单位</w:t>
      </w:r>
      <w:r>
        <w:rPr>
          <w:rStyle w:val="24"/>
          <w:rFonts w:hint="eastAsia" w:ascii="仿宋" w:hAnsi="仿宋" w:eastAsia="仿宋" w:cs="仿宋"/>
          <w:b w:val="0"/>
          <w:bCs w:val="0"/>
        </w:rPr>
        <w:t>概况</w:t>
      </w:r>
      <w:bookmarkEnd w:id="12"/>
      <w:bookmarkEnd w:id="13"/>
    </w:p>
    <w:p>
      <w:pPr>
        <w:pStyle w:val="4"/>
        <w:numPr>
          <w:ilvl w:val="0"/>
          <w:numId w:val="1"/>
        </w:numPr>
        <w:rPr>
          <w:rStyle w:val="25"/>
          <w:rFonts w:hint="eastAsia" w:ascii="仿宋" w:hAnsi="仿宋" w:eastAsia="仿宋" w:cs="仿宋"/>
          <w:b w:val="0"/>
          <w:bCs w:val="0"/>
        </w:rPr>
      </w:pPr>
      <w:bookmarkStart w:id="14" w:name="_Toc15396600"/>
      <w:bookmarkStart w:id="15" w:name="_Toc15377197"/>
      <w:r>
        <w:rPr>
          <w:rStyle w:val="25"/>
          <w:rFonts w:hint="eastAsia" w:ascii="仿宋" w:hAnsi="仿宋" w:eastAsia="仿宋" w:cs="仿宋"/>
          <w:b w:val="0"/>
          <w:bCs w:val="0"/>
        </w:rPr>
        <w:t>主要职责</w:t>
      </w:r>
      <w:bookmarkStart w:id="16" w:name="_Toc15378445"/>
      <w:bookmarkStart w:id="17" w:name="_Toc15377198"/>
      <w:r>
        <w:rPr>
          <w:rStyle w:val="25"/>
          <w:rFonts w:hint="eastAsia" w:ascii="仿宋" w:hAnsi="仿宋" w:eastAsia="仿宋" w:cs="仿宋"/>
          <w:b w:val="0"/>
          <w:bCs w:val="0"/>
        </w:rPr>
        <w:t xml:space="preserve">                                  </w:t>
      </w:r>
    </w:p>
    <w:p>
      <w:pPr>
        <w:pStyle w:val="4"/>
        <w:numPr>
          <w:ilvl w:val="0"/>
          <w:numId w:val="2"/>
        </w:numPr>
        <w:ind w:left="800" w:leftChars="0" w:firstLine="0" w:firstLineChars="0"/>
        <w:rPr>
          <w:rFonts w:hint="eastAsia" w:ascii="仿宋" w:hAnsi="仿宋" w:eastAsia="仿宋" w:cs="仿宋"/>
          <w:color w:val="000000"/>
        </w:rPr>
      </w:pPr>
      <w:r>
        <w:rPr>
          <w:rFonts w:hint="eastAsia" w:ascii="仿宋" w:hAnsi="仿宋" w:eastAsia="仿宋" w:cs="仿宋"/>
          <w:color w:val="000000"/>
        </w:rPr>
        <w:t>主要职能。</w:t>
      </w:r>
      <w:bookmarkEnd w:id="16"/>
      <w:bookmarkEnd w:id="17"/>
      <w:bookmarkStart w:id="18" w:name="_Toc15378446"/>
      <w:bookmarkStart w:id="19" w:name="_Toc15377199"/>
    </w:p>
    <w:p>
      <w:pPr>
        <w:pStyle w:val="4"/>
        <w:numPr>
          <w:ilvl w:val="0"/>
          <w:numId w:val="0"/>
        </w:numPr>
        <w:ind w:left="800" w:leftChars="0"/>
        <w:rPr>
          <w:rFonts w:hint="eastAsia" w:ascii="仿宋" w:hAnsi="仿宋" w:eastAsia="仿宋" w:cs="仿宋"/>
          <w:sz w:val="28"/>
        </w:rPr>
      </w:pPr>
      <w:r>
        <w:rPr>
          <w:rFonts w:hint="eastAsia" w:ascii="仿宋" w:hAnsi="仿宋" w:eastAsia="仿宋" w:cs="仿宋"/>
          <w:sz w:val="28"/>
        </w:rPr>
        <w:t>实施</w:t>
      </w:r>
      <w:r>
        <w:rPr>
          <w:rFonts w:hint="eastAsia" w:ascii="仿宋" w:hAnsi="仿宋" w:eastAsia="仿宋" w:cs="仿宋"/>
          <w:sz w:val="28"/>
          <w:lang w:val="en-US" w:eastAsia="zh-CN"/>
        </w:rPr>
        <w:t>小学</w:t>
      </w:r>
      <w:r>
        <w:rPr>
          <w:rFonts w:hint="eastAsia" w:ascii="仿宋" w:hAnsi="仿宋" w:eastAsia="仿宋" w:cs="仿宋"/>
          <w:sz w:val="28"/>
        </w:rPr>
        <w:t>义务教育，促进教育发展，负责</w:t>
      </w:r>
      <w:r>
        <w:rPr>
          <w:rFonts w:hint="eastAsia" w:ascii="仿宋" w:hAnsi="仿宋" w:eastAsia="仿宋" w:cs="仿宋"/>
          <w:sz w:val="28"/>
          <w:lang w:val="en-US" w:eastAsia="zh-CN"/>
        </w:rPr>
        <w:t>小学</w:t>
      </w:r>
      <w:r>
        <w:rPr>
          <w:rFonts w:hint="eastAsia" w:ascii="仿宋" w:hAnsi="仿宋" w:eastAsia="仿宋" w:cs="仿宋"/>
          <w:sz w:val="28"/>
        </w:rPr>
        <w:t>学历教育和相关</w:t>
      </w:r>
      <w:r>
        <w:rPr>
          <w:rFonts w:hint="eastAsia" w:ascii="仿宋" w:hAnsi="仿宋" w:eastAsia="仿宋" w:cs="仿宋"/>
          <w:sz w:val="28"/>
          <w:lang w:val="en-US" w:eastAsia="zh-CN"/>
        </w:rPr>
        <w:t>社会</w:t>
      </w:r>
      <w:r>
        <w:rPr>
          <w:rFonts w:hint="eastAsia" w:ascii="仿宋" w:hAnsi="仿宋" w:eastAsia="仿宋" w:cs="仿宋"/>
          <w:sz w:val="28"/>
        </w:rPr>
        <w:t>服务。</w:t>
      </w:r>
    </w:p>
    <w:p>
      <w:pPr>
        <w:pStyle w:val="2"/>
        <w:adjustRightInd w:val="0"/>
        <w:snapToGrid w:val="0"/>
        <w:spacing w:before="93" w:line="600" w:lineRule="exact"/>
        <w:ind w:left="672"/>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（二）</w:t>
      </w:r>
      <w:r>
        <w:rPr>
          <w:rFonts w:hint="eastAsia" w:ascii="仿宋" w:hAnsi="仿宋" w:eastAsia="仿宋" w:cs="仿宋"/>
          <w:bCs/>
          <w:color w:val="000000"/>
          <w:sz w:val="32"/>
          <w:szCs w:val="32"/>
          <w:lang w:eastAsia="zh-CN"/>
        </w:rPr>
        <w:t>2023年</w:t>
      </w:r>
      <w:r>
        <w:rPr>
          <w:rFonts w:hint="eastAsia" w:ascii="仿宋" w:hAnsi="仿宋" w:eastAsia="仿宋" w:cs="仿宋"/>
          <w:bCs/>
          <w:color w:val="000000"/>
          <w:sz w:val="32"/>
          <w:szCs w:val="32"/>
        </w:rPr>
        <w:t>重点工作完成情况。</w:t>
      </w:r>
      <w:bookmarkEnd w:id="18"/>
      <w:bookmarkEnd w:id="19"/>
    </w:p>
    <w:p>
      <w:pPr>
        <w:pStyle w:val="2"/>
        <w:adjustRightInd w:val="0"/>
        <w:snapToGrid w:val="0"/>
        <w:spacing w:before="93" w:line="600" w:lineRule="exact"/>
        <w:ind w:left="672" w:leftChars="320" w:firstLine="480" w:firstLineChars="15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在区党委、政府的领导下，贯彻执行党和国家的教育方针、政策、法规；维护学校的教学秩序，为学生创造了良好的学习环境；积极稳妥地推进教育改革，按教育规律办事，不断提高教育质量；坚持教书育人，服务育人，环境育人方针，加强对学生的思想品德教育，促使学生的德智体全面发展；抓好教师队伍建设，使每个教师都热心于教育事业。</w:t>
      </w:r>
    </w:p>
    <w:p>
      <w:pPr>
        <w:pStyle w:val="2"/>
        <w:adjustRightInd w:val="0"/>
        <w:snapToGrid w:val="0"/>
        <w:spacing w:before="93" w:line="600" w:lineRule="exact"/>
        <w:outlineLvl w:val="2"/>
        <w:rPr>
          <w:rFonts w:hint="eastAsia" w:ascii="仿宋" w:hAnsi="仿宋" w:eastAsia="仿宋" w:cs="仿宋"/>
        </w:rPr>
      </w:pPr>
      <w:r>
        <w:rPr>
          <w:rFonts w:hint="eastAsia" w:ascii="仿宋" w:hAnsi="仿宋" w:eastAsia="仿宋" w:cs="仿宋"/>
        </w:rPr>
        <w:t>二、机构设置</w:t>
      </w:r>
    </w:p>
    <w:p>
      <w:pPr>
        <w:ind w:firstLine="800" w:firstLineChars="250"/>
        <w:rPr>
          <w:rFonts w:hint="eastAsia" w:ascii="仿宋" w:hAnsi="仿宋" w:eastAsia="仿宋" w:cs="仿宋"/>
          <w:sz w:val="32"/>
          <w:szCs w:val="32"/>
        </w:rPr>
      </w:pPr>
      <w:r>
        <w:rPr>
          <w:rFonts w:hint="eastAsia" w:ascii="仿宋" w:hAnsi="仿宋" w:eastAsia="仿宋" w:cs="仿宋"/>
          <w:sz w:val="32"/>
          <w:szCs w:val="32"/>
          <w:lang w:eastAsia="zh-CN"/>
        </w:rPr>
        <w:t>遂宁市安居区常理镇龙头小学校</w:t>
      </w:r>
      <w:r>
        <w:rPr>
          <w:rFonts w:hint="eastAsia" w:ascii="仿宋" w:hAnsi="仿宋" w:eastAsia="仿宋" w:cs="仿宋"/>
          <w:sz w:val="32"/>
          <w:szCs w:val="32"/>
        </w:rPr>
        <w:t>属于公益一类事业单位，无下属二级预算单位。学校的主管部门为遂宁市安居区教育和体育局。</w:t>
      </w:r>
    </w:p>
    <w:p>
      <w:pPr>
        <w:pStyle w:val="2"/>
        <w:adjustRightInd w:val="0"/>
        <w:snapToGrid w:val="0"/>
        <w:spacing w:before="93" w:line="600" w:lineRule="exact"/>
        <w:outlineLvl w:val="2"/>
        <w:rPr>
          <w:rFonts w:hint="eastAsia" w:ascii="仿宋" w:hAnsi="仿宋" w:eastAsia="仿宋" w:cs="仿宋"/>
          <w:bCs/>
          <w:color w:val="000000"/>
          <w:sz w:val="32"/>
          <w:szCs w:val="32"/>
        </w:rPr>
      </w:pPr>
    </w:p>
    <w:bookmarkEnd w:id="14"/>
    <w:bookmarkEnd w:id="15"/>
    <w:p>
      <w:pPr>
        <w:widowControl/>
        <w:jc w:val="left"/>
        <w:rPr>
          <w:rFonts w:hint="eastAsia" w:ascii="仿宋" w:hAnsi="仿宋" w:eastAsia="仿宋" w:cs="仿宋"/>
          <w:kern w:val="0"/>
          <w:sz w:val="32"/>
          <w:szCs w:val="32"/>
        </w:rPr>
      </w:pPr>
      <w:r>
        <w:rPr>
          <w:rFonts w:hint="eastAsia" w:ascii="仿宋" w:hAnsi="仿宋" w:eastAsia="仿宋" w:cs="仿宋"/>
          <w:sz w:val="32"/>
          <w:szCs w:val="32"/>
        </w:rPr>
        <w:br w:type="page"/>
      </w:r>
    </w:p>
    <w:p>
      <w:pPr>
        <w:pStyle w:val="3"/>
        <w:ind w:right="440"/>
        <w:jc w:val="center"/>
        <w:rPr>
          <w:rFonts w:hint="eastAsia" w:ascii="仿宋" w:hAnsi="仿宋" w:eastAsia="仿宋" w:cs="仿宋"/>
        </w:rPr>
      </w:pPr>
      <w:bookmarkStart w:id="20" w:name="_Toc15396602"/>
      <w:bookmarkStart w:id="21" w:name="_Toc15377204"/>
      <w:r>
        <w:rPr>
          <w:rFonts w:hint="eastAsia" w:ascii="仿宋" w:hAnsi="仿宋" w:eastAsia="仿宋" w:cs="仿宋"/>
          <w:b w:val="0"/>
        </w:rPr>
        <w:t xml:space="preserve">第二部分 </w:t>
      </w:r>
      <w:r>
        <w:rPr>
          <w:rFonts w:hint="eastAsia" w:ascii="仿宋" w:hAnsi="仿宋" w:eastAsia="仿宋" w:cs="仿宋"/>
          <w:b w:val="0"/>
          <w:lang w:eastAsia="zh-CN"/>
        </w:rPr>
        <w:t>2023年</w:t>
      </w:r>
      <w:r>
        <w:rPr>
          <w:rFonts w:hint="eastAsia" w:ascii="仿宋" w:hAnsi="仿宋" w:eastAsia="仿宋" w:cs="仿宋"/>
          <w:b w:val="0"/>
        </w:rPr>
        <w:t>度</w:t>
      </w:r>
      <w:r>
        <w:rPr>
          <w:rStyle w:val="24"/>
          <w:rFonts w:hint="eastAsia" w:ascii="仿宋" w:hAnsi="仿宋" w:eastAsia="仿宋" w:cs="仿宋"/>
          <w:b w:val="0"/>
          <w:bCs/>
        </w:rPr>
        <w:t>单位决算情况说明</w:t>
      </w:r>
      <w:bookmarkEnd w:id="20"/>
      <w:bookmarkEnd w:id="21"/>
    </w:p>
    <w:p>
      <w:pPr>
        <w:pStyle w:val="23"/>
        <w:numPr>
          <w:ilvl w:val="0"/>
          <w:numId w:val="3"/>
        </w:numPr>
        <w:spacing w:line="600" w:lineRule="exact"/>
        <w:ind w:firstLineChars="0"/>
        <w:outlineLvl w:val="1"/>
        <w:rPr>
          <w:rStyle w:val="25"/>
          <w:rFonts w:hint="eastAsia" w:ascii="仿宋" w:hAnsi="仿宋" w:eastAsia="仿宋" w:cs="仿宋"/>
          <w:b w:val="0"/>
        </w:rPr>
      </w:pPr>
      <w:bookmarkStart w:id="22" w:name="_Toc15396603"/>
      <w:bookmarkStart w:id="23" w:name="_Toc15377205"/>
      <w:r>
        <w:rPr>
          <w:rFonts w:hint="eastAsia" w:ascii="仿宋" w:hAnsi="仿宋" w:eastAsia="仿宋" w:cs="仿宋"/>
          <w:sz w:val="32"/>
          <w:szCs w:val="32"/>
        </w:rPr>
        <w:t>收</w:t>
      </w:r>
      <w:r>
        <w:rPr>
          <w:rStyle w:val="25"/>
          <w:rFonts w:hint="eastAsia" w:ascii="仿宋" w:hAnsi="仿宋" w:eastAsia="仿宋" w:cs="仿宋"/>
          <w:b w:val="0"/>
        </w:rPr>
        <w:t>入支出决算总体情况说明</w:t>
      </w:r>
      <w:bookmarkEnd w:id="22"/>
      <w:bookmarkEnd w:id="23"/>
    </w:p>
    <w:p>
      <w:pPr>
        <w:spacing w:line="600" w:lineRule="exact"/>
        <w:ind w:left="640" w:leftChars="305" w:firstLine="480" w:firstLineChars="15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2023年</w:t>
      </w:r>
      <w:r>
        <w:rPr>
          <w:rFonts w:hint="eastAsia" w:ascii="仿宋" w:hAnsi="仿宋" w:eastAsia="仿宋" w:cs="仿宋"/>
          <w:color w:val="000000"/>
          <w:sz w:val="32"/>
          <w:szCs w:val="32"/>
        </w:rPr>
        <w:t>度收入</w:t>
      </w:r>
      <w:r>
        <w:rPr>
          <w:rFonts w:hint="eastAsia" w:ascii="仿宋" w:hAnsi="仿宋" w:eastAsia="仿宋" w:cs="仿宋"/>
          <w:color w:val="000000"/>
          <w:sz w:val="32"/>
          <w:szCs w:val="32"/>
          <w:lang w:val="en-US" w:eastAsia="zh-CN"/>
        </w:rPr>
        <w:t>367.14</w:t>
      </w:r>
      <w:r>
        <w:rPr>
          <w:rFonts w:hint="eastAsia" w:ascii="仿宋" w:hAnsi="仿宋" w:eastAsia="仿宋" w:cs="仿宋"/>
          <w:color w:val="000000"/>
          <w:sz w:val="32"/>
          <w:szCs w:val="32"/>
        </w:rPr>
        <w:t>万元，与202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年相比，较上年收入</w:t>
      </w:r>
      <w:r>
        <w:rPr>
          <w:rFonts w:hint="eastAsia" w:ascii="仿宋" w:hAnsi="仿宋" w:eastAsia="仿宋" w:cs="仿宋"/>
          <w:color w:val="000000"/>
          <w:sz w:val="32"/>
          <w:szCs w:val="32"/>
          <w:lang w:val="en-US" w:eastAsia="zh-CN"/>
        </w:rPr>
        <w:t>减少31.34</w:t>
      </w:r>
      <w:r>
        <w:rPr>
          <w:rFonts w:hint="eastAsia" w:ascii="仿宋" w:hAnsi="仿宋" w:eastAsia="仿宋" w:cs="仿宋"/>
          <w:sz w:val="32"/>
          <w:szCs w:val="32"/>
        </w:rPr>
        <w:t>万元，</w:t>
      </w:r>
      <w:r>
        <w:rPr>
          <w:rFonts w:hint="eastAsia" w:ascii="仿宋" w:hAnsi="仿宋" w:eastAsia="仿宋" w:cs="仿宋"/>
          <w:sz w:val="32"/>
          <w:szCs w:val="32"/>
          <w:lang w:val="en-US" w:eastAsia="zh-CN"/>
        </w:rPr>
        <w:t>减</w:t>
      </w:r>
      <w:r>
        <w:rPr>
          <w:rFonts w:hint="eastAsia" w:ascii="仿宋" w:hAnsi="仿宋" w:eastAsia="仿宋" w:cs="仿宋"/>
          <w:sz w:val="32"/>
          <w:szCs w:val="32"/>
        </w:rPr>
        <w:t>幅</w:t>
      </w:r>
      <w:r>
        <w:rPr>
          <w:rFonts w:hint="eastAsia" w:ascii="仿宋" w:hAnsi="仿宋" w:eastAsia="仿宋" w:cs="仿宋"/>
          <w:sz w:val="32"/>
          <w:szCs w:val="32"/>
          <w:lang w:val="en-US" w:eastAsia="zh-CN"/>
        </w:rPr>
        <w:t>7.89</w:t>
      </w:r>
      <w:r>
        <w:rPr>
          <w:rFonts w:hint="eastAsia" w:ascii="仿宋" w:hAnsi="仿宋" w:eastAsia="仿宋" w:cs="仿宋"/>
          <w:sz w:val="32"/>
          <w:szCs w:val="32"/>
        </w:rPr>
        <w:t>%；</w:t>
      </w:r>
      <w:r>
        <w:rPr>
          <w:rFonts w:hint="eastAsia" w:ascii="仿宋" w:hAnsi="仿宋" w:eastAsia="仿宋" w:cs="仿宋"/>
          <w:color w:val="000000"/>
          <w:sz w:val="32"/>
          <w:szCs w:val="32"/>
          <w:lang w:eastAsia="zh-CN"/>
        </w:rPr>
        <w:t>2023年</w:t>
      </w:r>
      <w:r>
        <w:rPr>
          <w:rFonts w:hint="eastAsia" w:ascii="仿宋" w:hAnsi="仿宋" w:eastAsia="仿宋" w:cs="仿宋"/>
          <w:color w:val="000000"/>
          <w:sz w:val="32"/>
          <w:szCs w:val="32"/>
        </w:rPr>
        <w:t>度支出总计</w:t>
      </w:r>
      <w:r>
        <w:rPr>
          <w:rFonts w:hint="eastAsia" w:ascii="仿宋" w:hAnsi="仿宋" w:eastAsia="仿宋" w:cs="仿宋"/>
          <w:color w:val="000000"/>
          <w:sz w:val="32"/>
          <w:szCs w:val="32"/>
          <w:lang w:val="en-US" w:eastAsia="zh-CN"/>
        </w:rPr>
        <w:t>367.14</w:t>
      </w:r>
      <w:r>
        <w:rPr>
          <w:rFonts w:hint="eastAsia" w:ascii="仿宋" w:hAnsi="仿宋" w:eastAsia="仿宋" w:cs="仿宋"/>
          <w:color w:val="000000"/>
          <w:sz w:val="32"/>
          <w:szCs w:val="32"/>
        </w:rPr>
        <w:t>万元，较上年支出</w:t>
      </w:r>
      <w:r>
        <w:rPr>
          <w:rFonts w:hint="eastAsia" w:ascii="仿宋" w:hAnsi="仿宋" w:eastAsia="仿宋" w:cs="仿宋"/>
          <w:color w:val="000000"/>
          <w:sz w:val="32"/>
          <w:szCs w:val="32"/>
          <w:lang w:val="en-US" w:eastAsia="zh-CN"/>
        </w:rPr>
        <w:t>减少204.0531.34</w:t>
      </w:r>
      <w:r>
        <w:rPr>
          <w:rFonts w:hint="eastAsia" w:ascii="仿宋" w:hAnsi="仿宋" w:eastAsia="仿宋" w:cs="仿宋"/>
          <w:sz w:val="32"/>
          <w:szCs w:val="32"/>
        </w:rPr>
        <w:t>万元，</w:t>
      </w:r>
      <w:r>
        <w:rPr>
          <w:rFonts w:hint="eastAsia" w:ascii="仿宋" w:hAnsi="仿宋" w:eastAsia="仿宋" w:cs="仿宋"/>
          <w:sz w:val="32"/>
          <w:szCs w:val="32"/>
          <w:lang w:val="en-US" w:eastAsia="zh-CN"/>
        </w:rPr>
        <w:t>减</w:t>
      </w:r>
      <w:r>
        <w:rPr>
          <w:rFonts w:hint="eastAsia" w:ascii="仿宋" w:hAnsi="仿宋" w:eastAsia="仿宋" w:cs="仿宋"/>
          <w:sz w:val="32"/>
          <w:szCs w:val="32"/>
        </w:rPr>
        <w:t>幅</w:t>
      </w:r>
      <w:r>
        <w:rPr>
          <w:rFonts w:hint="eastAsia" w:ascii="仿宋" w:hAnsi="仿宋" w:eastAsia="仿宋" w:cs="仿宋"/>
          <w:sz w:val="32"/>
          <w:szCs w:val="32"/>
          <w:lang w:val="en-US" w:eastAsia="zh-CN"/>
        </w:rPr>
        <w:t>7.89</w:t>
      </w:r>
      <w:r>
        <w:rPr>
          <w:rFonts w:hint="eastAsia" w:ascii="仿宋" w:hAnsi="仿宋" w:eastAsia="仿宋" w:cs="仿宋"/>
          <w:sz w:val="32"/>
          <w:szCs w:val="32"/>
        </w:rPr>
        <w:t>%</w:t>
      </w:r>
      <w:r>
        <w:rPr>
          <w:rFonts w:hint="eastAsia" w:ascii="仿宋" w:hAnsi="仿宋" w:eastAsia="仿宋" w:cs="仿宋"/>
          <w:color w:val="000000"/>
          <w:sz w:val="32"/>
          <w:szCs w:val="32"/>
        </w:rPr>
        <w:t>。主要变动原因是：校点布局调整，</w:t>
      </w:r>
      <w:r>
        <w:rPr>
          <w:rFonts w:hint="eastAsia" w:ascii="仿宋" w:hAnsi="仿宋" w:eastAsia="仿宋" w:cs="仿宋"/>
          <w:color w:val="000000"/>
          <w:sz w:val="32"/>
          <w:szCs w:val="32"/>
          <w:lang w:val="en-US" w:eastAsia="zh-CN"/>
        </w:rPr>
        <w:t>2023年龙头小学撤销，2023年12月人员全部调出</w:t>
      </w:r>
      <w:r>
        <w:rPr>
          <w:rFonts w:hint="eastAsia" w:ascii="仿宋" w:hAnsi="仿宋" w:eastAsia="仿宋" w:cs="仿宋"/>
          <w:color w:val="000000"/>
          <w:sz w:val="32"/>
          <w:szCs w:val="32"/>
        </w:rPr>
        <w:t>。</w:t>
      </w:r>
    </w:p>
    <w:p>
      <w:pPr>
        <w:pStyle w:val="2"/>
        <w:spacing w:before="93"/>
        <w:rPr>
          <w:rFonts w:hint="eastAsia" w:ascii="仿宋" w:hAnsi="仿宋" w:eastAsia="仿宋" w:cs="仿宋"/>
          <w:sz w:val="32"/>
          <w:szCs w:val="32"/>
        </w:rPr>
      </w:pPr>
      <w:r>
        <w:rPr>
          <w:rFonts w:hint="eastAsia" w:ascii="仿宋" w:hAnsi="仿宋" w:eastAsia="仿宋" w:cs="仿宋"/>
          <w:lang w:val="en-US" w:eastAsia="zh-CN"/>
        </w:rPr>
        <w:t xml:space="preserve">      </w:t>
      </w:r>
      <w:r>
        <w:drawing>
          <wp:inline distT="0" distB="0" distL="114300" distR="114300">
            <wp:extent cx="4155440" cy="2864485"/>
            <wp:effectExtent l="4445" t="5080" r="12065" b="6985"/>
            <wp:docPr id="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（图1：收、支决算总计变动情况图）（柱状图）</w:t>
      </w:r>
    </w:p>
    <w:p>
      <w:pPr>
        <w:pStyle w:val="23"/>
        <w:numPr>
          <w:ilvl w:val="0"/>
          <w:numId w:val="3"/>
        </w:numPr>
        <w:spacing w:line="600" w:lineRule="exact"/>
        <w:ind w:firstLineChars="0"/>
        <w:outlineLvl w:val="1"/>
        <w:rPr>
          <w:rStyle w:val="25"/>
          <w:rFonts w:hint="eastAsia" w:ascii="仿宋" w:hAnsi="仿宋" w:eastAsia="仿宋" w:cs="仿宋"/>
          <w:b w:val="0"/>
        </w:rPr>
      </w:pPr>
      <w:bookmarkStart w:id="24" w:name="_Toc15396604"/>
      <w:bookmarkStart w:id="25" w:name="_Toc15377206"/>
      <w:r>
        <w:rPr>
          <w:rFonts w:hint="eastAsia" w:ascii="仿宋" w:hAnsi="仿宋" w:eastAsia="仿宋" w:cs="仿宋"/>
          <w:sz w:val="32"/>
          <w:szCs w:val="32"/>
        </w:rPr>
        <w:t>收</w:t>
      </w:r>
      <w:r>
        <w:rPr>
          <w:rStyle w:val="25"/>
          <w:rFonts w:hint="eastAsia" w:ascii="仿宋" w:hAnsi="仿宋" w:eastAsia="仿宋" w:cs="仿宋"/>
          <w:b w:val="0"/>
        </w:rPr>
        <w:t>入决算情况说明</w:t>
      </w:r>
      <w:bookmarkEnd w:id="24"/>
      <w:bookmarkEnd w:id="25"/>
    </w:p>
    <w:p>
      <w:pPr>
        <w:spacing w:line="600" w:lineRule="exact"/>
        <w:ind w:left="640" w:leftChars="305" w:firstLine="640" w:firstLineChars="200"/>
        <w:outlineLvl w:val="1"/>
        <w:rPr>
          <w:rFonts w:ascii="仿宋" w:hAnsi="仿宋" w:eastAsia="仿宋"/>
          <w:b/>
          <w:sz w:val="32"/>
          <w:szCs w:val="32"/>
        </w:rPr>
      </w:pPr>
      <w:r>
        <w:rPr>
          <w:rFonts w:hint="eastAsia" w:ascii="仿宋" w:hAnsi="仿宋" w:eastAsia="仿宋" w:cs="仿宋"/>
          <w:color w:val="000000"/>
          <w:sz w:val="32"/>
          <w:szCs w:val="32"/>
          <w:lang w:eastAsia="zh-CN"/>
        </w:rPr>
        <w:t>2023年</w:t>
      </w:r>
      <w:r>
        <w:rPr>
          <w:rFonts w:hint="eastAsia" w:ascii="仿宋" w:hAnsi="仿宋" w:eastAsia="仿宋" w:cs="仿宋"/>
          <w:color w:val="000000"/>
          <w:sz w:val="32"/>
          <w:szCs w:val="32"/>
        </w:rPr>
        <w:t>本年收入合计</w:t>
      </w:r>
      <w:r>
        <w:rPr>
          <w:rFonts w:hint="eastAsia" w:ascii="仿宋" w:hAnsi="仿宋" w:eastAsia="仿宋" w:cs="仿宋"/>
          <w:color w:val="000000"/>
          <w:sz w:val="32"/>
          <w:szCs w:val="32"/>
          <w:lang w:val="en-US" w:eastAsia="zh-CN"/>
        </w:rPr>
        <w:t>367.14</w:t>
      </w:r>
      <w:r>
        <w:rPr>
          <w:rFonts w:hint="eastAsia" w:ascii="仿宋" w:hAnsi="仿宋" w:eastAsia="仿宋" w:cs="仿宋"/>
          <w:color w:val="000000"/>
          <w:sz w:val="32"/>
          <w:szCs w:val="32"/>
        </w:rPr>
        <w:t>万元，其中：一般公共预算财政拨款收入</w:t>
      </w:r>
      <w:r>
        <w:rPr>
          <w:rFonts w:hint="eastAsia" w:ascii="仿宋" w:hAnsi="仿宋" w:eastAsia="仿宋" w:cs="仿宋"/>
          <w:color w:val="000000"/>
          <w:sz w:val="32"/>
          <w:szCs w:val="32"/>
          <w:lang w:val="en-US" w:eastAsia="zh-CN"/>
        </w:rPr>
        <w:t>367.14</w:t>
      </w:r>
      <w:r>
        <w:rPr>
          <w:rFonts w:hint="eastAsia" w:ascii="仿宋" w:hAnsi="仿宋" w:eastAsia="仿宋" w:cs="仿宋"/>
          <w:color w:val="000000"/>
          <w:sz w:val="32"/>
          <w:szCs w:val="32"/>
        </w:rPr>
        <w:t>万元，占100%</w:t>
      </w:r>
      <w:r>
        <w:rPr>
          <w:rFonts w:hint="eastAsia" w:ascii="仿宋" w:hAnsi="仿宋" w:eastAsia="仿宋" w:cs="仿宋"/>
          <w:color w:val="000000"/>
          <w:sz w:val="32"/>
          <w:szCs w:val="32"/>
          <w:lang w:eastAsia="zh-CN"/>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pStyle w:val="2"/>
        <w:spacing w:before="93"/>
        <w:rPr>
          <w:rFonts w:hint="eastAsia" w:ascii="仿宋" w:hAnsi="仿宋" w:eastAsia="仿宋" w:cs="仿宋"/>
        </w:rPr>
      </w:pPr>
      <w:r>
        <w:rPr>
          <w:rFonts w:hint="eastAsia" w:ascii="仿宋" w:hAnsi="仿宋" w:eastAsia="仿宋" w:cs="仿宋"/>
          <w:lang w:val="en-US" w:eastAsia="zh-CN"/>
        </w:rPr>
        <w:t xml:space="preserve">       </w:t>
      </w:r>
      <w:r>
        <w:rPr>
          <w:rFonts w:hint="eastAsia" w:ascii="仿宋" w:hAnsi="仿宋" w:eastAsia="仿宋" w:cs="仿宋"/>
        </w:rPr>
        <w:drawing>
          <wp:inline distT="0" distB="0" distL="114300" distR="114300">
            <wp:extent cx="4299585" cy="2489200"/>
            <wp:effectExtent l="0" t="0" r="571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299585" cy="2489200"/>
                    </a:xfrm>
                    <a:prstGeom prst="rect">
                      <a:avLst/>
                    </a:prstGeom>
                    <a:noFill/>
                    <a:ln>
                      <a:noFill/>
                    </a:ln>
                  </pic:spPr>
                </pic:pic>
              </a:graphicData>
            </a:graphic>
          </wp:inline>
        </w:drawing>
      </w:r>
    </w:p>
    <w:p>
      <w:pPr>
        <w:spacing w:line="600" w:lineRule="exact"/>
        <w:ind w:firstLine="1920" w:firstLineChars="600"/>
        <w:rPr>
          <w:rFonts w:hint="eastAsia" w:ascii="仿宋" w:hAnsi="仿宋" w:eastAsia="仿宋" w:cs="仿宋"/>
          <w:sz w:val="32"/>
          <w:szCs w:val="32"/>
        </w:rPr>
      </w:pPr>
      <w:r>
        <w:rPr>
          <w:rFonts w:hint="eastAsia" w:ascii="仿宋" w:hAnsi="仿宋" w:eastAsia="仿宋" w:cs="仿宋"/>
          <w:sz w:val="32"/>
          <w:szCs w:val="32"/>
        </w:rPr>
        <w:t>（图2：收入决算结构图）（饼状图）</w:t>
      </w:r>
    </w:p>
    <w:p>
      <w:pPr>
        <w:pStyle w:val="23"/>
        <w:numPr>
          <w:ilvl w:val="0"/>
          <w:numId w:val="3"/>
        </w:numPr>
        <w:spacing w:line="600" w:lineRule="exact"/>
        <w:ind w:firstLineChars="0"/>
        <w:outlineLvl w:val="1"/>
        <w:rPr>
          <w:rStyle w:val="25"/>
          <w:rFonts w:hint="eastAsia" w:ascii="仿宋" w:hAnsi="仿宋" w:eastAsia="仿宋" w:cs="仿宋"/>
          <w:b w:val="0"/>
        </w:rPr>
      </w:pPr>
      <w:bookmarkStart w:id="26" w:name="_Toc15377207"/>
      <w:bookmarkStart w:id="27" w:name="_Toc15396605"/>
      <w:r>
        <w:rPr>
          <w:rFonts w:hint="eastAsia" w:ascii="仿宋" w:hAnsi="仿宋" w:eastAsia="仿宋" w:cs="仿宋"/>
          <w:sz w:val="32"/>
          <w:szCs w:val="32"/>
        </w:rPr>
        <w:t>支</w:t>
      </w:r>
      <w:r>
        <w:rPr>
          <w:rStyle w:val="25"/>
          <w:rFonts w:hint="eastAsia" w:ascii="仿宋" w:hAnsi="仿宋" w:eastAsia="仿宋" w:cs="仿宋"/>
          <w:b w:val="0"/>
        </w:rPr>
        <w:t>出决算情况说明</w:t>
      </w:r>
      <w:bookmarkEnd w:id="26"/>
      <w:bookmarkEnd w:id="27"/>
    </w:p>
    <w:p>
      <w:pPr>
        <w:spacing w:line="600" w:lineRule="exact"/>
        <w:ind w:left="640" w:leftChars="305" w:firstLine="480" w:firstLineChars="150"/>
        <w:outlineLvl w:val="1"/>
        <w:rPr>
          <w:rFonts w:hint="eastAsia" w:ascii="仿宋" w:hAnsi="仿宋" w:eastAsia="仿宋" w:cs="仿宋"/>
        </w:rPr>
      </w:pPr>
      <w:r>
        <w:rPr>
          <w:rFonts w:hint="eastAsia" w:ascii="仿宋" w:hAnsi="仿宋" w:eastAsia="仿宋" w:cs="仿宋"/>
          <w:color w:val="000000"/>
          <w:sz w:val="32"/>
          <w:szCs w:val="32"/>
          <w:lang w:eastAsia="zh-CN"/>
        </w:rPr>
        <w:t>2023年</w:t>
      </w:r>
      <w:r>
        <w:rPr>
          <w:rFonts w:hint="eastAsia" w:ascii="仿宋" w:hAnsi="仿宋" w:eastAsia="仿宋" w:cs="仿宋"/>
          <w:color w:val="000000"/>
          <w:sz w:val="32"/>
          <w:szCs w:val="32"/>
        </w:rPr>
        <w:t>本年支出合计</w:t>
      </w:r>
      <w:r>
        <w:rPr>
          <w:rFonts w:hint="eastAsia" w:ascii="仿宋" w:hAnsi="仿宋" w:eastAsia="仿宋" w:cs="仿宋"/>
          <w:color w:val="000000"/>
          <w:sz w:val="32"/>
          <w:szCs w:val="32"/>
          <w:lang w:val="en-US" w:eastAsia="zh-CN"/>
        </w:rPr>
        <w:t>367.14</w:t>
      </w:r>
      <w:r>
        <w:rPr>
          <w:rFonts w:hint="eastAsia" w:ascii="仿宋" w:hAnsi="仿宋" w:eastAsia="仿宋" w:cs="仿宋"/>
          <w:color w:val="000000"/>
          <w:sz w:val="32"/>
          <w:szCs w:val="32"/>
        </w:rPr>
        <w:t>万元，其中：</w:t>
      </w:r>
      <w:r>
        <w:rPr>
          <w:rFonts w:hint="eastAsia" w:ascii="仿宋" w:hAnsi="仿宋" w:eastAsia="仿宋" w:cs="仿宋"/>
          <w:color w:val="000000"/>
          <w:sz w:val="32"/>
          <w:szCs w:val="32"/>
          <w:lang w:val="en-US" w:eastAsia="zh-CN"/>
        </w:rPr>
        <w:t>基本支出</w:t>
      </w:r>
      <w:r>
        <w:rPr>
          <w:rFonts w:hint="eastAsia" w:ascii="仿宋" w:hAnsi="仿宋" w:eastAsia="仿宋" w:cs="仿宋"/>
          <w:i w:val="0"/>
          <w:iCs w:val="0"/>
          <w:color w:val="000000"/>
          <w:sz w:val="32"/>
          <w:szCs w:val="32"/>
          <w:u w:val="none"/>
          <w:lang w:val="en-US" w:eastAsia="zh-CN"/>
        </w:rPr>
        <w:t>349.92</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95.00</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项目</w:t>
      </w:r>
      <w:r>
        <w:rPr>
          <w:rFonts w:hint="eastAsia" w:ascii="仿宋" w:hAnsi="仿宋" w:eastAsia="仿宋" w:cs="仿宋"/>
          <w:color w:val="000000"/>
          <w:sz w:val="32"/>
          <w:szCs w:val="32"/>
        </w:rPr>
        <w:t>支出</w:t>
      </w:r>
      <w:r>
        <w:rPr>
          <w:rFonts w:hint="eastAsia" w:ascii="仿宋" w:hAnsi="仿宋" w:eastAsia="仿宋" w:cs="仿宋"/>
          <w:color w:val="000000"/>
          <w:sz w:val="32"/>
          <w:szCs w:val="32"/>
          <w:lang w:val="en-US" w:eastAsia="zh-CN"/>
        </w:rPr>
        <w:t>17.21</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5.00</w:t>
      </w:r>
      <w:r>
        <w:rPr>
          <w:rFonts w:hint="eastAsia" w:ascii="仿宋" w:hAnsi="仿宋" w:eastAsia="仿宋" w:cs="仿宋"/>
          <w:color w:val="000000"/>
          <w:sz w:val="32"/>
          <w:szCs w:val="32"/>
        </w:rPr>
        <w:t>%。</w:t>
      </w:r>
    </w:p>
    <w:p>
      <w:pPr>
        <w:pStyle w:val="2"/>
        <w:spacing w:before="93"/>
        <w:rPr>
          <w:rFonts w:hint="eastAsia" w:ascii="仿宋" w:hAnsi="仿宋" w:eastAsia="仿宋" w:cs="仿宋"/>
        </w:rPr>
      </w:pPr>
      <w:r>
        <w:rPr>
          <w:rFonts w:hint="eastAsia" w:ascii="仿宋" w:hAnsi="仿宋" w:eastAsia="仿宋" w:cs="仿宋"/>
          <w:lang w:val="en-US" w:eastAsia="zh-CN"/>
        </w:rPr>
        <w:t xml:space="preserve">           </w:t>
      </w:r>
      <w:r>
        <w:drawing>
          <wp:inline distT="0" distB="0" distL="114300" distR="114300">
            <wp:extent cx="3618230" cy="2118360"/>
            <wp:effectExtent l="4445" t="4445" r="15875" b="1079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spacing w:before="93"/>
        <w:ind w:firstLine="1960" w:firstLineChars="700"/>
        <w:rPr>
          <w:rFonts w:hint="eastAsia" w:ascii="仿宋" w:hAnsi="仿宋" w:eastAsia="仿宋" w:cs="仿宋"/>
          <w:sz w:val="28"/>
          <w:szCs w:val="28"/>
        </w:rPr>
      </w:pPr>
      <w:r>
        <w:rPr>
          <w:rFonts w:hint="eastAsia" w:ascii="仿宋" w:hAnsi="仿宋" w:eastAsia="仿宋" w:cs="仿宋"/>
          <w:sz w:val="28"/>
          <w:szCs w:val="28"/>
        </w:rPr>
        <w:t>（图3：支出决算结构图）（饼状图）</w:t>
      </w:r>
    </w:p>
    <w:p>
      <w:pPr>
        <w:spacing w:line="600" w:lineRule="exact"/>
        <w:ind w:firstLine="640" w:firstLineChars="200"/>
        <w:outlineLvl w:val="1"/>
        <w:rPr>
          <w:rStyle w:val="25"/>
          <w:rFonts w:hint="eastAsia" w:ascii="仿宋" w:hAnsi="仿宋" w:eastAsia="仿宋" w:cs="仿宋"/>
          <w:b w:val="0"/>
        </w:rPr>
      </w:pPr>
      <w:bookmarkStart w:id="28" w:name="_Toc15396606"/>
      <w:bookmarkStart w:id="29" w:name="_Toc15377208"/>
      <w:r>
        <w:rPr>
          <w:rFonts w:hint="eastAsia" w:ascii="仿宋" w:hAnsi="仿宋" w:eastAsia="仿宋" w:cs="仿宋"/>
          <w:sz w:val="32"/>
          <w:szCs w:val="32"/>
        </w:rPr>
        <w:t>四、财</w:t>
      </w:r>
      <w:r>
        <w:rPr>
          <w:rStyle w:val="25"/>
          <w:rFonts w:hint="eastAsia" w:ascii="仿宋" w:hAnsi="仿宋" w:eastAsia="仿宋" w:cs="仿宋"/>
          <w:b w:val="0"/>
        </w:rPr>
        <w:t>政拨款收入支出决算总体情况说明</w:t>
      </w:r>
      <w:bookmarkEnd w:id="28"/>
      <w:bookmarkEnd w:id="29"/>
    </w:p>
    <w:p>
      <w:pPr>
        <w:spacing w:line="600" w:lineRule="exact"/>
        <w:ind w:firstLine="640" w:firstLineChars="200"/>
        <w:rPr>
          <w:rFonts w:hint="eastAsia" w:ascii="仿宋" w:hAnsi="仿宋" w:eastAsia="仿宋" w:cs="仿宋"/>
          <w:sz w:val="32"/>
          <w:szCs w:val="32"/>
        </w:rPr>
      </w:pPr>
      <w:r>
        <w:rPr>
          <w:rFonts w:hint="eastAsia" w:ascii="仿宋" w:hAnsi="仿宋" w:eastAsia="仿宋" w:cs="仿宋"/>
          <w:color w:val="000000"/>
          <w:sz w:val="32"/>
          <w:szCs w:val="32"/>
          <w:lang w:eastAsia="zh-CN"/>
        </w:rPr>
        <w:t>2023年</w:t>
      </w:r>
      <w:r>
        <w:rPr>
          <w:rFonts w:hint="eastAsia" w:ascii="仿宋" w:hAnsi="仿宋" w:eastAsia="仿宋" w:cs="仿宋"/>
          <w:color w:val="000000"/>
          <w:sz w:val="32"/>
          <w:szCs w:val="32"/>
        </w:rPr>
        <w:t>财政拨款收入合计</w:t>
      </w:r>
      <w:r>
        <w:rPr>
          <w:rFonts w:hint="eastAsia" w:ascii="仿宋" w:hAnsi="仿宋" w:eastAsia="仿宋" w:cs="仿宋"/>
          <w:color w:val="000000"/>
          <w:sz w:val="32"/>
          <w:szCs w:val="32"/>
          <w:lang w:val="en-US" w:eastAsia="zh-CN"/>
        </w:rPr>
        <w:t>367.14</w:t>
      </w:r>
      <w:r>
        <w:rPr>
          <w:rFonts w:hint="eastAsia" w:ascii="仿宋" w:hAnsi="仿宋" w:eastAsia="仿宋" w:cs="仿宋"/>
          <w:color w:val="000000"/>
          <w:sz w:val="32"/>
          <w:szCs w:val="32"/>
        </w:rPr>
        <w:t>万元，支出合计</w:t>
      </w:r>
      <w:r>
        <w:rPr>
          <w:rFonts w:hint="eastAsia" w:ascii="仿宋" w:hAnsi="仿宋" w:eastAsia="仿宋" w:cs="仿宋"/>
          <w:color w:val="000000"/>
          <w:sz w:val="32"/>
          <w:szCs w:val="32"/>
          <w:lang w:val="en-US" w:eastAsia="zh-CN"/>
        </w:rPr>
        <w:t>367.14</w:t>
      </w:r>
      <w:r>
        <w:rPr>
          <w:rFonts w:hint="eastAsia" w:ascii="仿宋" w:hAnsi="仿宋" w:eastAsia="仿宋" w:cs="仿宋"/>
          <w:color w:val="000000"/>
          <w:sz w:val="32"/>
          <w:szCs w:val="32"/>
        </w:rPr>
        <w:t>万元。与202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年相比，财政拨款收入总计</w:t>
      </w:r>
      <w:r>
        <w:rPr>
          <w:rFonts w:hint="eastAsia" w:ascii="仿宋" w:hAnsi="仿宋" w:eastAsia="仿宋" w:cs="仿宋"/>
          <w:color w:val="000000"/>
          <w:sz w:val="32"/>
          <w:szCs w:val="32"/>
          <w:lang w:val="en-US" w:eastAsia="zh-CN"/>
        </w:rPr>
        <w:t>减少31.47</w:t>
      </w:r>
      <w:r>
        <w:rPr>
          <w:rFonts w:hint="eastAsia" w:ascii="仿宋" w:hAnsi="仿宋" w:eastAsia="仿宋" w:cs="仿宋"/>
          <w:color w:val="000000"/>
          <w:sz w:val="32"/>
          <w:szCs w:val="32"/>
        </w:rPr>
        <w:t>万元、支出总计总计</w:t>
      </w:r>
      <w:r>
        <w:rPr>
          <w:rFonts w:hint="eastAsia" w:ascii="仿宋" w:hAnsi="仿宋" w:eastAsia="仿宋" w:cs="仿宋"/>
          <w:color w:val="000000"/>
          <w:sz w:val="32"/>
          <w:szCs w:val="32"/>
          <w:lang w:val="en-US" w:eastAsia="zh-CN"/>
        </w:rPr>
        <w:t>减少31.47</w:t>
      </w:r>
      <w:r>
        <w:rPr>
          <w:rFonts w:hint="eastAsia" w:ascii="仿宋" w:hAnsi="仿宋" w:eastAsia="仿宋" w:cs="仿宋"/>
          <w:color w:val="000000"/>
          <w:sz w:val="32"/>
          <w:szCs w:val="32"/>
        </w:rPr>
        <w:t>万元，收入总计</w:t>
      </w:r>
      <w:r>
        <w:rPr>
          <w:rFonts w:hint="eastAsia" w:ascii="仿宋" w:hAnsi="仿宋" w:eastAsia="仿宋" w:cs="仿宋"/>
          <w:sz w:val="32"/>
          <w:szCs w:val="32"/>
          <w:lang w:val="en-US" w:eastAsia="zh-CN"/>
        </w:rPr>
        <w:t>减</w:t>
      </w:r>
      <w:r>
        <w:rPr>
          <w:rFonts w:hint="eastAsia" w:ascii="仿宋" w:hAnsi="仿宋" w:eastAsia="仿宋" w:cs="仿宋"/>
          <w:sz w:val="32"/>
          <w:szCs w:val="32"/>
        </w:rPr>
        <w:t>幅</w:t>
      </w:r>
      <w:r>
        <w:rPr>
          <w:rFonts w:hint="eastAsia" w:ascii="仿宋" w:hAnsi="仿宋" w:eastAsia="仿宋" w:cs="仿宋"/>
          <w:sz w:val="32"/>
          <w:szCs w:val="32"/>
          <w:lang w:val="en-US" w:eastAsia="zh-CN"/>
        </w:rPr>
        <w:t>7.89</w:t>
      </w:r>
      <w:r>
        <w:rPr>
          <w:rFonts w:hint="eastAsia" w:ascii="仿宋" w:hAnsi="仿宋" w:eastAsia="仿宋" w:cs="仿宋"/>
          <w:sz w:val="32"/>
          <w:szCs w:val="32"/>
        </w:rPr>
        <w:t>%</w:t>
      </w:r>
      <w:r>
        <w:rPr>
          <w:rFonts w:hint="eastAsia" w:ascii="仿宋" w:hAnsi="仿宋" w:eastAsia="仿宋" w:cs="仿宋"/>
          <w:color w:val="000000"/>
          <w:sz w:val="32"/>
          <w:szCs w:val="32"/>
        </w:rPr>
        <w:t>，支出总计</w:t>
      </w:r>
      <w:r>
        <w:rPr>
          <w:rFonts w:hint="eastAsia" w:ascii="仿宋" w:hAnsi="仿宋" w:eastAsia="仿宋" w:cs="仿宋"/>
          <w:sz w:val="32"/>
          <w:szCs w:val="32"/>
          <w:lang w:val="en-US" w:eastAsia="zh-CN"/>
        </w:rPr>
        <w:t>减</w:t>
      </w:r>
      <w:r>
        <w:rPr>
          <w:rFonts w:hint="eastAsia" w:ascii="仿宋" w:hAnsi="仿宋" w:eastAsia="仿宋" w:cs="仿宋"/>
          <w:sz w:val="32"/>
          <w:szCs w:val="32"/>
        </w:rPr>
        <w:t>幅</w:t>
      </w:r>
      <w:r>
        <w:rPr>
          <w:rFonts w:hint="eastAsia" w:ascii="仿宋" w:hAnsi="仿宋" w:eastAsia="仿宋" w:cs="仿宋"/>
          <w:sz w:val="32"/>
          <w:szCs w:val="32"/>
          <w:lang w:val="en-US" w:eastAsia="zh-CN"/>
        </w:rPr>
        <w:t>7.89</w:t>
      </w:r>
      <w:r>
        <w:rPr>
          <w:rFonts w:hint="eastAsia" w:ascii="仿宋" w:hAnsi="仿宋" w:eastAsia="仿宋" w:cs="仿宋"/>
          <w:sz w:val="32"/>
          <w:szCs w:val="32"/>
        </w:rPr>
        <w:t>%</w:t>
      </w:r>
      <w:r>
        <w:rPr>
          <w:rFonts w:hint="eastAsia" w:ascii="仿宋" w:hAnsi="仿宋" w:eastAsia="仿宋" w:cs="仿宋"/>
          <w:color w:val="000000"/>
          <w:sz w:val="32"/>
          <w:szCs w:val="32"/>
        </w:rPr>
        <w:t>。主要变动原因是：校点布局调整，</w:t>
      </w:r>
      <w:r>
        <w:rPr>
          <w:rFonts w:hint="eastAsia" w:ascii="仿宋" w:hAnsi="仿宋" w:eastAsia="仿宋" w:cs="仿宋"/>
          <w:color w:val="000000"/>
          <w:sz w:val="32"/>
          <w:szCs w:val="32"/>
          <w:lang w:val="en-US" w:eastAsia="zh-CN"/>
        </w:rPr>
        <w:t>2023年龙头小学撤销，2023年12月人员全部调出</w:t>
      </w:r>
      <w:r>
        <w:rPr>
          <w:rFonts w:hint="eastAsia" w:ascii="仿宋" w:hAnsi="仿宋" w:eastAsia="仿宋" w:cs="仿宋"/>
          <w:color w:val="000000"/>
          <w:sz w:val="32"/>
          <w:szCs w:val="32"/>
        </w:rPr>
        <w:t>。</w:t>
      </w:r>
    </w:p>
    <w:p>
      <w:pPr>
        <w:spacing w:line="600" w:lineRule="exact"/>
        <w:ind w:firstLine="420" w:firstLineChars="200"/>
        <w:rPr>
          <w:rFonts w:hint="eastAsia" w:ascii="仿宋" w:hAnsi="仿宋" w:eastAsia="仿宋" w:cs="仿宋"/>
          <w:sz w:val="32"/>
          <w:szCs w:val="32"/>
        </w:rPr>
      </w:pPr>
      <w:r>
        <w:drawing>
          <wp:anchor distT="0" distB="0" distL="114300" distR="114300" simplePos="0" relativeHeight="251659264" behindDoc="1" locked="0" layoutInCell="1" allowOverlap="1">
            <wp:simplePos x="0" y="0"/>
            <wp:positionH relativeFrom="column">
              <wp:posOffset>305435</wp:posOffset>
            </wp:positionH>
            <wp:positionV relativeFrom="paragraph">
              <wp:posOffset>90805</wp:posOffset>
            </wp:positionV>
            <wp:extent cx="4390390" cy="3348990"/>
            <wp:effectExtent l="4445" t="4445" r="5715" b="18415"/>
            <wp:wrapNone/>
            <wp:docPr id="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480" w:firstLineChars="150"/>
        <w:rPr>
          <w:rFonts w:hint="eastAsia" w:ascii="仿宋" w:hAnsi="仿宋" w:eastAsia="仿宋" w:cs="仿宋"/>
          <w:sz w:val="32"/>
          <w:szCs w:val="32"/>
        </w:rPr>
      </w:pPr>
    </w:p>
    <w:p>
      <w:pPr>
        <w:pStyle w:val="2"/>
        <w:rPr>
          <w:rFonts w:hint="eastAsia" w:ascii="仿宋" w:hAnsi="仿宋" w:eastAsia="仿宋" w:cs="仿宋"/>
        </w:rPr>
      </w:pPr>
    </w:p>
    <w:p>
      <w:pPr>
        <w:spacing w:line="600" w:lineRule="exact"/>
        <w:ind w:firstLine="480" w:firstLineChars="15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spacing w:line="60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spacing w:line="600" w:lineRule="exact"/>
        <w:ind w:firstLine="480" w:firstLineChars="150"/>
        <w:rPr>
          <w:rFonts w:hint="eastAsia" w:ascii="仿宋" w:hAnsi="仿宋" w:eastAsia="仿宋" w:cs="仿宋"/>
          <w:sz w:val="32"/>
          <w:szCs w:val="32"/>
        </w:rPr>
      </w:pPr>
    </w:p>
    <w:p>
      <w:pPr>
        <w:spacing w:line="600" w:lineRule="exact"/>
        <w:ind w:firstLine="480" w:firstLineChars="150"/>
        <w:rPr>
          <w:rFonts w:hint="eastAsia" w:ascii="仿宋" w:hAnsi="仿宋" w:eastAsia="仿宋" w:cs="仿宋"/>
          <w:sz w:val="32"/>
          <w:szCs w:val="32"/>
        </w:rPr>
      </w:pPr>
    </w:p>
    <w:p>
      <w:pPr>
        <w:spacing w:line="600" w:lineRule="exact"/>
        <w:ind w:firstLine="640" w:firstLineChars="200"/>
        <w:rPr>
          <w:rFonts w:hint="eastAsia" w:ascii="仿宋" w:hAnsi="仿宋" w:eastAsia="仿宋" w:cs="仿宋"/>
          <w:sz w:val="32"/>
          <w:szCs w:val="32"/>
        </w:rPr>
      </w:pPr>
    </w:p>
    <w:p>
      <w:pPr>
        <w:spacing w:line="600" w:lineRule="exact"/>
        <w:ind w:firstLine="320" w:firstLineChars="100"/>
        <w:rPr>
          <w:rFonts w:hint="eastAsia" w:ascii="仿宋" w:hAnsi="仿宋" w:eastAsia="仿宋" w:cs="仿宋"/>
          <w:sz w:val="32"/>
          <w:szCs w:val="32"/>
        </w:rPr>
      </w:pPr>
    </w:p>
    <w:p>
      <w:pPr>
        <w:spacing w:line="60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（图4：财政拨款收、支决算总计变动情况）（柱状图）</w:t>
      </w:r>
    </w:p>
    <w:p>
      <w:pPr>
        <w:spacing w:line="600" w:lineRule="exact"/>
        <w:ind w:firstLine="160" w:firstLineChars="50"/>
        <w:outlineLvl w:val="1"/>
        <w:rPr>
          <w:rStyle w:val="25"/>
          <w:rFonts w:hint="eastAsia" w:ascii="仿宋" w:hAnsi="仿宋" w:eastAsia="仿宋" w:cs="仿宋"/>
          <w:b w:val="0"/>
        </w:rPr>
      </w:pPr>
      <w:bookmarkStart w:id="30" w:name="_Toc15377209"/>
      <w:bookmarkStart w:id="31" w:name="_Toc15396607"/>
      <w:r>
        <w:rPr>
          <w:rFonts w:hint="eastAsia" w:ascii="仿宋" w:hAnsi="仿宋" w:eastAsia="仿宋" w:cs="仿宋"/>
          <w:sz w:val="32"/>
          <w:szCs w:val="32"/>
        </w:rPr>
        <w:t>五、</w:t>
      </w:r>
      <w:r>
        <w:rPr>
          <w:rFonts w:hint="eastAsia" w:ascii="仿宋" w:hAnsi="仿宋" w:eastAsia="仿宋" w:cs="仿宋"/>
          <w:b/>
          <w:sz w:val="32"/>
          <w:szCs w:val="32"/>
        </w:rPr>
        <w:t>一</w:t>
      </w:r>
      <w:r>
        <w:rPr>
          <w:rStyle w:val="25"/>
          <w:rFonts w:hint="eastAsia" w:ascii="仿宋" w:hAnsi="仿宋" w:eastAsia="仿宋" w:cs="仿宋"/>
          <w:b w:val="0"/>
        </w:rPr>
        <w:t>般公共预算财政拨款支出决算情况说明</w:t>
      </w:r>
      <w:bookmarkEnd w:id="30"/>
      <w:bookmarkEnd w:id="31"/>
    </w:p>
    <w:p>
      <w:pPr>
        <w:spacing w:line="600" w:lineRule="exact"/>
        <w:ind w:firstLine="643" w:firstLineChars="200"/>
        <w:outlineLvl w:val="2"/>
        <w:rPr>
          <w:rFonts w:hint="eastAsia" w:ascii="仿宋" w:hAnsi="仿宋" w:eastAsia="仿宋" w:cs="仿宋"/>
          <w:b/>
          <w:sz w:val="32"/>
          <w:szCs w:val="32"/>
        </w:rPr>
      </w:pPr>
      <w:bookmarkStart w:id="32" w:name="_Toc15377210"/>
      <w:r>
        <w:rPr>
          <w:rFonts w:hint="eastAsia" w:ascii="仿宋" w:hAnsi="仿宋" w:eastAsia="仿宋" w:cs="仿宋"/>
          <w:b/>
          <w:sz w:val="32"/>
          <w:szCs w:val="32"/>
        </w:rPr>
        <w:t>（一）一般公共预算财政拨款支出决算总体情况</w:t>
      </w:r>
      <w:bookmarkEnd w:id="32"/>
    </w:p>
    <w:p>
      <w:pPr>
        <w:spacing w:line="600" w:lineRule="exact"/>
        <w:ind w:firstLine="640" w:firstLineChars="200"/>
        <w:rPr>
          <w:rFonts w:hint="eastAsia" w:ascii="仿宋" w:hAnsi="仿宋" w:eastAsia="仿宋" w:cs="仿宋"/>
          <w:sz w:val="32"/>
          <w:szCs w:val="32"/>
        </w:rPr>
      </w:pPr>
      <w:r>
        <w:rPr>
          <w:rFonts w:hint="eastAsia" w:ascii="仿宋" w:hAnsi="仿宋" w:eastAsia="仿宋" w:cs="仿宋"/>
          <w:color w:val="000000"/>
          <w:sz w:val="32"/>
          <w:szCs w:val="32"/>
          <w:lang w:eastAsia="zh-CN"/>
        </w:rPr>
        <w:t>2023年</w:t>
      </w:r>
      <w:r>
        <w:rPr>
          <w:rFonts w:hint="eastAsia" w:ascii="仿宋" w:hAnsi="仿宋" w:eastAsia="仿宋" w:cs="仿宋"/>
          <w:color w:val="000000"/>
          <w:sz w:val="32"/>
          <w:szCs w:val="32"/>
        </w:rPr>
        <w:t>一般公共预算财政拨款支出</w:t>
      </w:r>
      <w:r>
        <w:rPr>
          <w:rFonts w:hint="eastAsia" w:ascii="仿宋" w:hAnsi="仿宋" w:eastAsia="仿宋" w:cs="仿宋"/>
          <w:color w:val="000000"/>
          <w:sz w:val="32"/>
          <w:szCs w:val="32"/>
          <w:lang w:val="en-US" w:eastAsia="zh-CN"/>
        </w:rPr>
        <w:t>367.14</w:t>
      </w:r>
      <w:r>
        <w:rPr>
          <w:rFonts w:hint="eastAsia" w:ascii="仿宋" w:hAnsi="仿宋" w:eastAsia="仿宋" w:cs="仿宋"/>
          <w:color w:val="000000"/>
          <w:sz w:val="32"/>
          <w:szCs w:val="32"/>
        </w:rPr>
        <w:t>万元，占本年支出合计的100%。与202</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年相比，一般公共预算财政拨款</w:t>
      </w:r>
      <w:r>
        <w:rPr>
          <w:rFonts w:hint="eastAsia" w:ascii="仿宋" w:hAnsi="仿宋" w:eastAsia="仿宋" w:cs="仿宋"/>
          <w:color w:val="000000"/>
          <w:sz w:val="32"/>
          <w:szCs w:val="32"/>
          <w:lang w:val="en-US" w:eastAsia="zh-CN"/>
        </w:rPr>
        <w:t>减少31.47</w:t>
      </w:r>
      <w:r>
        <w:rPr>
          <w:rFonts w:hint="eastAsia" w:ascii="仿宋" w:hAnsi="仿宋" w:eastAsia="仿宋" w:cs="仿宋"/>
          <w:color w:val="000000"/>
          <w:sz w:val="32"/>
          <w:szCs w:val="32"/>
        </w:rPr>
        <w:t>万元，</w:t>
      </w:r>
      <w:r>
        <w:rPr>
          <w:rFonts w:hint="eastAsia" w:ascii="仿宋" w:hAnsi="仿宋" w:eastAsia="仿宋" w:cs="仿宋"/>
          <w:sz w:val="32"/>
          <w:szCs w:val="32"/>
          <w:lang w:val="en-US" w:eastAsia="zh-CN"/>
        </w:rPr>
        <w:t>减</w:t>
      </w:r>
      <w:r>
        <w:rPr>
          <w:rFonts w:hint="eastAsia" w:ascii="仿宋" w:hAnsi="仿宋" w:eastAsia="仿宋" w:cs="仿宋"/>
          <w:sz w:val="32"/>
          <w:szCs w:val="32"/>
        </w:rPr>
        <w:t>幅</w:t>
      </w:r>
      <w:r>
        <w:rPr>
          <w:rFonts w:hint="eastAsia" w:ascii="仿宋" w:hAnsi="仿宋" w:eastAsia="仿宋" w:cs="仿宋"/>
          <w:sz w:val="32"/>
          <w:szCs w:val="32"/>
          <w:lang w:val="en-US" w:eastAsia="zh-CN"/>
        </w:rPr>
        <w:t>7.89</w:t>
      </w:r>
      <w:r>
        <w:rPr>
          <w:rFonts w:hint="eastAsia" w:ascii="仿宋" w:hAnsi="仿宋" w:eastAsia="仿宋" w:cs="仿宋"/>
          <w:sz w:val="32"/>
          <w:szCs w:val="32"/>
        </w:rPr>
        <w:t>%</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减少原因</w:t>
      </w:r>
      <w:r>
        <w:rPr>
          <w:rFonts w:hint="eastAsia" w:ascii="仿宋" w:hAnsi="仿宋" w:eastAsia="仿宋" w:cs="仿宋"/>
          <w:color w:val="000000"/>
          <w:sz w:val="32"/>
          <w:szCs w:val="32"/>
        </w:rPr>
        <w:t>校点布局调整，</w:t>
      </w:r>
      <w:r>
        <w:rPr>
          <w:rFonts w:hint="eastAsia" w:ascii="仿宋" w:hAnsi="仿宋" w:eastAsia="仿宋" w:cs="仿宋"/>
          <w:color w:val="000000"/>
          <w:sz w:val="32"/>
          <w:szCs w:val="32"/>
          <w:lang w:val="en-US" w:eastAsia="zh-CN"/>
        </w:rPr>
        <w:t>2023年龙头小学撤销，2023年12月人员全部调出</w:t>
      </w:r>
      <w:r>
        <w:rPr>
          <w:rFonts w:hint="eastAsia" w:ascii="仿宋" w:hAnsi="仿宋" w:eastAsia="仿宋" w:cs="仿宋"/>
          <w:color w:val="000000"/>
          <w:sz w:val="32"/>
          <w:szCs w:val="32"/>
        </w:rPr>
        <w:t>。</w:t>
      </w:r>
    </w:p>
    <w:p>
      <w:pPr>
        <w:pStyle w:val="2"/>
        <w:spacing w:before="93"/>
        <w:rPr>
          <w:rFonts w:hint="eastAsia" w:ascii="仿宋" w:hAnsi="仿宋" w:eastAsia="仿宋" w:cs="仿宋"/>
          <w:kern w:val="0"/>
          <w:sz w:val="30"/>
        </w:rPr>
      </w:pPr>
      <w:r>
        <w:rPr>
          <w:rFonts w:hint="eastAsia" w:ascii="仿宋" w:hAnsi="仿宋" w:eastAsia="仿宋" w:cs="仿宋"/>
          <w:lang w:val="en-US" w:eastAsia="zh-CN"/>
        </w:rPr>
        <w:t xml:space="preserve">      </w:t>
      </w:r>
      <w:r>
        <w:drawing>
          <wp:inline distT="0" distB="0" distL="114300" distR="114300">
            <wp:extent cx="3914775" cy="2594610"/>
            <wp:effectExtent l="4445" t="4445" r="5080" b="1079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hint="eastAsia" w:ascii="仿宋" w:hAnsi="仿宋" w:eastAsia="仿宋" w:cs="仿宋"/>
          <w:sz w:val="32"/>
          <w:szCs w:val="32"/>
        </w:rPr>
      </w:pPr>
      <w:r>
        <w:rPr>
          <w:rFonts w:hint="eastAsia" w:ascii="仿宋" w:hAnsi="仿宋" w:eastAsia="仿宋" w:cs="仿宋"/>
          <w:sz w:val="32"/>
          <w:szCs w:val="32"/>
        </w:rPr>
        <w:t>（图5：一般公共预算财政拨款支出决算变动情况）（柱状图）</w:t>
      </w:r>
    </w:p>
    <w:p>
      <w:pPr>
        <w:spacing w:line="600" w:lineRule="exact"/>
        <w:ind w:firstLine="321" w:firstLineChars="100"/>
        <w:outlineLvl w:val="2"/>
        <w:rPr>
          <w:rFonts w:hint="eastAsia" w:ascii="仿宋" w:hAnsi="仿宋" w:eastAsia="仿宋" w:cs="仿宋"/>
          <w:b/>
          <w:sz w:val="32"/>
          <w:szCs w:val="32"/>
        </w:rPr>
      </w:pPr>
      <w:bookmarkStart w:id="33" w:name="_Toc15377211"/>
      <w:r>
        <w:rPr>
          <w:rFonts w:hint="eastAsia" w:ascii="仿宋" w:hAnsi="仿宋" w:eastAsia="仿宋" w:cs="仿宋"/>
          <w:b/>
          <w:sz w:val="32"/>
          <w:szCs w:val="32"/>
        </w:rPr>
        <w:t>（二）一般公共预算财政拨款支出决算结构情况</w:t>
      </w:r>
      <w:bookmarkEnd w:id="33"/>
    </w:p>
    <w:p>
      <w:pPr>
        <w:spacing w:line="600" w:lineRule="exact"/>
        <w:ind w:left="640" w:leftChars="305" w:firstLine="480" w:firstLineChars="150"/>
        <w:outlineLvl w:val="1"/>
        <w:rPr>
          <w:rFonts w:hint="eastAsia" w:ascii="仿宋" w:hAnsi="仿宋" w:eastAsia="仿宋" w:cs="仿宋"/>
        </w:rPr>
      </w:pPr>
      <w:r>
        <w:rPr>
          <w:rFonts w:hint="eastAsia" w:ascii="仿宋" w:hAnsi="仿宋" w:eastAsia="仿宋" w:cs="仿宋"/>
          <w:color w:val="000000"/>
          <w:sz w:val="32"/>
          <w:szCs w:val="32"/>
          <w:lang w:eastAsia="zh-CN"/>
        </w:rPr>
        <w:t>2023年</w:t>
      </w:r>
      <w:r>
        <w:rPr>
          <w:rFonts w:hint="eastAsia" w:ascii="仿宋" w:hAnsi="仿宋" w:eastAsia="仿宋" w:cs="仿宋"/>
          <w:color w:val="000000"/>
          <w:sz w:val="32"/>
          <w:szCs w:val="32"/>
        </w:rPr>
        <w:t>一般公共预算财政拨款支出</w:t>
      </w:r>
      <w:r>
        <w:rPr>
          <w:rFonts w:hint="eastAsia" w:ascii="仿宋" w:hAnsi="仿宋" w:eastAsia="仿宋" w:cs="仿宋"/>
          <w:color w:val="000000"/>
          <w:sz w:val="32"/>
          <w:szCs w:val="32"/>
          <w:lang w:val="en-US" w:eastAsia="zh-CN"/>
        </w:rPr>
        <w:t>367.14</w:t>
      </w:r>
      <w:r>
        <w:rPr>
          <w:rFonts w:hint="eastAsia" w:ascii="仿宋" w:hAnsi="仿宋" w:eastAsia="仿宋" w:cs="仿宋"/>
          <w:color w:val="000000"/>
          <w:sz w:val="32"/>
          <w:szCs w:val="32"/>
        </w:rPr>
        <w:t>万元，主要用于以下方面:教育支出</w:t>
      </w:r>
      <w:r>
        <w:rPr>
          <w:rFonts w:hint="eastAsia" w:ascii="仿宋" w:hAnsi="仿宋" w:eastAsia="仿宋" w:cs="仿宋"/>
          <w:i w:val="0"/>
          <w:iCs w:val="0"/>
          <w:color w:val="000000"/>
          <w:sz w:val="32"/>
          <w:szCs w:val="32"/>
          <w:u w:val="none"/>
          <w:lang w:val="en-US" w:eastAsia="zh-CN"/>
        </w:rPr>
        <w:t>290.57</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79.15</w:t>
      </w:r>
      <w:r>
        <w:rPr>
          <w:rFonts w:hint="eastAsia" w:ascii="仿宋" w:hAnsi="仿宋" w:eastAsia="仿宋" w:cs="仿宋"/>
          <w:color w:val="000000"/>
          <w:sz w:val="32"/>
          <w:szCs w:val="32"/>
        </w:rPr>
        <w:t>%；社会保障和就业支出</w:t>
      </w:r>
      <w:r>
        <w:rPr>
          <w:rFonts w:hint="eastAsia" w:ascii="仿宋" w:hAnsi="仿宋" w:eastAsia="仿宋" w:cs="仿宋"/>
          <w:color w:val="000000"/>
          <w:sz w:val="32"/>
          <w:szCs w:val="32"/>
          <w:lang w:val="en-US" w:eastAsia="zh-CN"/>
        </w:rPr>
        <w:t>36.86</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10.04</w:t>
      </w:r>
      <w:r>
        <w:rPr>
          <w:rFonts w:hint="eastAsia" w:ascii="仿宋" w:hAnsi="仿宋" w:eastAsia="仿宋" w:cs="仿宋"/>
          <w:color w:val="000000"/>
          <w:sz w:val="32"/>
          <w:szCs w:val="32"/>
        </w:rPr>
        <w:t>%；卫生健康支出</w:t>
      </w:r>
      <w:r>
        <w:rPr>
          <w:rFonts w:hint="eastAsia" w:ascii="仿宋" w:hAnsi="仿宋" w:eastAsia="仿宋" w:cs="仿宋"/>
          <w:color w:val="000000"/>
          <w:sz w:val="32"/>
          <w:szCs w:val="32"/>
          <w:lang w:val="en-US" w:eastAsia="zh-CN"/>
        </w:rPr>
        <w:t>14.53</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3.96</w:t>
      </w:r>
      <w:r>
        <w:rPr>
          <w:rFonts w:hint="eastAsia" w:ascii="仿宋" w:hAnsi="仿宋" w:eastAsia="仿宋" w:cs="仿宋"/>
          <w:color w:val="000000"/>
          <w:sz w:val="32"/>
          <w:szCs w:val="32"/>
        </w:rPr>
        <w:t>%；住房保障支出</w:t>
      </w:r>
      <w:r>
        <w:rPr>
          <w:rFonts w:hint="eastAsia" w:ascii="仿宋" w:hAnsi="仿宋" w:eastAsia="仿宋" w:cs="仿宋"/>
          <w:color w:val="000000"/>
          <w:sz w:val="32"/>
          <w:szCs w:val="32"/>
          <w:lang w:val="en-US" w:eastAsia="zh-CN"/>
        </w:rPr>
        <w:t>25.17</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6.86</w:t>
      </w:r>
      <w:r>
        <w:rPr>
          <w:rFonts w:hint="eastAsia" w:ascii="仿宋" w:hAnsi="仿宋" w:eastAsia="仿宋" w:cs="仿宋"/>
          <w:color w:val="000000"/>
          <w:sz w:val="32"/>
          <w:szCs w:val="32"/>
        </w:rPr>
        <w:t>%。</w:t>
      </w:r>
    </w:p>
    <w:p>
      <w:pPr>
        <w:spacing w:line="600" w:lineRule="exact"/>
        <w:ind w:left="640" w:leftChars="305" w:firstLine="315" w:firstLineChars="150"/>
        <w:outlineLvl w:val="1"/>
        <w:rPr>
          <w:rFonts w:hint="eastAsia" w:ascii="仿宋" w:hAnsi="仿宋" w:eastAsia="仿宋" w:cs="仿宋"/>
        </w:rPr>
      </w:pPr>
    </w:p>
    <w:p>
      <w:pPr>
        <w:pStyle w:val="2"/>
        <w:spacing w:before="93"/>
        <w:rPr>
          <w:rFonts w:hint="eastAsia" w:ascii="仿宋" w:hAnsi="仿宋" w:eastAsia="仿宋" w:cs="仿宋"/>
          <w:kern w:val="0"/>
          <w:sz w:val="30"/>
        </w:rPr>
      </w:pPr>
      <w:r>
        <w:rPr>
          <w:rFonts w:hint="eastAsia" w:ascii="仿宋" w:hAnsi="仿宋" w:eastAsia="仿宋" w:cs="仿宋"/>
          <w:lang w:val="en-US" w:eastAsia="zh-CN"/>
        </w:rPr>
        <w:t xml:space="preserve">          </w:t>
      </w:r>
      <w:r>
        <w:drawing>
          <wp:inline distT="0" distB="0" distL="114300" distR="114300">
            <wp:extent cx="4361180" cy="2941320"/>
            <wp:effectExtent l="10795" t="10795" r="28575" b="1968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rPr>
          <w:rFonts w:hint="eastAsia" w:ascii="仿宋" w:hAnsi="仿宋" w:eastAsia="仿宋" w:cs="仿宋"/>
          <w:sz w:val="32"/>
          <w:szCs w:val="32"/>
        </w:rPr>
      </w:pPr>
      <w:r>
        <w:rPr>
          <w:rFonts w:hint="eastAsia" w:ascii="仿宋" w:hAnsi="仿宋" w:eastAsia="仿宋" w:cs="仿宋"/>
          <w:sz w:val="32"/>
          <w:szCs w:val="32"/>
        </w:rPr>
        <w:t>（图6：一般公共预算财政拨款支出决算结构）（饼状图）</w:t>
      </w:r>
    </w:p>
    <w:p>
      <w:pPr>
        <w:spacing w:line="600" w:lineRule="exact"/>
        <w:outlineLvl w:val="2"/>
        <w:rPr>
          <w:rFonts w:hint="eastAsia" w:ascii="仿宋" w:hAnsi="仿宋" w:eastAsia="仿宋" w:cs="仿宋"/>
          <w:b/>
          <w:sz w:val="32"/>
          <w:szCs w:val="32"/>
        </w:rPr>
      </w:pPr>
      <w:bookmarkStart w:id="34" w:name="_Toc15377212"/>
      <w:r>
        <w:rPr>
          <w:rFonts w:hint="eastAsia" w:ascii="仿宋" w:hAnsi="仿宋" w:eastAsia="仿宋" w:cs="仿宋"/>
          <w:b/>
          <w:sz w:val="32"/>
          <w:szCs w:val="32"/>
        </w:rPr>
        <w:t>（三）一般公共预算财政拨款支出决算具体情况</w:t>
      </w:r>
      <w:bookmarkEnd w:id="34"/>
    </w:p>
    <w:p>
      <w:pPr>
        <w:spacing w:line="600" w:lineRule="exact"/>
        <w:ind w:firstLine="643" w:firstLineChars="200"/>
        <w:outlineLvl w:val="2"/>
        <w:rPr>
          <w:rFonts w:hint="eastAsia" w:ascii="仿宋" w:hAnsi="仿宋" w:eastAsia="仿宋" w:cs="仿宋"/>
          <w:sz w:val="32"/>
          <w:szCs w:val="32"/>
        </w:rPr>
      </w:pPr>
      <w:bookmarkStart w:id="35" w:name="_Toc15377444"/>
      <w:bookmarkStart w:id="36" w:name="_Toc15378460"/>
      <w:bookmarkStart w:id="37" w:name="_Toc15377213"/>
      <w:r>
        <w:rPr>
          <w:rFonts w:hint="eastAsia" w:ascii="仿宋" w:hAnsi="仿宋" w:eastAsia="仿宋" w:cs="仿宋"/>
          <w:b/>
          <w:sz w:val="32"/>
          <w:szCs w:val="32"/>
          <w:lang w:eastAsia="zh-CN"/>
        </w:rPr>
        <w:t>2023年</w:t>
      </w:r>
      <w:r>
        <w:rPr>
          <w:rFonts w:hint="eastAsia" w:ascii="仿宋" w:hAnsi="仿宋" w:eastAsia="仿宋" w:cs="仿宋"/>
          <w:b/>
          <w:sz w:val="32"/>
          <w:szCs w:val="32"/>
        </w:rPr>
        <w:t>一般公共预算支出决算数为</w:t>
      </w:r>
      <w:r>
        <w:rPr>
          <w:rFonts w:hint="eastAsia" w:ascii="仿宋" w:hAnsi="仿宋" w:eastAsia="仿宋" w:cs="仿宋"/>
          <w:color w:val="000000"/>
          <w:sz w:val="32"/>
          <w:szCs w:val="32"/>
          <w:lang w:val="en-US" w:eastAsia="zh-CN"/>
        </w:rPr>
        <w:t>367.14</w:t>
      </w:r>
      <w:r>
        <w:rPr>
          <w:rFonts w:hint="eastAsia" w:ascii="仿宋" w:hAnsi="仿宋" w:eastAsia="仿宋" w:cs="仿宋"/>
          <w:color w:val="000000"/>
          <w:sz w:val="32"/>
          <w:szCs w:val="32"/>
        </w:rPr>
        <w:t>万元</w:t>
      </w:r>
      <w:r>
        <w:rPr>
          <w:rFonts w:hint="eastAsia" w:ascii="仿宋" w:hAnsi="仿宋" w:eastAsia="仿宋" w:cs="仿宋"/>
          <w:sz w:val="32"/>
          <w:szCs w:val="32"/>
        </w:rPr>
        <w:t>，</w:t>
      </w:r>
      <w:r>
        <w:rPr>
          <w:rStyle w:val="14"/>
          <w:rFonts w:hint="eastAsia" w:ascii="仿宋" w:hAnsi="仿宋" w:eastAsia="仿宋" w:cs="仿宋"/>
          <w:bCs/>
          <w:sz w:val="32"/>
          <w:szCs w:val="32"/>
        </w:rPr>
        <w:t>完成预算100%。其中：</w:t>
      </w:r>
      <w:bookmarkEnd w:id="35"/>
      <w:bookmarkEnd w:id="36"/>
      <w:bookmarkEnd w:id="37"/>
    </w:p>
    <w:p>
      <w:pPr>
        <w:spacing w:line="600" w:lineRule="exact"/>
        <w:ind w:firstLine="643" w:firstLineChars="200"/>
        <w:rPr>
          <w:rStyle w:val="14"/>
          <w:rFonts w:hint="eastAsia" w:ascii="仿宋" w:hAnsi="仿宋" w:eastAsia="仿宋" w:cs="仿宋"/>
          <w:b w:val="0"/>
          <w:bCs/>
          <w:sz w:val="32"/>
          <w:szCs w:val="32"/>
        </w:rPr>
      </w:pPr>
      <w:r>
        <w:rPr>
          <w:rStyle w:val="14"/>
          <w:rFonts w:hint="eastAsia" w:ascii="仿宋" w:hAnsi="仿宋" w:eastAsia="仿宋" w:cs="仿宋"/>
          <w:bCs/>
          <w:sz w:val="32"/>
          <w:szCs w:val="32"/>
        </w:rPr>
        <w:t>1.教育（205类）普通教育（02款）</w:t>
      </w:r>
      <w:r>
        <w:rPr>
          <w:rStyle w:val="14"/>
          <w:rFonts w:hint="eastAsia" w:ascii="仿宋" w:hAnsi="仿宋" w:eastAsia="仿宋" w:cs="仿宋"/>
          <w:bCs/>
          <w:sz w:val="32"/>
          <w:szCs w:val="32"/>
          <w:lang w:val="en-US" w:eastAsia="zh-CN"/>
        </w:rPr>
        <w:t>小学</w:t>
      </w:r>
      <w:r>
        <w:rPr>
          <w:rStyle w:val="14"/>
          <w:rFonts w:hint="eastAsia" w:ascii="仿宋" w:hAnsi="仿宋" w:eastAsia="仿宋" w:cs="仿宋"/>
          <w:bCs/>
          <w:sz w:val="32"/>
          <w:szCs w:val="32"/>
        </w:rPr>
        <w:t>教育（</w:t>
      </w:r>
      <w:r>
        <w:rPr>
          <w:rStyle w:val="14"/>
          <w:rFonts w:hint="eastAsia" w:ascii="仿宋" w:hAnsi="仿宋" w:eastAsia="仿宋" w:cs="仿宋"/>
          <w:bCs/>
          <w:sz w:val="32"/>
          <w:szCs w:val="32"/>
          <w:lang w:val="en-US" w:eastAsia="zh-CN"/>
        </w:rPr>
        <w:t>01-</w:t>
      </w:r>
      <w:r>
        <w:rPr>
          <w:rStyle w:val="14"/>
          <w:rFonts w:hint="eastAsia" w:ascii="仿宋" w:hAnsi="仿宋" w:eastAsia="仿宋" w:cs="仿宋"/>
          <w:bCs/>
          <w:sz w:val="32"/>
          <w:szCs w:val="32"/>
        </w:rPr>
        <w:t>03项）:</w:t>
      </w:r>
      <w:r>
        <w:rPr>
          <w:rStyle w:val="14"/>
          <w:rFonts w:hint="eastAsia" w:ascii="仿宋" w:hAnsi="仿宋" w:eastAsia="仿宋" w:cs="仿宋"/>
          <w:b w:val="0"/>
          <w:bCs/>
          <w:sz w:val="32"/>
          <w:szCs w:val="32"/>
        </w:rPr>
        <w:t>支出决算为</w:t>
      </w:r>
      <w:r>
        <w:rPr>
          <w:rStyle w:val="14"/>
          <w:rFonts w:hint="eastAsia" w:ascii="仿宋" w:hAnsi="仿宋" w:eastAsia="仿宋" w:cs="仿宋"/>
          <w:b w:val="0"/>
          <w:bCs/>
          <w:sz w:val="32"/>
          <w:szCs w:val="32"/>
          <w:lang w:val="en-US" w:eastAsia="zh-CN"/>
        </w:rPr>
        <w:t>290.57</w:t>
      </w:r>
      <w:r>
        <w:rPr>
          <w:rStyle w:val="14"/>
          <w:rFonts w:hint="eastAsia" w:ascii="仿宋" w:hAnsi="仿宋" w:eastAsia="仿宋" w:cs="仿宋"/>
          <w:b w:val="0"/>
          <w:bCs/>
          <w:sz w:val="32"/>
          <w:szCs w:val="32"/>
        </w:rPr>
        <w:t>万元，完成预算100%。</w:t>
      </w:r>
    </w:p>
    <w:p>
      <w:pPr>
        <w:spacing w:line="600" w:lineRule="exact"/>
        <w:ind w:firstLine="643" w:firstLineChars="200"/>
        <w:rPr>
          <w:rFonts w:hint="eastAsia" w:ascii="仿宋" w:hAnsi="仿宋" w:eastAsia="仿宋" w:cs="仿宋"/>
          <w:b/>
          <w:sz w:val="32"/>
          <w:szCs w:val="32"/>
        </w:rPr>
      </w:pPr>
      <w:r>
        <w:rPr>
          <w:rStyle w:val="14"/>
          <w:rFonts w:hint="eastAsia" w:ascii="仿宋" w:hAnsi="仿宋" w:eastAsia="仿宋" w:cs="仿宋"/>
          <w:bCs/>
          <w:sz w:val="32"/>
          <w:szCs w:val="32"/>
        </w:rPr>
        <w:t>2.社会保障和就业（208类）行政事业单位养老支出（05款）机关事业单位基本养老保险缴费支出（05项）:</w:t>
      </w:r>
      <w:r>
        <w:rPr>
          <w:rStyle w:val="14"/>
          <w:rFonts w:hint="eastAsia" w:ascii="仿宋" w:hAnsi="仿宋" w:eastAsia="仿宋" w:cs="仿宋"/>
          <w:b w:val="0"/>
          <w:bCs/>
          <w:sz w:val="32"/>
          <w:szCs w:val="32"/>
        </w:rPr>
        <w:t>支出决算为</w:t>
      </w:r>
      <w:r>
        <w:rPr>
          <w:rStyle w:val="14"/>
          <w:rFonts w:hint="eastAsia" w:ascii="仿宋" w:hAnsi="仿宋" w:eastAsia="仿宋" w:cs="仿宋"/>
          <w:b w:val="0"/>
          <w:bCs/>
          <w:sz w:val="32"/>
          <w:szCs w:val="32"/>
          <w:lang w:val="en-US" w:eastAsia="zh-CN"/>
        </w:rPr>
        <w:t>36.86</w:t>
      </w:r>
      <w:r>
        <w:rPr>
          <w:rStyle w:val="14"/>
          <w:rFonts w:hint="eastAsia" w:ascii="仿宋" w:hAnsi="仿宋" w:eastAsia="仿宋" w:cs="仿宋"/>
          <w:b w:val="0"/>
          <w:bCs/>
          <w:sz w:val="32"/>
          <w:szCs w:val="32"/>
        </w:rPr>
        <w:t>万元，完成预算100%。</w:t>
      </w:r>
    </w:p>
    <w:p>
      <w:pPr>
        <w:spacing w:line="600" w:lineRule="exact"/>
        <w:ind w:firstLine="643" w:firstLineChars="200"/>
        <w:rPr>
          <w:rStyle w:val="14"/>
          <w:rFonts w:hint="eastAsia" w:ascii="仿宋" w:hAnsi="仿宋" w:eastAsia="仿宋" w:cs="仿宋"/>
          <w:b w:val="0"/>
          <w:bCs/>
          <w:sz w:val="32"/>
          <w:szCs w:val="32"/>
        </w:rPr>
      </w:pPr>
      <w:r>
        <w:rPr>
          <w:rStyle w:val="14"/>
          <w:rFonts w:hint="eastAsia" w:ascii="仿宋" w:hAnsi="仿宋" w:eastAsia="仿宋" w:cs="仿宋"/>
          <w:bCs/>
          <w:sz w:val="32"/>
          <w:szCs w:val="32"/>
        </w:rPr>
        <w:t>3.</w:t>
      </w:r>
      <w:r>
        <w:rPr>
          <w:rFonts w:hint="eastAsia" w:ascii="仿宋" w:hAnsi="仿宋" w:eastAsia="仿宋" w:cs="仿宋"/>
          <w:b/>
          <w:bCs/>
          <w:sz w:val="32"/>
          <w:szCs w:val="32"/>
        </w:rPr>
        <w:t>卫生健康</w:t>
      </w:r>
      <w:r>
        <w:rPr>
          <w:rStyle w:val="14"/>
          <w:rFonts w:hint="eastAsia" w:ascii="仿宋" w:hAnsi="仿宋" w:eastAsia="仿宋" w:cs="仿宋"/>
          <w:bCs/>
          <w:sz w:val="32"/>
          <w:szCs w:val="32"/>
        </w:rPr>
        <w:t>（210类）行政事业单位医疗（11款）事业单位医疗（02项）:</w:t>
      </w:r>
      <w:r>
        <w:rPr>
          <w:rStyle w:val="14"/>
          <w:rFonts w:hint="eastAsia" w:ascii="仿宋" w:hAnsi="仿宋" w:eastAsia="仿宋" w:cs="仿宋"/>
          <w:b w:val="0"/>
          <w:bCs/>
          <w:sz w:val="32"/>
          <w:szCs w:val="32"/>
        </w:rPr>
        <w:t>支出决算为</w:t>
      </w:r>
      <w:r>
        <w:rPr>
          <w:rStyle w:val="14"/>
          <w:rFonts w:hint="eastAsia" w:ascii="仿宋" w:hAnsi="仿宋" w:eastAsia="仿宋" w:cs="仿宋"/>
          <w:b w:val="0"/>
          <w:bCs/>
          <w:sz w:val="32"/>
          <w:szCs w:val="32"/>
          <w:lang w:val="en-US" w:eastAsia="zh-CN"/>
        </w:rPr>
        <w:t>14.53</w:t>
      </w:r>
      <w:r>
        <w:rPr>
          <w:rStyle w:val="14"/>
          <w:rFonts w:hint="eastAsia" w:ascii="仿宋" w:hAnsi="仿宋" w:eastAsia="仿宋" w:cs="仿宋"/>
          <w:b w:val="0"/>
          <w:bCs/>
          <w:sz w:val="32"/>
          <w:szCs w:val="32"/>
        </w:rPr>
        <w:t>万元，完成预算100%。</w:t>
      </w:r>
    </w:p>
    <w:p>
      <w:pPr>
        <w:spacing w:line="600" w:lineRule="exact"/>
        <w:ind w:firstLine="643" w:firstLineChars="200"/>
        <w:rPr>
          <w:rFonts w:hint="eastAsia" w:ascii="仿宋" w:hAnsi="仿宋" w:eastAsia="仿宋" w:cs="仿宋"/>
          <w:b/>
          <w:sz w:val="32"/>
          <w:szCs w:val="32"/>
        </w:rPr>
      </w:pPr>
      <w:r>
        <w:rPr>
          <w:rStyle w:val="14"/>
          <w:rFonts w:hint="eastAsia" w:ascii="仿宋" w:hAnsi="仿宋" w:eastAsia="仿宋" w:cs="仿宋"/>
          <w:bCs/>
          <w:sz w:val="32"/>
          <w:szCs w:val="32"/>
        </w:rPr>
        <w:t>4.</w:t>
      </w:r>
      <w:r>
        <w:rPr>
          <w:rFonts w:hint="eastAsia" w:ascii="仿宋" w:hAnsi="仿宋" w:eastAsia="仿宋" w:cs="仿宋"/>
          <w:b/>
          <w:bCs/>
          <w:sz w:val="32"/>
          <w:szCs w:val="32"/>
        </w:rPr>
        <w:t>住房保障</w:t>
      </w:r>
      <w:r>
        <w:rPr>
          <w:rStyle w:val="14"/>
          <w:rFonts w:hint="eastAsia" w:ascii="仿宋" w:hAnsi="仿宋" w:eastAsia="仿宋" w:cs="仿宋"/>
          <w:bCs/>
          <w:sz w:val="32"/>
          <w:szCs w:val="32"/>
        </w:rPr>
        <w:t>（221类）住房改革支出（02款）住房公积金（01项）:</w:t>
      </w:r>
      <w:r>
        <w:rPr>
          <w:rStyle w:val="14"/>
          <w:rFonts w:hint="eastAsia" w:ascii="仿宋" w:hAnsi="仿宋" w:eastAsia="仿宋" w:cs="仿宋"/>
          <w:b w:val="0"/>
          <w:bCs/>
          <w:sz w:val="32"/>
          <w:szCs w:val="32"/>
        </w:rPr>
        <w:t>支出决算为</w:t>
      </w:r>
      <w:r>
        <w:rPr>
          <w:rStyle w:val="14"/>
          <w:rFonts w:hint="eastAsia" w:ascii="仿宋" w:hAnsi="仿宋" w:eastAsia="仿宋" w:cs="仿宋"/>
          <w:b w:val="0"/>
          <w:bCs/>
          <w:sz w:val="32"/>
          <w:szCs w:val="32"/>
          <w:lang w:val="en-US" w:eastAsia="zh-CN"/>
        </w:rPr>
        <w:t>25.17</w:t>
      </w:r>
      <w:r>
        <w:rPr>
          <w:rStyle w:val="14"/>
          <w:rFonts w:hint="eastAsia" w:ascii="仿宋" w:hAnsi="仿宋" w:eastAsia="仿宋" w:cs="仿宋"/>
          <w:b w:val="0"/>
          <w:bCs/>
          <w:sz w:val="32"/>
          <w:szCs w:val="32"/>
        </w:rPr>
        <w:t>万元，完成预算100%。</w:t>
      </w:r>
    </w:p>
    <w:p>
      <w:pPr>
        <w:tabs>
          <w:tab w:val="right" w:pos="8306"/>
        </w:tabs>
        <w:spacing w:line="600" w:lineRule="exact"/>
        <w:outlineLvl w:val="1"/>
        <w:rPr>
          <w:rStyle w:val="25"/>
          <w:rFonts w:hint="eastAsia" w:ascii="仿宋" w:hAnsi="仿宋" w:eastAsia="仿宋" w:cs="仿宋"/>
        </w:rPr>
      </w:pPr>
      <w:bookmarkStart w:id="38" w:name="_Toc15377214"/>
      <w:bookmarkStart w:id="39" w:name="_Toc15396608"/>
      <w:r>
        <w:rPr>
          <w:rFonts w:hint="eastAsia" w:ascii="仿宋" w:hAnsi="仿宋" w:eastAsia="仿宋" w:cs="仿宋"/>
          <w:sz w:val="32"/>
          <w:szCs w:val="32"/>
        </w:rPr>
        <w:t>六</w:t>
      </w:r>
      <w:r>
        <w:rPr>
          <w:rFonts w:hint="eastAsia" w:ascii="仿宋" w:hAnsi="仿宋" w:eastAsia="仿宋" w:cs="仿宋"/>
          <w:b/>
          <w:sz w:val="32"/>
          <w:szCs w:val="32"/>
        </w:rPr>
        <w:t>、一</w:t>
      </w:r>
      <w:r>
        <w:rPr>
          <w:rStyle w:val="25"/>
          <w:rFonts w:hint="eastAsia" w:ascii="仿宋" w:hAnsi="仿宋" w:eastAsia="仿宋" w:cs="仿宋"/>
          <w:b w:val="0"/>
        </w:rPr>
        <w:t>般公共预算财政拨款基本支出决算情况说明</w:t>
      </w:r>
      <w:bookmarkEnd w:id="38"/>
      <w:bookmarkEnd w:id="39"/>
      <w:r>
        <w:rPr>
          <w:rStyle w:val="25"/>
          <w:rFonts w:hint="eastAsia" w:ascii="仿宋" w:hAnsi="仿宋" w:eastAsia="仿宋" w:cs="仿宋"/>
          <w:b w:val="0"/>
        </w:rPr>
        <w:tab/>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2023年</w:t>
      </w:r>
      <w:r>
        <w:rPr>
          <w:rFonts w:hint="eastAsia" w:ascii="仿宋" w:hAnsi="仿宋" w:eastAsia="仿宋" w:cs="仿宋"/>
          <w:color w:val="000000"/>
          <w:sz w:val="32"/>
          <w:szCs w:val="32"/>
        </w:rPr>
        <w:t>一般公共预算财政拨款基本支出</w:t>
      </w:r>
      <w:r>
        <w:rPr>
          <w:rFonts w:hint="eastAsia" w:ascii="仿宋" w:hAnsi="仿宋" w:eastAsia="仿宋" w:cs="仿宋"/>
          <w:color w:val="000000"/>
          <w:sz w:val="32"/>
          <w:szCs w:val="32"/>
          <w:lang w:val="en-US" w:eastAsia="zh-CN"/>
        </w:rPr>
        <w:t>367.14</w:t>
      </w:r>
      <w:r>
        <w:rPr>
          <w:rFonts w:hint="eastAsia" w:ascii="仿宋" w:hAnsi="仿宋" w:eastAsia="仿宋" w:cs="仿宋"/>
          <w:color w:val="000000"/>
          <w:sz w:val="32"/>
          <w:szCs w:val="32"/>
        </w:rPr>
        <w:t>万元，其中：</w:t>
      </w:r>
    </w:p>
    <w:p>
      <w:pPr>
        <w:spacing w:line="600" w:lineRule="exact"/>
        <w:ind w:firstLine="645"/>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人员经费</w:t>
      </w:r>
      <w:r>
        <w:rPr>
          <w:rFonts w:hint="eastAsia" w:ascii="仿宋" w:hAnsi="仿宋" w:eastAsia="仿宋" w:cs="仿宋"/>
          <w:color w:val="000000"/>
          <w:sz w:val="32"/>
          <w:szCs w:val="32"/>
          <w:lang w:val="en-US" w:eastAsia="zh-CN"/>
        </w:rPr>
        <w:t>341.09</w:t>
      </w:r>
      <w:r>
        <w:rPr>
          <w:rFonts w:hint="eastAsia" w:ascii="仿宋" w:hAnsi="仿宋" w:eastAsia="仿宋" w:cs="仿宋"/>
          <w:color w:val="000000"/>
          <w:sz w:val="32"/>
          <w:szCs w:val="32"/>
        </w:rPr>
        <w:t>万元，主要包括：基本工资、津贴补贴、绩效工资、机关事业单位基本养老保险缴费、职业年金缴费、其他社会保障缴费、其他工资福利支出、抚恤金、生活补助、医疗费补助、住房公积金、其他对个人和家庭的补助支出等。</w:t>
      </w:r>
    </w:p>
    <w:p>
      <w:pPr>
        <w:spacing w:line="600" w:lineRule="exact"/>
        <w:ind w:firstLine="645"/>
        <w:rPr>
          <w:rFonts w:hint="eastAsia" w:ascii="仿宋" w:hAnsi="仿宋" w:eastAsia="仿宋" w:cs="仿宋"/>
          <w:color w:val="000000"/>
          <w:sz w:val="32"/>
          <w:szCs w:val="32"/>
        </w:rPr>
      </w:pPr>
      <w:r>
        <w:rPr>
          <w:rFonts w:hint="eastAsia" w:ascii="仿宋" w:hAnsi="仿宋" w:eastAsia="仿宋" w:cs="仿宋"/>
          <w:color w:val="000000"/>
          <w:sz w:val="32"/>
          <w:szCs w:val="32"/>
        </w:rPr>
        <w:t>　　日常公用经费</w:t>
      </w:r>
      <w:r>
        <w:rPr>
          <w:rFonts w:hint="eastAsia" w:ascii="仿宋" w:hAnsi="仿宋" w:eastAsia="仿宋" w:cs="仿宋"/>
          <w:color w:val="000000"/>
          <w:sz w:val="32"/>
          <w:szCs w:val="32"/>
          <w:lang w:val="en-US" w:eastAsia="zh-CN"/>
        </w:rPr>
        <w:t>26.05</w:t>
      </w:r>
      <w:r>
        <w:rPr>
          <w:rFonts w:hint="eastAsia" w:ascii="仿宋" w:hAnsi="仿宋" w:eastAsia="仿宋" w:cs="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outlineLvl w:val="1"/>
        <w:rPr>
          <w:rStyle w:val="25"/>
          <w:rFonts w:hint="eastAsia" w:ascii="仿宋" w:hAnsi="仿宋" w:eastAsia="仿宋" w:cs="仿宋"/>
          <w:b w:val="0"/>
        </w:rPr>
      </w:pPr>
      <w:bookmarkStart w:id="40" w:name="_Toc15377215"/>
      <w:bookmarkStart w:id="41" w:name="_Toc15396609"/>
      <w:r>
        <w:rPr>
          <w:rFonts w:hint="eastAsia" w:ascii="仿宋" w:hAnsi="仿宋" w:eastAsia="仿宋" w:cs="仿宋"/>
          <w:sz w:val="32"/>
          <w:szCs w:val="32"/>
        </w:rPr>
        <w:t>七、</w:t>
      </w:r>
      <w:r>
        <w:rPr>
          <w:rStyle w:val="25"/>
          <w:rFonts w:hint="eastAsia" w:ascii="仿宋" w:hAnsi="仿宋" w:eastAsia="仿宋" w:cs="仿宋"/>
          <w:b w:val="0"/>
        </w:rPr>
        <w:t>财政拨款</w:t>
      </w:r>
      <w:r>
        <w:rPr>
          <w:rStyle w:val="25"/>
          <w:rFonts w:hint="eastAsia" w:ascii="仿宋" w:hAnsi="仿宋" w:eastAsia="仿宋" w:cs="仿宋"/>
        </w:rPr>
        <w:t>“</w:t>
      </w:r>
      <w:r>
        <w:rPr>
          <w:rStyle w:val="25"/>
          <w:rFonts w:hint="eastAsia" w:ascii="仿宋" w:hAnsi="仿宋" w:eastAsia="仿宋" w:cs="仿宋"/>
          <w:b w:val="0"/>
        </w:rPr>
        <w:t>三公”经费支出决算情况说明</w:t>
      </w:r>
      <w:bookmarkEnd w:id="40"/>
      <w:bookmarkEnd w:id="41"/>
    </w:p>
    <w:p>
      <w:pPr>
        <w:spacing w:line="600" w:lineRule="exact"/>
        <w:ind w:firstLine="640"/>
        <w:outlineLvl w:val="2"/>
        <w:rPr>
          <w:rFonts w:hint="eastAsia" w:ascii="仿宋" w:hAnsi="仿宋" w:eastAsia="仿宋" w:cs="仿宋"/>
          <w:b/>
          <w:sz w:val="32"/>
          <w:szCs w:val="32"/>
        </w:rPr>
      </w:pPr>
      <w:bookmarkStart w:id="42" w:name="_Toc15377216"/>
      <w:r>
        <w:rPr>
          <w:rFonts w:hint="eastAsia" w:ascii="仿宋" w:hAnsi="仿宋" w:eastAsia="仿宋" w:cs="仿宋"/>
          <w:b/>
          <w:sz w:val="32"/>
          <w:szCs w:val="32"/>
        </w:rPr>
        <w:t>（一）“三公”经费财政拨款支出决算总体情况说明</w:t>
      </w:r>
      <w:bookmarkEnd w:id="42"/>
    </w:p>
    <w:p>
      <w:pPr>
        <w:spacing w:line="600" w:lineRule="exact"/>
        <w:ind w:firstLine="640"/>
        <w:outlineLvl w:val="2"/>
        <w:rPr>
          <w:rFonts w:hint="eastAsia" w:ascii="仿宋" w:hAnsi="仿宋" w:eastAsia="仿宋" w:cs="仿宋"/>
          <w:sz w:val="32"/>
          <w:szCs w:val="32"/>
          <w:lang w:val="en-US" w:eastAsia="zh-CN"/>
        </w:rPr>
      </w:pPr>
      <w:bookmarkStart w:id="43" w:name="_Toc15377217"/>
      <w:r>
        <w:rPr>
          <w:rFonts w:hint="eastAsia" w:ascii="仿宋" w:hAnsi="仿宋" w:eastAsia="仿宋" w:cs="仿宋"/>
          <w:sz w:val="32"/>
          <w:szCs w:val="32"/>
        </w:rPr>
        <w:t>2023年度“三公”经费财政拨款支出决算</w:t>
      </w:r>
      <w:r>
        <w:rPr>
          <w:rFonts w:hint="eastAsia" w:ascii="仿宋" w:hAnsi="仿宋" w:eastAsia="仿宋" w:cs="仿宋"/>
          <w:color w:val="auto"/>
          <w:sz w:val="32"/>
          <w:szCs w:val="32"/>
        </w:rPr>
        <w:t>为0万元，完成预算100%，</w:t>
      </w:r>
      <w:r>
        <w:rPr>
          <w:rFonts w:hint="eastAsia" w:ascii="仿宋" w:hAnsi="仿宋" w:eastAsia="仿宋" w:cs="仿宋"/>
          <w:sz w:val="32"/>
          <w:szCs w:val="32"/>
        </w:rPr>
        <w:t>与上年度持平</w:t>
      </w:r>
      <w:r>
        <w:rPr>
          <w:rFonts w:hint="eastAsia" w:ascii="仿宋" w:hAnsi="仿宋" w:eastAsia="仿宋" w:cs="仿宋"/>
          <w:sz w:val="32"/>
          <w:szCs w:val="32"/>
          <w:lang w:val="en-US" w:eastAsia="zh-CN"/>
        </w:rPr>
        <w:t>,</w:t>
      </w:r>
      <w:r>
        <w:rPr>
          <w:rFonts w:hint="eastAsia" w:ascii="仿宋" w:hAnsi="仿宋" w:eastAsia="仿宋" w:cs="仿宋"/>
          <w:sz w:val="32"/>
          <w:szCs w:val="32"/>
        </w:rPr>
        <w:t>决算数与预算数持平。</w:t>
      </w:r>
    </w:p>
    <w:p>
      <w:pPr>
        <w:spacing w:line="600" w:lineRule="exact"/>
        <w:ind w:firstLine="640"/>
        <w:outlineLvl w:val="2"/>
        <w:rPr>
          <w:rFonts w:hint="eastAsia" w:ascii="仿宋" w:hAnsi="仿宋" w:eastAsia="仿宋" w:cs="仿宋"/>
          <w:b/>
          <w:sz w:val="32"/>
          <w:szCs w:val="32"/>
        </w:rPr>
      </w:pPr>
      <w:r>
        <w:rPr>
          <w:rFonts w:hint="eastAsia" w:ascii="仿宋" w:hAnsi="仿宋" w:eastAsia="仿宋" w:cs="仿宋"/>
          <w:b/>
          <w:sz w:val="32"/>
          <w:szCs w:val="32"/>
        </w:rPr>
        <w:t>（二）“三公”经费财政拨款支出决算具体情况说明</w:t>
      </w:r>
      <w:bookmarkEnd w:id="43"/>
    </w:p>
    <w:p>
      <w:pPr>
        <w:spacing w:line="600" w:lineRule="exact"/>
        <w:ind w:firstLine="480" w:firstLineChars="150"/>
        <w:outlineLvl w:val="1"/>
        <w:rPr>
          <w:rFonts w:hint="eastAsia" w:ascii="仿宋" w:hAnsi="仿宋" w:eastAsia="仿宋" w:cs="仿宋"/>
          <w:sz w:val="32"/>
          <w:szCs w:val="32"/>
        </w:rPr>
      </w:pPr>
      <w:bookmarkStart w:id="44" w:name="_Toc15377218"/>
      <w:bookmarkStart w:id="45" w:name="_Toc15396610"/>
      <w:r>
        <w:rPr>
          <w:rFonts w:hint="eastAsia" w:ascii="仿宋" w:hAnsi="仿宋" w:eastAsia="仿宋" w:cs="仿宋"/>
          <w:sz w:val="32"/>
          <w:szCs w:val="32"/>
        </w:rPr>
        <w:t>2023年“三公”经费财政拨款支出决算中，因公出国（境）费支出决算0万元，占0%；公务用车购置及运行维护费支出决算0万元，占0%；公务接待费支出决算0万元，占0%。</w:t>
      </w:r>
    </w:p>
    <w:p>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具体情况如下：</w:t>
      </w:r>
    </w:p>
    <w:p>
      <w:pPr>
        <w:spacing w:line="600" w:lineRule="exact"/>
        <w:ind w:firstLine="640"/>
        <w:rPr>
          <w:rFonts w:hint="eastAsia" w:ascii="仿宋" w:hAnsi="仿宋" w:eastAsia="仿宋" w:cs="仿宋"/>
          <w:b/>
          <w:sz w:val="32"/>
          <w:szCs w:val="32"/>
        </w:rPr>
      </w:pPr>
      <w:r>
        <w:rPr>
          <w:rFonts w:hint="eastAsia" w:ascii="仿宋" w:hAnsi="仿宋" w:eastAsia="仿宋" w:cs="仿宋"/>
          <w:b/>
          <w:sz w:val="32"/>
          <w:szCs w:val="32"/>
        </w:rPr>
        <w:t>1.因公出国（境）经费支出</w:t>
      </w:r>
      <w:r>
        <w:rPr>
          <w:rFonts w:hint="eastAsia" w:ascii="仿宋" w:hAnsi="仿宋" w:eastAsia="仿宋" w:cs="仿宋"/>
          <w:sz w:val="32"/>
          <w:szCs w:val="32"/>
        </w:rPr>
        <w:t>0万元，</w:t>
      </w:r>
      <w:r>
        <w:rPr>
          <w:rStyle w:val="14"/>
          <w:rFonts w:hint="eastAsia" w:ascii="仿宋" w:hAnsi="仿宋" w:eastAsia="仿宋" w:cs="仿宋"/>
          <w:bCs/>
          <w:sz w:val="32"/>
          <w:szCs w:val="32"/>
        </w:rPr>
        <w:t>完成预算</w:t>
      </w:r>
      <w:r>
        <w:rPr>
          <w:rFonts w:hint="eastAsia" w:ascii="仿宋" w:hAnsi="仿宋" w:eastAsia="仿宋" w:cs="仿宋"/>
          <w:sz w:val="32"/>
          <w:szCs w:val="32"/>
        </w:rPr>
        <w:t>0</w:t>
      </w:r>
      <w:r>
        <w:rPr>
          <w:rStyle w:val="14"/>
          <w:rFonts w:hint="eastAsia" w:ascii="仿宋" w:hAnsi="仿宋" w:eastAsia="仿宋" w:cs="仿宋"/>
          <w:bCs/>
          <w:sz w:val="32"/>
          <w:szCs w:val="32"/>
        </w:rPr>
        <w:t>%。</w:t>
      </w:r>
      <w:r>
        <w:rPr>
          <w:rFonts w:hint="eastAsia" w:ascii="仿宋" w:hAnsi="仿宋" w:eastAsia="仿宋" w:cs="仿宋"/>
          <w:sz w:val="32"/>
          <w:szCs w:val="32"/>
        </w:rPr>
        <w:t>全年安排因公出国（境）团组0次，出国（境）0人。因公出国（境）支出决算比2022年增加0万元，增长0%。</w:t>
      </w:r>
    </w:p>
    <w:p>
      <w:pPr>
        <w:spacing w:line="600" w:lineRule="exact"/>
        <w:ind w:firstLine="640"/>
        <w:rPr>
          <w:rFonts w:hint="eastAsia" w:ascii="仿宋" w:hAnsi="仿宋" w:eastAsia="仿宋" w:cs="仿宋"/>
          <w:b/>
          <w:sz w:val="32"/>
          <w:szCs w:val="32"/>
        </w:rPr>
      </w:pPr>
      <w:r>
        <w:rPr>
          <w:rFonts w:hint="eastAsia" w:ascii="仿宋" w:hAnsi="仿宋" w:eastAsia="仿宋" w:cs="仿宋"/>
          <w:b/>
          <w:sz w:val="32"/>
          <w:szCs w:val="32"/>
        </w:rPr>
        <w:t>2.公务用车购置及运行维护费支出</w:t>
      </w:r>
      <w:r>
        <w:rPr>
          <w:rFonts w:hint="eastAsia" w:ascii="仿宋" w:hAnsi="仿宋" w:eastAsia="仿宋" w:cs="仿宋"/>
          <w:sz w:val="32"/>
          <w:szCs w:val="32"/>
        </w:rPr>
        <w:t>0万元,</w:t>
      </w:r>
      <w:r>
        <w:rPr>
          <w:rStyle w:val="14"/>
          <w:rFonts w:hint="eastAsia" w:ascii="仿宋" w:hAnsi="仿宋" w:eastAsia="仿宋" w:cs="仿宋"/>
          <w:bCs/>
          <w:sz w:val="32"/>
          <w:szCs w:val="32"/>
        </w:rPr>
        <w:t>完成预算</w:t>
      </w:r>
      <w:r>
        <w:rPr>
          <w:rFonts w:hint="eastAsia" w:ascii="仿宋" w:hAnsi="仿宋" w:eastAsia="仿宋" w:cs="仿宋"/>
          <w:sz w:val="32"/>
          <w:szCs w:val="32"/>
        </w:rPr>
        <w:t>0</w:t>
      </w:r>
      <w:r>
        <w:rPr>
          <w:rStyle w:val="14"/>
          <w:rFonts w:hint="eastAsia" w:ascii="仿宋" w:hAnsi="仿宋" w:eastAsia="仿宋" w:cs="仿宋"/>
          <w:bCs/>
          <w:sz w:val="32"/>
          <w:szCs w:val="32"/>
        </w:rPr>
        <w:t>%。</w:t>
      </w:r>
      <w:r>
        <w:rPr>
          <w:rFonts w:hint="eastAsia" w:ascii="仿宋" w:hAnsi="仿宋" w:eastAsia="仿宋" w:cs="仿宋"/>
          <w:sz w:val="32"/>
          <w:szCs w:val="32"/>
        </w:rPr>
        <w:t>公务用车购置及运行维护费支出决算比2022年度增加0万元，增长0%。</w:t>
      </w:r>
    </w:p>
    <w:p>
      <w:pPr>
        <w:spacing w:line="600"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其中：</w:t>
      </w:r>
      <w:r>
        <w:rPr>
          <w:rFonts w:hint="eastAsia" w:ascii="仿宋" w:hAnsi="仿宋" w:eastAsia="仿宋" w:cs="仿宋"/>
          <w:b/>
          <w:sz w:val="32"/>
          <w:szCs w:val="32"/>
        </w:rPr>
        <w:t>公务用车购置支出</w:t>
      </w:r>
      <w:r>
        <w:rPr>
          <w:rFonts w:hint="eastAsia" w:ascii="仿宋" w:hAnsi="仿宋" w:eastAsia="仿宋" w:cs="仿宋"/>
          <w:sz w:val="32"/>
          <w:szCs w:val="32"/>
        </w:rPr>
        <w:t>0万元。全年按规定更新购置公务用车0辆，其中：轿车0辆、金额0元，越野车0辆、金额0万元，载客汽车0辆、金额0万元。截至2023年12月31日，单位共有公务用车0辆，其中：轿车0辆、越野车0辆、载客汽车0辆。</w:t>
      </w:r>
    </w:p>
    <w:p>
      <w:pPr>
        <w:spacing w:line="600" w:lineRule="exact"/>
        <w:ind w:firstLine="640"/>
        <w:rPr>
          <w:rFonts w:hint="eastAsia" w:ascii="仿宋" w:hAnsi="仿宋" w:eastAsia="仿宋" w:cs="仿宋"/>
          <w:sz w:val="32"/>
          <w:szCs w:val="32"/>
        </w:rPr>
      </w:pPr>
      <w:r>
        <w:rPr>
          <w:rFonts w:hint="eastAsia" w:ascii="仿宋" w:hAnsi="仿宋" w:eastAsia="仿宋" w:cs="仿宋"/>
          <w:b/>
          <w:sz w:val="32"/>
          <w:szCs w:val="32"/>
        </w:rPr>
        <w:t>公务用车运行维护费支出</w:t>
      </w:r>
      <w:r>
        <w:rPr>
          <w:rFonts w:hint="eastAsia" w:ascii="仿宋" w:hAnsi="仿宋" w:eastAsia="仿宋" w:cs="仿宋"/>
          <w:sz w:val="32"/>
          <w:szCs w:val="32"/>
        </w:rPr>
        <w:t>0万元。</w:t>
      </w:r>
    </w:p>
    <w:p>
      <w:pPr>
        <w:numPr>
          <w:ilvl w:val="0"/>
          <w:numId w:val="4"/>
        </w:numPr>
        <w:spacing w:line="600" w:lineRule="exact"/>
        <w:ind w:firstLine="640"/>
        <w:rPr>
          <w:rFonts w:hint="eastAsia" w:ascii="仿宋" w:hAnsi="仿宋" w:eastAsia="仿宋" w:cs="仿宋"/>
          <w:b/>
          <w:sz w:val="32"/>
          <w:szCs w:val="32"/>
        </w:rPr>
      </w:pPr>
      <w:r>
        <w:rPr>
          <w:rFonts w:hint="eastAsia" w:ascii="仿宋" w:hAnsi="仿宋" w:eastAsia="仿宋" w:cs="仿宋"/>
          <w:b/>
          <w:sz w:val="32"/>
          <w:szCs w:val="32"/>
        </w:rPr>
        <w:t>公务接待费支出</w:t>
      </w:r>
      <w:r>
        <w:rPr>
          <w:rFonts w:hint="eastAsia" w:ascii="仿宋" w:hAnsi="仿宋" w:eastAsia="仿宋" w:cs="仿宋"/>
          <w:sz w:val="32"/>
          <w:szCs w:val="32"/>
        </w:rPr>
        <w:t>0万元，</w:t>
      </w:r>
      <w:r>
        <w:rPr>
          <w:rFonts w:hint="eastAsia" w:ascii="仿宋" w:hAnsi="仿宋" w:eastAsia="仿宋" w:cs="仿宋"/>
          <w:b/>
          <w:sz w:val="32"/>
          <w:szCs w:val="32"/>
        </w:rPr>
        <w:t>完成预算</w:t>
      </w:r>
      <w:r>
        <w:rPr>
          <w:rFonts w:hint="eastAsia" w:ascii="仿宋" w:hAnsi="仿宋" w:eastAsia="仿宋" w:cs="仿宋"/>
          <w:b/>
          <w:sz w:val="32"/>
          <w:szCs w:val="32"/>
          <w:lang w:val="en-US" w:eastAsia="zh-CN"/>
        </w:rPr>
        <w:t>100</w:t>
      </w:r>
      <w:r>
        <w:rPr>
          <w:rFonts w:hint="eastAsia" w:ascii="仿宋" w:hAnsi="仿宋" w:eastAsia="仿宋" w:cs="仿宋"/>
          <w:b/>
          <w:sz w:val="32"/>
          <w:szCs w:val="32"/>
        </w:rPr>
        <w:t>%。公务接待费支出决算与2022年度持平。其中：</w:t>
      </w:r>
    </w:p>
    <w:p>
      <w:pPr>
        <w:numPr>
          <w:ilvl w:val="0"/>
          <w:numId w:val="0"/>
        </w:numPr>
        <w:spacing w:line="600" w:lineRule="exact"/>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rPr>
        <w:t>国内公务接待支出0万元。国内公务接待0批次，0人次（不包括陪同人员），共计支出0万元。</w:t>
      </w:r>
    </w:p>
    <w:p>
      <w:pPr>
        <w:numPr>
          <w:ilvl w:val="0"/>
          <w:numId w:val="0"/>
        </w:numPr>
        <w:spacing w:line="600" w:lineRule="exact"/>
        <w:ind w:firstLine="643" w:firstLineChars="200"/>
        <w:rPr>
          <w:rFonts w:hint="eastAsia" w:ascii="仿宋" w:hAnsi="仿宋" w:eastAsia="仿宋" w:cs="仿宋"/>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外事接待支出0万元。外事接待0批次，0人次（不包括陪同人员），共计支出0万元。</w:t>
      </w:r>
    </w:p>
    <w:bookmarkEnd w:id="44"/>
    <w:bookmarkEnd w:id="45"/>
    <w:p>
      <w:pPr>
        <w:spacing w:line="600" w:lineRule="exact"/>
        <w:ind w:firstLine="480" w:firstLineChars="150"/>
        <w:outlineLvl w:val="1"/>
        <w:rPr>
          <w:rStyle w:val="25"/>
          <w:rFonts w:hint="eastAsia" w:ascii="仿宋" w:hAnsi="仿宋" w:eastAsia="仿宋" w:cs="仿宋"/>
        </w:rPr>
      </w:pPr>
      <w:bookmarkStart w:id="46" w:name="_Toc15377221"/>
      <w:bookmarkStart w:id="47" w:name="_Toc15396612"/>
      <w:r>
        <w:rPr>
          <w:rFonts w:hint="eastAsia" w:ascii="仿宋" w:hAnsi="仿宋" w:eastAsia="仿宋" w:cs="仿宋"/>
          <w:sz w:val="32"/>
          <w:szCs w:val="32"/>
        </w:rPr>
        <w:t>八、</w:t>
      </w:r>
      <w:r>
        <w:rPr>
          <w:rStyle w:val="25"/>
          <w:rFonts w:hint="eastAsia" w:ascii="仿宋" w:hAnsi="仿宋" w:eastAsia="仿宋" w:cs="仿宋"/>
          <w:b w:val="0"/>
        </w:rPr>
        <w:t>政府性基金预算支出决算情况说明</w:t>
      </w:r>
    </w:p>
    <w:p>
      <w:pPr>
        <w:spacing w:line="600" w:lineRule="exact"/>
        <w:ind w:firstLine="64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2023年政府性基金预算财政拨款支出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p>
    <w:p>
      <w:pPr>
        <w:numPr>
          <w:ilvl w:val="0"/>
          <w:numId w:val="5"/>
        </w:numPr>
        <w:spacing w:line="600" w:lineRule="exact"/>
        <w:ind w:firstLine="640"/>
        <w:outlineLvl w:val="1"/>
        <w:rPr>
          <w:rStyle w:val="25"/>
          <w:rFonts w:hint="eastAsia" w:ascii="仿宋" w:hAnsi="仿宋" w:eastAsia="仿宋" w:cs="仿宋"/>
          <w:b w:val="0"/>
        </w:rPr>
      </w:pPr>
      <w:bookmarkStart w:id="48" w:name="_Toc15377219"/>
      <w:bookmarkStart w:id="49" w:name="_Toc15396611"/>
      <w:r>
        <w:rPr>
          <w:rStyle w:val="25"/>
          <w:rFonts w:hint="eastAsia" w:ascii="仿宋" w:hAnsi="仿宋" w:eastAsia="仿宋" w:cs="仿宋"/>
          <w:b w:val="0"/>
        </w:rPr>
        <w:t>国有资本经营预算支出决算情况说明</w:t>
      </w:r>
      <w:bookmarkEnd w:id="48"/>
      <w:bookmarkEnd w:id="49"/>
    </w:p>
    <w:p>
      <w:pPr>
        <w:pStyle w:val="23"/>
        <w:spacing w:line="600" w:lineRule="exact"/>
        <w:ind w:left="360" w:firstLine="0" w:firstLineChars="0"/>
        <w:outlineLvl w:val="1"/>
        <w:rPr>
          <w:rFonts w:hint="eastAsia" w:ascii="仿宋" w:hAnsi="仿宋" w:eastAsia="仿宋" w:cs="仿宋"/>
          <w:sz w:val="32"/>
          <w:szCs w:val="32"/>
        </w:rPr>
      </w:pPr>
      <w:r>
        <w:rPr>
          <w:rFonts w:hint="eastAsia" w:ascii="仿宋" w:hAnsi="仿宋" w:eastAsia="仿宋" w:cs="仿宋"/>
          <w:sz w:val="32"/>
          <w:szCs w:val="32"/>
        </w:rPr>
        <w:t>2023年国有资本经营预算财政拨款支出0万元。</w:t>
      </w:r>
    </w:p>
    <w:bookmarkEnd w:id="46"/>
    <w:bookmarkEnd w:id="47"/>
    <w:p>
      <w:pPr>
        <w:pStyle w:val="23"/>
        <w:spacing w:line="600" w:lineRule="exact"/>
        <w:ind w:left="360" w:firstLine="321" w:firstLineChars="100"/>
        <w:outlineLvl w:val="1"/>
        <w:rPr>
          <w:rStyle w:val="25"/>
          <w:rFonts w:hint="eastAsia" w:ascii="仿宋" w:hAnsi="仿宋" w:eastAsia="仿宋" w:cs="仿宋"/>
          <w:b w:val="0"/>
        </w:rPr>
      </w:pPr>
      <w:bookmarkStart w:id="50" w:name="_Toc15377222"/>
      <w:r>
        <w:rPr>
          <w:rStyle w:val="25"/>
          <w:rFonts w:hint="eastAsia" w:ascii="仿宋" w:hAnsi="仿宋" w:eastAsia="仿宋" w:cs="仿宋"/>
        </w:rPr>
        <w:t>十、</w:t>
      </w:r>
      <w:r>
        <w:rPr>
          <w:rStyle w:val="25"/>
          <w:rFonts w:hint="eastAsia" w:ascii="仿宋" w:hAnsi="仿宋" w:eastAsia="仿宋" w:cs="仿宋"/>
          <w:b w:val="0"/>
        </w:rPr>
        <w:t>其他重要事项的情况说明</w:t>
      </w:r>
    </w:p>
    <w:p>
      <w:pPr>
        <w:spacing w:line="600" w:lineRule="exact"/>
        <w:ind w:firstLine="643" w:firstLineChars="200"/>
        <w:outlineLvl w:val="2"/>
        <w:rPr>
          <w:rFonts w:hint="eastAsia" w:ascii="仿宋" w:hAnsi="仿宋" w:eastAsia="仿宋" w:cs="仿宋"/>
          <w:sz w:val="32"/>
          <w:szCs w:val="32"/>
        </w:rPr>
      </w:pPr>
      <w:r>
        <w:rPr>
          <w:rFonts w:hint="eastAsia" w:ascii="仿宋" w:hAnsi="仿宋" w:eastAsia="仿宋" w:cs="仿宋"/>
          <w:b/>
          <w:sz w:val="32"/>
          <w:szCs w:val="32"/>
        </w:rPr>
        <w:t>（一）机关运行经费支出情况</w:t>
      </w:r>
      <w:bookmarkEnd w:id="50"/>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2023年</w:t>
      </w:r>
      <w:r>
        <w:rPr>
          <w:rFonts w:hint="eastAsia" w:ascii="仿宋" w:hAnsi="仿宋" w:eastAsia="仿宋" w:cs="仿宋"/>
          <w:sz w:val="32"/>
          <w:szCs w:val="32"/>
        </w:rPr>
        <w:t>，</w:t>
      </w:r>
      <w:r>
        <w:rPr>
          <w:rFonts w:hint="eastAsia" w:ascii="仿宋" w:hAnsi="仿宋" w:eastAsia="仿宋" w:cs="仿宋"/>
          <w:sz w:val="32"/>
          <w:szCs w:val="32"/>
          <w:lang w:val="en-US" w:eastAsia="zh-CN"/>
        </w:rPr>
        <w:t>遂宁市安居区常理镇龙头小学校</w:t>
      </w:r>
      <w:r>
        <w:rPr>
          <w:rFonts w:hint="eastAsia" w:ascii="仿宋" w:hAnsi="仿宋" w:eastAsia="仿宋" w:cs="仿宋"/>
          <w:sz w:val="32"/>
          <w:szCs w:val="32"/>
        </w:rPr>
        <w:t>机关运行经费支出0万元。 与2022年度决算数持平。</w:t>
      </w:r>
    </w:p>
    <w:p>
      <w:pPr>
        <w:autoSpaceDE w:val="0"/>
        <w:autoSpaceDN w:val="0"/>
        <w:adjustRightInd w:val="0"/>
        <w:spacing w:line="600" w:lineRule="exact"/>
        <w:ind w:firstLine="643" w:firstLineChars="200"/>
        <w:jc w:val="left"/>
        <w:outlineLvl w:val="2"/>
        <w:rPr>
          <w:rFonts w:hint="eastAsia" w:ascii="仿宋" w:hAnsi="仿宋" w:eastAsia="仿宋" w:cs="仿宋"/>
          <w:b/>
          <w:sz w:val="32"/>
          <w:szCs w:val="32"/>
        </w:rPr>
      </w:pPr>
      <w:bookmarkStart w:id="51" w:name="_Toc15377223"/>
      <w:r>
        <w:rPr>
          <w:rFonts w:hint="eastAsia" w:ascii="仿宋" w:hAnsi="仿宋" w:eastAsia="仿宋" w:cs="仿宋"/>
          <w:b/>
          <w:sz w:val="32"/>
          <w:szCs w:val="32"/>
        </w:rPr>
        <w:t>（二）政府采购支出情况</w:t>
      </w:r>
      <w:bookmarkEnd w:id="51"/>
    </w:p>
    <w:p>
      <w:pPr>
        <w:autoSpaceDE w:val="0"/>
        <w:autoSpaceDN w:val="0"/>
        <w:adjustRightInd w:val="0"/>
        <w:spacing w:line="600" w:lineRule="exact"/>
        <w:ind w:firstLine="640" w:firstLineChars="200"/>
        <w:jc w:val="left"/>
        <w:outlineLvl w:val="2"/>
        <w:rPr>
          <w:rFonts w:hint="eastAsia" w:ascii="仿宋" w:hAnsi="仿宋" w:eastAsia="仿宋" w:cs="仿宋"/>
          <w:sz w:val="32"/>
          <w:szCs w:val="32"/>
        </w:rPr>
      </w:pPr>
      <w:r>
        <w:rPr>
          <w:rFonts w:hint="eastAsia" w:ascii="仿宋" w:hAnsi="仿宋" w:eastAsia="仿宋" w:cs="仿宋"/>
          <w:sz w:val="32"/>
          <w:szCs w:val="32"/>
        </w:rPr>
        <w:t>2023年度，</w:t>
      </w:r>
      <w:r>
        <w:rPr>
          <w:rFonts w:hint="eastAsia" w:ascii="仿宋" w:hAnsi="仿宋" w:eastAsia="仿宋" w:cs="仿宋"/>
          <w:color w:val="auto"/>
          <w:sz w:val="32"/>
          <w:szCs w:val="32"/>
        </w:rPr>
        <w:t>遂宁市安居区</w:t>
      </w:r>
      <w:r>
        <w:rPr>
          <w:rFonts w:hint="eastAsia" w:ascii="仿宋" w:hAnsi="仿宋" w:eastAsia="仿宋" w:cs="仿宋"/>
          <w:color w:val="auto"/>
          <w:sz w:val="32"/>
          <w:szCs w:val="32"/>
          <w:lang w:val="en-US" w:eastAsia="zh-CN"/>
        </w:rPr>
        <w:t>常理镇龙头小学校</w:t>
      </w:r>
      <w:r>
        <w:rPr>
          <w:rFonts w:hint="eastAsia" w:ascii="仿宋" w:hAnsi="仿宋" w:eastAsia="仿宋" w:cs="仿宋"/>
          <w:sz w:val="32"/>
          <w:szCs w:val="32"/>
        </w:rPr>
        <w:t>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autoSpaceDE w:val="0"/>
        <w:autoSpaceDN w:val="0"/>
        <w:adjustRightInd w:val="0"/>
        <w:spacing w:line="600" w:lineRule="exact"/>
        <w:ind w:firstLine="643" w:firstLineChars="200"/>
        <w:jc w:val="left"/>
        <w:outlineLvl w:val="2"/>
        <w:rPr>
          <w:rFonts w:hint="eastAsia" w:ascii="仿宋" w:hAnsi="仿宋" w:eastAsia="仿宋" w:cs="仿宋"/>
          <w:b/>
          <w:sz w:val="32"/>
          <w:szCs w:val="32"/>
        </w:rPr>
      </w:pPr>
      <w:bookmarkStart w:id="52" w:name="_Toc15377224"/>
      <w:r>
        <w:rPr>
          <w:rFonts w:hint="eastAsia" w:ascii="仿宋" w:hAnsi="仿宋" w:eastAsia="仿宋" w:cs="仿宋"/>
          <w:b/>
          <w:sz w:val="32"/>
          <w:szCs w:val="32"/>
        </w:rPr>
        <w:t>（三）国有资产占有使用情况</w:t>
      </w:r>
      <w:bookmarkEnd w:id="52"/>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截至2023年12月31日，</w:t>
      </w:r>
      <w:r>
        <w:rPr>
          <w:rFonts w:hint="eastAsia" w:ascii="仿宋" w:hAnsi="仿宋" w:eastAsia="仿宋" w:cs="仿宋"/>
          <w:color w:val="auto"/>
          <w:sz w:val="32"/>
          <w:szCs w:val="32"/>
          <w:lang w:eastAsia="zh-CN"/>
        </w:rPr>
        <w:t>遂宁市安居区常理镇龙头小学校</w:t>
      </w:r>
      <w:r>
        <w:rPr>
          <w:rFonts w:hint="eastAsia" w:ascii="仿宋" w:hAnsi="仿宋" w:eastAsia="仿宋" w:cs="仿宋"/>
          <w:sz w:val="32"/>
          <w:szCs w:val="32"/>
        </w:rPr>
        <w:t>共有车辆0辆，其中：主要领导干部用车0辆、机要通信用车0辆、应急保障用车0辆、其他用车0辆。单价100万元以上设备（不含车辆）0台（套）。。</w:t>
      </w:r>
    </w:p>
    <w:p>
      <w:pPr>
        <w:autoSpaceDE w:val="0"/>
        <w:autoSpaceDN w:val="0"/>
        <w:adjustRightInd w:val="0"/>
        <w:spacing w:line="600" w:lineRule="exact"/>
        <w:ind w:firstLine="643" w:firstLineChars="200"/>
        <w:jc w:val="left"/>
        <w:outlineLvl w:val="2"/>
        <w:rPr>
          <w:rFonts w:hint="eastAsia" w:ascii="仿宋" w:hAnsi="仿宋" w:eastAsia="仿宋" w:cs="仿宋"/>
          <w:b/>
          <w:sz w:val="32"/>
          <w:szCs w:val="32"/>
        </w:rPr>
      </w:pPr>
      <w:r>
        <w:rPr>
          <w:rFonts w:hint="eastAsia" w:ascii="仿宋" w:hAnsi="仿宋" w:eastAsia="仿宋" w:cs="仿宋"/>
          <w:b/>
          <w:sz w:val="32"/>
          <w:szCs w:val="32"/>
        </w:rPr>
        <w:t>（四）预算绩效管理情况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本部门按要求对</w:t>
      </w:r>
      <w:r>
        <w:rPr>
          <w:rFonts w:hint="eastAsia" w:ascii="仿宋" w:hAnsi="仿宋" w:eastAsia="仿宋" w:cs="仿宋"/>
          <w:sz w:val="32"/>
          <w:szCs w:val="32"/>
          <w:lang w:eastAsia="zh-CN"/>
        </w:rPr>
        <w:t>2023年</w:t>
      </w:r>
      <w:r>
        <w:rPr>
          <w:rFonts w:hint="eastAsia" w:ascii="仿宋" w:hAnsi="仿宋" w:eastAsia="仿宋" w:cs="仿宋"/>
          <w:sz w:val="32"/>
          <w:szCs w:val="32"/>
        </w:rPr>
        <w:t>部门整体支出开展绩效自评，从评价情况来看</w:t>
      </w:r>
      <w:r>
        <w:rPr>
          <w:rFonts w:hint="eastAsia" w:ascii="仿宋" w:hAnsi="仿宋" w:eastAsia="仿宋" w:cs="仿宋"/>
          <w:sz w:val="32"/>
          <w:szCs w:val="32"/>
          <w:lang w:eastAsia="zh-CN"/>
        </w:rPr>
        <w:t>遂宁市安居区常理镇龙头小学校</w:t>
      </w:r>
      <w:r>
        <w:rPr>
          <w:rFonts w:hint="eastAsia" w:ascii="仿宋" w:hAnsi="仿宋" w:eastAsia="仿宋" w:cs="仿宋"/>
          <w:sz w:val="32"/>
          <w:szCs w:val="32"/>
        </w:rPr>
        <w:t>将部门整体支出绩效评价作为财政预算资金使用管理的一项重要工作，切实加强预算收支管理，全面梳理内部管理流程，建立健全内部管理制度，有效提升了部门整体支出管理水平。</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遂宁市安居区常理镇龙头小学校2023年</w:t>
      </w:r>
      <w:r>
        <w:rPr>
          <w:rFonts w:hint="eastAsia" w:ascii="仿宋" w:hAnsi="仿宋" w:eastAsia="仿宋" w:cs="仿宋"/>
          <w:sz w:val="32"/>
          <w:szCs w:val="32"/>
        </w:rPr>
        <w:t>部门整体支出绩效评价报告》见附件（附件1）。</w:t>
      </w:r>
    </w:p>
    <w:p>
      <w:pPr>
        <w:widowControl/>
        <w:jc w:val="left"/>
        <w:rPr>
          <w:rFonts w:hint="eastAsia" w:ascii="仿宋" w:hAnsi="仿宋" w:eastAsia="仿宋" w:cs="仿宋"/>
          <w:b/>
          <w:sz w:val="32"/>
          <w:szCs w:val="32"/>
        </w:rPr>
      </w:pPr>
      <w:r>
        <w:rPr>
          <w:rFonts w:hint="eastAsia" w:ascii="仿宋" w:hAnsi="仿宋" w:eastAsia="仿宋" w:cs="仿宋"/>
          <w:b/>
          <w:sz w:val="32"/>
          <w:szCs w:val="32"/>
        </w:rPr>
        <w:br w:type="page"/>
      </w:r>
    </w:p>
    <w:p>
      <w:pPr>
        <w:numPr>
          <w:ilvl w:val="0"/>
          <w:numId w:val="6"/>
        </w:numPr>
        <w:spacing w:line="600" w:lineRule="exact"/>
        <w:ind w:firstLine="660" w:firstLineChars="150"/>
        <w:jc w:val="center"/>
        <w:outlineLvl w:val="0"/>
        <w:rPr>
          <w:rStyle w:val="24"/>
          <w:rFonts w:hint="eastAsia" w:ascii="仿宋" w:hAnsi="仿宋" w:eastAsia="仿宋" w:cs="仿宋"/>
          <w:b w:val="0"/>
        </w:rPr>
      </w:pPr>
      <w:bookmarkStart w:id="53" w:name="_Toc15377225"/>
      <w:bookmarkStart w:id="54" w:name="_Toc15396613"/>
      <w:r>
        <w:rPr>
          <w:rFonts w:hint="eastAsia" w:ascii="仿宋" w:hAnsi="仿宋" w:eastAsia="仿宋" w:cs="仿宋"/>
          <w:sz w:val="44"/>
          <w:szCs w:val="44"/>
        </w:rPr>
        <w:t>名</w:t>
      </w:r>
      <w:r>
        <w:rPr>
          <w:rStyle w:val="24"/>
          <w:rFonts w:hint="eastAsia" w:ascii="仿宋" w:hAnsi="仿宋" w:eastAsia="仿宋" w:cs="仿宋"/>
          <w:b w:val="0"/>
        </w:rPr>
        <w:t>词解释</w:t>
      </w:r>
      <w:bookmarkEnd w:id="53"/>
      <w:bookmarkEnd w:id="54"/>
    </w:p>
    <w:p>
      <w:pPr>
        <w:spacing w:line="600" w:lineRule="exact"/>
        <w:jc w:val="left"/>
        <w:rPr>
          <w:rFonts w:hint="eastAsia" w:ascii="仿宋" w:hAnsi="仿宋" w:eastAsia="仿宋" w:cs="仿宋"/>
          <w:b/>
          <w:sz w:val="44"/>
          <w:szCs w:val="44"/>
        </w:rPr>
      </w:pPr>
    </w:p>
    <w:p>
      <w:pPr>
        <w:pStyle w:val="22"/>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1.财政拨款收入：指单位从同级财政部门取得的财政预算资金。</w:t>
      </w:r>
    </w:p>
    <w:p>
      <w:pPr>
        <w:pStyle w:val="22"/>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2.事业收入：指事业单位开展专业业务活动及辅助活动取得的收入。如…（二级预算单位事业收入情况）等。</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3.教育（205类）普通教育（02款）</w:t>
      </w:r>
      <w:r>
        <w:rPr>
          <w:rFonts w:hint="eastAsia" w:ascii="仿宋" w:hAnsi="仿宋" w:eastAsia="仿宋" w:cs="仿宋"/>
          <w:sz w:val="32"/>
          <w:szCs w:val="32"/>
          <w:lang w:val="en-US" w:eastAsia="zh-CN"/>
        </w:rPr>
        <w:t>小学</w:t>
      </w:r>
      <w:r>
        <w:rPr>
          <w:rFonts w:hint="eastAsia" w:ascii="仿宋" w:hAnsi="仿宋" w:eastAsia="仿宋" w:cs="仿宋"/>
          <w:sz w:val="32"/>
          <w:szCs w:val="32"/>
        </w:rPr>
        <w:t>教育（0</w:t>
      </w:r>
      <w:r>
        <w:rPr>
          <w:rFonts w:hint="eastAsia" w:ascii="仿宋" w:hAnsi="仿宋" w:eastAsia="仿宋" w:cs="仿宋"/>
          <w:sz w:val="32"/>
          <w:szCs w:val="32"/>
          <w:lang w:val="en-US" w:eastAsia="zh-CN"/>
        </w:rPr>
        <w:t>2</w:t>
      </w:r>
      <w:r>
        <w:rPr>
          <w:rFonts w:hint="eastAsia" w:ascii="仿宋" w:hAnsi="仿宋" w:eastAsia="仿宋" w:cs="仿宋"/>
          <w:sz w:val="32"/>
          <w:szCs w:val="32"/>
        </w:rPr>
        <w:t>项）: 反映各部门举办的</w:t>
      </w:r>
      <w:r>
        <w:rPr>
          <w:rFonts w:hint="eastAsia" w:ascii="仿宋" w:hAnsi="仿宋" w:eastAsia="仿宋" w:cs="仿宋"/>
          <w:sz w:val="32"/>
          <w:szCs w:val="32"/>
          <w:lang w:val="en-US" w:eastAsia="zh-CN"/>
        </w:rPr>
        <w:t>小学</w:t>
      </w:r>
      <w:r>
        <w:rPr>
          <w:rFonts w:hint="eastAsia" w:ascii="仿宋" w:hAnsi="仿宋" w:eastAsia="仿宋" w:cs="仿宋"/>
          <w:sz w:val="32"/>
          <w:szCs w:val="32"/>
        </w:rPr>
        <w:t>教育支出。政府各部门对社会中介组织等举办的</w:t>
      </w:r>
      <w:r>
        <w:rPr>
          <w:rFonts w:hint="eastAsia" w:ascii="仿宋" w:hAnsi="仿宋" w:eastAsia="仿宋" w:cs="仿宋"/>
          <w:sz w:val="32"/>
          <w:szCs w:val="32"/>
          <w:lang w:val="en-US" w:eastAsia="zh-CN"/>
        </w:rPr>
        <w:t>小学</w:t>
      </w:r>
      <w:r>
        <w:rPr>
          <w:rFonts w:hint="eastAsia" w:ascii="仿宋" w:hAnsi="仿宋" w:eastAsia="仿宋" w:cs="仿宋"/>
          <w:sz w:val="32"/>
          <w:szCs w:val="32"/>
        </w:rPr>
        <w:t>教育的资助，如各类捐赠、补贴等，也在本科目中反映。</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4.社会保障和就业（208类）行政事业单位离退休（05款）机关事业单位基本养老保险缴费支出（05项）: 反映机关事业单位实施养老保险制度由单位缴纳的基本养老保险费支出。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5.社会保障和就业（208类）抚恤（08款）死亡抚恤（01项）: 反映按规定用于烈士和牺牲、病故人员家属的一次性和定期抚恤金以及丧葬补助费。</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6.社会保障和就业（208类）其他社会保障和就业支出（99款）其他社会保障和就业支出（01项）: 反映上述项目以外其他用于社会保障和就业方面的支出。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卫生健康</w:t>
      </w:r>
      <w:r>
        <w:rPr>
          <w:rFonts w:hint="eastAsia" w:ascii="仿宋" w:hAnsi="仿宋" w:eastAsia="仿宋" w:cs="仿宋"/>
          <w:sz w:val="32"/>
          <w:szCs w:val="32"/>
        </w:rPr>
        <w:t>（210类）行政事业单位医疗（11款）行政单位医疗（01项）:反映财政部门集中安排的行政单位基本医疗保险缴费经费，未参加医疗保险的行政单位的公费医疗经费，按国家规定享受离休人员、红军老战士待遇人员的医疗经费。</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卫生健康</w:t>
      </w:r>
      <w:r>
        <w:rPr>
          <w:rFonts w:hint="eastAsia" w:ascii="仿宋" w:hAnsi="仿宋" w:eastAsia="仿宋" w:cs="仿宋"/>
          <w:sz w:val="32"/>
          <w:szCs w:val="32"/>
        </w:rPr>
        <w:t>（210类）行政事业单位医疗（11款）事业单位医疗（02项）:反映财政部门集中安排的事业单位基本医疗保险缴费经费，未参加医疗保险的事业单位的公费医疗经费，按国家规定享受离休人员待遇的医疗经费。</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w:t>
      </w:r>
      <w:r>
        <w:rPr>
          <w:rFonts w:hint="eastAsia" w:ascii="仿宋" w:hAnsi="仿宋" w:eastAsia="仿宋" w:cs="仿宋"/>
          <w:sz w:val="32"/>
          <w:szCs w:val="32"/>
          <w:lang w:val="en-US" w:eastAsia="zh-CN"/>
        </w:rPr>
        <w:t>卫生健康</w:t>
      </w:r>
      <w:r>
        <w:rPr>
          <w:rFonts w:hint="eastAsia" w:ascii="仿宋" w:hAnsi="仿宋" w:eastAsia="仿宋" w:cs="仿宋"/>
          <w:sz w:val="32"/>
          <w:szCs w:val="32"/>
        </w:rPr>
        <w:t>（210类）行政事业单位医疗（11款）公务员医疗补助（03项）:反映财政部门集中安排的公务员医疗补助经费。</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10.住房保障支出（221类）住房改革支出（02款）住房公积金（01项）:反映行政事业单位按人力资源和社会保障部、财政部规定的基本工资和津贴补贴以及规定比例为职工缴纳的住房公积金。</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11.基本支出：指为保障机构正常运转、完成日常工作任务而发生的人员支出和公用支出。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12.项目支出：指在基本支出之外为完成特定行政任务和事业发展目标所发生的支出。</w:t>
      </w:r>
    </w:p>
    <w:p>
      <w:pPr>
        <w:autoSpaceDE w:val="0"/>
        <w:autoSpaceDN w:val="0"/>
        <w:adjustRightIn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hint="eastAsia" w:ascii="仿宋" w:hAnsi="仿宋" w:eastAsia="仿宋" w:cs="仿宋"/>
          <w:color w:val="auto"/>
          <w:sz w:val="32"/>
          <w:szCs w:val="32"/>
        </w:rPr>
      </w:pPr>
    </w:p>
    <w:p>
      <w:pPr>
        <w:spacing w:line="600" w:lineRule="exact"/>
        <w:jc w:val="center"/>
        <w:outlineLvl w:val="0"/>
        <w:rPr>
          <w:rStyle w:val="24"/>
          <w:rFonts w:hint="eastAsia" w:ascii="仿宋" w:hAnsi="仿宋" w:eastAsia="仿宋" w:cs="仿宋"/>
          <w:b w:val="0"/>
        </w:rPr>
      </w:pPr>
      <w:bookmarkStart w:id="55" w:name="_Toc15396614"/>
      <w:bookmarkStart w:id="56" w:name="_Toc15377226"/>
      <w:r>
        <w:rPr>
          <w:rFonts w:hint="eastAsia" w:ascii="仿宋" w:hAnsi="仿宋" w:eastAsia="仿宋" w:cs="仿宋"/>
          <w:sz w:val="44"/>
          <w:szCs w:val="44"/>
        </w:rPr>
        <w:t>第</w:t>
      </w:r>
      <w:r>
        <w:rPr>
          <w:rStyle w:val="24"/>
          <w:rFonts w:hint="eastAsia" w:ascii="仿宋" w:hAnsi="仿宋" w:eastAsia="仿宋" w:cs="仿宋"/>
          <w:b w:val="0"/>
        </w:rPr>
        <w:t>四部分 附件</w:t>
      </w:r>
      <w:bookmarkEnd w:id="55"/>
    </w:p>
    <w:p>
      <w:pPr>
        <w:spacing w:line="600" w:lineRule="exact"/>
        <w:jc w:val="left"/>
        <w:outlineLvl w:val="0"/>
        <w:rPr>
          <w:rFonts w:hint="eastAsia" w:ascii="仿宋" w:hAnsi="仿宋" w:eastAsia="仿宋" w:cs="仿宋"/>
          <w:sz w:val="32"/>
          <w:szCs w:val="32"/>
        </w:rPr>
      </w:pPr>
      <w:bookmarkStart w:id="57" w:name="_Toc15396618"/>
      <w:r>
        <w:rPr>
          <w:rFonts w:hint="eastAsia" w:ascii="仿宋" w:hAnsi="仿宋" w:eastAsia="仿宋" w:cs="仿宋"/>
          <w:sz w:val="32"/>
          <w:szCs w:val="32"/>
        </w:rPr>
        <w:t>附件1</w:t>
      </w:r>
    </w:p>
    <w:p>
      <w:pPr>
        <w:spacing w:line="560" w:lineRule="exact"/>
        <w:jc w:val="center"/>
        <w:rPr>
          <w:rFonts w:hint="eastAsia" w:ascii="仿宋" w:hAnsi="仿宋" w:eastAsia="仿宋" w:cs="仿宋"/>
          <w:color w:val="000000"/>
          <w:kern w:val="0"/>
          <w:sz w:val="40"/>
          <w:szCs w:val="44"/>
          <w:lang w:val="zh-CN"/>
        </w:rPr>
      </w:pPr>
      <w:r>
        <w:rPr>
          <w:rFonts w:hint="eastAsia" w:ascii="仿宋" w:hAnsi="仿宋" w:eastAsia="仿宋" w:cs="仿宋"/>
          <w:color w:val="000000"/>
          <w:kern w:val="0"/>
          <w:sz w:val="40"/>
          <w:szCs w:val="44"/>
          <w:lang w:eastAsia="zh-CN"/>
        </w:rPr>
        <w:t>2023年</w:t>
      </w:r>
      <w:r>
        <w:rPr>
          <w:rFonts w:hint="eastAsia" w:ascii="仿宋" w:hAnsi="仿宋" w:eastAsia="仿宋" w:cs="仿宋"/>
          <w:color w:val="000000"/>
          <w:kern w:val="0"/>
          <w:sz w:val="40"/>
          <w:szCs w:val="44"/>
        </w:rPr>
        <w:t>部门</w:t>
      </w:r>
      <w:r>
        <w:rPr>
          <w:rFonts w:hint="eastAsia" w:ascii="仿宋" w:hAnsi="仿宋" w:eastAsia="仿宋" w:cs="仿宋"/>
          <w:color w:val="000000"/>
          <w:kern w:val="0"/>
          <w:sz w:val="40"/>
          <w:szCs w:val="44"/>
          <w:lang w:val="zh-CN"/>
        </w:rPr>
        <w:t>整体支出绩效评价报告</w:t>
      </w:r>
    </w:p>
    <w:p>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rPr>
      </w:pP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一、部门（单位）概况</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（一）机构组成</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1．行政办公室</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2．财务室</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3．教导处</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4．教研室</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5．德育处</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6．体艺部</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7．安全办</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lang w:eastAsia="zh-CN"/>
        </w:rPr>
        <w:t>遂宁市安居区常理镇龙头小学校</w:t>
      </w:r>
      <w:r>
        <w:rPr>
          <w:rFonts w:hint="eastAsia" w:ascii="仿宋" w:hAnsi="仿宋" w:eastAsia="仿宋" w:cs="仿宋"/>
          <w:sz w:val="32"/>
          <w:szCs w:val="32"/>
        </w:rPr>
        <w:t>共设有7个内设部门。</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（二）机构职能</w:t>
      </w:r>
    </w:p>
    <w:p>
      <w:pPr>
        <w:jc w:val="center"/>
        <w:rPr>
          <w:rFonts w:hint="eastAsia" w:ascii="仿宋" w:hAnsi="仿宋" w:eastAsia="仿宋" w:cs="仿宋"/>
          <w:sz w:val="32"/>
          <w:szCs w:val="32"/>
        </w:rPr>
      </w:pPr>
      <w:r>
        <w:rPr>
          <w:rFonts w:hint="eastAsia" w:ascii="仿宋" w:hAnsi="仿宋" w:eastAsia="仿宋" w:cs="仿宋"/>
          <w:sz w:val="32"/>
          <w:szCs w:val="32"/>
        </w:rPr>
        <w:t>行政办公室工作职责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行政办公室是在校长的直接领导下做好学校日常工作的部门，协助校长制订、贯彻和落实学校改革方案、工作计划；经常检查执行情况，严格执行催办制度。其职责是：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1.负责掌管校印、校领导印章；做好学校介绍信的管理和使用。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2.负责召集学校行政会议，教工大会；督促、检查、执行会议决议。做好校内会议，特别是临时性会议的准备工作。负责学校各种会议的记录工作。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3.协助校领导搞好与各有关单位的联络工作。协调各处室、年级的关系，保证学校各处室工作协调运转。</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负责学校意识形态工作，承办校长及办公室的重要文字材料等各项文字工作。如：学校的工作计划，年度总结及各类经验、检查等文字材料。负责校内发文的各种报告、请示等的起草、核稿。负责学校大事记的记录、整理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5.负责学校教师档案、年度考核、职称评聘、转正、晋级增资、调进调出、离退休等工作。收集各级先进工作者的推选及评审等工作。做好阶段性迎检工作、上级考核、教师评价与考核工作。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6.对全校的文书档案进行管理，负责全校文书档案和各种专门档案的收集、整理、保管和提供利用工作，做好各级文件的收发和保管、保密工作。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7.负责学校统计工作，确保重要数据准确、真实、有效。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8.负责学生学籍管理，协助教务室做好教务考务管理工作。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9.负责招生工作，妥善保管招生资料。具体工作如下：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①执行教育部和省教育厅有关招生工作的政策和法规，落实省、市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区</w:t>
      </w:r>
      <w:r>
        <w:rPr>
          <w:rFonts w:hint="eastAsia" w:ascii="仿宋" w:hAnsi="仿宋" w:eastAsia="仿宋" w:cs="仿宋"/>
          <w:sz w:val="32"/>
          <w:szCs w:val="32"/>
        </w:rPr>
        <w:t>招生委员会相关工作方案和实施细则。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②深入研究学校招生工作规律和特点，制定切实可行的学校招生工作规程和年度工作计划。在充分调研论证的基础上，为学校制定年度招生计划提供工作预案。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③具体负责学校招生组织网络的构建，并负责实施相关人员的岗前培训等。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④充分利用现代媒体，拓展招生宣传渠道，负责编印、寄发相关宣传材料，举办招生宣传专题活动。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⑤做好日常接待和招生咨询工作，采取积极有效的方式，为学生、家长及基层学校提供高效优质的招生服务。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⑥具体负责新生的资格审查、报名注册和分类造册等工作，协助教务处做好新生入学进班工作。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10.负责学校资产管理、绿化管理、校园网络建设及管理等，做好如下后勤保障工作：</w:t>
      </w:r>
    </w:p>
    <w:p>
      <w:pPr>
        <w:ind w:firstLine="480" w:firstLineChars="150"/>
        <w:rPr>
          <w:rFonts w:hint="eastAsia" w:ascii="仿宋" w:hAnsi="仿宋" w:eastAsia="仿宋" w:cs="仿宋"/>
          <w:sz w:val="32"/>
          <w:szCs w:val="32"/>
        </w:rPr>
      </w:pPr>
      <w:r>
        <w:rPr>
          <w:rFonts w:hint="eastAsia" w:ascii="仿宋" w:hAnsi="仿宋" w:eastAsia="仿宋" w:cs="仿宋"/>
          <w:sz w:val="32"/>
          <w:szCs w:val="32"/>
        </w:rPr>
        <w:t xml:space="preserve"> ①根据学校教育、教学需要，做好提供各种教学设备和办公用品等服务性工作；积极参与学校现代化教学设施设备的建设工作；负责学校网络建设运行工作。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②做好供水、供电、医疗卫生工作，努力创造良好的生活环境，方便师生生活；定期进行卫生检查，预防事故发生，不断提高服务质量。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③负责校舍、校园的建设和管理，做好学校功能室建设、运用和管理工作。协助学校领导制订并实施校园整体建设规划，做好校舍维修以及校园净化、绿化和美化等工作。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④加强学校固定资产管理工作，建立健全固定资产账目，严格执行国家有关财产物资管理制度。</w:t>
      </w:r>
    </w:p>
    <w:p>
      <w:pPr>
        <w:jc w:val="center"/>
        <w:rPr>
          <w:rFonts w:hint="eastAsia" w:ascii="仿宋" w:hAnsi="仿宋" w:eastAsia="仿宋" w:cs="仿宋"/>
          <w:sz w:val="32"/>
          <w:szCs w:val="32"/>
        </w:rPr>
      </w:pPr>
      <w:r>
        <w:rPr>
          <w:rFonts w:hint="eastAsia" w:ascii="仿宋" w:hAnsi="仿宋" w:eastAsia="仿宋" w:cs="仿宋"/>
          <w:sz w:val="32"/>
          <w:szCs w:val="32"/>
        </w:rPr>
        <w:t>财务室工作职责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1.在校长的领导和上级财务部门的指导下，遵守国家财经法纪和财务制度，组织全校财务管理与会计核算工作。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2.负责组织制订、完善学校内部财务会计规章制度，并监督各部门贯彻执行。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3.积极筹集资金，广开筹资渠道，保证学校各项收入足额收缴，各项拨款及其他资金及时到位。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4.负责组织编制学校各项财务收支计划、经费预决算，监督检查计划、预算的执行情况。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5.根据审核后的学校财务预算，负责合理安排财务支出和财务核算，保证学校各项工作顺利进行。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6.负责组织开展学校财产清查的具体工作和会计核算工作。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7.负责组织开展财务分析，及时查找并改进财务工作的漏洞与不足，努力提高资金使用效益。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8.负责学校日常收支具体业务工作，组织收入，合理支出，做好相关收支票据审核工作，保障学校一切工作正常运行。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9.参与学校工作人员绩效考核、教育教学质量考核、课后服务考核岗位系数的调整、论证工作，协助教学管理部和办公室做好考核档案归档管理工作，组织发放相关待遇。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10.负责学校教职工工资发放等一切福利待遇保障工作。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11.参与学校重要收支事项的会议研讨工作，提出财务制度要求范围内的合理实施建议和意见。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12.负责组织会计人员进行政治学习与业务学习，检查协调各岗位的工作，不断提高财务人员的业务水平与服务质量。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13.积极完成校领导交办的其他工作。</w:t>
      </w:r>
    </w:p>
    <w:p>
      <w:pPr>
        <w:jc w:val="center"/>
        <w:rPr>
          <w:rFonts w:hint="eastAsia" w:ascii="仿宋" w:hAnsi="仿宋" w:eastAsia="仿宋" w:cs="仿宋"/>
          <w:sz w:val="32"/>
          <w:szCs w:val="32"/>
        </w:rPr>
      </w:pPr>
      <w:r>
        <w:rPr>
          <w:rFonts w:hint="eastAsia" w:ascii="仿宋" w:hAnsi="仿宋" w:eastAsia="仿宋" w:cs="仿宋"/>
          <w:sz w:val="32"/>
          <w:szCs w:val="32"/>
        </w:rPr>
        <w:t>教导处工作职责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1.认真完成上级及校长下达的各项工作任务；根据学校工作计划制定教务工作计划并组织实施；提出各学科教学、教辅人员工作安排方案，经校长办公会议审定后具体组织落实。</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健全教师业务档案、学生档案，教务、考务、考勤、成绩统计等管理工作；编班、排课、调课、安排代课，编制课程表、作息时间表以及其他教学用表；积累教学资料，并整理归档；对教务处工作人员进行考核评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4.做好学生课外活动和学科竞赛活动的指导、组织和检查工作；组织落实各级教育行政部门举行的各类学科竞赛。</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5.协助校长制定教师进修规划并组织实施，努力发挥老教师的作用，加强对教学骨干和新生力量的培养。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6.注重培养青年教师，搞好青年教师的拜师结对工作和举行青年教师的教学大奖赛活动。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7.完成校长会议布置的</w:t>
      </w:r>
      <w:r>
        <w:rPr>
          <w:rFonts w:hint="eastAsia" w:ascii="仿宋" w:hAnsi="仿宋" w:eastAsia="仿宋" w:cs="仿宋"/>
          <w:sz w:val="32"/>
          <w:szCs w:val="32"/>
          <w:lang w:eastAsia="zh-CN"/>
        </w:rPr>
        <w:t>其他</w:t>
      </w:r>
      <w:r>
        <w:rPr>
          <w:rFonts w:hint="eastAsia" w:ascii="仿宋" w:hAnsi="仿宋" w:eastAsia="仿宋" w:cs="仿宋"/>
          <w:sz w:val="32"/>
          <w:szCs w:val="32"/>
        </w:rPr>
        <w:t>工作。</w:t>
      </w:r>
    </w:p>
    <w:p>
      <w:pPr>
        <w:jc w:val="center"/>
        <w:rPr>
          <w:rFonts w:hint="eastAsia" w:ascii="仿宋" w:hAnsi="仿宋" w:eastAsia="仿宋" w:cs="仿宋"/>
          <w:sz w:val="32"/>
          <w:szCs w:val="32"/>
        </w:rPr>
      </w:pPr>
      <w:r>
        <w:rPr>
          <w:rFonts w:hint="eastAsia" w:ascii="仿宋" w:hAnsi="仿宋" w:eastAsia="仿宋" w:cs="仿宋"/>
          <w:sz w:val="32"/>
          <w:szCs w:val="32"/>
        </w:rPr>
        <w:t>教研室工作职责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教研室是学校负责教育教学研究工作的机构，为学校的教育教学及其他管理提供业务指导和信息服务，其主要职责：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1.制定明确的教研工作计划，探索教学特色和教学方法，不断提高教师业务水平和整体素质；对各学科教研组提出教研目标，进行业务指导与评估验收。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2.负责校本课题的立项、审定、管理及评估，负责</w:t>
      </w:r>
      <w:r>
        <w:rPr>
          <w:rFonts w:hint="eastAsia" w:ascii="仿宋" w:hAnsi="仿宋" w:eastAsia="仿宋" w:cs="仿宋"/>
          <w:sz w:val="32"/>
          <w:szCs w:val="32"/>
          <w:lang w:eastAsia="zh-CN"/>
        </w:rPr>
        <w:t>其他</w:t>
      </w:r>
      <w:r>
        <w:rPr>
          <w:rFonts w:hint="eastAsia" w:ascii="仿宋" w:hAnsi="仿宋" w:eastAsia="仿宋" w:cs="仿宋"/>
          <w:sz w:val="32"/>
          <w:szCs w:val="32"/>
        </w:rPr>
        <w:t>研究课题的申报、立项、督办及管理。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3.收集教育科研信息，组织教师学习研讨教育理论，负责教师继续教育培训的组织工作。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4.负责组织教师科研论文的撰写与评审，并向各级报刊及学术会议推荐。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5.负责组织学校领导及专家深入教学一线听课、评课，指导教师的教学。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6.负责领导教研组长及教研员。指导教研组、备课组进行教材教法的研究，开展教研活动并对其工作进行督导、检查和指导。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7.负责组织学校期中期末考试的命题工作。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8.负责组织应聘教师的试教和评议工作。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9.负责指导各教研组开展各种研究课、公开课、观摩课、示范课活动；负责国家、省、市、校各级赛课活动的组织及选送。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10.负责组织教师参加各类学术、教研交流活动。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11.负责学生课外兴趣活动小组的组建及活动开展的组织工作。加强各</w:t>
      </w:r>
      <w:r>
        <w:rPr>
          <w:rFonts w:hint="eastAsia" w:ascii="仿宋" w:hAnsi="仿宋" w:eastAsia="仿宋" w:cs="仿宋"/>
          <w:sz w:val="32"/>
          <w:szCs w:val="32"/>
          <w:lang w:val="en-US" w:eastAsia="zh-CN"/>
        </w:rPr>
        <w:t>类</w:t>
      </w:r>
      <w:r>
        <w:rPr>
          <w:rFonts w:hint="eastAsia" w:ascii="仿宋" w:hAnsi="仿宋" w:eastAsia="仿宋" w:cs="仿宋"/>
          <w:sz w:val="32"/>
          <w:szCs w:val="32"/>
        </w:rPr>
        <w:t>学科竞赛活动的培训及组织工作。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12.建立及保管教师的业务档案。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13.会同教务处组织课堂教学研究和评价活动。</w:t>
      </w:r>
    </w:p>
    <w:p>
      <w:pPr>
        <w:jc w:val="center"/>
        <w:rPr>
          <w:rFonts w:hint="eastAsia" w:ascii="仿宋" w:hAnsi="仿宋" w:eastAsia="仿宋" w:cs="仿宋"/>
          <w:sz w:val="32"/>
          <w:szCs w:val="32"/>
        </w:rPr>
      </w:pPr>
      <w:r>
        <w:rPr>
          <w:rFonts w:hint="eastAsia" w:ascii="仿宋" w:hAnsi="仿宋" w:eastAsia="仿宋" w:cs="仿宋"/>
          <w:sz w:val="32"/>
          <w:szCs w:val="32"/>
        </w:rPr>
        <w:t>德育处工作职责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德育处是具体组织学校德育实施的职能部门，其常规工作及职责如下：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一、负责全校德育工作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1.在分管德育工作的校长领导下，组织全校德育工作，努力树立良好的校风和学风。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2.协助校长制定全校德育工作计划。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3.研究德育工作的要求、内容、方法，努力探索新时期德育工作规律，努力做好德育工作。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4.不断改进和完善德育管理制度，加强德育管理。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5.组织开展全校性的学生思想教育活动，加强对学生的思想品德教育和文明行为常规训练。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6.指导共青团、少先队、少代会开展工作，做好健康教育、国防教育、班级文化建设等工作。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7.加强与教务处联系，作为共同教育学生的协调工作。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8.注意收集和交流德育工作信息。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9.主持每周一的升旗仪式，对学生进行爱国主义教育、行为习惯养成教育，指导中队辅导员完成学生个性评价，对各中队德育工作开展情况进行考核、评价。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二、领导年级组长，安排年级组长、班主任工作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1.协助校长选定、安排年级组长、班主任。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2.指导年级组、班级制定工作计划并实施工作计划，检查、考评年级组、班级工作。</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3.协助校长和班主任召开家长会、定期举办家长学校、办好家庭教育讲座，努力把学校、家庭、社会教育结合起来。</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4.召开年级组长、班主任工作会议，组织学习、总结、交流班主任工作经验。努力提高班主任工作水平。</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5.协助年级组长、班主任处理年级、班级中的重大问题和偶发事件。</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6.做好青年班主任的培养工作。</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7.指导班主任探索学生思想品德考评的科学化方法。</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eastAsia="zh-CN"/>
        </w:rPr>
        <w:t>其他</w:t>
      </w:r>
      <w:r>
        <w:rPr>
          <w:rFonts w:hint="eastAsia" w:ascii="仿宋" w:hAnsi="仿宋" w:eastAsia="仿宋" w:cs="仿宋"/>
          <w:sz w:val="32"/>
          <w:szCs w:val="32"/>
        </w:rPr>
        <w:t>工作</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1.对我校德育工作实施情况进行研究。</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2.建立学生奖惩制度并严格执行。</w:t>
      </w:r>
    </w:p>
    <w:p>
      <w:pPr>
        <w:spacing w:line="580" w:lineRule="exact"/>
        <w:jc w:val="center"/>
        <w:rPr>
          <w:rFonts w:hint="eastAsia" w:ascii="仿宋" w:hAnsi="仿宋" w:eastAsia="仿宋" w:cs="仿宋"/>
          <w:sz w:val="32"/>
          <w:szCs w:val="32"/>
        </w:rPr>
      </w:pPr>
      <w:r>
        <w:rPr>
          <w:rFonts w:hint="eastAsia" w:ascii="仿宋" w:hAnsi="仿宋" w:eastAsia="仿宋" w:cs="仿宋"/>
          <w:sz w:val="32"/>
          <w:szCs w:val="32"/>
        </w:rPr>
        <w:t>艺体部工作职责</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艺体部负责全校艺体和科创、信息报道和外宣、现代信息技术教学与管理、校园网站和微信平台管理建设、智慧教育实践研究等：</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1.建立健全艺体工作管理制度。</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2.组织管理学校艺体教学和科创教育。</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3.安排好学生的课外体育活动。</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4.抓好艺体及科创活动参赛工作，负责艺体特长生的人才培养与专业训练。</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5.负责利用学校网站及微信公众平台实时开展宣传报道等外宣工作。</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6.加强对学校科创教学活动的指导和研究，开展智慧教育实践研究，做好过程管理及资料归档工作。</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7.抓好艺体教师的思想品德、文化修养和业务培训，提高专业素质。</w:t>
      </w:r>
    </w:p>
    <w:p>
      <w:pPr>
        <w:spacing w:line="580" w:lineRule="exact"/>
        <w:jc w:val="center"/>
        <w:rPr>
          <w:rFonts w:hint="eastAsia" w:ascii="仿宋" w:hAnsi="仿宋" w:eastAsia="仿宋" w:cs="仿宋"/>
          <w:sz w:val="32"/>
          <w:szCs w:val="32"/>
        </w:rPr>
      </w:pPr>
      <w:r>
        <w:rPr>
          <w:rFonts w:hint="eastAsia" w:ascii="仿宋" w:hAnsi="仿宋" w:eastAsia="仿宋" w:cs="仿宋"/>
          <w:sz w:val="32"/>
          <w:szCs w:val="32"/>
        </w:rPr>
        <w:t>安全办工作职责</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1.贯彻“预防为主、确保重点、维护稳定、保障安全”的方针，保持校园良好的教育、教学和生活秩序。</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2.负责全校的安全防火工作，建立消防制度、健全消防组织、定期进行业务训练，管理消防设备，开展防火宣传，进行防火检查，对火灾隐患提出整改意见。</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3.加大门卫管理力度，严禁一切机动车辆、外来三轮车、摩托车、电动车等进入校园，预防发生交通事故，对外来人员实行严格登记制度。</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4.加强治安秩序管理，开展</w:t>
      </w:r>
      <w:r>
        <w:rPr>
          <w:rFonts w:hint="eastAsia" w:ascii="仿宋" w:hAnsi="仿宋" w:eastAsia="仿宋" w:cs="仿宋"/>
          <w:sz w:val="32"/>
          <w:szCs w:val="32"/>
          <w:lang w:eastAsia="zh-CN"/>
        </w:rPr>
        <w:t>法治</w:t>
      </w:r>
      <w:r>
        <w:rPr>
          <w:rFonts w:hint="eastAsia" w:ascii="仿宋" w:hAnsi="仿宋" w:eastAsia="仿宋" w:cs="仿宋"/>
          <w:sz w:val="32"/>
          <w:szCs w:val="32"/>
        </w:rPr>
        <w:t>宣传教育，增强师生员工</w:t>
      </w:r>
      <w:r>
        <w:rPr>
          <w:rFonts w:hint="eastAsia" w:ascii="仿宋" w:hAnsi="仿宋" w:eastAsia="仿宋" w:cs="仿宋"/>
          <w:sz w:val="32"/>
          <w:szCs w:val="32"/>
          <w:lang w:eastAsia="zh-CN"/>
        </w:rPr>
        <w:t>法治观念</w:t>
      </w:r>
      <w:r>
        <w:rPr>
          <w:rFonts w:hint="eastAsia" w:ascii="仿宋" w:hAnsi="仿宋" w:eastAsia="仿宋" w:cs="仿宋"/>
          <w:sz w:val="32"/>
          <w:szCs w:val="32"/>
        </w:rPr>
        <w:t>，预防和减少违法犯罪行为。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5.负责制定治安保卫、安全检查防火等工作的规章制度，制度要害和重点部位的安全保卫措施，</w:t>
      </w:r>
      <w:r>
        <w:rPr>
          <w:rFonts w:hint="eastAsia" w:ascii="仿宋" w:hAnsi="仿宋" w:eastAsia="仿宋" w:cs="仿宋"/>
          <w:sz w:val="32"/>
          <w:szCs w:val="32"/>
          <w:lang w:eastAsia="zh-CN"/>
        </w:rPr>
        <w:t>经常</w:t>
      </w:r>
      <w:r>
        <w:rPr>
          <w:rFonts w:hint="eastAsia" w:ascii="仿宋" w:hAnsi="仿宋" w:eastAsia="仿宋" w:cs="仿宋"/>
          <w:sz w:val="32"/>
          <w:szCs w:val="32"/>
        </w:rPr>
        <w:t>执行情况。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6.负责落实安全保卫责任制和安全技术防范措施，做好防止盗窃、火灾、破坏和其他治安灾害事故的工作。</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7.协助有关处室，做好学校重大活动的安全保卫工作，会同有关单位加强重点要害部门的保卫，确保重点要害部门的安全。</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8.岗位值班人员，要坚守工作岗位，不得擅离职守，当班时间严禁饮酒，不做与值班工作无关的事情。</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9.加强对门卫的领导与管理，建立值班制度，做好接待和来访登记工作。</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10.负责办理校长会议和公安机关交办的其他工作。</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（三）人员情况</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lang w:eastAsia="zh-CN"/>
        </w:rPr>
        <w:t>遂宁市安居区常理镇龙头小学校</w:t>
      </w:r>
      <w:r>
        <w:rPr>
          <w:rFonts w:hint="eastAsia" w:ascii="仿宋" w:hAnsi="仿宋" w:eastAsia="仿宋" w:cs="仿宋"/>
          <w:sz w:val="32"/>
          <w:szCs w:val="32"/>
        </w:rPr>
        <w:t>年初在职教师</w:t>
      </w:r>
      <w:r>
        <w:rPr>
          <w:rFonts w:hint="eastAsia" w:ascii="仿宋" w:hAnsi="仿宋" w:eastAsia="仿宋" w:cs="仿宋"/>
          <w:sz w:val="32"/>
          <w:szCs w:val="32"/>
          <w:lang w:val="en-US" w:eastAsia="zh-CN"/>
        </w:rPr>
        <w:t>19</w:t>
      </w:r>
      <w:r>
        <w:rPr>
          <w:rFonts w:hint="eastAsia" w:ascii="仿宋" w:hAnsi="仿宋" w:eastAsia="仿宋" w:cs="仿宋"/>
          <w:sz w:val="32"/>
          <w:szCs w:val="32"/>
        </w:rPr>
        <w:t>人，年末在职教师</w:t>
      </w:r>
      <w:r>
        <w:rPr>
          <w:rFonts w:hint="eastAsia" w:ascii="仿宋" w:hAnsi="仿宋" w:eastAsia="仿宋" w:cs="仿宋"/>
          <w:sz w:val="32"/>
          <w:szCs w:val="32"/>
          <w:lang w:val="en-US" w:eastAsia="zh-CN"/>
        </w:rPr>
        <w:t>0</w:t>
      </w:r>
      <w:r>
        <w:rPr>
          <w:rFonts w:hint="eastAsia" w:ascii="仿宋" w:hAnsi="仿宋" w:eastAsia="仿宋" w:cs="仿宋"/>
          <w:sz w:val="32"/>
          <w:szCs w:val="32"/>
        </w:rPr>
        <w:t>人，退休</w:t>
      </w:r>
      <w:r>
        <w:rPr>
          <w:rFonts w:hint="eastAsia" w:ascii="仿宋" w:hAnsi="仿宋" w:eastAsia="仿宋" w:cs="仿宋"/>
          <w:sz w:val="32"/>
          <w:szCs w:val="32"/>
          <w:lang w:val="en-US" w:eastAsia="zh-CN"/>
        </w:rPr>
        <w:t>1</w:t>
      </w:r>
      <w:r>
        <w:rPr>
          <w:rFonts w:hint="eastAsia" w:ascii="仿宋" w:hAnsi="仿宋" w:eastAsia="仿宋" w:cs="仿宋"/>
          <w:sz w:val="32"/>
          <w:szCs w:val="32"/>
        </w:rPr>
        <w:t>人，</w:t>
      </w:r>
      <w:r>
        <w:rPr>
          <w:rFonts w:hint="eastAsia" w:ascii="仿宋" w:hAnsi="仿宋" w:eastAsia="仿宋" w:cs="仿宋"/>
          <w:sz w:val="32"/>
          <w:szCs w:val="32"/>
          <w:lang w:val="en-US" w:eastAsia="zh-CN"/>
        </w:rPr>
        <w:t>调出18人，</w:t>
      </w:r>
      <w:r>
        <w:rPr>
          <w:rFonts w:hint="eastAsia" w:ascii="仿宋" w:hAnsi="仿宋" w:eastAsia="仿宋" w:cs="仿宋"/>
          <w:sz w:val="32"/>
          <w:szCs w:val="32"/>
        </w:rPr>
        <w:t>年初退休教师</w:t>
      </w:r>
      <w:r>
        <w:rPr>
          <w:rFonts w:hint="eastAsia" w:ascii="仿宋" w:hAnsi="仿宋" w:eastAsia="仿宋" w:cs="仿宋"/>
          <w:sz w:val="32"/>
          <w:szCs w:val="32"/>
          <w:lang w:val="en-US" w:eastAsia="zh-CN"/>
        </w:rPr>
        <w:t>28</w:t>
      </w:r>
      <w:r>
        <w:rPr>
          <w:rFonts w:hint="eastAsia" w:ascii="仿宋" w:hAnsi="仿宋" w:eastAsia="仿宋" w:cs="仿宋"/>
          <w:sz w:val="32"/>
          <w:szCs w:val="32"/>
        </w:rPr>
        <w:t>人，年末退休教师</w:t>
      </w:r>
      <w:r>
        <w:rPr>
          <w:rFonts w:hint="eastAsia" w:ascii="仿宋" w:hAnsi="仿宋" w:eastAsia="仿宋" w:cs="仿宋"/>
          <w:sz w:val="32"/>
          <w:szCs w:val="32"/>
          <w:lang w:val="en-US" w:eastAsia="zh-CN"/>
        </w:rPr>
        <w:t>29</w:t>
      </w:r>
      <w:r>
        <w:rPr>
          <w:rFonts w:hint="eastAsia" w:ascii="仿宋" w:hAnsi="仿宋" w:eastAsia="仿宋" w:cs="仿宋"/>
          <w:sz w:val="32"/>
          <w:szCs w:val="32"/>
        </w:rPr>
        <w:t>人。</w:t>
      </w:r>
    </w:p>
    <w:p>
      <w:pPr>
        <w:widowControl/>
        <w:adjustRightInd w:val="0"/>
        <w:snapToGrid w:val="0"/>
        <w:spacing w:line="560" w:lineRule="exact"/>
        <w:contextualSpacing/>
        <w:jc w:val="left"/>
        <w:rPr>
          <w:rFonts w:hint="eastAsia" w:ascii="仿宋" w:hAnsi="仿宋" w:eastAsia="仿宋" w:cs="仿宋"/>
          <w:sz w:val="32"/>
          <w:szCs w:val="32"/>
        </w:rPr>
      </w:pPr>
      <w:r>
        <w:rPr>
          <w:rFonts w:hint="eastAsia" w:ascii="仿宋" w:hAnsi="仿宋" w:eastAsia="仿宋" w:cs="仿宋"/>
          <w:sz w:val="32"/>
          <w:szCs w:val="32"/>
        </w:rPr>
        <w:t>二、部门财政资金收支情况</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（一）部门财政资金收入情况。</w:t>
      </w:r>
    </w:p>
    <w:p>
      <w:pPr>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2023年</w:t>
      </w:r>
      <w:r>
        <w:rPr>
          <w:rFonts w:hint="eastAsia" w:ascii="仿宋" w:hAnsi="仿宋" w:eastAsia="仿宋" w:cs="仿宋"/>
          <w:color w:val="000000"/>
          <w:sz w:val="32"/>
          <w:szCs w:val="32"/>
        </w:rPr>
        <w:t>本年收入合计</w:t>
      </w:r>
      <w:r>
        <w:rPr>
          <w:rFonts w:hint="eastAsia" w:ascii="仿宋" w:hAnsi="仿宋" w:eastAsia="仿宋" w:cs="仿宋"/>
          <w:color w:val="000000"/>
          <w:sz w:val="32"/>
          <w:szCs w:val="32"/>
          <w:lang w:val="en-US" w:eastAsia="zh-CN"/>
        </w:rPr>
        <w:t>367.14</w:t>
      </w:r>
      <w:r>
        <w:rPr>
          <w:rFonts w:hint="eastAsia" w:ascii="仿宋" w:hAnsi="仿宋" w:eastAsia="仿宋" w:cs="仿宋"/>
          <w:color w:val="000000"/>
          <w:sz w:val="32"/>
          <w:szCs w:val="32"/>
        </w:rPr>
        <w:t>万元，其中：一般公共预算财政拨款收入</w:t>
      </w:r>
      <w:r>
        <w:rPr>
          <w:rFonts w:hint="eastAsia" w:ascii="仿宋" w:hAnsi="仿宋" w:eastAsia="仿宋" w:cs="仿宋"/>
          <w:color w:val="000000"/>
          <w:sz w:val="32"/>
          <w:szCs w:val="32"/>
          <w:lang w:val="en-US" w:eastAsia="zh-CN"/>
        </w:rPr>
        <w:t>367.14</w:t>
      </w:r>
      <w:r>
        <w:rPr>
          <w:rFonts w:hint="eastAsia" w:ascii="仿宋" w:hAnsi="仿宋" w:eastAsia="仿宋" w:cs="仿宋"/>
          <w:color w:val="000000"/>
          <w:sz w:val="32"/>
          <w:szCs w:val="32"/>
        </w:rPr>
        <w:t>万元，占100%；其他收入0万元，占0%。</w:t>
      </w:r>
    </w:p>
    <w:p>
      <w:pPr>
        <w:widowControl/>
        <w:numPr>
          <w:ilvl w:val="0"/>
          <w:numId w:val="7"/>
        </w:numPr>
        <w:adjustRightInd w:val="0"/>
        <w:snapToGrid w:val="0"/>
        <w:spacing w:line="560" w:lineRule="exact"/>
        <w:ind w:firstLine="640" w:firstLineChars="200"/>
        <w:contextualSpacing/>
        <w:jc w:val="left"/>
        <w:outlineLvl w:val="0"/>
        <w:rPr>
          <w:rFonts w:hint="eastAsia" w:ascii="仿宋" w:hAnsi="仿宋" w:eastAsia="仿宋" w:cs="仿宋"/>
          <w:sz w:val="32"/>
          <w:szCs w:val="32"/>
        </w:rPr>
      </w:pPr>
      <w:r>
        <w:rPr>
          <w:rFonts w:hint="eastAsia" w:ascii="仿宋" w:hAnsi="仿宋" w:eastAsia="仿宋" w:cs="仿宋"/>
          <w:sz w:val="32"/>
          <w:szCs w:val="32"/>
        </w:rPr>
        <w:t>部门财政资金支出情况。</w:t>
      </w:r>
    </w:p>
    <w:p>
      <w:pPr>
        <w:spacing w:line="600" w:lineRule="exact"/>
        <w:ind w:left="640" w:leftChars="305" w:firstLine="480" w:firstLineChars="150"/>
        <w:outlineLvl w:val="1"/>
        <w:rPr>
          <w:rFonts w:hint="eastAsia" w:ascii="仿宋" w:hAnsi="仿宋" w:eastAsia="仿宋" w:cs="仿宋"/>
          <w:sz w:val="32"/>
          <w:szCs w:val="32"/>
        </w:rPr>
      </w:pPr>
      <w:r>
        <w:rPr>
          <w:rFonts w:hint="eastAsia" w:ascii="仿宋" w:hAnsi="仿宋" w:eastAsia="仿宋" w:cs="仿宋"/>
          <w:color w:val="000000"/>
          <w:sz w:val="32"/>
          <w:szCs w:val="32"/>
          <w:lang w:eastAsia="zh-CN"/>
        </w:rPr>
        <w:t>2023年</w:t>
      </w:r>
      <w:r>
        <w:rPr>
          <w:rFonts w:hint="eastAsia" w:ascii="仿宋" w:hAnsi="仿宋" w:eastAsia="仿宋" w:cs="仿宋"/>
          <w:color w:val="000000"/>
          <w:sz w:val="32"/>
          <w:szCs w:val="32"/>
        </w:rPr>
        <w:t>本年支出合计</w:t>
      </w:r>
      <w:r>
        <w:rPr>
          <w:rFonts w:hint="eastAsia" w:ascii="仿宋" w:hAnsi="仿宋" w:eastAsia="仿宋" w:cs="仿宋"/>
          <w:color w:val="000000"/>
          <w:sz w:val="32"/>
          <w:szCs w:val="32"/>
          <w:lang w:val="en-US" w:eastAsia="zh-CN"/>
        </w:rPr>
        <w:t>367.14</w:t>
      </w:r>
      <w:r>
        <w:rPr>
          <w:rFonts w:hint="eastAsia" w:ascii="仿宋" w:hAnsi="仿宋" w:eastAsia="仿宋" w:cs="仿宋"/>
          <w:color w:val="000000"/>
          <w:sz w:val="32"/>
          <w:szCs w:val="32"/>
        </w:rPr>
        <w:t>万元，其中：教育支出</w:t>
      </w:r>
      <w:r>
        <w:rPr>
          <w:rFonts w:hint="eastAsia" w:ascii="仿宋" w:hAnsi="仿宋" w:eastAsia="仿宋" w:cs="仿宋"/>
          <w:i w:val="0"/>
          <w:iCs w:val="0"/>
          <w:color w:val="000000"/>
          <w:sz w:val="32"/>
          <w:szCs w:val="32"/>
          <w:u w:val="none"/>
          <w:lang w:val="en-US" w:eastAsia="zh-CN"/>
        </w:rPr>
        <w:t>290.57</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79.15</w:t>
      </w:r>
      <w:r>
        <w:rPr>
          <w:rFonts w:hint="eastAsia" w:ascii="仿宋" w:hAnsi="仿宋" w:eastAsia="仿宋" w:cs="仿宋"/>
          <w:color w:val="000000"/>
          <w:sz w:val="32"/>
          <w:szCs w:val="32"/>
        </w:rPr>
        <w:t>%；社会保障和就业支出</w:t>
      </w:r>
      <w:r>
        <w:rPr>
          <w:rFonts w:hint="eastAsia" w:ascii="仿宋" w:hAnsi="仿宋" w:eastAsia="仿宋" w:cs="仿宋"/>
          <w:color w:val="000000"/>
          <w:sz w:val="32"/>
          <w:szCs w:val="32"/>
          <w:lang w:val="en-US" w:eastAsia="zh-CN"/>
        </w:rPr>
        <w:t>36.86</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10.04</w:t>
      </w:r>
      <w:r>
        <w:rPr>
          <w:rFonts w:hint="eastAsia" w:ascii="仿宋" w:hAnsi="仿宋" w:eastAsia="仿宋" w:cs="仿宋"/>
          <w:color w:val="000000"/>
          <w:sz w:val="32"/>
          <w:szCs w:val="32"/>
        </w:rPr>
        <w:t>%；卫生健康支出</w:t>
      </w:r>
      <w:r>
        <w:rPr>
          <w:rFonts w:hint="eastAsia" w:ascii="仿宋" w:hAnsi="仿宋" w:eastAsia="仿宋" w:cs="仿宋"/>
          <w:color w:val="000000"/>
          <w:sz w:val="32"/>
          <w:szCs w:val="32"/>
          <w:lang w:val="en-US" w:eastAsia="zh-CN"/>
        </w:rPr>
        <w:t>14.53</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3.96</w:t>
      </w:r>
      <w:r>
        <w:rPr>
          <w:rFonts w:hint="eastAsia" w:ascii="仿宋" w:hAnsi="仿宋" w:eastAsia="仿宋" w:cs="仿宋"/>
          <w:color w:val="000000"/>
          <w:sz w:val="32"/>
          <w:szCs w:val="32"/>
        </w:rPr>
        <w:t>%；住房保障支出</w:t>
      </w:r>
      <w:r>
        <w:rPr>
          <w:rFonts w:hint="eastAsia" w:ascii="仿宋" w:hAnsi="仿宋" w:eastAsia="仿宋" w:cs="仿宋"/>
          <w:color w:val="000000"/>
          <w:sz w:val="32"/>
          <w:szCs w:val="32"/>
          <w:lang w:val="en-US" w:eastAsia="zh-CN"/>
        </w:rPr>
        <w:t>25.17</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6.86</w:t>
      </w:r>
      <w:r>
        <w:rPr>
          <w:rFonts w:hint="eastAsia" w:ascii="仿宋" w:hAnsi="仿宋" w:eastAsia="仿宋" w:cs="仿宋"/>
          <w:color w:val="000000"/>
          <w:sz w:val="32"/>
          <w:szCs w:val="32"/>
        </w:rPr>
        <w:t>%。</w:t>
      </w:r>
    </w:p>
    <w:p>
      <w:pPr>
        <w:widowControl/>
        <w:adjustRightInd w:val="0"/>
        <w:snapToGrid w:val="0"/>
        <w:spacing w:line="560" w:lineRule="exact"/>
        <w:ind w:firstLine="640" w:firstLineChars="200"/>
        <w:contextualSpacing/>
        <w:jc w:val="left"/>
        <w:outlineLvl w:val="0"/>
        <w:rPr>
          <w:rFonts w:hint="eastAsia" w:ascii="仿宋" w:hAnsi="仿宋" w:eastAsia="仿宋" w:cs="仿宋"/>
          <w:sz w:val="32"/>
          <w:szCs w:val="32"/>
        </w:rPr>
      </w:pPr>
      <w:r>
        <w:rPr>
          <w:rFonts w:hint="eastAsia" w:ascii="仿宋" w:hAnsi="仿宋" w:eastAsia="仿宋" w:cs="仿宋"/>
          <w:sz w:val="32"/>
          <w:szCs w:val="32"/>
        </w:rPr>
        <w:t>三、部门整体预算绩效管理情况</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（一）部门预算管理。</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lang w:eastAsia="zh-CN"/>
        </w:rPr>
        <w:t>遂宁市安居区常理镇龙头小学校2023年</w:t>
      </w:r>
      <w:r>
        <w:rPr>
          <w:rFonts w:hint="eastAsia" w:ascii="仿宋" w:hAnsi="仿宋" w:eastAsia="仿宋" w:cs="仿宋"/>
          <w:sz w:val="32"/>
          <w:szCs w:val="32"/>
        </w:rPr>
        <w:t>度预算编制，是根据安居区财政局的安排，在区财政局教科文卫股、预算股的指导下，组织财务方面的相关工作人员，进行预算编制，预算编制质量好，受到区财政局的好评。绩效目标按照区财政要求进行填报。</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（二）结果应用情况。</w:t>
      </w:r>
    </w:p>
    <w:p>
      <w:pPr>
        <w:widowControl/>
        <w:adjustRightInd w:val="0"/>
        <w:snapToGrid w:val="0"/>
        <w:spacing w:line="560" w:lineRule="exact"/>
        <w:ind w:firstLine="640" w:firstLineChars="200"/>
        <w:contextualSpacing/>
        <w:jc w:val="left"/>
        <w:outlineLvl w:val="0"/>
        <w:rPr>
          <w:rFonts w:hint="eastAsia" w:ascii="仿宋" w:hAnsi="仿宋" w:eastAsia="仿宋" w:cs="仿宋"/>
          <w:sz w:val="32"/>
          <w:szCs w:val="32"/>
        </w:rPr>
      </w:pPr>
      <w:r>
        <w:rPr>
          <w:rFonts w:hint="eastAsia" w:ascii="仿宋" w:hAnsi="仿宋" w:eastAsia="仿宋" w:cs="仿宋"/>
          <w:sz w:val="32"/>
          <w:szCs w:val="32"/>
          <w:lang w:eastAsia="zh-CN"/>
        </w:rPr>
        <w:t>遂宁市安居区常理镇龙头小学校</w:t>
      </w:r>
      <w:r>
        <w:rPr>
          <w:rFonts w:hint="eastAsia" w:ascii="仿宋" w:hAnsi="仿宋" w:eastAsia="仿宋" w:cs="仿宋"/>
          <w:sz w:val="32"/>
          <w:szCs w:val="32"/>
        </w:rPr>
        <w:t>认真履职尽责，认真完成项目任务，所有项目均开展绩效评价，评价效果良好，对于财政预算资金多次接受省、市、区的检查，所有资金的支出，接受财政部门的监督管理，圆满完成</w:t>
      </w:r>
      <w:r>
        <w:rPr>
          <w:rFonts w:hint="eastAsia" w:ascii="仿宋" w:hAnsi="仿宋" w:eastAsia="仿宋" w:cs="仿宋"/>
          <w:sz w:val="32"/>
          <w:szCs w:val="32"/>
          <w:lang w:eastAsia="zh-CN"/>
        </w:rPr>
        <w:t>2023年</w:t>
      </w:r>
      <w:r>
        <w:rPr>
          <w:rFonts w:hint="eastAsia" w:ascii="仿宋" w:hAnsi="仿宋" w:eastAsia="仿宋" w:cs="仿宋"/>
          <w:sz w:val="32"/>
          <w:szCs w:val="32"/>
        </w:rPr>
        <w:t>的目标任务。</w:t>
      </w: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tbl>
      <w:tblPr>
        <w:tblStyle w:val="12"/>
        <w:tblW w:w="82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8"/>
        <w:gridCol w:w="1205"/>
        <w:gridCol w:w="735"/>
        <w:gridCol w:w="616"/>
        <w:gridCol w:w="540"/>
        <w:gridCol w:w="554"/>
        <w:gridCol w:w="376"/>
        <w:gridCol w:w="904"/>
        <w:gridCol w:w="502"/>
        <w:gridCol w:w="456"/>
        <w:gridCol w:w="1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8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项目名称</w:t>
            </w:r>
          </w:p>
        </w:tc>
        <w:tc>
          <w:tcPr>
            <w:tcW w:w="63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51090422T000006631660-幼儿保教费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8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主管部门</w:t>
            </w:r>
          </w:p>
        </w:tc>
        <w:tc>
          <w:tcPr>
            <w:tcW w:w="28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遂宁市安居区常理镇龙头小学校部门</w:t>
            </w:r>
          </w:p>
        </w:tc>
        <w:tc>
          <w:tcPr>
            <w:tcW w:w="904"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实施单位 （盖章）</w:t>
            </w:r>
          </w:p>
        </w:tc>
        <w:tc>
          <w:tcPr>
            <w:tcW w:w="26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遂宁市安居区常理镇龙头小学校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项目基本情况</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1.项目年度目标完成情况</w:t>
            </w:r>
          </w:p>
        </w:tc>
        <w:tc>
          <w:tcPr>
            <w:tcW w:w="28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项目年度目标</w:t>
            </w:r>
          </w:p>
        </w:tc>
        <w:tc>
          <w:tcPr>
            <w:tcW w:w="35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28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完成幼儿学前教育，提高教育教学质量。</w:t>
            </w:r>
          </w:p>
        </w:tc>
        <w:tc>
          <w:tcPr>
            <w:tcW w:w="35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lang w:val="en-US"/>
              </w:rPr>
            </w:pPr>
            <w:r>
              <w:rPr>
                <w:rFonts w:hint="eastAsia" w:ascii="仿宋" w:hAnsi="仿宋" w:eastAsia="仿宋" w:cs="仿宋"/>
                <w:i w:val="0"/>
                <w:iCs w:val="0"/>
                <w:color w:val="000000"/>
                <w:sz w:val="16"/>
                <w:szCs w:val="16"/>
                <w:u w:val="none"/>
                <w:lang w:val="en-US" w:eastAsia="zh-CN"/>
              </w:rPr>
              <w:t>已完成幼儿学前教育，提高了教育教学质量。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2.项目实施内容及过程概述</w:t>
            </w:r>
          </w:p>
        </w:tc>
        <w:tc>
          <w:tcPr>
            <w:tcW w:w="63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1、实施幼儿教育，2、保障幼儿教育教学质量，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预算执行情况（10分）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年度预算数（万元）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年初预算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调整后预算数</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得分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总额</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0.24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0.24</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0.24</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rPr>
            </w:pPr>
            <w:r>
              <w:rPr>
                <w:rFonts w:hint="eastAsia" w:ascii="仿宋" w:hAnsi="仿宋" w:eastAsia="仿宋" w:cs="仿宋"/>
                <w:i/>
                <w:iCs/>
                <w:color w:val="000000"/>
                <w:kern w:val="0"/>
                <w:sz w:val="16"/>
                <w:szCs w:val="16"/>
                <w:u w:val="none"/>
                <w:lang w:val="en-US" w:eastAsia="zh-CN" w:bidi="ar"/>
              </w:rPr>
              <w:t>1.预算执行率100%;2.未发生追加及追减情况；3.其他资金包括：无.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其中：财政资金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bidi="ar-SA"/>
              </w:rPr>
            </w:pPr>
            <w:r>
              <w:rPr>
                <w:rFonts w:hint="eastAsia" w:ascii="仿宋" w:hAnsi="仿宋" w:eastAsia="仿宋" w:cs="仿宋"/>
                <w:i w:val="0"/>
                <w:iCs w:val="0"/>
                <w:color w:val="000000"/>
                <w:kern w:val="0"/>
                <w:sz w:val="16"/>
                <w:szCs w:val="16"/>
                <w:u w:val="none"/>
                <w:lang w:val="en-US" w:eastAsia="zh-CN" w:bidi="ar"/>
              </w:rPr>
              <w:t>0.24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bidi="ar-SA"/>
              </w:rPr>
            </w:pPr>
            <w:r>
              <w:rPr>
                <w:rFonts w:hint="eastAsia" w:ascii="仿宋" w:hAnsi="仿宋" w:eastAsia="仿宋" w:cs="仿宋"/>
                <w:i w:val="0"/>
                <w:iCs w:val="0"/>
                <w:color w:val="000000"/>
                <w:kern w:val="0"/>
                <w:sz w:val="16"/>
                <w:szCs w:val="16"/>
                <w:u w:val="none"/>
                <w:lang w:val="en-US" w:eastAsia="zh-CN" w:bidi="ar"/>
              </w:rPr>
              <w:t>0.24</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bidi="ar-SA"/>
              </w:rPr>
            </w:pPr>
            <w:r>
              <w:rPr>
                <w:rFonts w:hint="eastAsia" w:ascii="仿宋" w:hAnsi="仿宋" w:eastAsia="仿宋" w:cs="仿宋"/>
                <w:i w:val="0"/>
                <w:iCs w:val="0"/>
                <w:color w:val="000000"/>
                <w:kern w:val="0"/>
                <w:sz w:val="16"/>
                <w:szCs w:val="16"/>
                <w:u w:val="none"/>
                <w:lang w:val="en-US" w:eastAsia="zh-CN" w:bidi="ar"/>
              </w:rPr>
              <w:t>0.24</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财政专户管理资金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单位资金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其他资金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绩效指标（90分）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一级指标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二级指标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三级指标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指标值</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度量单位</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完成值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得分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iCs/>
                <w:color w:val="000000"/>
                <w:sz w:val="16"/>
                <w:szCs w:val="16"/>
                <w:u w:val="none"/>
                <w:lang w:val="en-US" w:eastAsia="zh-CN"/>
              </w:rPr>
            </w:pP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55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合计</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评价结论</w:t>
            </w:r>
          </w:p>
        </w:tc>
        <w:tc>
          <w:tcPr>
            <w:tcW w:w="75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lang w:val="en-US"/>
              </w:rPr>
            </w:pPr>
            <w:r>
              <w:rPr>
                <w:rFonts w:hint="eastAsia" w:ascii="仿宋" w:hAnsi="仿宋" w:eastAsia="仿宋" w:cs="仿宋"/>
                <w:i/>
                <w:iCs/>
                <w:color w:val="000000"/>
                <w:kern w:val="0"/>
                <w:sz w:val="16"/>
                <w:szCs w:val="16"/>
                <w:u w:val="none"/>
                <w:lang w:val="en-US" w:eastAsia="zh-CN" w:bidi="ar"/>
              </w:rPr>
              <w:t>1、解决了教师午休问题，使教师安心工作，2、消除了学校危险，保障了学校正常教学工作运转。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存在问题</w:t>
            </w:r>
          </w:p>
        </w:tc>
        <w:tc>
          <w:tcPr>
            <w:tcW w:w="75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lang w:val="en-US"/>
              </w:rPr>
            </w:pPr>
            <w:r>
              <w:rPr>
                <w:rFonts w:hint="eastAsia" w:ascii="仿宋" w:hAnsi="仿宋" w:eastAsia="仿宋" w:cs="仿宋"/>
                <w:i/>
                <w:iCs/>
                <w:color w:val="000000"/>
                <w:kern w:val="0"/>
                <w:sz w:val="16"/>
                <w:szCs w:val="16"/>
                <w:u w:val="none"/>
                <w:lang w:val="en-US" w:eastAsia="zh-CN" w:bidi="ar"/>
              </w:rPr>
              <w:t>由于预算资金不足，致使该工程负债。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改进措施</w:t>
            </w:r>
          </w:p>
        </w:tc>
        <w:tc>
          <w:tcPr>
            <w:tcW w:w="75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lang w:val="en-US"/>
              </w:rPr>
            </w:pPr>
            <w:r>
              <w:rPr>
                <w:rFonts w:hint="eastAsia" w:ascii="仿宋" w:hAnsi="仿宋" w:eastAsia="仿宋" w:cs="仿宋"/>
                <w:i/>
                <w:iCs/>
                <w:color w:val="000000"/>
                <w:kern w:val="0"/>
                <w:sz w:val="16"/>
                <w:szCs w:val="16"/>
                <w:u w:val="none"/>
                <w:lang w:val="en-US" w:eastAsia="zh-CN" w:bidi="ar"/>
              </w:rPr>
              <w:t>加强预算管理。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37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项目负责人：肖仕福</w:t>
            </w:r>
          </w:p>
        </w:tc>
        <w:tc>
          <w:tcPr>
            <w:tcW w:w="44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财务负责人：聂红军</w:t>
            </w:r>
          </w:p>
        </w:tc>
      </w:tr>
    </w:tbl>
    <w:p>
      <w:pPr>
        <w:pStyle w:val="2"/>
        <w:rPr>
          <w:rFonts w:hint="eastAsia" w:ascii="仿宋" w:hAnsi="仿宋" w:eastAsia="仿宋" w:cs="仿宋"/>
          <w:color w:val="auto"/>
          <w:sz w:val="32"/>
          <w:szCs w:val="32"/>
          <w:shd w:val="clear" w:color="auto" w:fill="auto"/>
        </w:rPr>
      </w:pPr>
    </w:p>
    <w:p>
      <w:pPr>
        <w:pStyle w:val="2"/>
        <w:rPr>
          <w:rFonts w:hint="eastAsia" w:ascii="仿宋" w:hAnsi="仿宋" w:eastAsia="仿宋" w:cs="仿宋"/>
          <w:color w:val="auto"/>
          <w:sz w:val="32"/>
          <w:szCs w:val="32"/>
          <w:shd w:val="clear" w:color="auto" w:fill="auto"/>
        </w:rPr>
      </w:pPr>
    </w:p>
    <w:tbl>
      <w:tblPr>
        <w:tblStyle w:val="12"/>
        <w:tblW w:w="82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9"/>
        <w:gridCol w:w="1219"/>
        <w:gridCol w:w="666"/>
        <w:gridCol w:w="616"/>
        <w:gridCol w:w="529"/>
        <w:gridCol w:w="696"/>
        <w:gridCol w:w="376"/>
        <w:gridCol w:w="895"/>
        <w:gridCol w:w="499"/>
        <w:gridCol w:w="456"/>
        <w:gridCol w:w="1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82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项目名称</w:t>
            </w:r>
          </w:p>
        </w:tc>
        <w:tc>
          <w:tcPr>
            <w:tcW w:w="63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51090423T000008612092-义务教育课后服务支出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主管部门</w:t>
            </w:r>
          </w:p>
        </w:tc>
        <w:tc>
          <w:tcPr>
            <w:tcW w:w="28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遂宁市安居区常理镇龙头小学校部门</w:t>
            </w:r>
          </w:p>
        </w:tc>
        <w:tc>
          <w:tcPr>
            <w:tcW w:w="89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实施单位 （盖章）</w:t>
            </w:r>
          </w:p>
        </w:tc>
        <w:tc>
          <w:tcPr>
            <w:tcW w:w="2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遂宁市安居区常理镇龙头小学校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项目基本情况</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1.项目年度目标完成情况</w:t>
            </w:r>
          </w:p>
        </w:tc>
        <w:tc>
          <w:tcPr>
            <w:tcW w:w="28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项目年度目标</w:t>
            </w:r>
          </w:p>
        </w:tc>
        <w:tc>
          <w:tcPr>
            <w:tcW w:w="34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28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满足家长、学生需求，提高教育教学质量。</w:t>
            </w:r>
          </w:p>
        </w:tc>
        <w:tc>
          <w:tcPr>
            <w:tcW w:w="34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满足家长高、学生学习兴趣浓，提高了教育教学质量。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2.项目实施内容及过程概述</w:t>
            </w:r>
          </w:p>
        </w:tc>
        <w:tc>
          <w:tcPr>
            <w:tcW w:w="63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每天进行课后服务，进行了文化课及艺术课的学习，指导学生完成家庭作业，培养学生学习兴趣，增强学生体质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预算执行情况（10分）</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年度预算数（万元）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年初预算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调整后预算数</w:t>
            </w: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预算执行数</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预算执行率</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得分</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总额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4.10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4.10</w:t>
            </w: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1.55</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37.89%</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rPr>
            </w:pPr>
            <w:r>
              <w:rPr>
                <w:rFonts w:hint="eastAsia" w:ascii="仿宋" w:hAnsi="仿宋" w:eastAsia="仿宋" w:cs="仿宋"/>
                <w:i/>
                <w:iCs/>
                <w:color w:val="000000"/>
                <w:kern w:val="0"/>
                <w:sz w:val="16"/>
                <w:szCs w:val="16"/>
                <w:u w:val="none"/>
                <w:lang w:val="en-US" w:eastAsia="zh-CN" w:bidi="ar"/>
              </w:rPr>
              <w:t>1.预算执行率100%;2.未发生追加及追减情况；3.其他资金包括：无.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其中：财政资金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财政专户管理资金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单位资金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4.10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4.10</w:t>
            </w: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1.55</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ascii="宋体" w:hAnsi="宋体" w:eastAsia="宋体" w:cs="宋体"/>
                <w:i w:val="0"/>
                <w:iCs w:val="0"/>
                <w:color w:val="000000"/>
                <w:kern w:val="0"/>
                <w:sz w:val="18"/>
                <w:szCs w:val="18"/>
                <w:u w:val="none"/>
                <w:lang w:val="en-US" w:eastAsia="zh-CN" w:bidi="ar"/>
              </w:rPr>
              <w:t>37.89%</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其他资金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绩效指标（90分）</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一级指标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二级指标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三级指标</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指标性质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指标值</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度量单位</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完成值</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得分</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产出指标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质量指标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提高教育教学质量</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8250</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元</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ascii="宋体" w:hAnsi="宋体" w:eastAsia="宋体" w:cs="宋体"/>
                <w:i w:val="0"/>
                <w:iCs w:val="0"/>
                <w:color w:val="000000"/>
                <w:kern w:val="0"/>
                <w:sz w:val="18"/>
                <w:szCs w:val="18"/>
                <w:u w:val="none"/>
                <w:lang w:val="en-US" w:eastAsia="zh-CN" w:bidi="ar"/>
              </w:rPr>
              <w:t>55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55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效益指标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社会效益指标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满足家长和社会需求</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5250</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元</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ascii="宋体" w:hAnsi="宋体" w:eastAsia="宋体" w:cs="宋体"/>
                <w:i w:val="0"/>
                <w:iCs w:val="0"/>
                <w:color w:val="000000"/>
                <w:kern w:val="0"/>
                <w:sz w:val="18"/>
                <w:szCs w:val="18"/>
                <w:u w:val="none"/>
                <w:lang w:val="en-US" w:eastAsia="zh-CN" w:bidi="ar"/>
              </w:rPr>
              <w:t>35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35</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合计</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评价结论</w:t>
            </w:r>
          </w:p>
        </w:tc>
        <w:tc>
          <w:tcPr>
            <w:tcW w:w="75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rPr>
            </w:pPr>
            <w:r>
              <w:rPr>
                <w:rFonts w:hint="eastAsia" w:ascii="仿宋" w:hAnsi="仿宋" w:eastAsia="仿宋" w:cs="仿宋"/>
                <w:i/>
                <w:iCs/>
                <w:color w:val="000000"/>
                <w:kern w:val="0"/>
                <w:sz w:val="16"/>
                <w:szCs w:val="16"/>
                <w:u w:val="none"/>
                <w:lang w:val="en-US" w:eastAsia="zh-CN" w:bidi="ar"/>
              </w:rPr>
              <w:t>解决了家长对学生学习焦虑问题，提高了学生学习积极性及兴趣，提高了办学质量。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存在问题</w:t>
            </w:r>
          </w:p>
        </w:tc>
        <w:tc>
          <w:tcPr>
            <w:tcW w:w="75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rPr>
            </w:pPr>
            <w:r>
              <w:rPr>
                <w:rFonts w:hint="eastAsia" w:ascii="仿宋" w:hAnsi="仿宋" w:eastAsia="仿宋" w:cs="仿宋"/>
                <w:i/>
                <w:iCs/>
                <w:color w:val="000000"/>
                <w:kern w:val="0"/>
                <w:sz w:val="16"/>
                <w:szCs w:val="16"/>
                <w:u w:val="none"/>
                <w:lang w:val="en-US" w:eastAsia="zh-CN" w:bidi="ar"/>
              </w:rPr>
              <w:t>有待进一步加强管理，提高服务意识，提高家长满意度。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改进措施</w:t>
            </w:r>
          </w:p>
        </w:tc>
        <w:tc>
          <w:tcPr>
            <w:tcW w:w="75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lang w:val="en-US"/>
              </w:rPr>
            </w:pPr>
            <w:r>
              <w:rPr>
                <w:rFonts w:hint="eastAsia" w:ascii="仿宋" w:hAnsi="仿宋" w:eastAsia="仿宋" w:cs="仿宋"/>
                <w:i/>
                <w:iCs/>
                <w:color w:val="000000"/>
                <w:kern w:val="0"/>
                <w:sz w:val="16"/>
                <w:szCs w:val="16"/>
                <w:u w:val="none"/>
                <w:lang w:val="en-US" w:eastAsia="zh-CN" w:bidi="ar"/>
              </w:rPr>
              <w:t>加强规范化管理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项目负责人：肖仕福</w:t>
            </w:r>
          </w:p>
        </w:tc>
        <w:tc>
          <w:tcPr>
            <w:tcW w:w="4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财务负责人：聂红军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820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项目名称</w:t>
            </w:r>
          </w:p>
        </w:tc>
        <w:tc>
          <w:tcPr>
            <w:tcW w:w="63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51090422T000006815845-义务教育家庭经济困难学生生活补助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主管部门</w:t>
            </w:r>
          </w:p>
        </w:tc>
        <w:tc>
          <w:tcPr>
            <w:tcW w:w="28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遂宁市安居区常理镇龙头小学校部门</w:t>
            </w:r>
          </w:p>
        </w:tc>
        <w:tc>
          <w:tcPr>
            <w:tcW w:w="89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实施单位 （盖章）</w:t>
            </w:r>
          </w:p>
        </w:tc>
        <w:tc>
          <w:tcPr>
            <w:tcW w:w="25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遂宁市安居区常理镇龙头小学校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项目基本情况</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1.项目年度目标完成情况</w:t>
            </w:r>
          </w:p>
        </w:tc>
        <w:tc>
          <w:tcPr>
            <w:tcW w:w="28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项目年度目标</w:t>
            </w:r>
          </w:p>
        </w:tc>
        <w:tc>
          <w:tcPr>
            <w:tcW w:w="34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28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完成贫困学生资助，保障贫困学生就学。</w:t>
            </w:r>
          </w:p>
        </w:tc>
        <w:tc>
          <w:tcPr>
            <w:tcW w:w="34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sz w:val="16"/>
                <w:szCs w:val="16"/>
                <w:u w:val="none"/>
                <w:lang w:val="en-US" w:eastAsia="zh-CN"/>
              </w:rPr>
              <w:t>完成了贫困学生资助，按时申报、支付资金，保障贫困学生就学。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2.项目实施内容及过程概述</w:t>
            </w:r>
          </w:p>
        </w:tc>
        <w:tc>
          <w:tcPr>
            <w:tcW w:w="63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保障10名普师学生资助，按时申报资金，及时打卡到贫困生社保卡。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预算执行情况（10分）</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年度预算数（万元）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年初预算</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调整后预算数</w:t>
            </w: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预算执行数</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预算执行率</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得分</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总额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0.25</w:t>
            </w: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0.25</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rPr>
            </w:pPr>
            <w:r>
              <w:rPr>
                <w:rFonts w:hint="eastAsia" w:ascii="仿宋" w:hAnsi="仿宋" w:eastAsia="仿宋" w:cs="仿宋"/>
                <w:i/>
                <w:iCs/>
                <w:color w:val="000000"/>
                <w:kern w:val="0"/>
                <w:sz w:val="16"/>
                <w:szCs w:val="16"/>
                <w:u w:val="none"/>
                <w:lang w:val="en-US" w:eastAsia="zh-CN" w:bidi="ar"/>
              </w:rPr>
              <w:t>1.预算执行率=100%;2.未年中发生预算调整的（追加或调减）；3.其他资金包括：无.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其中：财政资金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bidi="ar-SA"/>
              </w:rPr>
            </w:pPr>
            <w:r>
              <w:rPr>
                <w:rFonts w:hint="eastAsia" w:ascii="仿宋" w:hAnsi="仿宋" w:eastAsia="仿宋" w:cs="仿宋"/>
                <w:i w:val="0"/>
                <w:iCs w:val="0"/>
                <w:color w:val="000000"/>
                <w:kern w:val="0"/>
                <w:sz w:val="16"/>
                <w:szCs w:val="16"/>
                <w:u w:val="none"/>
                <w:lang w:val="en-US" w:eastAsia="zh-CN" w:bidi="ar"/>
              </w:rPr>
              <w:t>0.25</w:t>
            </w: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bidi="ar-SA"/>
              </w:rPr>
            </w:pPr>
            <w:r>
              <w:rPr>
                <w:rFonts w:hint="eastAsia" w:ascii="仿宋" w:hAnsi="仿宋" w:eastAsia="仿宋" w:cs="仿宋"/>
                <w:i w:val="0"/>
                <w:iCs w:val="0"/>
                <w:color w:val="000000"/>
                <w:kern w:val="0"/>
                <w:sz w:val="16"/>
                <w:szCs w:val="16"/>
                <w:u w:val="none"/>
                <w:lang w:val="en-US" w:eastAsia="zh-CN" w:bidi="ar"/>
              </w:rPr>
              <w:t>0.25</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财政专户管理资金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单位资金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其他资金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1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绩效指标（90分）</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一级指标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二级指标</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三级指标</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指标性质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指标值</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度量单位</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完成值</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得分</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56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合计</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评价结论</w:t>
            </w:r>
          </w:p>
        </w:tc>
        <w:tc>
          <w:tcPr>
            <w:tcW w:w="75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rPr>
            </w:pPr>
            <w:r>
              <w:rPr>
                <w:rFonts w:hint="eastAsia" w:ascii="仿宋" w:hAnsi="仿宋" w:eastAsia="仿宋" w:cs="仿宋"/>
                <w:i/>
                <w:iCs/>
                <w:color w:val="000000"/>
                <w:kern w:val="0"/>
                <w:sz w:val="16"/>
                <w:szCs w:val="16"/>
                <w:u w:val="none"/>
                <w:lang w:val="en-US" w:eastAsia="zh-CN" w:bidi="ar"/>
              </w:rPr>
              <w:t>改善了办学条件，保障了学前教育学生正常活动场所，增强了学生劳动实践。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存在问题</w:t>
            </w:r>
          </w:p>
        </w:tc>
        <w:tc>
          <w:tcPr>
            <w:tcW w:w="75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lang w:val="en-US"/>
              </w:rPr>
            </w:pPr>
            <w:r>
              <w:rPr>
                <w:rFonts w:hint="eastAsia" w:ascii="仿宋" w:hAnsi="仿宋" w:eastAsia="仿宋" w:cs="仿宋"/>
                <w:i/>
                <w:iCs/>
                <w:color w:val="000000"/>
                <w:kern w:val="0"/>
                <w:sz w:val="16"/>
                <w:szCs w:val="16"/>
                <w:u w:val="none"/>
                <w:lang w:val="en-US" w:eastAsia="zh-CN" w:bidi="ar"/>
              </w:rPr>
              <w:t>需进一步完善设施设备，增强办学条件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改进措施</w:t>
            </w:r>
          </w:p>
        </w:tc>
        <w:tc>
          <w:tcPr>
            <w:tcW w:w="75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lang w:val="en-US" w:eastAsia="zh-CN"/>
              </w:rPr>
            </w:pPr>
            <w:r>
              <w:rPr>
                <w:rFonts w:hint="eastAsia" w:ascii="仿宋" w:hAnsi="仿宋" w:eastAsia="仿宋" w:cs="仿宋"/>
                <w:i/>
                <w:iCs/>
                <w:color w:val="000000"/>
                <w:sz w:val="16"/>
                <w:szCs w:val="16"/>
                <w:u w:val="none"/>
                <w:lang w:val="en-US" w:eastAsia="zh-CN"/>
              </w:rPr>
              <w:t>加强项目管理，做好规范化预算、加强监督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项目负责人：肖仕福</w:t>
            </w:r>
          </w:p>
        </w:tc>
        <w:tc>
          <w:tcPr>
            <w:tcW w:w="45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财务负责人：聂红军</w:t>
            </w:r>
          </w:p>
        </w:tc>
      </w:tr>
    </w:tbl>
    <w:p>
      <w:pPr>
        <w:pStyle w:val="2"/>
        <w:rPr>
          <w:rFonts w:hint="eastAsia" w:ascii="仿宋" w:hAnsi="仿宋" w:eastAsia="仿宋" w:cs="仿宋"/>
          <w:color w:val="auto"/>
          <w:sz w:val="32"/>
          <w:szCs w:val="32"/>
          <w:shd w:val="clear" w:color="auto" w:fill="auto"/>
        </w:rPr>
      </w:pPr>
    </w:p>
    <w:p>
      <w:pPr>
        <w:pStyle w:val="2"/>
        <w:rPr>
          <w:rFonts w:hint="eastAsia" w:ascii="仿宋" w:hAnsi="仿宋" w:eastAsia="仿宋" w:cs="仿宋"/>
          <w:color w:val="auto"/>
          <w:sz w:val="32"/>
          <w:szCs w:val="32"/>
          <w:shd w:val="clear" w:color="auto" w:fill="auto"/>
        </w:rPr>
      </w:pPr>
    </w:p>
    <w:p>
      <w:pPr>
        <w:pStyle w:val="2"/>
        <w:rPr>
          <w:rFonts w:hint="eastAsia" w:ascii="仿宋" w:hAnsi="仿宋" w:eastAsia="仿宋" w:cs="仿宋"/>
          <w:color w:val="auto"/>
          <w:sz w:val="32"/>
          <w:szCs w:val="32"/>
        </w:rPr>
      </w:pPr>
    </w:p>
    <w:p>
      <w:pPr>
        <w:pStyle w:val="2"/>
        <w:rPr>
          <w:rFonts w:hint="eastAsia" w:ascii="仿宋" w:hAnsi="仿宋" w:eastAsia="仿宋" w:cs="仿宋"/>
          <w:sz w:val="32"/>
          <w:szCs w:val="32"/>
        </w:rPr>
      </w:pPr>
    </w:p>
    <w:tbl>
      <w:tblPr>
        <w:tblStyle w:val="12"/>
        <w:tblW w:w="82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3"/>
        <w:gridCol w:w="1294"/>
        <w:gridCol w:w="668"/>
        <w:gridCol w:w="540"/>
        <w:gridCol w:w="546"/>
        <w:gridCol w:w="560"/>
        <w:gridCol w:w="376"/>
        <w:gridCol w:w="908"/>
        <w:gridCol w:w="503"/>
        <w:gridCol w:w="456"/>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8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6"/>
                <w:szCs w:val="16"/>
                <w:u w:val="none"/>
              </w:rPr>
            </w:pPr>
            <w:r>
              <w:rPr>
                <w:rFonts w:hint="eastAsia" w:ascii="仿宋" w:hAnsi="仿宋" w:eastAsia="仿宋" w:cs="仿宋"/>
                <w:b/>
                <w:bCs/>
                <w:i w:val="0"/>
                <w:iCs w:val="0"/>
                <w:color w:val="000000"/>
                <w:kern w:val="0"/>
                <w:sz w:val="16"/>
                <w:szCs w:val="16"/>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1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项目名称</w:t>
            </w:r>
          </w:p>
        </w:tc>
        <w:tc>
          <w:tcPr>
            <w:tcW w:w="62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51090423T000009404312-城乡义务教育-免作业本费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主管部门</w:t>
            </w:r>
          </w:p>
        </w:tc>
        <w:tc>
          <w:tcPr>
            <w:tcW w:w="26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遂宁市安居区常理镇龙头小学校部门</w:t>
            </w:r>
          </w:p>
        </w:tc>
        <w:tc>
          <w:tcPr>
            <w:tcW w:w="90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实施单位 （盖章）</w:t>
            </w:r>
          </w:p>
        </w:tc>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遂宁市安居区常理镇龙头小学校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项目基本情况</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1.项目年度目标完成情况</w:t>
            </w:r>
          </w:p>
        </w:tc>
        <w:tc>
          <w:tcPr>
            <w:tcW w:w="26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项目年度目标</w:t>
            </w:r>
          </w:p>
        </w:tc>
        <w:tc>
          <w:tcPr>
            <w:tcW w:w="35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26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落实中央政策免除学生作业本费</w:t>
            </w:r>
          </w:p>
        </w:tc>
        <w:tc>
          <w:tcPr>
            <w:tcW w:w="35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sz w:val="16"/>
                <w:szCs w:val="16"/>
                <w:u w:val="none"/>
                <w:lang w:val="en-US" w:eastAsia="zh-CN"/>
              </w:rPr>
              <w:t>已完成保障落实了中央政策免除学生作业本费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2.项目实施内容及过程概述</w:t>
            </w:r>
          </w:p>
        </w:tc>
        <w:tc>
          <w:tcPr>
            <w:tcW w:w="62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lang w:val="en-US" w:eastAsia="zh-CN"/>
              </w:rPr>
            </w:pPr>
            <w:r>
              <w:rPr>
                <w:rFonts w:hint="eastAsia" w:ascii="仿宋" w:hAnsi="仿宋" w:eastAsia="仿宋" w:cs="仿宋"/>
                <w:i w:val="0"/>
                <w:iCs w:val="0"/>
                <w:color w:val="000000"/>
                <w:sz w:val="16"/>
                <w:szCs w:val="16"/>
                <w:u w:val="none"/>
                <w:lang w:val="en-US" w:eastAsia="zh-CN"/>
              </w:rPr>
              <w:t>减免学生作业本费15.00元/期。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预算执行情况（10分）</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年度预算数（万元）</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年初预算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调整后预算数</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预算执行数</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得分</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总额</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0.05</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0.05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w:t>
            </w:r>
          </w:p>
        </w:tc>
        <w:tc>
          <w:tcPr>
            <w:tcW w:w="1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rPr>
            </w:pPr>
            <w:r>
              <w:rPr>
                <w:rFonts w:hint="eastAsia" w:ascii="仿宋" w:hAnsi="仿宋" w:eastAsia="仿宋" w:cs="仿宋"/>
                <w:i/>
                <w:iCs/>
                <w:color w:val="000000"/>
                <w:kern w:val="0"/>
                <w:sz w:val="16"/>
                <w:szCs w:val="16"/>
                <w:u w:val="none"/>
                <w:lang w:val="en-US" w:eastAsia="zh-CN" w:bidi="ar"/>
              </w:rPr>
              <w:t>1.预算执行率=100%;2.年中未发生预算调整的（追加或调减）,；3.其他资金包括：无.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其中：财政资金</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bidi="ar-SA"/>
              </w:rPr>
            </w:pPr>
            <w:r>
              <w:rPr>
                <w:rFonts w:hint="eastAsia" w:ascii="仿宋" w:hAnsi="仿宋" w:eastAsia="仿宋" w:cs="仿宋"/>
                <w:i w:val="0"/>
                <w:iCs w:val="0"/>
                <w:color w:val="000000"/>
                <w:kern w:val="0"/>
                <w:sz w:val="16"/>
                <w:szCs w:val="16"/>
                <w:u w:val="none"/>
                <w:lang w:val="en-US" w:eastAsia="zh-CN" w:bidi="ar"/>
              </w:rPr>
              <w:t>0.05</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6"/>
                <w:szCs w:val="16"/>
                <w:u w:val="none"/>
                <w:lang w:val="en-US" w:eastAsia="zh-CN" w:bidi="ar-SA"/>
              </w:rPr>
            </w:pPr>
            <w:r>
              <w:rPr>
                <w:rFonts w:hint="eastAsia" w:ascii="仿宋" w:hAnsi="仿宋" w:eastAsia="仿宋" w:cs="仿宋"/>
                <w:i w:val="0"/>
                <w:iCs w:val="0"/>
                <w:color w:val="000000"/>
                <w:kern w:val="0"/>
                <w:sz w:val="16"/>
                <w:szCs w:val="16"/>
                <w:u w:val="none"/>
                <w:lang w:val="en-US" w:eastAsia="zh-CN" w:bidi="ar"/>
              </w:rPr>
              <w:t>0.05</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财政专户管理资金</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单位资金</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其他资金</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w:t>
            </w:r>
          </w:p>
        </w:tc>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绩效指标（90分）</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一级指标</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二级指标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三级指标</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指标性质</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指标值</w:t>
            </w: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度量单位</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得分</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6"/>
                <w:szCs w:val="16"/>
                <w:u w:val="none"/>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90</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55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100</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评价结论</w:t>
            </w:r>
          </w:p>
        </w:tc>
        <w:tc>
          <w:tcPr>
            <w:tcW w:w="7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rPr>
            </w:pPr>
            <w:r>
              <w:rPr>
                <w:rFonts w:hint="eastAsia" w:ascii="仿宋" w:hAnsi="仿宋" w:eastAsia="仿宋" w:cs="仿宋"/>
                <w:i/>
                <w:iCs/>
                <w:color w:val="000000"/>
                <w:kern w:val="0"/>
                <w:sz w:val="16"/>
                <w:szCs w:val="16"/>
                <w:u w:val="none"/>
                <w:lang w:val="en-US" w:eastAsia="zh-CN" w:bidi="ar"/>
              </w:rPr>
              <w:t>全面落实了学生作业本费减免，保障了学生正常学习。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存在问题</w:t>
            </w:r>
          </w:p>
        </w:tc>
        <w:tc>
          <w:tcPr>
            <w:tcW w:w="7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lang w:val="en-US" w:eastAsia="zh-CN"/>
              </w:rPr>
            </w:pPr>
            <w:r>
              <w:rPr>
                <w:rFonts w:hint="eastAsia" w:ascii="仿宋" w:hAnsi="仿宋" w:eastAsia="仿宋" w:cs="仿宋"/>
                <w:i/>
                <w:iCs/>
                <w:color w:val="00000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改进措施</w:t>
            </w:r>
          </w:p>
        </w:tc>
        <w:tc>
          <w:tcPr>
            <w:tcW w:w="75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iCs/>
                <w:color w:val="000000"/>
                <w:sz w:val="16"/>
                <w:szCs w:val="16"/>
                <w:u w:val="none"/>
                <w:lang w:val="en-US"/>
              </w:rPr>
            </w:pPr>
            <w:r>
              <w:rPr>
                <w:rFonts w:hint="eastAsia" w:ascii="仿宋" w:hAnsi="仿宋" w:eastAsia="仿宋" w:cs="仿宋"/>
                <w:i/>
                <w:iCs/>
                <w:color w:val="000000"/>
                <w:kern w:val="0"/>
                <w:sz w:val="16"/>
                <w:szCs w:val="16"/>
                <w:u w:val="none"/>
                <w:lang w:val="en-US" w:eastAsia="zh-CN" w:bidi="ar"/>
              </w:rPr>
              <w:t>加强预算管理。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37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项目负责人：肖仕福</w:t>
            </w:r>
          </w:p>
        </w:tc>
        <w:tc>
          <w:tcPr>
            <w:tcW w:w="44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6"/>
                <w:szCs w:val="16"/>
                <w:u w:val="none"/>
                <w:lang w:val="en-US"/>
              </w:rPr>
            </w:pPr>
            <w:r>
              <w:rPr>
                <w:rFonts w:hint="eastAsia" w:ascii="仿宋" w:hAnsi="仿宋" w:eastAsia="仿宋" w:cs="仿宋"/>
                <w:i w:val="0"/>
                <w:iCs w:val="0"/>
                <w:color w:val="000000"/>
                <w:kern w:val="0"/>
                <w:sz w:val="16"/>
                <w:szCs w:val="16"/>
                <w:u w:val="none"/>
                <w:lang w:val="en-US" w:eastAsia="zh-CN" w:bidi="ar"/>
              </w:rPr>
              <w:t>财务负责人：聂红军</w:t>
            </w:r>
          </w:p>
        </w:tc>
      </w:tr>
    </w:tbl>
    <w:p>
      <w:pPr>
        <w:widowControl/>
        <w:adjustRightInd w:val="0"/>
        <w:snapToGrid w:val="0"/>
        <w:spacing w:line="560" w:lineRule="exact"/>
        <w:ind w:firstLine="640" w:firstLineChars="200"/>
        <w:contextualSpacing/>
        <w:jc w:val="left"/>
        <w:outlineLvl w:val="0"/>
        <w:rPr>
          <w:rFonts w:hint="eastAsia" w:ascii="仿宋" w:hAnsi="仿宋" w:eastAsia="仿宋" w:cs="仿宋"/>
          <w:sz w:val="32"/>
          <w:szCs w:val="32"/>
        </w:rPr>
      </w:pPr>
    </w:p>
    <w:p>
      <w:pPr>
        <w:widowControl/>
        <w:adjustRightInd w:val="0"/>
        <w:snapToGrid w:val="0"/>
        <w:spacing w:line="560" w:lineRule="exact"/>
        <w:ind w:firstLine="640" w:firstLineChars="200"/>
        <w:contextualSpacing/>
        <w:jc w:val="left"/>
        <w:outlineLvl w:val="0"/>
        <w:rPr>
          <w:rFonts w:hint="eastAsia" w:ascii="仿宋" w:hAnsi="仿宋" w:eastAsia="仿宋" w:cs="仿宋"/>
          <w:sz w:val="32"/>
          <w:szCs w:val="32"/>
        </w:rPr>
      </w:pPr>
      <w:r>
        <w:rPr>
          <w:rFonts w:hint="eastAsia" w:ascii="仿宋" w:hAnsi="仿宋" w:eastAsia="仿宋" w:cs="仿宋"/>
          <w:sz w:val="32"/>
          <w:szCs w:val="32"/>
        </w:rPr>
        <w:t>四、评价结论及建议</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（一）评价结论。</w:t>
      </w:r>
    </w:p>
    <w:p>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94分 。</w:t>
      </w:r>
    </w:p>
    <w:p>
      <w:pPr>
        <w:widowControl/>
        <w:numPr>
          <w:ilvl w:val="0"/>
          <w:numId w:val="7"/>
        </w:numPr>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存在问题。</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学校地处农村，生源少。</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sz w:val="32"/>
          <w:szCs w:val="32"/>
        </w:rPr>
        <w:t>（四）改进建议。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向主管部门汇报情况，争取上级或本级资金，加快校园建设，完善教学基础设施，更新教学理念。提高学生的竞争能力，保住生源。</w:t>
      </w:r>
    </w:p>
    <w:p>
      <w:pPr>
        <w:pStyle w:val="2"/>
        <w:spacing w:before="93"/>
        <w:rPr>
          <w:rFonts w:hint="eastAsia" w:ascii="仿宋" w:hAnsi="仿宋" w:eastAsia="仿宋" w:cs="仿宋"/>
          <w:sz w:val="32"/>
          <w:szCs w:val="32"/>
        </w:rPr>
      </w:pPr>
    </w:p>
    <w:p>
      <w:pPr>
        <w:pStyle w:val="2"/>
        <w:spacing w:before="93"/>
        <w:rPr>
          <w:rFonts w:hint="eastAsia" w:ascii="仿宋" w:hAnsi="仿宋" w:eastAsia="仿宋" w:cs="仿宋"/>
          <w:sz w:val="32"/>
          <w:szCs w:val="32"/>
        </w:rPr>
      </w:pPr>
    </w:p>
    <w:p>
      <w:pPr>
        <w:pStyle w:val="2"/>
        <w:spacing w:before="93"/>
        <w:rPr>
          <w:rFonts w:hint="eastAsia" w:ascii="仿宋" w:hAnsi="仿宋" w:eastAsia="仿宋" w:cs="仿宋"/>
          <w:sz w:val="32"/>
          <w:szCs w:val="32"/>
        </w:rPr>
      </w:pPr>
    </w:p>
    <w:p>
      <w:pPr>
        <w:pStyle w:val="2"/>
        <w:spacing w:before="93"/>
        <w:rPr>
          <w:rFonts w:hint="eastAsia" w:ascii="仿宋" w:hAnsi="仿宋" w:eastAsia="仿宋" w:cs="仿宋"/>
          <w:sz w:val="32"/>
          <w:szCs w:val="32"/>
        </w:rPr>
      </w:pPr>
    </w:p>
    <w:p>
      <w:pPr>
        <w:pStyle w:val="2"/>
        <w:spacing w:before="93"/>
        <w:rPr>
          <w:rFonts w:hint="eastAsia" w:ascii="仿宋" w:hAnsi="仿宋" w:eastAsia="仿宋" w:cs="仿宋"/>
          <w:sz w:val="32"/>
          <w:szCs w:val="32"/>
        </w:rPr>
      </w:pPr>
    </w:p>
    <w:p>
      <w:pPr>
        <w:pStyle w:val="2"/>
        <w:spacing w:before="93"/>
        <w:rPr>
          <w:rFonts w:hint="eastAsia" w:ascii="仿宋" w:hAnsi="仿宋" w:eastAsia="仿宋" w:cs="仿宋"/>
          <w:sz w:val="32"/>
          <w:szCs w:val="32"/>
        </w:rPr>
      </w:pPr>
    </w:p>
    <w:p>
      <w:pPr>
        <w:pStyle w:val="2"/>
        <w:spacing w:before="93"/>
        <w:rPr>
          <w:rFonts w:hint="eastAsia" w:ascii="仿宋" w:hAnsi="仿宋" w:eastAsia="仿宋" w:cs="仿宋"/>
          <w:sz w:val="32"/>
          <w:szCs w:val="32"/>
        </w:rPr>
      </w:pPr>
    </w:p>
    <w:p>
      <w:pPr>
        <w:pStyle w:val="2"/>
        <w:spacing w:before="93"/>
        <w:rPr>
          <w:rFonts w:hint="eastAsia" w:ascii="仿宋" w:hAnsi="仿宋" w:eastAsia="仿宋" w:cs="仿宋"/>
          <w:sz w:val="32"/>
          <w:szCs w:val="32"/>
        </w:rPr>
      </w:pPr>
    </w:p>
    <w:p>
      <w:pPr>
        <w:spacing w:line="600" w:lineRule="exact"/>
        <w:jc w:val="both"/>
        <w:outlineLvl w:val="0"/>
        <w:rPr>
          <w:rFonts w:hint="eastAsia" w:ascii="仿宋" w:hAnsi="仿宋" w:eastAsia="仿宋" w:cs="仿宋"/>
          <w:sz w:val="44"/>
          <w:szCs w:val="44"/>
        </w:rPr>
      </w:pPr>
    </w:p>
    <w:p>
      <w:pPr>
        <w:spacing w:line="600" w:lineRule="exact"/>
        <w:jc w:val="center"/>
        <w:outlineLvl w:val="0"/>
        <w:rPr>
          <w:rFonts w:hint="eastAsia" w:ascii="仿宋" w:hAnsi="仿宋" w:eastAsia="仿宋" w:cs="仿宋"/>
          <w:sz w:val="44"/>
          <w:szCs w:val="44"/>
        </w:rPr>
      </w:pPr>
    </w:p>
    <w:p>
      <w:pPr>
        <w:spacing w:line="600" w:lineRule="exact"/>
        <w:jc w:val="center"/>
        <w:outlineLvl w:val="0"/>
        <w:rPr>
          <w:rFonts w:hint="eastAsia" w:ascii="仿宋" w:hAnsi="仿宋" w:eastAsia="仿宋" w:cs="仿宋"/>
        </w:rPr>
      </w:pPr>
      <w:r>
        <w:rPr>
          <w:rFonts w:hint="eastAsia" w:ascii="仿宋" w:hAnsi="仿宋" w:eastAsia="仿宋" w:cs="仿宋"/>
          <w:sz w:val="44"/>
          <w:szCs w:val="44"/>
        </w:rPr>
        <w:t>第</w:t>
      </w:r>
      <w:r>
        <w:rPr>
          <w:rStyle w:val="24"/>
          <w:rFonts w:hint="eastAsia" w:ascii="仿宋" w:hAnsi="仿宋" w:eastAsia="仿宋" w:cs="仿宋"/>
          <w:b w:val="0"/>
        </w:rPr>
        <w:t>五部分 附表</w:t>
      </w:r>
      <w:bookmarkEnd w:id="56"/>
      <w:bookmarkEnd w:id="57"/>
      <w:bookmarkStart w:id="58" w:name="_Toc15396619"/>
    </w:p>
    <w:p>
      <w:pPr>
        <w:pStyle w:val="4"/>
        <w:rPr>
          <w:rFonts w:hint="eastAsia" w:ascii="仿宋" w:hAnsi="仿宋" w:eastAsia="仿宋" w:cs="仿宋"/>
        </w:rPr>
      </w:pPr>
      <w:r>
        <w:rPr>
          <w:rFonts w:hint="eastAsia" w:ascii="仿宋" w:hAnsi="仿宋" w:eastAsia="仿宋" w:cs="仿宋"/>
          <w:b w:val="0"/>
        </w:rPr>
        <w:t>一、收</w:t>
      </w:r>
      <w:r>
        <w:rPr>
          <w:rStyle w:val="25"/>
          <w:rFonts w:hint="eastAsia" w:ascii="仿宋" w:hAnsi="仿宋" w:eastAsia="仿宋" w:cs="仿宋"/>
          <w:b w:val="0"/>
          <w:bCs w:val="0"/>
        </w:rPr>
        <w:t>入支出决算总表</w:t>
      </w:r>
      <w:bookmarkEnd w:id="58"/>
    </w:p>
    <w:p>
      <w:pPr>
        <w:pStyle w:val="4"/>
        <w:rPr>
          <w:rFonts w:hint="eastAsia" w:ascii="仿宋" w:hAnsi="仿宋" w:eastAsia="仿宋" w:cs="仿宋"/>
        </w:rPr>
      </w:pPr>
      <w:bookmarkStart w:id="59" w:name="_Toc15396620"/>
      <w:r>
        <w:rPr>
          <w:rFonts w:hint="eastAsia" w:ascii="仿宋" w:hAnsi="仿宋" w:eastAsia="仿宋" w:cs="仿宋"/>
          <w:b w:val="0"/>
        </w:rPr>
        <w:t>二、收</w:t>
      </w:r>
      <w:r>
        <w:rPr>
          <w:rStyle w:val="25"/>
          <w:rFonts w:hint="eastAsia" w:ascii="仿宋" w:hAnsi="仿宋" w:eastAsia="仿宋" w:cs="仿宋"/>
          <w:b w:val="0"/>
          <w:bCs w:val="0"/>
        </w:rPr>
        <w:t>入决算表</w:t>
      </w:r>
      <w:bookmarkEnd w:id="59"/>
    </w:p>
    <w:p>
      <w:pPr>
        <w:pStyle w:val="4"/>
        <w:rPr>
          <w:rFonts w:hint="eastAsia" w:ascii="仿宋" w:hAnsi="仿宋" w:eastAsia="仿宋" w:cs="仿宋"/>
        </w:rPr>
      </w:pPr>
      <w:bookmarkStart w:id="60" w:name="_Toc15396621"/>
      <w:r>
        <w:rPr>
          <w:rStyle w:val="25"/>
          <w:rFonts w:hint="eastAsia" w:ascii="仿宋" w:hAnsi="仿宋" w:eastAsia="仿宋" w:cs="仿宋"/>
          <w:b w:val="0"/>
          <w:bCs w:val="0"/>
        </w:rPr>
        <w:t>三、</w:t>
      </w:r>
      <w:r>
        <w:rPr>
          <w:rFonts w:hint="eastAsia" w:ascii="仿宋" w:hAnsi="仿宋" w:eastAsia="仿宋" w:cs="仿宋"/>
          <w:b w:val="0"/>
        </w:rPr>
        <w:t>支</w:t>
      </w:r>
      <w:r>
        <w:rPr>
          <w:rStyle w:val="25"/>
          <w:rFonts w:hint="eastAsia" w:ascii="仿宋" w:hAnsi="仿宋" w:eastAsia="仿宋" w:cs="仿宋"/>
          <w:b w:val="0"/>
          <w:bCs w:val="0"/>
        </w:rPr>
        <w:t>出决算表</w:t>
      </w:r>
      <w:bookmarkEnd w:id="60"/>
    </w:p>
    <w:p>
      <w:pPr>
        <w:pStyle w:val="4"/>
        <w:rPr>
          <w:rFonts w:hint="eastAsia" w:ascii="仿宋" w:hAnsi="仿宋" w:eastAsia="仿宋" w:cs="仿宋"/>
          <w:b w:val="0"/>
        </w:rPr>
      </w:pPr>
      <w:bookmarkStart w:id="61" w:name="_Toc15396622"/>
      <w:r>
        <w:rPr>
          <w:rStyle w:val="25"/>
          <w:rFonts w:hint="eastAsia" w:ascii="仿宋" w:hAnsi="仿宋" w:eastAsia="仿宋" w:cs="仿宋"/>
          <w:b w:val="0"/>
          <w:bCs w:val="0"/>
        </w:rPr>
        <w:t>四、</w:t>
      </w:r>
      <w:r>
        <w:rPr>
          <w:rFonts w:hint="eastAsia" w:ascii="仿宋" w:hAnsi="仿宋" w:eastAsia="仿宋" w:cs="仿宋"/>
          <w:b w:val="0"/>
        </w:rPr>
        <w:t>财</w:t>
      </w:r>
      <w:r>
        <w:rPr>
          <w:rStyle w:val="25"/>
          <w:rFonts w:hint="eastAsia" w:ascii="仿宋" w:hAnsi="仿宋" w:eastAsia="仿宋" w:cs="仿宋"/>
          <w:b w:val="0"/>
          <w:bCs w:val="0"/>
        </w:rPr>
        <w:t>政拨款收入支出决算总表</w:t>
      </w:r>
      <w:bookmarkEnd w:id="61"/>
    </w:p>
    <w:p>
      <w:pPr>
        <w:pStyle w:val="4"/>
        <w:rPr>
          <w:rStyle w:val="25"/>
          <w:rFonts w:hint="eastAsia" w:ascii="仿宋" w:hAnsi="仿宋" w:eastAsia="仿宋" w:cs="仿宋"/>
          <w:b w:val="0"/>
          <w:bCs w:val="0"/>
        </w:rPr>
      </w:pPr>
      <w:bookmarkStart w:id="62" w:name="_Toc15396623"/>
      <w:r>
        <w:rPr>
          <w:rStyle w:val="25"/>
          <w:rFonts w:hint="eastAsia" w:ascii="仿宋" w:hAnsi="仿宋" w:eastAsia="仿宋" w:cs="仿宋"/>
          <w:b w:val="0"/>
          <w:bCs w:val="0"/>
        </w:rPr>
        <w:t>五、</w:t>
      </w:r>
      <w:r>
        <w:rPr>
          <w:rFonts w:hint="eastAsia" w:ascii="仿宋" w:hAnsi="仿宋" w:eastAsia="仿宋" w:cs="仿宋"/>
          <w:b w:val="0"/>
        </w:rPr>
        <w:t>财</w:t>
      </w:r>
      <w:r>
        <w:rPr>
          <w:rStyle w:val="25"/>
          <w:rFonts w:hint="eastAsia" w:ascii="仿宋" w:hAnsi="仿宋" w:eastAsia="仿宋" w:cs="仿宋"/>
          <w:b w:val="0"/>
          <w:bCs w:val="0"/>
        </w:rPr>
        <w:t>政拨款支出决算明细表</w:t>
      </w:r>
      <w:bookmarkEnd w:id="62"/>
      <w:bookmarkStart w:id="63" w:name="_Toc15396624"/>
    </w:p>
    <w:p>
      <w:pPr>
        <w:pStyle w:val="4"/>
        <w:rPr>
          <w:rFonts w:hint="eastAsia" w:ascii="仿宋" w:hAnsi="仿宋" w:eastAsia="仿宋" w:cs="仿宋"/>
        </w:rPr>
      </w:pPr>
      <w:r>
        <w:rPr>
          <w:rStyle w:val="25"/>
          <w:rFonts w:hint="eastAsia" w:ascii="仿宋" w:hAnsi="仿宋" w:eastAsia="仿宋" w:cs="仿宋"/>
          <w:b w:val="0"/>
          <w:bCs w:val="0"/>
        </w:rPr>
        <w:t>六、</w:t>
      </w:r>
      <w:r>
        <w:rPr>
          <w:rFonts w:hint="eastAsia" w:ascii="仿宋" w:hAnsi="仿宋" w:eastAsia="仿宋" w:cs="仿宋"/>
          <w:b w:val="0"/>
        </w:rPr>
        <w:t>一</w:t>
      </w:r>
      <w:r>
        <w:rPr>
          <w:rStyle w:val="25"/>
          <w:rFonts w:hint="eastAsia" w:ascii="仿宋" w:hAnsi="仿宋" w:eastAsia="仿宋" w:cs="仿宋"/>
          <w:b w:val="0"/>
          <w:bCs w:val="0"/>
        </w:rPr>
        <w:t>般公共预算财政拨款支出决算表</w:t>
      </w:r>
      <w:bookmarkEnd w:id="63"/>
    </w:p>
    <w:p>
      <w:pPr>
        <w:pStyle w:val="4"/>
        <w:rPr>
          <w:rFonts w:hint="eastAsia" w:ascii="仿宋" w:hAnsi="仿宋" w:eastAsia="仿宋" w:cs="仿宋"/>
        </w:rPr>
      </w:pPr>
      <w:bookmarkStart w:id="64" w:name="_Toc15396625"/>
      <w:r>
        <w:rPr>
          <w:rStyle w:val="25"/>
          <w:rFonts w:hint="eastAsia" w:ascii="仿宋" w:hAnsi="仿宋" w:eastAsia="仿宋" w:cs="仿宋"/>
          <w:b w:val="0"/>
          <w:bCs w:val="0"/>
        </w:rPr>
        <w:t>七、</w:t>
      </w:r>
      <w:r>
        <w:rPr>
          <w:rFonts w:hint="eastAsia" w:ascii="仿宋" w:hAnsi="仿宋" w:eastAsia="仿宋" w:cs="仿宋"/>
          <w:b w:val="0"/>
        </w:rPr>
        <w:t>一</w:t>
      </w:r>
      <w:r>
        <w:rPr>
          <w:rStyle w:val="25"/>
          <w:rFonts w:hint="eastAsia" w:ascii="仿宋" w:hAnsi="仿宋" w:eastAsia="仿宋" w:cs="仿宋"/>
          <w:b w:val="0"/>
          <w:bCs w:val="0"/>
        </w:rPr>
        <w:t>般公共预算财政拨款支出决算明细表</w:t>
      </w:r>
      <w:bookmarkEnd w:id="64"/>
    </w:p>
    <w:p>
      <w:pPr>
        <w:pStyle w:val="4"/>
        <w:rPr>
          <w:rFonts w:hint="eastAsia" w:ascii="仿宋" w:hAnsi="仿宋" w:eastAsia="仿宋" w:cs="仿宋"/>
        </w:rPr>
      </w:pPr>
      <w:bookmarkStart w:id="65" w:name="_Toc15396626"/>
      <w:r>
        <w:rPr>
          <w:rStyle w:val="25"/>
          <w:rFonts w:hint="eastAsia" w:ascii="仿宋" w:hAnsi="仿宋" w:eastAsia="仿宋" w:cs="仿宋"/>
          <w:b w:val="0"/>
          <w:bCs w:val="0"/>
        </w:rPr>
        <w:t>八、</w:t>
      </w:r>
      <w:r>
        <w:rPr>
          <w:rFonts w:hint="eastAsia" w:ascii="仿宋" w:hAnsi="仿宋" w:eastAsia="仿宋" w:cs="仿宋"/>
          <w:b w:val="0"/>
        </w:rPr>
        <w:t>一</w:t>
      </w:r>
      <w:r>
        <w:rPr>
          <w:rStyle w:val="25"/>
          <w:rFonts w:hint="eastAsia" w:ascii="仿宋" w:hAnsi="仿宋" w:eastAsia="仿宋" w:cs="仿宋"/>
          <w:b w:val="0"/>
          <w:bCs w:val="0"/>
        </w:rPr>
        <w:t>般公共预算财政拨款基本支出决算表</w:t>
      </w:r>
      <w:bookmarkEnd w:id="65"/>
    </w:p>
    <w:p>
      <w:pPr>
        <w:pStyle w:val="4"/>
        <w:rPr>
          <w:rFonts w:hint="eastAsia" w:ascii="仿宋" w:hAnsi="仿宋" w:eastAsia="仿宋" w:cs="仿宋"/>
        </w:rPr>
      </w:pPr>
      <w:bookmarkStart w:id="66" w:name="_Toc15396627"/>
      <w:r>
        <w:rPr>
          <w:rStyle w:val="25"/>
          <w:rFonts w:hint="eastAsia" w:ascii="仿宋" w:hAnsi="仿宋" w:eastAsia="仿宋" w:cs="仿宋"/>
          <w:b w:val="0"/>
          <w:bCs w:val="0"/>
        </w:rPr>
        <w:t>九、</w:t>
      </w:r>
      <w:r>
        <w:rPr>
          <w:rFonts w:hint="eastAsia" w:ascii="仿宋" w:hAnsi="仿宋" w:eastAsia="仿宋" w:cs="仿宋"/>
          <w:b w:val="0"/>
        </w:rPr>
        <w:t>一</w:t>
      </w:r>
      <w:r>
        <w:rPr>
          <w:rStyle w:val="25"/>
          <w:rFonts w:hint="eastAsia" w:ascii="仿宋" w:hAnsi="仿宋" w:eastAsia="仿宋" w:cs="仿宋"/>
          <w:b w:val="0"/>
          <w:bCs w:val="0"/>
        </w:rPr>
        <w:t>般公共预算财政拨款项目支出决算表</w:t>
      </w:r>
      <w:bookmarkEnd w:id="66"/>
    </w:p>
    <w:p>
      <w:pPr>
        <w:pStyle w:val="4"/>
        <w:rPr>
          <w:rFonts w:hint="eastAsia" w:ascii="仿宋" w:hAnsi="仿宋" w:eastAsia="仿宋" w:cs="仿宋"/>
        </w:rPr>
      </w:pPr>
      <w:bookmarkStart w:id="67" w:name="_Toc15396628"/>
      <w:r>
        <w:rPr>
          <w:rStyle w:val="25"/>
          <w:rFonts w:hint="eastAsia" w:ascii="仿宋" w:hAnsi="仿宋" w:eastAsia="仿宋" w:cs="仿宋"/>
          <w:b w:val="0"/>
          <w:bCs w:val="0"/>
        </w:rPr>
        <w:t>十、</w:t>
      </w:r>
      <w:bookmarkEnd w:id="67"/>
      <w:r>
        <w:rPr>
          <w:rFonts w:hint="eastAsia" w:ascii="仿宋" w:hAnsi="仿宋" w:eastAsia="仿宋" w:cs="仿宋"/>
          <w:b w:val="0"/>
        </w:rPr>
        <w:t>政</w:t>
      </w:r>
      <w:r>
        <w:rPr>
          <w:rStyle w:val="25"/>
          <w:rFonts w:hint="eastAsia" w:ascii="仿宋" w:hAnsi="仿宋" w:eastAsia="仿宋" w:cs="仿宋"/>
          <w:b w:val="0"/>
          <w:bCs w:val="0"/>
        </w:rPr>
        <w:t>府性基金预算财政拨款收入支出决算表</w:t>
      </w:r>
    </w:p>
    <w:p>
      <w:pPr>
        <w:pStyle w:val="4"/>
        <w:rPr>
          <w:rFonts w:hint="eastAsia" w:ascii="仿宋" w:hAnsi="仿宋" w:eastAsia="仿宋" w:cs="仿宋"/>
        </w:rPr>
      </w:pPr>
      <w:bookmarkStart w:id="68" w:name="_Toc15396629"/>
      <w:r>
        <w:rPr>
          <w:rStyle w:val="25"/>
          <w:rFonts w:hint="eastAsia" w:ascii="仿宋" w:hAnsi="仿宋" w:eastAsia="仿宋" w:cs="仿宋"/>
          <w:b w:val="0"/>
          <w:bCs w:val="0"/>
        </w:rPr>
        <w:t>十一、</w:t>
      </w:r>
      <w:bookmarkEnd w:id="68"/>
      <w:r>
        <w:rPr>
          <w:rFonts w:hint="eastAsia" w:ascii="仿宋" w:hAnsi="仿宋" w:eastAsia="仿宋" w:cs="仿宋"/>
          <w:b w:val="0"/>
        </w:rPr>
        <w:t>国</w:t>
      </w:r>
      <w:r>
        <w:rPr>
          <w:rStyle w:val="25"/>
          <w:rFonts w:hint="eastAsia" w:ascii="仿宋" w:hAnsi="仿宋" w:eastAsia="仿宋" w:cs="仿宋"/>
          <w:b w:val="0"/>
          <w:bCs w:val="0"/>
        </w:rPr>
        <w:t>有资本经营预算财政拨款收入支出决算表</w:t>
      </w:r>
    </w:p>
    <w:p>
      <w:pPr>
        <w:pStyle w:val="4"/>
        <w:rPr>
          <w:rFonts w:hint="eastAsia" w:ascii="仿宋" w:hAnsi="仿宋" w:eastAsia="仿宋" w:cs="仿宋"/>
        </w:rPr>
      </w:pPr>
      <w:bookmarkStart w:id="69" w:name="_Toc15396630"/>
      <w:r>
        <w:rPr>
          <w:rStyle w:val="25"/>
          <w:rFonts w:hint="eastAsia" w:ascii="仿宋" w:hAnsi="仿宋" w:eastAsia="仿宋" w:cs="仿宋"/>
          <w:b w:val="0"/>
          <w:bCs w:val="0"/>
        </w:rPr>
        <w:t>十二、</w:t>
      </w:r>
      <w:bookmarkEnd w:id="69"/>
      <w:r>
        <w:rPr>
          <w:rStyle w:val="25"/>
          <w:rFonts w:hint="eastAsia" w:ascii="仿宋" w:hAnsi="仿宋" w:eastAsia="仿宋" w:cs="仿宋"/>
          <w:b w:val="0"/>
          <w:bCs w:val="0"/>
        </w:rPr>
        <w:t>国有资本经营预算财政拨款支出决算表</w:t>
      </w:r>
    </w:p>
    <w:p>
      <w:pPr>
        <w:pStyle w:val="4"/>
        <w:rPr>
          <w:rFonts w:hint="eastAsia" w:ascii="仿宋" w:hAnsi="仿宋" w:eastAsia="仿宋" w:cs="仿宋"/>
        </w:rPr>
      </w:pPr>
      <w:bookmarkStart w:id="70" w:name="_Toc15396631"/>
      <w:r>
        <w:rPr>
          <w:rStyle w:val="25"/>
          <w:rFonts w:hint="eastAsia" w:ascii="仿宋" w:hAnsi="仿宋" w:eastAsia="仿宋" w:cs="仿宋"/>
          <w:b w:val="0"/>
          <w:bCs w:val="0"/>
        </w:rPr>
        <w:t>十三、</w:t>
      </w:r>
      <w:bookmarkEnd w:id="70"/>
      <w:r>
        <w:rPr>
          <w:rStyle w:val="25"/>
          <w:rFonts w:hint="eastAsia" w:ascii="仿宋" w:hAnsi="仿宋" w:eastAsia="仿宋" w:cs="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121E1"/>
    <w:multiLevelType w:val="singleLevel"/>
    <w:tmpl w:val="829121E1"/>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D72EDE9"/>
    <w:multiLevelType w:val="singleLevel"/>
    <w:tmpl w:val="2D72EDE9"/>
    <w:lvl w:ilvl="0" w:tentative="0">
      <w:start w:val="3"/>
      <w:numFmt w:val="decimal"/>
      <w:lvlText w:val="%1."/>
      <w:lvlJc w:val="left"/>
      <w:pPr>
        <w:tabs>
          <w:tab w:val="left" w:pos="312"/>
        </w:tabs>
      </w:pPr>
    </w:lvl>
  </w:abstractNum>
  <w:abstractNum w:abstractNumId="5">
    <w:nsid w:val="2E1726F8"/>
    <w:multiLevelType w:val="singleLevel"/>
    <w:tmpl w:val="2E1726F8"/>
    <w:lvl w:ilvl="0" w:tentative="0">
      <w:start w:val="1"/>
      <w:numFmt w:val="chineseCounting"/>
      <w:suff w:val="nothing"/>
      <w:lvlText w:val="（%1）"/>
      <w:lvlJc w:val="left"/>
      <w:pPr>
        <w:ind w:left="800" w:leftChars="0" w:firstLine="0" w:firstLineChars="0"/>
      </w:pPr>
      <w:rPr>
        <w:rFonts w:hint="eastAsia"/>
      </w:rPr>
    </w:lvl>
  </w:abstractNum>
  <w:abstractNum w:abstractNumId="6">
    <w:nsid w:val="3818A09A"/>
    <w:multiLevelType w:val="singleLevel"/>
    <w:tmpl w:val="3818A09A"/>
    <w:lvl w:ilvl="0" w:tentative="0">
      <w:start w:val="1"/>
      <w:numFmt w:val="chineseCounting"/>
      <w:suff w:val="nothing"/>
      <w:lvlText w:val="%1、"/>
      <w:lvlJc w:val="left"/>
      <w:rPr>
        <w:rFonts w:hint="eastAsia"/>
        <w:lang w:val="en-US"/>
      </w:rPr>
    </w:lvl>
  </w:abstractNum>
  <w:num w:numId="1">
    <w:abstractNumId w:val="6"/>
  </w:num>
  <w:num w:numId="2">
    <w:abstractNumId w:val="5"/>
  </w:num>
  <w:num w:numId="3">
    <w:abstractNumId w:val="3"/>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hOTBhMWM5ZTU3ODIzZTI1ZGE0NTZiYjNkMThhNz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1D59"/>
    <w:rsid w:val="00174518"/>
    <w:rsid w:val="0018106D"/>
    <w:rsid w:val="001877A7"/>
    <w:rsid w:val="00191536"/>
    <w:rsid w:val="00196687"/>
    <w:rsid w:val="001C0962"/>
    <w:rsid w:val="001D7409"/>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076DA"/>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2CA2"/>
    <w:rsid w:val="00471401"/>
    <w:rsid w:val="00473F31"/>
    <w:rsid w:val="0048263A"/>
    <w:rsid w:val="00487E5D"/>
    <w:rsid w:val="00491AB5"/>
    <w:rsid w:val="004A711F"/>
    <w:rsid w:val="004B199D"/>
    <w:rsid w:val="004B4690"/>
    <w:rsid w:val="004E0A2D"/>
    <w:rsid w:val="004E206B"/>
    <w:rsid w:val="004E6DF7"/>
    <w:rsid w:val="004F0FBD"/>
    <w:rsid w:val="004F2B6A"/>
    <w:rsid w:val="00505A47"/>
    <w:rsid w:val="00512FDA"/>
    <w:rsid w:val="00520DA0"/>
    <w:rsid w:val="005664BB"/>
    <w:rsid w:val="00566FFA"/>
    <w:rsid w:val="0057481D"/>
    <w:rsid w:val="0058486E"/>
    <w:rsid w:val="00585B33"/>
    <w:rsid w:val="0059014D"/>
    <w:rsid w:val="005B5587"/>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D2ADA"/>
    <w:rsid w:val="006F020C"/>
    <w:rsid w:val="007127B7"/>
    <w:rsid w:val="0071798E"/>
    <w:rsid w:val="007416B6"/>
    <w:rsid w:val="00746F48"/>
    <w:rsid w:val="00751578"/>
    <w:rsid w:val="0075404D"/>
    <w:rsid w:val="0076182A"/>
    <w:rsid w:val="00767B7E"/>
    <w:rsid w:val="007770C3"/>
    <w:rsid w:val="00784D24"/>
    <w:rsid w:val="00785FBA"/>
    <w:rsid w:val="00786E4A"/>
    <w:rsid w:val="007875EB"/>
    <w:rsid w:val="0079426B"/>
    <w:rsid w:val="007A07C5"/>
    <w:rsid w:val="007D1682"/>
    <w:rsid w:val="007D312A"/>
    <w:rsid w:val="007D3F19"/>
    <w:rsid w:val="007D73AE"/>
    <w:rsid w:val="007E23B0"/>
    <w:rsid w:val="007E23E5"/>
    <w:rsid w:val="007E2F2D"/>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1713"/>
    <w:rsid w:val="008939CD"/>
    <w:rsid w:val="008A7BE5"/>
    <w:rsid w:val="008B768C"/>
    <w:rsid w:val="008C4DB1"/>
    <w:rsid w:val="008C4EAF"/>
    <w:rsid w:val="008C5176"/>
    <w:rsid w:val="008C7FD0"/>
    <w:rsid w:val="008D29C1"/>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4590A"/>
    <w:rsid w:val="00B53C56"/>
    <w:rsid w:val="00B57DAF"/>
    <w:rsid w:val="00B77EA6"/>
    <w:rsid w:val="00B81598"/>
    <w:rsid w:val="00B841F1"/>
    <w:rsid w:val="00B944D6"/>
    <w:rsid w:val="00BB4DF0"/>
    <w:rsid w:val="00BC289F"/>
    <w:rsid w:val="00BC2D50"/>
    <w:rsid w:val="00BC5361"/>
    <w:rsid w:val="00BC5460"/>
    <w:rsid w:val="00BC6B50"/>
    <w:rsid w:val="00BD0E25"/>
    <w:rsid w:val="00BF176B"/>
    <w:rsid w:val="00BF5BD6"/>
    <w:rsid w:val="00C03E31"/>
    <w:rsid w:val="00C12F14"/>
    <w:rsid w:val="00C33E72"/>
    <w:rsid w:val="00C354B2"/>
    <w:rsid w:val="00C35554"/>
    <w:rsid w:val="00C42709"/>
    <w:rsid w:val="00C533CC"/>
    <w:rsid w:val="00C5457B"/>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32AE"/>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3F5C"/>
    <w:rsid w:val="00E331A1"/>
    <w:rsid w:val="00E33202"/>
    <w:rsid w:val="00E336A9"/>
    <w:rsid w:val="00E472B1"/>
    <w:rsid w:val="00E50624"/>
    <w:rsid w:val="00E568DF"/>
    <w:rsid w:val="00E64269"/>
    <w:rsid w:val="00E67D93"/>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1E60"/>
    <w:rsid w:val="00F754A1"/>
    <w:rsid w:val="00F81FD9"/>
    <w:rsid w:val="00F841AA"/>
    <w:rsid w:val="00F84A94"/>
    <w:rsid w:val="00F87E96"/>
    <w:rsid w:val="00FA23E8"/>
    <w:rsid w:val="00FD3CC1"/>
    <w:rsid w:val="00FF1E02"/>
    <w:rsid w:val="00FF30B4"/>
    <w:rsid w:val="053A62B5"/>
    <w:rsid w:val="0A2032A3"/>
    <w:rsid w:val="0B8A37D8"/>
    <w:rsid w:val="0F33523D"/>
    <w:rsid w:val="10C055FF"/>
    <w:rsid w:val="11791376"/>
    <w:rsid w:val="118107EC"/>
    <w:rsid w:val="11DD6519"/>
    <w:rsid w:val="13075423"/>
    <w:rsid w:val="16BB723D"/>
    <w:rsid w:val="18015F3F"/>
    <w:rsid w:val="1BE8440E"/>
    <w:rsid w:val="1D155CEE"/>
    <w:rsid w:val="1F966053"/>
    <w:rsid w:val="20F57F95"/>
    <w:rsid w:val="22A95D3D"/>
    <w:rsid w:val="240371BF"/>
    <w:rsid w:val="25711CC6"/>
    <w:rsid w:val="25C741E6"/>
    <w:rsid w:val="27842671"/>
    <w:rsid w:val="29FD04D3"/>
    <w:rsid w:val="2ABE7A3E"/>
    <w:rsid w:val="2C3C3E60"/>
    <w:rsid w:val="2CA234A8"/>
    <w:rsid w:val="2EFA178C"/>
    <w:rsid w:val="30B46D73"/>
    <w:rsid w:val="319F7F4E"/>
    <w:rsid w:val="31B30380"/>
    <w:rsid w:val="383D272C"/>
    <w:rsid w:val="39AE70AB"/>
    <w:rsid w:val="3C0C0783"/>
    <w:rsid w:val="3F9F3A96"/>
    <w:rsid w:val="455F7C02"/>
    <w:rsid w:val="48BF60AB"/>
    <w:rsid w:val="493C27E9"/>
    <w:rsid w:val="496F39ED"/>
    <w:rsid w:val="49FF41D3"/>
    <w:rsid w:val="4BE068DB"/>
    <w:rsid w:val="4BF6002B"/>
    <w:rsid w:val="4ECE2238"/>
    <w:rsid w:val="4FA15456"/>
    <w:rsid w:val="51DB4B86"/>
    <w:rsid w:val="5347650C"/>
    <w:rsid w:val="55333C3E"/>
    <w:rsid w:val="5851787B"/>
    <w:rsid w:val="59FE7011"/>
    <w:rsid w:val="64CA39A1"/>
    <w:rsid w:val="69630ADE"/>
    <w:rsid w:val="6C4A05C8"/>
    <w:rsid w:val="6D3B1A89"/>
    <w:rsid w:val="71BF4EC2"/>
    <w:rsid w:val="72734D90"/>
    <w:rsid w:val="7412278C"/>
    <w:rsid w:val="76936743"/>
    <w:rsid w:val="770415C6"/>
    <w:rsid w:val="77421674"/>
    <w:rsid w:val="78BE455C"/>
    <w:rsid w:val="79E7B28D"/>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image" Target="media/image1.pn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2024&#36164;&#26009;\2023&#24180;&#20915;&#36187;&#20844;&#24320;\&#24037;&#20316;&#31807;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4&#36164;&#26009;\2023&#24180;&#20915;&#36187;&#20844;&#24320;\&#24037;&#20316;&#31807;1.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2024&#36164;&#26009;\2023&#24180;&#20915;&#36187;&#20844;&#24320;\&#24037;&#20316;&#31807;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4&#36164;&#26009;\2023&#24180;&#20915;&#36187;&#20844;&#24320;\&#24037;&#20316;&#31807;1.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2024&#36164;&#26009;\2023&#24180;&#20915;&#36187;&#20844;&#24320;\&#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sz="1400">
                <a:latin typeface="+mj-ea"/>
                <a:ea typeface="+mj-ea"/>
              </a:rPr>
              <a:t>2022</a:t>
            </a:r>
            <a:r>
              <a:rPr lang="zh-CN" sz="1400">
                <a:latin typeface="+mj-ea"/>
                <a:ea typeface="+mj-ea"/>
              </a:rPr>
              <a:t>、</a:t>
            </a:r>
            <a:r>
              <a:rPr lang="en-US" sz="1400">
                <a:latin typeface="+mj-ea"/>
                <a:ea typeface="+mj-ea"/>
              </a:rPr>
              <a:t>2023</a:t>
            </a:r>
            <a:r>
              <a:rPr altLang="en-US" sz="1400">
                <a:latin typeface="+mj-ea"/>
                <a:ea typeface="+mj-ea"/>
              </a:rPr>
              <a:t>年收、支决算总计变动情况图</a:t>
            </a:r>
            <a:endParaRPr lang="en-US" sz="1400">
              <a:latin typeface="+mj-ea"/>
              <a:ea typeface="+mj-ea"/>
            </a:endParaRPr>
          </a:p>
        </c:rich>
      </c:tx>
      <c:layout>
        <c:manualLayout>
          <c:xMode val="edge"/>
          <c:yMode val="edge"/>
          <c:x val="0.115734619891056"/>
          <c:y val="0"/>
        </c:manualLayout>
      </c:layout>
      <c:overlay val="0"/>
    </c:title>
    <c:autoTitleDeleted val="0"/>
    <c:plotArea>
      <c:layout/>
      <c:barChart>
        <c:barDir val="col"/>
        <c:grouping val="clustered"/>
        <c:varyColors val="0"/>
        <c:ser>
          <c:idx val="0"/>
          <c:order val="0"/>
          <c:tx>
            <c:strRef>
              <c:f>[工作簿1.xlsx]Sheet1!$A$32</c:f>
              <c:strCache>
                <c:ptCount val="1"/>
                <c:pt idx="0">
                  <c:v>2023年财政拨款收支总额</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{"收入"}</c:f>
              <c:strCache>
                <c:ptCount val="1"/>
                <c:pt idx="0">
                  <c:v>收入</c:v>
                </c:pt>
              </c:strCache>
            </c:strRef>
          </c:cat>
          <c:val>
            <c:numRef>
              <c:f>[工作簿1.xlsx]Sheet1!$B$32:$C$32</c:f>
              <c:numCache>
                <c:formatCode>General</c:formatCode>
                <c:ptCount val="2"/>
                <c:pt idx="0">
                  <c:v>367.14</c:v>
                </c:pt>
                <c:pt idx="1">
                  <c:v>367.14</c:v>
                </c:pt>
              </c:numCache>
            </c:numRef>
          </c:val>
        </c:ser>
        <c:ser>
          <c:idx val="1"/>
          <c:order val="1"/>
          <c:tx>
            <c:strRef>
              <c:f>[工作簿1.xlsx]Sheet1!$A$33</c:f>
              <c:strCache>
                <c:ptCount val="1"/>
                <c:pt idx="0">
                  <c:v>2022年财政拨款收支总额</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{"收入"}</c:f>
              <c:strCache>
                <c:ptCount val="1"/>
                <c:pt idx="0">
                  <c:v>收入</c:v>
                </c:pt>
              </c:strCache>
            </c:strRef>
          </c:cat>
          <c:val>
            <c:numRef>
              <c:f>[工作簿1.xlsx]Sheet1!$B$33:$C$33</c:f>
              <c:numCache>
                <c:formatCode>General</c:formatCode>
                <c:ptCount val="2"/>
                <c:pt idx="0">
                  <c:v>398.61</c:v>
                </c:pt>
                <c:pt idx="1">
                  <c:v>398.61</c:v>
                </c:pt>
              </c:numCache>
            </c:numRef>
          </c:val>
        </c:ser>
        <c:ser>
          <c:idx val="2"/>
          <c:order val="2"/>
          <c:tx>
            <c:strRef>
              <c:f>"收入"</c:f>
              <c:strCache>
                <c:ptCount val="1"/>
                <c:pt idx="0">
                  <c:v>收入</c:v>
                </c:pt>
              </c:strCache>
            </c:strRef>
          </c:tx>
          <c:invertIfNegative val="0"/>
          <c:dLbls>
            <c:delete val="1"/>
          </c:dLbls>
          <c:cat>
            <c:strRef>
              <c:f>{"收入"}</c:f>
              <c:strCache>
                <c:ptCount val="1"/>
                <c:pt idx="0">
                  <c:v>收入</c:v>
                </c:pt>
              </c:strCache>
            </c:strRef>
          </c:cat>
          <c:val>
            <c:numRef>
              <c:f>{1}</c:f>
              <c:numCache>
                <c:formatCode>General</c:formatCode>
                <c:ptCount val="1"/>
                <c:pt idx="0">
                  <c:v>1</c:v>
                </c:pt>
              </c:numCache>
            </c:numRef>
          </c:val>
        </c:ser>
        <c:ser>
          <c:idx val="3"/>
          <c:order val="3"/>
          <c:tx>
            <c:strRef>
              <c:f>"支出"</c:f>
              <c:strCache>
                <c:ptCount val="1"/>
                <c:pt idx="0">
                  <c:v>支出</c:v>
                </c:pt>
              </c:strCache>
            </c:strRef>
          </c:tx>
          <c:invertIfNegative val="0"/>
          <c:dLbls>
            <c:delete val="1"/>
          </c:dLbls>
          <c:cat>
            <c:strRef>
              <c:f>{"收入"}</c:f>
              <c:strCache>
                <c:ptCount val="1"/>
                <c:pt idx="0">
                  <c:v>收入</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75"/>
        <c:overlap val="-25"/>
        <c:axId val="48398336"/>
        <c:axId val="239219776"/>
      </c:barChart>
      <c:catAx>
        <c:axId val="48398336"/>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9219776"/>
        <c:crosses val="autoZero"/>
        <c:auto val="1"/>
        <c:lblAlgn val="ctr"/>
        <c:lblOffset val="100"/>
        <c:noMultiLvlLbl val="0"/>
      </c:catAx>
      <c:valAx>
        <c:axId val="239219776"/>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8398336"/>
        <c:crosses val="autoZero"/>
        <c:crossBetween val="between"/>
      </c:valAx>
    </c:plotArea>
    <c:legend>
      <c:legendPos val="b"/>
      <c:legendEntry>
        <c:idx val="2"/>
        <c:delete val="1"/>
      </c:legendEntry>
      <c:legendEntry>
        <c:idx val="3"/>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sz="1600">
                <a:latin typeface="宋体" panose="02010600030101010101" charset="-122"/>
                <a:ea typeface="宋体" panose="02010600030101010101" charset="-122"/>
                <a:cs typeface="宋体" panose="02010600030101010101" charset="-122"/>
              </a:rPr>
              <a:t>2023</a:t>
            </a:r>
            <a:r>
              <a:rPr altLang="en-US" sz="1600">
                <a:latin typeface="宋体" panose="02010600030101010101" charset="-122"/>
                <a:ea typeface="宋体" panose="02010600030101010101" charset="-122"/>
                <a:cs typeface="宋体" panose="02010600030101010101" charset="-122"/>
              </a:rPr>
              <a:t>年支出结构图</a:t>
            </a:r>
            <a:endParaRPr lang="en-US" altLang="zh-CN" sz="1600">
              <a:latin typeface="宋体" panose="02010600030101010101" charset="-122"/>
              <a:ea typeface="宋体" panose="02010600030101010101" charset="-122"/>
              <a:cs typeface="宋体" panose="02010600030101010101" charset="-122"/>
            </a:endParaRPr>
          </a:p>
        </c:rich>
      </c:tx>
      <c:layout>
        <c:manualLayout>
          <c:xMode val="edge"/>
          <c:yMode val="edge"/>
          <c:x val="0.341973684210526"/>
          <c:y val="0.042140690178232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[工作簿1.xlsx]Sheet1!$A$62:$A$63</c:f>
              <c:strCache>
                <c:ptCount val="2"/>
                <c:pt idx="0">
                  <c:v>基本支出</c:v>
                </c:pt>
                <c:pt idx="1">
                  <c:v>项目支出</c:v>
                </c:pt>
              </c:strCache>
            </c:strRef>
          </c:cat>
          <c:val>
            <c:numRef>
              <c:f>[工作簿1.xlsx]Sheet1!$B$62:$B$63</c:f>
              <c:numCache>
                <c:formatCode>0.00%</c:formatCode>
                <c:ptCount val="2"/>
                <c:pt idx="0">
                  <c:v>0.95</c:v>
                </c:pt>
                <c:pt idx="1">
                  <c:v>0.05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080" b="1" i="0" u="none" strike="noStrike" kern="1200" baseline="0">
                <a:solidFill>
                  <a:schemeClr val="tx1"/>
                </a:solidFill>
                <a:latin typeface="+mn-lt"/>
                <a:ea typeface="+mn-ea"/>
                <a:cs typeface="+mn-cs"/>
              </a:defRPr>
            </a:pPr>
            <a:r>
              <a:rPr lang="en-US" sz="1080">
                <a:latin typeface="+mj-ea"/>
                <a:ea typeface="+mj-ea"/>
              </a:rPr>
              <a:t>2022</a:t>
            </a:r>
            <a:r>
              <a:rPr lang="zh-CN" sz="1080">
                <a:latin typeface="+mj-ea"/>
                <a:ea typeface="+mj-ea"/>
              </a:rPr>
              <a:t>、</a:t>
            </a:r>
            <a:r>
              <a:rPr lang="en-US" sz="1080">
                <a:latin typeface="+mj-ea"/>
                <a:ea typeface="+mj-ea"/>
              </a:rPr>
              <a:t>2023</a:t>
            </a:r>
            <a:r>
              <a:rPr altLang="en-US" sz="1080">
                <a:latin typeface="+mj-ea"/>
                <a:ea typeface="+mj-ea"/>
              </a:rPr>
              <a:t>年财政拨款收支决算总计变动情况图</a:t>
            </a:r>
            <a:endParaRPr lang="en-US" sz="1080">
              <a:latin typeface="+mj-ea"/>
              <a:ea typeface="+mj-ea"/>
            </a:endParaRPr>
          </a:p>
        </c:rich>
      </c:tx>
      <c:layout>
        <c:manualLayout>
          <c:xMode val="edge"/>
          <c:yMode val="edge"/>
          <c:x val="0.153548073519821"/>
          <c:y val="0.0119198982835346"/>
        </c:manualLayout>
      </c:layout>
      <c:overlay val="0"/>
    </c:title>
    <c:autoTitleDeleted val="0"/>
    <c:plotArea>
      <c:layout/>
      <c:barChart>
        <c:barDir val="col"/>
        <c:grouping val="clustered"/>
        <c:varyColors val="0"/>
        <c:ser>
          <c:idx val="0"/>
          <c:order val="0"/>
          <c:tx>
            <c:strRef>
              <c:f>[工作簿1.xlsx]Sheet1!$A$32</c:f>
              <c:strCache>
                <c:ptCount val="1"/>
                <c:pt idx="0">
                  <c:v>2023年财政拨款收支总额</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{"收入"}</c:f>
              <c:strCache>
                <c:ptCount val="1"/>
                <c:pt idx="0">
                  <c:v>收入</c:v>
                </c:pt>
              </c:strCache>
            </c:strRef>
          </c:cat>
          <c:val>
            <c:numRef>
              <c:f>[工作簿1.xlsx]Sheet1!$B$32:$C$32</c:f>
              <c:numCache>
                <c:formatCode>General</c:formatCode>
                <c:ptCount val="2"/>
                <c:pt idx="0">
                  <c:v>367.14</c:v>
                </c:pt>
                <c:pt idx="1">
                  <c:v>367.14</c:v>
                </c:pt>
              </c:numCache>
            </c:numRef>
          </c:val>
        </c:ser>
        <c:ser>
          <c:idx val="1"/>
          <c:order val="1"/>
          <c:tx>
            <c:strRef>
              <c:f>[工作簿1.xlsx]Sheet1!$A$33</c:f>
              <c:strCache>
                <c:ptCount val="1"/>
                <c:pt idx="0">
                  <c:v>2022年财政拨款收支总额</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{"收入"}</c:f>
              <c:strCache>
                <c:ptCount val="1"/>
                <c:pt idx="0">
                  <c:v>收入</c:v>
                </c:pt>
              </c:strCache>
            </c:strRef>
          </c:cat>
          <c:val>
            <c:numRef>
              <c:f>[工作簿1.xlsx]Sheet1!$B$33:$C$33</c:f>
              <c:numCache>
                <c:formatCode>General</c:formatCode>
                <c:ptCount val="2"/>
                <c:pt idx="0">
                  <c:v>398.61</c:v>
                </c:pt>
                <c:pt idx="1">
                  <c:v>398.61</c:v>
                </c:pt>
              </c:numCache>
            </c:numRef>
          </c:val>
        </c:ser>
        <c:ser>
          <c:idx val="2"/>
          <c:order val="2"/>
          <c:tx>
            <c:strRef>
              <c:f>"收入"</c:f>
              <c:strCache>
                <c:ptCount val="1"/>
                <c:pt idx="0">
                  <c:v>收入</c:v>
                </c:pt>
              </c:strCache>
            </c:strRef>
          </c:tx>
          <c:invertIfNegative val="0"/>
          <c:dLbls>
            <c:delete val="1"/>
          </c:dLbls>
          <c:cat>
            <c:strRef>
              <c:f>{"收入"}</c:f>
              <c:strCache>
                <c:ptCount val="1"/>
                <c:pt idx="0">
                  <c:v>收入</c:v>
                </c:pt>
              </c:strCache>
            </c:strRef>
          </c:cat>
          <c:val>
            <c:numRef>
              <c:f>{1}</c:f>
              <c:numCache>
                <c:formatCode>General</c:formatCode>
                <c:ptCount val="1"/>
                <c:pt idx="0">
                  <c:v>1</c:v>
                </c:pt>
              </c:numCache>
            </c:numRef>
          </c:val>
        </c:ser>
        <c:ser>
          <c:idx val="3"/>
          <c:order val="3"/>
          <c:tx>
            <c:strRef>
              <c:f>"支出"</c:f>
              <c:strCache>
                <c:ptCount val="1"/>
                <c:pt idx="0">
                  <c:v>支出</c:v>
                </c:pt>
              </c:strCache>
            </c:strRef>
          </c:tx>
          <c:invertIfNegative val="0"/>
          <c:dLbls>
            <c:delete val="1"/>
          </c:dLbls>
          <c:cat>
            <c:strRef>
              <c:f>{"收入"}</c:f>
              <c:strCache>
                <c:ptCount val="1"/>
                <c:pt idx="0">
                  <c:v>收入</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75"/>
        <c:overlap val="-25"/>
        <c:axId val="48398336"/>
        <c:axId val="239219776"/>
      </c:barChart>
      <c:catAx>
        <c:axId val="48398336"/>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239219776"/>
        <c:crosses val="autoZero"/>
        <c:auto val="1"/>
        <c:lblAlgn val="ctr"/>
        <c:lblOffset val="100"/>
        <c:noMultiLvlLbl val="0"/>
      </c:catAx>
      <c:valAx>
        <c:axId val="239219776"/>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48398336"/>
        <c:crosses val="autoZero"/>
        <c:crossBetween val="between"/>
      </c:valAx>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delete val="1"/>
      </c:legendEntry>
      <c:legendEntry>
        <c:idx val="3"/>
        <c:delete val="1"/>
      </c:legendEntry>
      <c:layout/>
      <c:overlay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sz="900"/>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stacked"/>
        <c:varyColors val="0"/>
        <c:ser>
          <c:idx val="0"/>
          <c:order val="0"/>
          <c:spPr>
            <a:solidFill>
              <a:schemeClr val="accent1"/>
            </a:solidFill>
            <a:ln>
              <a:solidFill>
                <a:schemeClr val="bg1"/>
              </a:solidFill>
            </a:ln>
            <a:effectLst/>
          </c:spPr>
          <c:invertIfNegative val="0"/>
          <c:dPt>
            <c:idx val="1"/>
            <c:invertIfNegative val="0"/>
            <c:bubble3D val="0"/>
            <c:spPr>
              <a:solidFill>
                <a:srgbClr val="C00000"/>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[工作簿1.xlsx]Sheet1!$A$81:$A$82</c:f>
              <c:strCache>
                <c:ptCount val="2"/>
                <c:pt idx="0">
                  <c:v>2023年</c:v>
                </c:pt>
                <c:pt idx="1">
                  <c:v>2022年 </c:v>
                </c:pt>
              </c:strCache>
            </c:strRef>
          </c:cat>
          <c:val>
            <c:numRef>
              <c:f>[工作簿1.xlsx]Sheet1!$B$81:$B$82</c:f>
              <c:numCache>
                <c:formatCode>General</c:formatCode>
                <c:ptCount val="2"/>
                <c:pt idx="0">
                  <c:v>367.14</c:v>
                </c:pt>
                <c:pt idx="1" c:formatCode="#,##0.00">
                  <c:v>398.61</c:v>
                </c:pt>
              </c:numCache>
            </c:numRef>
          </c:val>
        </c:ser>
        <c:dLbls>
          <c:showLegendKey val="0"/>
          <c:showVal val="1"/>
          <c:showCatName val="0"/>
          <c:showSerName val="0"/>
          <c:showPercent val="0"/>
          <c:showBubbleSize val="0"/>
        </c:dLbls>
        <c:gapWidth val="246"/>
        <c:overlap val="100"/>
        <c:axId val="684885141"/>
        <c:axId val="132938699"/>
      </c:barChart>
      <c:catAx>
        <c:axId val="68488514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2938699"/>
        <c:crosses val="autoZero"/>
        <c:auto val="1"/>
        <c:lblAlgn val="ctr"/>
        <c:lblOffset val="100"/>
        <c:noMultiLvlLbl val="0"/>
      </c:catAx>
      <c:valAx>
        <c:axId val="13293869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488514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[工作簿1.xlsx]Sheet1!$A$20:$A$23</c:f>
              <c:strCache>
                <c:ptCount val="4"/>
                <c:pt idx="0">
                  <c:v>教育支出</c:v>
                </c:pt>
                <c:pt idx="1">
                  <c:v>社会保障和就业支出</c:v>
                </c:pt>
                <c:pt idx="2">
                  <c:v>卫生健康支出</c:v>
                </c:pt>
                <c:pt idx="3">
                  <c:v>住房保障支出</c:v>
                </c:pt>
              </c:strCache>
            </c:strRef>
          </c:cat>
          <c:val>
            <c:numRef>
              <c:f>[工作簿1.xlsx]Sheet1!$B$20:$B$23</c:f>
              <c:numCache>
                <c:formatCode>0.00%</c:formatCode>
                <c:ptCount val="4"/>
                <c:pt idx="0">
                  <c:v>0.7915</c:v>
                </c:pt>
                <c:pt idx="1">
                  <c:v>0.1004</c:v>
                </c:pt>
                <c:pt idx="2">
                  <c:v>0.0396</c:v>
                </c:pt>
                <c:pt idx="3">
                  <c:v>0.0686</c:v>
                </c:pt>
              </c:numCache>
            </c:numRef>
          </c:val>
        </c:ser>
        <c:dLbls>
          <c:showLegendKey val="0"/>
          <c:showVal val="0"/>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ln w="22225" cap="flat" cmpd="sng" algn="ctr">
      <a:solidFill>
        <a:schemeClr val="tx1">
          <a:tint val="75000"/>
          <a:shade val="95000"/>
          <a:satMod val="105000"/>
        </a:schemeClr>
      </a:solidFill>
      <a:prstDash val="solid"/>
      <a:round/>
    </a:ln>
  </c:spPr>
  <c:txPr>
    <a:bodyPr/>
    <a:lstStyle/>
    <a:p>
      <a:pPr>
        <a:defRPr lang="zh-CN"/>
      </a:pPr>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1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0.09533</cdr:x>
      <cdr:y>0</cdr:y>
    </cdr:from>
    <cdr:to>
      <cdr:x>1</cdr:x>
      <cdr:y>0.07627</cdr:y>
    </cdr:to>
    <cdr:sp>
      <cdr:nvSpPr>
        <cdr:cNvPr id="2" name="矩形 1"/>
        <cdr:cNvSpPr/>
      </cdr:nvSpPr>
      <cdr:spPr xmlns:a="http://schemas.openxmlformats.org/drawingml/2006/main">
        <a:xfrm xmlns:a="http://schemas.openxmlformats.org/drawingml/2006/main">
          <a:off x="447676" y="0"/>
          <a:ext cx="4248150" cy="34290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pPr marL="0" marR="0" indent="0" defTabSz="914400" eaLnBrk="1" fontAlgn="auto" latinLnBrk="0" hangingPunct="1">
            <a:lnSpc>
              <a:spcPct val="100000"/>
            </a:lnSpc>
            <a:spcBef>
              <a:spcPts val="0"/>
            </a:spcBef>
            <a:spcAft>
              <a:spcPts val="0"/>
            </a:spcAft>
            <a:buClrTx/>
            <a:buSzTx/>
            <a:buFontTx/>
            <a:buNone/>
            <a:defRPr/>
          </a:pPr>
          <a:r>
            <a:rPr lang="en-US" altLang="zh-CN" sz="1400">
              <a:effectLst/>
              <a:latin typeface="+mn-lt"/>
              <a:ea typeface="+mn-ea"/>
              <a:cs typeface="+mn-cs"/>
            </a:rPr>
            <a:t>2023</a:t>
          </a:r>
          <a:r>
            <a:rPr lang="zh-CN" altLang="en-US" sz="1400">
              <a:effectLst/>
              <a:latin typeface="+mn-lt"/>
              <a:ea typeface="+mn-ea"/>
              <a:cs typeface="+mn-cs"/>
            </a:rPr>
            <a:t>年一般公共预算财政拨款支出决算结构图</a:t>
          </a:r>
          <a:endParaRPr lang="zh-CN" altLang="en-US" sz="1400">
            <a:effectLst/>
            <a:latin typeface="+mn-lt"/>
            <a:ea typeface="+mn-ea"/>
            <a:cs typeface="+mn-cs"/>
          </a:endParaRPr>
        </a:p>
        <a:p>
          <a:pPr algn="ctr"/>
          <a:endParaRPr lang="zh-CN" altLang="en-US" sz="1600"/>
        </a:p>
      </cdr:txBody>
    </cdr:sp>
  </cdr:relSizeAnchor>
</c:userShapes>
</file>

<file path=word/drawings/drawing2.xml><?xml version="1.0" encoding="utf-8"?>
<c:userShapes xmlns:c="http://schemas.openxmlformats.org/drawingml/2006/chart">
  <cdr:relSizeAnchor xmlns:cdr="http://schemas.openxmlformats.org/drawingml/2006/chartDrawing">
    <cdr:from>
      <cdr:x>0.622887973874769</cdr:x>
      <cdr:y>0.825333814507398</cdr:y>
    </cdr:from>
    <cdr:to>
      <cdr:x>0.726395002129774</cdr:x>
      <cdr:y>0.901118729700469</cdr:y>
    </cdr:to>
    <cdr:sp>
      <cdr:nvSpPr>
        <cdr:cNvPr id="2" name="矩形 1"/>
        <cdr:cNvSpPr/>
      </cdr:nvSpPr>
      <cdr:spPr xmlns:a="http://schemas.openxmlformats.org/drawingml/2006/main">
        <a:xfrm xmlns:a="http://schemas.openxmlformats.org/drawingml/2006/main">
          <a:off x="2785745" y="2904490"/>
          <a:ext cx="462915" cy="26670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100"/>
            <a:t>支出</a:t>
          </a:r>
          <a:endParaRPr lang="zh-CN" alt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0.62289</cdr:x>
      <cdr:y>0.84386</cdr:y>
    </cdr:from>
    <cdr:to>
      <cdr:x>0.72637</cdr:x>
      <cdr:y>0.90107</cdr:y>
    </cdr:to>
    <cdr:sp>
      <cdr:nvSpPr>
        <cdr:cNvPr id="2" name="矩形 1"/>
        <cdr:cNvSpPr/>
      </cdr:nvSpPr>
      <cdr:spPr xmlns:a="http://schemas.openxmlformats.org/drawingml/2006/main">
        <a:xfrm xmlns:a="http://schemas.openxmlformats.org/drawingml/2006/main">
          <a:off x="2981325" y="3371850"/>
          <a:ext cx="495300" cy="22860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100"/>
            <a:t>支出</a:t>
          </a:r>
          <a:endParaRPr lang="zh-CN" alt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11493</Words>
  <Characters>12631</Characters>
  <Lines>7</Lines>
  <Paragraphs>19</Paragraphs>
  <TotalTime>21</TotalTime>
  <ScaleCrop>false</ScaleCrop>
  <LinksUpToDate>false</LinksUpToDate>
  <CharactersWithSpaces>12760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2023-07-31T02:35:00Z</cp:lastPrinted>
  <dcterms:modified xsi:type="dcterms:W3CDTF">2024-08-28T01:48:24Z</dcterms:modified>
  <dc:title>四川省***</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A3837FA984434ABDAF55FFEF3F991B35_13</vt:lpwstr>
  </property>
</Properties>
</file>