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E4E22">
      <w:pPr>
        <w:shd w:val="clear"/>
        <w:spacing w:line="600" w:lineRule="exact"/>
        <w:jc w:val="center"/>
        <w:outlineLvl w:val="9"/>
        <w:rPr>
          <w:rFonts w:ascii="微软雅黑" w:hAnsi="宋体" w:eastAsia="微软雅黑"/>
          <w:color w:val="000000" w:themeColor="text1"/>
          <w:sz w:val="72"/>
          <w:szCs w:val="72"/>
          <w14:textFill>
            <w14:solidFill>
              <w14:schemeClr w14:val="tx1"/>
            </w14:solidFill>
          </w14:textFill>
        </w:rPr>
      </w:pPr>
      <w:bookmarkStart w:id="0" w:name="_Toc15306267"/>
    </w:p>
    <w:p w14:paraId="272E60AE">
      <w:pPr>
        <w:shd w:val="clear"/>
        <w:spacing w:line="600" w:lineRule="exact"/>
        <w:jc w:val="center"/>
        <w:outlineLvl w:val="9"/>
        <w:rPr>
          <w:rFonts w:ascii="微软雅黑" w:hAnsi="宋体" w:eastAsia="微软雅黑"/>
          <w:color w:val="000000" w:themeColor="text1"/>
          <w:sz w:val="72"/>
          <w:szCs w:val="72"/>
          <w14:textFill>
            <w14:solidFill>
              <w14:schemeClr w14:val="tx1"/>
            </w14:solidFill>
          </w14:textFill>
        </w:rPr>
      </w:pPr>
    </w:p>
    <w:p w14:paraId="0BE489E3">
      <w:pPr>
        <w:shd w:val="clear"/>
        <w:spacing w:line="600" w:lineRule="exact"/>
        <w:jc w:val="center"/>
        <w:outlineLvl w:val="9"/>
        <w:rPr>
          <w:rFonts w:ascii="微软雅黑" w:hAnsi="宋体" w:eastAsia="微软雅黑"/>
          <w:color w:val="000000" w:themeColor="text1"/>
          <w:sz w:val="72"/>
          <w:szCs w:val="72"/>
          <w14:textFill>
            <w14:solidFill>
              <w14:schemeClr w14:val="tx1"/>
            </w14:solidFill>
          </w14:textFill>
        </w:rPr>
      </w:pPr>
    </w:p>
    <w:p w14:paraId="459AE2E4">
      <w:pPr>
        <w:shd w:val="clear"/>
        <w:adjustRightInd w:val="0"/>
        <w:snapToGrid w:val="0"/>
        <w:spacing w:line="360" w:lineRule="auto"/>
        <w:ind w:firstLine="2880" w:firstLineChars="400"/>
        <w:jc w:val="both"/>
        <w:outlineLvl w:val="0"/>
        <w:rPr>
          <w:rFonts w:hint="eastAsia" w:ascii="黑体" w:hAnsi="黑体" w:eastAsia="黑体"/>
          <w:color w:val="000000" w:themeColor="text1"/>
          <w:sz w:val="72"/>
          <w:szCs w:val="72"/>
          <w:lang w:eastAsia="zh-CN"/>
          <w14:textFill>
            <w14:solidFill>
              <w14:schemeClr w14:val="tx1"/>
            </w14:solidFill>
          </w14:textFill>
        </w:rPr>
      </w:pPr>
      <w:bookmarkStart w:id="1" w:name="_Toc26094"/>
      <w:bookmarkStart w:id="2" w:name="_Toc15396475"/>
      <w:bookmarkStart w:id="3" w:name="_Toc15377425"/>
      <w:bookmarkStart w:id="4" w:name="_Toc19414"/>
      <w:bookmarkStart w:id="5" w:name="_Toc15377193"/>
      <w:bookmarkStart w:id="6" w:name="_Toc12401"/>
      <w:bookmarkStart w:id="7" w:name="_Toc15396597"/>
      <w:bookmarkStart w:id="8" w:name="_Toc1445"/>
      <w:bookmarkStart w:id="9" w:name="_Toc9504"/>
      <w:bookmarkStart w:id="10" w:name="_Toc31461"/>
      <w:bookmarkStart w:id="11" w:name="_Toc15378441"/>
      <w:r>
        <w:rPr>
          <w:rFonts w:hint="eastAsia" w:ascii="黑体" w:hAnsi="黑体" w:eastAsia="黑体"/>
          <w:color w:val="000000" w:themeColor="text1"/>
          <w:sz w:val="72"/>
          <w:szCs w:val="72"/>
          <w:lang w:eastAsia="zh-CN"/>
          <w14:textFill>
            <w14:solidFill>
              <w14:schemeClr w14:val="tx1"/>
            </w14:solidFill>
          </w14:textFill>
        </w:rPr>
        <w:t>2023</w:t>
      </w:r>
      <w:r>
        <w:rPr>
          <w:rFonts w:hint="eastAsia" w:ascii="微软雅黑" w:hAnsi="宋体" w:eastAsia="微软雅黑"/>
          <w:color w:val="000000" w:themeColor="text1"/>
          <w:sz w:val="72"/>
          <w:szCs w:val="72"/>
          <w14:textFill>
            <w14:solidFill>
              <w14:schemeClr w14:val="tx1"/>
            </w14:solidFill>
          </w14:textFill>
        </w:rPr>
        <w:t>年</w:t>
      </w:r>
      <w:r>
        <w:rPr>
          <w:rFonts w:hint="eastAsia" w:ascii="黑体" w:hAnsi="黑体" w:eastAsia="黑体"/>
          <w:color w:val="000000" w:themeColor="text1"/>
          <w:sz w:val="72"/>
          <w:szCs w:val="72"/>
          <w:lang w:eastAsia="zh-CN"/>
          <w14:textFill>
            <w14:solidFill>
              <w14:schemeClr w14:val="tx1"/>
            </w14:solidFill>
          </w14:textFill>
        </w:rPr>
        <w:t>度</w:t>
      </w:r>
      <w:bookmarkEnd w:id="1"/>
      <w:bookmarkEnd w:id="2"/>
      <w:bookmarkEnd w:id="3"/>
      <w:bookmarkEnd w:id="4"/>
      <w:bookmarkEnd w:id="5"/>
      <w:bookmarkEnd w:id="6"/>
      <w:bookmarkEnd w:id="7"/>
      <w:bookmarkEnd w:id="8"/>
      <w:bookmarkEnd w:id="9"/>
      <w:bookmarkEnd w:id="10"/>
      <w:bookmarkEnd w:id="11"/>
      <w:bookmarkStart w:id="12" w:name="_Toc7510"/>
      <w:bookmarkStart w:id="13" w:name="_Toc25297"/>
      <w:bookmarkStart w:id="14" w:name="_Toc4418"/>
      <w:bookmarkStart w:id="15" w:name="_Toc19372"/>
      <w:bookmarkStart w:id="16" w:name="_Toc15378442"/>
      <w:bookmarkStart w:id="17" w:name="_Toc15377426"/>
      <w:bookmarkStart w:id="18" w:name="_Toc15396598"/>
      <w:bookmarkStart w:id="19" w:name="_Toc15377194"/>
      <w:bookmarkStart w:id="20" w:name="_Toc15396476"/>
    </w:p>
    <w:p w14:paraId="4790F451">
      <w:pPr>
        <w:shd w:val="clear"/>
        <w:adjustRightInd w:val="0"/>
        <w:snapToGrid w:val="0"/>
        <w:spacing w:line="360" w:lineRule="auto"/>
        <w:ind w:firstLine="720" w:firstLineChars="100"/>
        <w:jc w:val="both"/>
        <w:outlineLvl w:val="0"/>
        <w:rPr>
          <w:rFonts w:hint="eastAsia" w:ascii="黑体" w:hAnsi="黑体" w:eastAsia="黑体"/>
          <w:color w:val="000000" w:themeColor="text1"/>
          <w:sz w:val="72"/>
          <w:szCs w:val="72"/>
          <w:lang w:eastAsia="zh-CN"/>
          <w14:textFill>
            <w14:solidFill>
              <w14:schemeClr w14:val="tx1"/>
            </w14:solidFill>
          </w14:textFill>
        </w:rPr>
      </w:pPr>
      <w:bookmarkStart w:id="21" w:name="_Toc12336"/>
      <w:bookmarkStart w:id="22" w:name="_Toc19409"/>
      <w:r>
        <w:rPr>
          <w:rFonts w:hint="eastAsia" w:ascii="黑体" w:hAnsi="黑体" w:eastAsia="黑体"/>
          <w:color w:val="000000" w:themeColor="text1"/>
          <w:sz w:val="72"/>
          <w:szCs w:val="72"/>
          <w:lang w:eastAsia="zh-CN"/>
          <w14:textFill>
            <w14:solidFill>
              <w14:schemeClr w14:val="tx1"/>
            </w14:solidFill>
          </w14:textFill>
        </w:rPr>
        <w:t>四川省</w:t>
      </w:r>
      <w:bookmarkEnd w:id="0"/>
      <w:bookmarkStart w:id="23" w:name="_Toc15306268"/>
      <w:r>
        <w:rPr>
          <w:rFonts w:hint="eastAsia" w:ascii="黑体" w:hAnsi="黑体" w:eastAsia="黑体"/>
          <w:color w:val="000000" w:themeColor="text1"/>
          <w:sz w:val="72"/>
          <w:szCs w:val="72"/>
          <w:lang w:eastAsia="zh-CN"/>
          <w14:textFill>
            <w14:solidFill>
              <w14:schemeClr w14:val="tx1"/>
            </w14:solidFill>
          </w14:textFill>
        </w:rPr>
        <w:t>遂宁市安居区</w:t>
      </w:r>
      <w:bookmarkEnd w:id="12"/>
      <w:r>
        <w:rPr>
          <w:rFonts w:hint="eastAsia" w:ascii="黑体" w:hAnsi="黑体" w:eastAsia="黑体"/>
          <w:color w:val="000000" w:themeColor="text1"/>
          <w:sz w:val="72"/>
          <w:szCs w:val="72"/>
          <w:lang w:eastAsia="zh-CN"/>
          <w14:textFill>
            <w14:solidFill>
              <w14:schemeClr w14:val="tx1"/>
            </w14:solidFill>
          </w14:textFill>
        </w:rPr>
        <w:t>就</w:t>
      </w:r>
      <w:bookmarkEnd w:id="21"/>
      <w:bookmarkEnd w:id="22"/>
    </w:p>
    <w:p w14:paraId="5024DB50">
      <w:pPr>
        <w:shd w:val="clear"/>
        <w:adjustRightInd w:val="0"/>
        <w:snapToGrid w:val="0"/>
        <w:spacing w:line="360" w:lineRule="auto"/>
        <w:ind w:firstLine="720" w:firstLineChars="100"/>
        <w:jc w:val="both"/>
        <w:outlineLvl w:val="0"/>
        <w:rPr>
          <w:rFonts w:ascii="微软雅黑" w:hAnsi="宋体" w:eastAsia="微软雅黑"/>
          <w:color w:val="000000" w:themeColor="text1"/>
          <w:sz w:val="72"/>
          <w:szCs w:val="72"/>
          <w14:textFill>
            <w14:solidFill>
              <w14:schemeClr w14:val="tx1"/>
            </w14:solidFill>
          </w14:textFill>
        </w:rPr>
      </w:pPr>
      <w:bookmarkStart w:id="24" w:name="_Toc9799"/>
      <w:bookmarkStart w:id="25" w:name="_Toc2179"/>
      <w:r>
        <w:rPr>
          <w:rFonts w:hint="eastAsia" w:ascii="黑体" w:hAnsi="黑体" w:eastAsia="黑体"/>
          <w:color w:val="000000" w:themeColor="text1"/>
          <w:sz w:val="72"/>
          <w:szCs w:val="72"/>
          <w:lang w:eastAsia="zh-CN"/>
          <w14:textFill>
            <w14:solidFill>
              <w14:schemeClr w14:val="tx1"/>
            </w14:solidFill>
          </w14:textFill>
        </w:rPr>
        <w:t>业服务管理局</w:t>
      </w:r>
      <w:bookmarkEnd w:id="13"/>
      <w:bookmarkEnd w:id="14"/>
      <w:bookmarkEnd w:id="15"/>
      <w:bookmarkStart w:id="26" w:name="_Toc24892"/>
      <w:bookmarkStart w:id="27" w:name="_Toc1401"/>
      <w:bookmarkStart w:id="28" w:name="_Toc1324"/>
      <w:bookmarkStart w:id="29" w:name="_Toc4039"/>
      <w:r>
        <w:rPr>
          <w:rFonts w:hint="eastAsia" w:ascii="黑体" w:hAnsi="黑体" w:eastAsia="黑体"/>
          <w:color w:val="000000" w:themeColor="text1"/>
          <w:sz w:val="72"/>
          <w:szCs w:val="72"/>
          <w:lang w:eastAsia="zh-CN"/>
          <w14:textFill>
            <w14:solidFill>
              <w14:schemeClr w14:val="tx1"/>
            </w14:solidFill>
          </w14:textFill>
        </w:rPr>
        <w:t>部门决算</w:t>
      </w:r>
      <w:bookmarkEnd w:id="16"/>
      <w:bookmarkEnd w:id="17"/>
      <w:bookmarkEnd w:id="18"/>
      <w:bookmarkEnd w:id="19"/>
      <w:bookmarkEnd w:id="20"/>
      <w:bookmarkEnd w:id="23"/>
      <w:bookmarkEnd w:id="24"/>
      <w:bookmarkEnd w:id="25"/>
      <w:bookmarkEnd w:id="26"/>
      <w:bookmarkEnd w:id="27"/>
      <w:bookmarkEnd w:id="28"/>
      <w:bookmarkEnd w:id="29"/>
    </w:p>
    <w:p w14:paraId="19726974">
      <w:pPr>
        <w:widowControl/>
        <w:shd w:val="clear"/>
        <w:jc w:val="center"/>
        <w:rPr>
          <w:rFonts w:ascii="黑体" w:hAnsi="黑体" w:eastAsia="黑体"/>
          <w:color w:val="000000" w:themeColor="text1"/>
          <w:sz w:val="48"/>
          <w:szCs w:val="48"/>
          <w14:textFill>
            <w14:solidFill>
              <w14:schemeClr w14:val="tx1"/>
            </w14:solidFill>
          </w14:textFill>
        </w:rPr>
      </w:pPr>
      <w:r>
        <w:rPr>
          <w:rFonts w:ascii="微软雅黑" w:hAnsi="宋体" w:eastAsia="微软雅黑"/>
          <w:color w:val="000000" w:themeColor="text1"/>
          <w:sz w:val="36"/>
          <w:szCs w:val="36"/>
          <w14:textFill>
            <w14:solidFill>
              <w14:schemeClr w14:val="tx1"/>
            </w14:solidFill>
          </w14:textFill>
        </w:rPr>
        <w:br w:type="page"/>
      </w:r>
      <w:r>
        <w:rPr>
          <w:rFonts w:hint="eastAsia" w:ascii="黑体" w:hAnsi="黑体" w:eastAsia="黑体"/>
          <w:color w:val="000000" w:themeColor="text1"/>
          <w:sz w:val="48"/>
          <w:szCs w:val="48"/>
          <w14:textFill>
            <w14:solidFill>
              <w14:schemeClr w14:val="tx1"/>
            </w14:solidFill>
          </w14:textFill>
        </w:rPr>
        <w:t>目录</w:t>
      </w:r>
    </w:p>
    <w:p w14:paraId="3328D223">
      <w:pPr>
        <w:widowControl/>
        <w:shd w:val="clear"/>
        <w:jc w:val="center"/>
        <w:rPr>
          <w:rFonts w:ascii="黑体" w:hAnsi="黑体" w:eastAsia="黑体" w:cstheme="minorBidi"/>
          <w:color w:val="000000" w:themeColor="text1"/>
          <w:sz w:val="28"/>
          <w:szCs w:val="28"/>
          <w14:textFill>
            <w14:solidFill>
              <w14:schemeClr w14:val="tx1"/>
            </w14:solidFill>
          </w14:textFill>
        </w:rPr>
      </w:pPr>
    </w:p>
    <w:p w14:paraId="6803BC8F">
      <w:pPr>
        <w:pStyle w:val="16"/>
        <w:shd w:val="clea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公开时间：</w:t>
      </w:r>
      <w:r>
        <w:rPr>
          <w:rFonts w:hint="eastAsia"/>
          <w:color w:val="000000" w:themeColor="text1"/>
          <w:lang w:eastAsia="zh-CN"/>
          <w14:textFill>
            <w14:solidFill>
              <w14:schemeClr w14:val="tx1"/>
            </w14:solidFill>
          </w14:textFill>
        </w:rPr>
        <w:t>2024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08</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27</w:t>
      </w:r>
      <w:r>
        <w:rPr>
          <w:rFonts w:hint="eastAsia"/>
          <w:color w:val="000000" w:themeColor="text1"/>
          <w14:textFill>
            <w14:solidFill>
              <w14:schemeClr w14:val="tx1"/>
            </w14:solidFill>
          </w14:textFill>
        </w:rPr>
        <w:t>日</w:t>
      </w:r>
    </w:p>
    <w:sdt>
      <w:sdtPr>
        <w:rPr>
          <w:rFonts w:ascii="宋体" w:hAnsi="宋体" w:eastAsia="宋体" w:cs="Times New Roman"/>
          <w:kern w:val="2"/>
          <w:sz w:val="21"/>
          <w:szCs w:val="24"/>
          <w:lang w:val="en-US" w:eastAsia="zh-CN" w:bidi="ar-SA"/>
        </w:rPr>
        <w:id w:val="147468050"/>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0D6E5E6E">
          <w:pPr>
            <w:spacing w:before="0" w:beforeLines="0" w:after="0" w:afterLines="0" w:line="240" w:lineRule="auto"/>
            <w:ind w:left="0" w:leftChars="0" w:right="0" w:rightChars="0" w:firstLine="0" w:firstLineChars="0"/>
            <w:jc w:val="center"/>
          </w:pPr>
        </w:p>
        <w:p w14:paraId="76B2CD0E">
          <w:pPr>
            <w:pStyle w:val="40"/>
            <w:tabs>
              <w:tab w:val="right" w:leader="dot" w:pos="8306"/>
            </w:tabs>
            <w:rPr>
              <w:b/>
            </w:rPr>
          </w:pPr>
          <w:r>
            <w:fldChar w:fldCharType="begin"/>
          </w:r>
          <w:r>
            <w:instrText xml:space="preserve">TOC \o "1-2" \h \u </w:instrText>
          </w:r>
          <w:r>
            <w:fldChar w:fldCharType="separate"/>
          </w:r>
        </w:p>
        <w:p w14:paraId="0A42437F">
          <w:pPr>
            <w:pStyle w:val="40"/>
            <w:tabs>
              <w:tab w:val="right" w:leader="dot" w:pos="8306"/>
            </w:tabs>
            <w:rPr>
              <w:b/>
            </w:rPr>
          </w:pPr>
          <w:r>
            <w:rPr>
              <w:b/>
            </w:rPr>
            <w:fldChar w:fldCharType="begin"/>
          </w:r>
          <w:r>
            <w:rPr>
              <w:b/>
            </w:rPr>
            <w:instrText xml:space="preserve"> HYPERLINK \l _Toc3678 </w:instrText>
          </w:r>
          <w:r>
            <w:rPr>
              <w:b/>
            </w:rPr>
            <w:fldChar w:fldCharType="separate"/>
          </w:r>
          <w:r>
            <w:rPr>
              <w:rFonts w:hint="eastAsia" w:ascii="黑体" w:hAnsi="黑体" w:eastAsia="黑体"/>
              <w:b/>
            </w:rPr>
            <w:t xml:space="preserve">第一部分 </w:t>
          </w:r>
          <w:r>
            <w:rPr>
              <w:rFonts w:hint="eastAsia" w:ascii="黑体" w:hAnsi="黑体" w:eastAsia="黑体"/>
              <w:b/>
              <w:bCs w:val="0"/>
              <w:lang w:eastAsia="zh-CN"/>
            </w:rPr>
            <w:t>部门</w:t>
          </w:r>
          <w:r>
            <w:rPr>
              <w:rFonts w:hint="eastAsia" w:ascii="黑体" w:hAnsi="黑体" w:eastAsia="黑体"/>
              <w:b/>
              <w:bCs w:val="0"/>
            </w:rPr>
            <w:t>概况</w:t>
          </w:r>
          <w:r>
            <w:rPr>
              <w:b/>
            </w:rPr>
            <w:tab/>
          </w:r>
          <w:r>
            <w:rPr>
              <w:b/>
            </w:rPr>
            <w:fldChar w:fldCharType="begin"/>
          </w:r>
          <w:r>
            <w:rPr>
              <w:b/>
            </w:rPr>
            <w:instrText xml:space="preserve"> PAGEREF _Toc3678 \h </w:instrText>
          </w:r>
          <w:r>
            <w:rPr>
              <w:b/>
            </w:rPr>
            <w:fldChar w:fldCharType="separate"/>
          </w:r>
          <w:r>
            <w:rPr>
              <w:b/>
            </w:rPr>
            <w:t>3</w:t>
          </w:r>
          <w:r>
            <w:rPr>
              <w:b/>
            </w:rPr>
            <w:fldChar w:fldCharType="end"/>
          </w:r>
          <w:r>
            <w:rPr>
              <w:b/>
            </w:rPr>
            <w:fldChar w:fldCharType="end"/>
          </w:r>
        </w:p>
        <w:p w14:paraId="4E9B6DBC">
          <w:pPr>
            <w:pStyle w:val="41"/>
            <w:tabs>
              <w:tab w:val="right" w:leader="dot" w:pos="8306"/>
            </w:tabs>
          </w:pPr>
          <w:r>
            <w:fldChar w:fldCharType="begin"/>
          </w:r>
          <w:r>
            <w:instrText xml:space="preserve"> HYPERLINK \l _Toc1650 </w:instrText>
          </w:r>
          <w:r>
            <w:fldChar w:fldCharType="separate"/>
          </w:r>
          <w:r>
            <w:rPr>
              <w:rFonts w:hint="default" w:ascii="Times New Roman" w:hAnsi="Times New Roman" w:eastAsia="黑体" w:cs="Times New Roman"/>
              <w:bCs w:val="0"/>
              <w:i w:val="0"/>
              <w:iCs w:val="0"/>
              <w:highlight w:val="none"/>
            </w:rPr>
            <w:t>一、</w:t>
          </w:r>
          <w:r>
            <w:rPr>
              <w:rFonts w:hint="default" w:ascii="Times New Roman" w:hAnsi="Times New Roman" w:eastAsia="黑体" w:cs="Times New Roman"/>
              <w:bCs w:val="0"/>
              <w:i w:val="0"/>
              <w:iCs w:val="0"/>
              <w:highlight w:val="none"/>
              <w:lang w:eastAsia="zh-CN"/>
            </w:rPr>
            <w:t>部门职责</w:t>
          </w:r>
          <w:r>
            <w:tab/>
          </w:r>
          <w:r>
            <w:fldChar w:fldCharType="begin"/>
          </w:r>
          <w:r>
            <w:instrText xml:space="preserve"> PAGEREF _Toc1650 \h </w:instrText>
          </w:r>
          <w:r>
            <w:fldChar w:fldCharType="separate"/>
          </w:r>
          <w:r>
            <w:t>3</w:t>
          </w:r>
          <w:r>
            <w:fldChar w:fldCharType="end"/>
          </w:r>
          <w:r>
            <w:fldChar w:fldCharType="end"/>
          </w:r>
        </w:p>
        <w:p w14:paraId="669C5065">
          <w:pPr>
            <w:pStyle w:val="41"/>
            <w:tabs>
              <w:tab w:val="right" w:leader="dot" w:pos="8306"/>
            </w:tabs>
          </w:pPr>
          <w:r>
            <w:fldChar w:fldCharType="begin"/>
          </w:r>
          <w:r>
            <w:instrText xml:space="preserve"> HYPERLINK \l _Toc7901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_Toc7901 \h </w:instrText>
          </w:r>
          <w:r>
            <w:fldChar w:fldCharType="separate"/>
          </w:r>
          <w:r>
            <w:t>3</w:t>
          </w:r>
          <w:r>
            <w:fldChar w:fldCharType="end"/>
          </w:r>
          <w:r>
            <w:fldChar w:fldCharType="end"/>
          </w:r>
        </w:p>
        <w:p w14:paraId="74907D16">
          <w:pPr>
            <w:pStyle w:val="40"/>
            <w:tabs>
              <w:tab w:val="right" w:leader="dot" w:pos="8306"/>
            </w:tabs>
            <w:rPr>
              <w:b/>
            </w:rPr>
          </w:pPr>
          <w:r>
            <w:rPr>
              <w:b/>
            </w:rPr>
            <w:fldChar w:fldCharType="begin"/>
          </w:r>
          <w:r>
            <w:rPr>
              <w:b/>
            </w:rPr>
            <w:instrText xml:space="preserve"> HYPERLINK \l _Toc24217 </w:instrText>
          </w:r>
          <w:r>
            <w:rPr>
              <w:b/>
            </w:rPr>
            <w:fldChar w:fldCharType="separate"/>
          </w:r>
          <w:r>
            <w:rPr>
              <w:rFonts w:hint="eastAsia" w:ascii="黑体" w:hAnsi="黑体" w:eastAsia="黑体"/>
              <w:b/>
            </w:rPr>
            <w:t xml:space="preserve">第二部分 </w:t>
          </w:r>
          <w:r>
            <w:rPr>
              <w:rFonts w:hint="eastAsia" w:ascii="黑体" w:hAnsi="黑体" w:eastAsia="黑体"/>
              <w:b/>
              <w:bCs w:val="0"/>
              <w:lang w:eastAsia="zh-CN"/>
            </w:rPr>
            <w:t>2023</w:t>
          </w:r>
          <w:r>
            <w:rPr>
              <w:rFonts w:hint="eastAsia" w:ascii="黑体" w:hAnsi="黑体" w:eastAsia="黑体"/>
              <w:b/>
              <w:bCs w:val="0"/>
            </w:rPr>
            <w:t>年度</w:t>
          </w:r>
          <w:r>
            <w:rPr>
              <w:rFonts w:hint="eastAsia" w:ascii="黑体" w:hAnsi="黑体" w:eastAsia="黑体"/>
              <w:b/>
              <w:bCs w:val="0"/>
              <w:lang w:eastAsia="zh-CN"/>
            </w:rPr>
            <w:t>部门</w:t>
          </w:r>
          <w:r>
            <w:rPr>
              <w:rFonts w:hint="eastAsia" w:ascii="黑体" w:hAnsi="黑体" w:eastAsia="黑体"/>
              <w:b/>
              <w:bCs w:val="0"/>
            </w:rPr>
            <w:t>决算情况说明</w:t>
          </w:r>
          <w:r>
            <w:rPr>
              <w:b/>
            </w:rPr>
            <w:tab/>
          </w:r>
          <w:r>
            <w:rPr>
              <w:b/>
            </w:rPr>
            <w:fldChar w:fldCharType="begin"/>
          </w:r>
          <w:r>
            <w:rPr>
              <w:b/>
            </w:rPr>
            <w:instrText xml:space="preserve"> PAGEREF _Toc24217 \h </w:instrText>
          </w:r>
          <w:r>
            <w:rPr>
              <w:b/>
            </w:rPr>
            <w:fldChar w:fldCharType="separate"/>
          </w:r>
          <w:r>
            <w:rPr>
              <w:b/>
            </w:rPr>
            <w:t>5</w:t>
          </w:r>
          <w:r>
            <w:rPr>
              <w:b/>
            </w:rPr>
            <w:fldChar w:fldCharType="end"/>
          </w:r>
          <w:r>
            <w:rPr>
              <w:b/>
            </w:rPr>
            <w:fldChar w:fldCharType="end"/>
          </w:r>
        </w:p>
        <w:p w14:paraId="5EC25AA5">
          <w:pPr>
            <w:pStyle w:val="41"/>
            <w:tabs>
              <w:tab w:val="right" w:leader="dot" w:pos="8306"/>
            </w:tabs>
          </w:pPr>
          <w:r>
            <w:fldChar w:fldCharType="begin"/>
          </w:r>
          <w:r>
            <w:instrText xml:space="preserve"> HYPERLINK \l _Toc9114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_Toc9114 \h </w:instrText>
          </w:r>
          <w:r>
            <w:fldChar w:fldCharType="separate"/>
          </w:r>
          <w:r>
            <w:t>5</w:t>
          </w:r>
          <w:r>
            <w:fldChar w:fldCharType="end"/>
          </w:r>
          <w:r>
            <w:fldChar w:fldCharType="end"/>
          </w:r>
        </w:p>
        <w:p w14:paraId="3B403B07">
          <w:pPr>
            <w:pStyle w:val="41"/>
            <w:tabs>
              <w:tab w:val="right" w:leader="dot" w:pos="8306"/>
            </w:tabs>
          </w:pPr>
          <w:r>
            <w:fldChar w:fldCharType="begin"/>
          </w:r>
          <w:r>
            <w:instrText xml:space="preserve"> HYPERLINK \l _Toc10855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_Toc10855 \h </w:instrText>
          </w:r>
          <w:r>
            <w:fldChar w:fldCharType="separate"/>
          </w:r>
          <w:r>
            <w:t>5</w:t>
          </w:r>
          <w:r>
            <w:fldChar w:fldCharType="end"/>
          </w:r>
          <w:r>
            <w:fldChar w:fldCharType="end"/>
          </w:r>
        </w:p>
        <w:p w14:paraId="64E53A55">
          <w:pPr>
            <w:pStyle w:val="41"/>
            <w:tabs>
              <w:tab w:val="right" w:leader="dot" w:pos="8306"/>
            </w:tabs>
          </w:pPr>
          <w:r>
            <w:fldChar w:fldCharType="begin"/>
          </w:r>
          <w:r>
            <w:instrText xml:space="preserve"> HYPERLINK \l _Toc21711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_Toc21711 \h </w:instrText>
          </w:r>
          <w:r>
            <w:fldChar w:fldCharType="separate"/>
          </w:r>
          <w:r>
            <w:t>6</w:t>
          </w:r>
          <w:r>
            <w:fldChar w:fldCharType="end"/>
          </w:r>
          <w:r>
            <w:fldChar w:fldCharType="end"/>
          </w:r>
        </w:p>
        <w:p w14:paraId="329B4747">
          <w:pPr>
            <w:pStyle w:val="41"/>
            <w:tabs>
              <w:tab w:val="right" w:leader="dot" w:pos="8306"/>
            </w:tabs>
          </w:pPr>
          <w:r>
            <w:fldChar w:fldCharType="begin"/>
          </w:r>
          <w:r>
            <w:instrText xml:space="preserve"> HYPERLINK \l _Toc11258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_Toc11258 \h </w:instrText>
          </w:r>
          <w:r>
            <w:fldChar w:fldCharType="separate"/>
          </w:r>
          <w:r>
            <w:t>7</w:t>
          </w:r>
          <w:r>
            <w:fldChar w:fldCharType="end"/>
          </w:r>
          <w:r>
            <w:fldChar w:fldCharType="end"/>
          </w:r>
        </w:p>
        <w:p w14:paraId="6A94C72B">
          <w:pPr>
            <w:pStyle w:val="41"/>
            <w:tabs>
              <w:tab w:val="right" w:leader="dot" w:pos="8306"/>
            </w:tabs>
          </w:pPr>
          <w:r>
            <w:fldChar w:fldCharType="begin"/>
          </w:r>
          <w:r>
            <w:instrText xml:space="preserve"> HYPERLINK \l _Toc25224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_Toc25224 \h </w:instrText>
          </w:r>
          <w:r>
            <w:fldChar w:fldCharType="separate"/>
          </w:r>
          <w:r>
            <w:t>7</w:t>
          </w:r>
          <w:r>
            <w:fldChar w:fldCharType="end"/>
          </w:r>
          <w:r>
            <w:fldChar w:fldCharType="end"/>
          </w:r>
        </w:p>
        <w:p w14:paraId="36C9A6E9">
          <w:pPr>
            <w:pStyle w:val="41"/>
            <w:tabs>
              <w:tab w:val="right" w:leader="dot" w:pos="8306"/>
            </w:tabs>
          </w:pPr>
          <w:r>
            <w:fldChar w:fldCharType="begin"/>
          </w:r>
          <w:r>
            <w:instrText xml:space="preserve"> HYPERLINK \l _Toc29003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_Toc29003 \h </w:instrText>
          </w:r>
          <w:r>
            <w:fldChar w:fldCharType="separate"/>
          </w:r>
          <w:r>
            <w:t>10</w:t>
          </w:r>
          <w:r>
            <w:fldChar w:fldCharType="end"/>
          </w:r>
          <w:r>
            <w:fldChar w:fldCharType="end"/>
          </w:r>
        </w:p>
        <w:p w14:paraId="4BED377B">
          <w:pPr>
            <w:pStyle w:val="41"/>
            <w:tabs>
              <w:tab w:val="right" w:leader="dot" w:pos="8306"/>
            </w:tabs>
          </w:pPr>
          <w:r>
            <w:fldChar w:fldCharType="begin"/>
          </w:r>
          <w:r>
            <w:instrText xml:space="preserve"> HYPERLINK \l _Toc32353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_Toc32353 \h </w:instrText>
          </w:r>
          <w:r>
            <w:fldChar w:fldCharType="separate"/>
          </w:r>
          <w:r>
            <w:t>11</w:t>
          </w:r>
          <w:r>
            <w:fldChar w:fldCharType="end"/>
          </w:r>
          <w:r>
            <w:fldChar w:fldCharType="end"/>
          </w:r>
        </w:p>
        <w:p w14:paraId="6F43F8E1">
          <w:pPr>
            <w:pStyle w:val="41"/>
            <w:tabs>
              <w:tab w:val="right" w:leader="dot" w:pos="8306"/>
            </w:tabs>
          </w:pPr>
          <w:r>
            <w:fldChar w:fldCharType="begin"/>
          </w:r>
          <w:r>
            <w:instrText xml:space="preserve"> HYPERLINK \l _Toc14846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_Toc14846 \h </w:instrText>
          </w:r>
          <w:r>
            <w:fldChar w:fldCharType="separate"/>
          </w:r>
          <w:r>
            <w:t>12</w:t>
          </w:r>
          <w:r>
            <w:fldChar w:fldCharType="end"/>
          </w:r>
          <w:r>
            <w:fldChar w:fldCharType="end"/>
          </w:r>
        </w:p>
        <w:p w14:paraId="2889B1FF">
          <w:pPr>
            <w:pStyle w:val="41"/>
            <w:tabs>
              <w:tab w:val="right" w:leader="dot" w:pos="8306"/>
            </w:tabs>
          </w:pPr>
          <w:r>
            <w:fldChar w:fldCharType="begin"/>
          </w:r>
          <w:r>
            <w:instrText xml:space="preserve"> HYPERLINK \l _Toc5435 </w:instrText>
          </w:r>
          <w:r>
            <w:fldChar w:fldCharType="separate"/>
          </w:r>
          <w:r>
            <w:rPr>
              <w:rFonts w:hint="eastAsia" w:ascii="黑体" w:hAnsi="黑体" w:eastAsia="黑体"/>
            </w:rPr>
            <w:t>九、 国有资本经营预算支出决算情况说明</w:t>
          </w:r>
          <w:r>
            <w:tab/>
          </w:r>
          <w:r>
            <w:fldChar w:fldCharType="begin"/>
          </w:r>
          <w:r>
            <w:instrText xml:space="preserve"> PAGEREF _Toc5435 \h </w:instrText>
          </w:r>
          <w:r>
            <w:fldChar w:fldCharType="separate"/>
          </w:r>
          <w:r>
            <w:t>12</w:t>
          </w:r>
          <w:r>
            <w:fldChar w:fldCharType="end"/>
          </w:r>
          <w:r>
            <w:fldChar w:fldCharType="end"/>
          </w:r>
        </w:p>
        <w:p w14:paraId="2F9C342D">
          <w:pPr>
            <w:pStyle w:val="41"/>
            <w:tabs>
              <w:tab w:val="right" w:leader="dot" w:pos="8306"/>
            </w:tabs>
          </w:pPr>
          <w:r>
            <w:fldChar w:fldCharType="begin"/>
          </w:r>
          <w:r>
            <w:instrText xml:space="preserve"> HYPERLINK \l _Toc30002 </w:instrText>
          </w:r>
          <w:r>
            <w:fldChar w:fldCharType="separate"/>
          </w:r>
          <w:r>
            <w:rPr>
              <w:rFonts w:hint="eastAsia" w:ascii="黑体" w:hAnsi="黑体" w:eastAsia="黑体"/>
              <w:szCs w:val="32"/>
            </w:rPr>
            <w:t>十</w:t>
          </w:r>
          <w:r>
            <w:rPr>
              <w:rFonts w:hint="eastAsia" w:ascii="黑体" w:hAnsi="黑体" w:eastAsia="黑体"/>
            </w:rPr>
            <w:t>、其他重要事项的情况说明</w:t>
          </w:r>
          <w:r>
            <w:tab/>
          </w:r>
          <w:r>
            <w:fldChar w:fldCharType="begin"/>
          </w:r>
          <w:r>
            <w:instrText xml:space="preserve"> PAGEREF _Toc30002 \h </w:instrText>
          </w:r>
          <w:r>
            <w:fldChar w:fldCharType="separate"/>
          </w:r>
          <w:r>
            <w:t>13</w:t>
          </w:r>
          <w:r>
            <w:fldChar w:fldCharType="end"/>
          </w:r>
          <w:r>
            <w:fldChar w:fldCharType="end"/>
          </w:r>
        </w:p>
        <w:p w14:paraId="5DEF5A8F">
          <w:pPr>
            <w:pStyle w:val="40"/>
            <w:tabs>
              <w:tab w:val="right" w:leader="dot" w:pos="8306"/>
            </w:tabs>
            <w:rPr>
              <w:b/>
            </w:rPr>
          </w:pPr>
          <w:r>
            <w:rPr>
              <w:b/>
            </w:rPr>
            <w:fldChar w:fldCharType="begin"/>
          </w:r>
          <w:r>
            <w:rPr>
              <w:b/>
            </w:rPr>
            <w:instrText xml:space="preserve"> HYPERLINK \l _Toc27767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_Toc27767 \h </w:instrText>
          </w:r>
          <w:r>
            <w:rPr>
              <w:b/>
            </w:rPr>
            <w:fldChar w:fldCharType="separate"/>
          </w:r>
          <w:r>
            <w:rPr>
              <w:b/>
            </w:rPr>
            <w:t>16</w:t>
          </w:r>
          <w:r>
            <w:rPr>
              <w:b/>
            </w:rPr>
            <w:fldChar w:fldCharType="end"/>
          </w:r>
          <w:r>
            <w:rPr>
              <w:b/>
            </w:rPr>
            <w:fldChar w:fldCharType="end"/>
          </w:r>
        </w:p>
        <w:p w14:paraId="6EDD6311">
          <w:pPr>
            <w:pStyle w:val="40"/>
            <w:tabs>
              <w:tab w:val="right" w:leader="dot" w:pos="8306"/>
            </w:tabs>
            <w:rPr>
              <w:b/>
            </w:rPr>
          </w:pPr>
          <w:r>
            <w:rPr>
              <w:b/>
            </w:rPr>
            <w:fldChar w:fldCharType="begin"/>
          </w:r>
          <w:r>
            <w:rPr>
              <w:b/>
            </w:rPr>
            <w:instrText xml:space="preserve"> HYPERLINK \l _Toc30708 </w:instrText>
          </w:r>
          <w:r>
            <w:rPr>
              <w:b/>
            </w:rPr>
            <w:fldChar w:fldCharType="separate"/>
          </w:r>
          <w:r>
            <w:rPr>
              <w:rFonts w:hint="default" w:ascii="Times New Roman" w:hAnsi="Times New Roman" w:eastAsia="微软雅黑" w:cs="Times New Roman"/>
              <w:b/>
              <w:bCs w:val="0"/>
              <w:i w:val="0"/>
              <w:iCs w:val="0"/>
              <w:szCs w:val="44"/>
              <w:highlight w:val="none"/>
            </w:rPr>
            <w:t>第</w:t>
          </w:r>
          <w:r>
            <w:rPr>
              <w:rFonts w:hint="default" w:ascii="Times New Roman" w:hAnsi="Times New Roman" w:eastAsia="微软雅黑" w:cs="Times New Roman"/>
              <w:b/>
              <w:bCs w:val="0"/>
              <w:i w:val="0"/>
              <w:iCs w:val="0"/>
              <w:highlight w:val="none"/>
            </w:rPr>
            <w:t>四部分 附件</w:t>
          </w:r>
          <w:r>
            <w:rPr>
              <w:b/>
            </w:rPr>
            <w:tab/>
          </w:r>
          <w:r>
            <w:rPr>
              <w:b/>
            </w:rPr>
            <w:fldChar w:fldCharType="begin"/>
          </w:r>
          <w:r>
            <w:rPr>
              <w:b/>
            </w:rPr>
            <w:instrText xml:space="preserve"> PAGEREF _Toc30708 \h </w:instrText>
          </w:r>
          <w:r>
            <w:rPr>
              <w:b/>
            </w:rPr>
            <w:fldChar w:fldCharType="separate"/>
          </w:r>
          <w:r>
            <w:rPr>
              <w:b/>
            </w:rPr>
            <w:t>19</w:t>
          </w:r>
          <w:r>
            <w:rPr>
              <w:b/>
            </w:rPr>
            <w:fldChar w:fldCharType="end"/>
          </w:r>
          <w:r>
            <w:rPr>
              <w:b/>
            </w:rPr>
            <w:fldChar w:fldCharType="end"/>
          </w:r>
        </w:p>
        <w:p w14:paraId="399FDAEF">
          <w:pPr>
            <w:pStyle w:val="41"/>
            <w:tabs>
              <w:tab w:val="right" w:leader="dot" w:pos="8306"/>
            </w:tabs>
          </w:pPr>
          <w:r>
            <w:fldChar w:fldCharType="begin"/>
          </w:r>
          <w:r>
            <w:instrText xml:space="preserve"> HYPERLINK \l _Toc12066 </w:instrText>
          </w:r>
          <w:r>
            <w:fldChar w:fldCharType="separate"/>
          </w:r>
          <w:r>
            <w:rPr>
              <w:rFonts w:hint="default" w:ascii="Times New Roman" w:hAnsi="Times New Roman" w:eastAsia="仿宋_GB2312" w:cs="Times New Roman"/>
              <w:bCs w:val="0"/>
              <w:i w:val="0"/>
              <w:iCs w:val="0"/>
              <w:highlight w:val="none"/>
            </w:rPr>
            <w:t>一、收入支出决算总表</w:t>
          </w:r>
          <w:r>
            <w:tab/>
          </w:r>
          <w:r>
            <w:fldChar w:fldCharType="begin"/>
          </w:r>
          <w:r>
            <w:instrText xml:space="preserve"> PAGEREF _Toc12066 \h </w:instrText>
          </w:r>
          <w:r>
            <w:fldChar w:fldCharType="separate"/>
          </w:r>
          <w:r>
            <w:t>39</w:t>
          </w:r>
          <w:r>
            <w:fldChar w:fldCharType="end"/>
          </w:r>
          <w:r>
            <w:fldChar w:fldCharType="end"/>
          </w:r>
        </w:p>
        <w:p w14:paraId="0440CE7F">
          <w:pPr>
            <w:pStyle w:val="41"/>
            <w:tabs>
              <w:tab w:val="right" w:leader="dot" w:pos="8306"/>
            </w:tabs>
          </w:pPr>
          <w:r>
            <w:fldChar w:fldCharType="begin"/>
          </w:r>
          <w:r>
            <w:instrText xml:space="preserve"> HYPERLINK \l _Toc12001 </w:instrText>
          </w:r>
          <w:r>
            <w:fldChar w:fldCharType="separate"/>
          </w:r>
          <w:r>
            <w:rPr>
              <w:rFonts w:hint="default" w:ascii="Times New Roman" w:hAnsi="Times New Roman" w:eastAsia="仿宋_GB2312" w:cs="Times New Roman"/>
              <w:bCs w:val="0"/>
              <w:i w:val="0"/>
              <w:iCs w:val="0"/>
              <w:highlight w:val="none"/>
            </w:rPr>
            <w:t>二、收入决算表</w:t>
          </w:r>
          <w:r>
            <w:tab/>
          </w:r>
          <w:r>
            <w:fldChar w:fldCharType="begin"/>
          </w:r>
          <w:r>
            <w:instrText xml:space="preserve"> PAGEREF _Toc12001 \h </w:instrText>
          </w:r>
          <w:r>
            <w:fldChar w:fldCharType="separate"/>
          </w:r>
          <w:r>
            <w:t>39</w:t>
          </w:r>
          <w:r>
            <w:fldChar w:fldCharType="end"/>
          </w:r>
          <w:r>
            <w:fldChar w:fldCharType="end"/>
          </w:r>
        </w:p>
        <w:p w14:paraId="52CF9972">
          <w:pPr>
            <w:pStyle w:val="41"/>
            <w:tabs>
              <w:tab w:val="right" w:leader="dot" w:pos="8306"/>
            </w:tabs>
          </w:pPr>
          <w:r>
            <w:fldChar w:fldCharType="begin"/>
          </w:r>
          <w:r>
            <w:instrText xml:space="preserve"> HYPERLINK \l _Toc10637 </w:instrText>
          </w:r>
          <w:r>
            <w:fldChar w:fldCharType="separate"/>
          </w:r>
          <w:r>
            <w:rPr>
              <w:rFonts w:hint="default" w:ascii="Times New Roman" w:hAnsi="Times New Roman" w:eastAsia="仿宋_GB2312" w:cs="Times New Roman"/>
              <w:bCs w:val="0"/>
              <w:i w:val="0"/>
              <w:iCs w:val="0"/>
              <w:highlight w:val="none"/>
            </w:rPr>
            <w:t>三、支出决算表</w:t>
          </w:r>
          <w:r>
            <w:tab/>
          </w:r>
          <w:r>
            <w:fldChar w:fldCharType="begin"/>
          </w:r>
          <w:r>
            <w:instrText xml:space="preserve"> PAGEREF _Toc10637 \h </w:instrText>
          </w:r>
          <w:r>
            <w:fldChar w:fldCharType="separate"/>
          </w:r>
          <w:r>
            <w:t>39</w:t>
          </w:r>
          <w:r>
            <w:fldChar w:fldCharType="end"/>
          </w:r>
          <w:r>
            <w:fldChar w:fldCharType="end"/>
          </w:r>
        </w:p>
        <w:p w14:paraId="5E918373">
          <w:pPr>
            <w:pStyle w:val="41"/>
            <w:tabs>
              <w:tab w:val="right" w:leader="dot" w:pos="8306"/>
            </w:tabs>
          </w:pPr>
          <w:r>
            <w:fldChar w:fldCharType="begin"/>
          </w:r>
          <w:r>
            <w:instrText xml:space="preserve"> HYPERLINK \l _Toc1535 </w:instrText>
          </w:r>
          <w:r>
            <w:fldChar w:fldCharType="separate"/>
          </w:r>
          <w:r>
            <w:rPr>
              <w:rFonts w:hint="default" w:ascii="Times New Roman" w:hAnsi="Times New Roman" w:eastAsia="仿宋_GB2312" w:cs="Times New Roman"/>
              <w:bCs w:val="0"/>
              <w:i w:val="0"/>
              <w:iCs w:val="0"/>
              <w:highlight w:val="none"/>
            </w:rPr>
            <w:t>四、财政拨款收入支出决算总表</w:t>
          </w:r>
          <w:r>
            <w:tab/>
          </w:r>
          <w:r>
            <w:fldChar w:fldCharType="begin"/>
          </w:r>
          <w:r>
            <w:instrText xml:space="preserve"> PAGEREF _Toc1535 \h </w:instrText>
          </w:r>
          <w:r>
            <w:fldChar w:fldCharType="separate"/>
          </w:r>
          <w:r>
            <w:t>39</w:t>
          </w:r>
          <w:r>
            <w:fldChar w:fldCharType="end"/>
          </w:r>
          <w:r>
            <w:fldChar w:fldCharType="end"/>
          </w:r>
        </w:p>
        <w:p w14:paraId="36E3EE6A">
          <w:pPr>
            <w:pStyle w:val="41"/>
            <w:tabs>
              <w:tab w:val="right" w:leader="dot" w:pos="8306"/>
            </w:tabs>
          </w:pPr>
          <w:r>
            <w:fldChar w:fldCharType="begin"/>
          </w:r>
          <w:r>
            <w:instrText xml:space="preserve"> HYPERLINK \l _Toc7353 </w:instrText>
          </w:r>
          <w:r>
            <w:fldChar w:fldCharType="separate"/>
          </w:r>
          <w:r>
            <w:rPr>
              <w:rFonts w:hint="default" w:ascii="Times New Roman" w:hAnsi="Times New Roman" w:eastAsia="仿宋_GB2312" w:cs="Times New Roman"/>
              <w:bCs w:val="0"/>
              <w:i w:val="0"/>
              <w:iCs w:val="0"/>
              <w:highlight w:val="none"/>
            </w:rPr>
            <w:t>五、财政拨款支出决算明细表</w:t>
          </w:r>
          <w:r>
            <w:tab/>
          </w:r>
          <w:r>
            <w:fldChar w:fldCharType="begin"/>
          </w:r>
          <w:r>
            <w:instrText xml:space="preserve"> PAGEREF _Toc7353 \h </w:instrText>
          </w:r>
          <w:r>
            <w:fldChar w:fldCharType="separate"/>
          </w:r>
          <w:r>
            <w:t>39</w:t>
          </w:r>
          <w:r>
            <w:fldChar w:fldCharType="end"/>
          </w:r>
          <w:r>
            <w:fldChar w:fldCharType="end"/>
          </w:r>
        </w:p>
        <w:p w14:paraId="4D7D5E55">
          <w:pPr>
            <w:pStyle w:val="41"/>
            <w:tabs>
              <w:tab w:val="right" w:leader="dot" w:pos="8306"/>
            </w:tabs>
          </w:pPr>
          <w:r>
            <w:fldChar w:fldCharType="begin"/>
          </w:r>
          <w:r>
            <w:instrText xml:space="preserve"> HYPERLINK \l _Toc24588 </w:instrText>
          </w:r>
          <w:r>
            <w:fldChar w:fldCharType="separate"/>
          </w:r>
          <w:r>
            <w:rPr>
              <w:rFonts w:hint="default" w:ascii="Times New Roman" w:hAnsi="Times New Roman" w:eastAsia="仿宋_GB2312" w:cs="Times New Roman"/>
              <w:bCs w:val="0"/>
              <w:i w:val="0"/>
              <w:iCs w:val="0"/>
              <w:highlight w:val="none"/>
            </w:rPr>
            <w:t>六、一般公共预算财政拨款支出决算表</w:t>
          </w:r>
          <w:r>
            <w:tab/>
          </w:r>
          <w:r>
            <w:fldChar w:fldCharType="begin"/>
          </w:r>
          <w:r>
            <w:instrText xml:space="preserve"> PAGEREF _Toc24588 \h </w:instrText>
          </w:r>
          <w:r>
            <w:fldChar w:fldCharType="separate"/>
          </w:r>
          <w:r>
            <w:t>39</w:t>
          </w:r>
          <w:r>
            <w:fldChar w:fldCharType="end"/>
          </w:r>
          <w:r>
            <w:fldChar w:fldCharType="end"/>
          </w:r>
        </w:p>
        <w:p w14:paraId="5DEBD006">
          <w:pPr>
            <w:pStyle w:val="41"/>
            <w:tabs>
              <w:tab w:val="right" w:leader="dot" w:pos="8306"/>
            </w:tabs>
          </w:pPr>
          <w:r>
            <w:fldChar w:fldCharType="begin"/>
          </w:r>
          <w:r>
            <w:instrText xml:space="preserve"> HYPERLINK \l _Toc7293 </w:instrText>
          </w:r>
          <w:r>
            <w:fldChar w:fldCharType="separate"/>
          </w:r>
          <w:r>
            <w:rPr>
              <w:rFonts w:hint="default" w:ascii="Times New Roman" w:hAnsi="Times New Roman" w:eastAsia="仿宋_GB2312" w:cs="Times New Roman"/>
              <w:bCs w:val="0"/>
              <w:i w:val="0"/>
              <w:iCs w:val="0"/>
              <w:highlight w:val="none"/>
            </w:rPr>
            <w:t>七、一般公共预算财政拨款支出决算明细表</w:t>
          </w:r>
          <w:r>
            <w:tab/>
          </w:r>
          <w:r>
            <w:fldChar w:fldCharType="begin"/>
          </w:r>
          <w:r>
            <w:instrText xml:space="preserve"> PAGEREF _Toc7293 \h </w:instrText>
          </w:r>
          <w:r>
            <w:fldChar w:fldCharType="separate"/>
          </w:r>
          <w:r>
            <w:t>39</w:t>
          </w:r>
          <w:r>
            <w:fldChar w:fldCharType="end"/>
          </w:r>
          <w:r>
            <w:fldChar w:fldCharType="end"/>
          </w:r>
        </w:p>
        <w:p w14:paraId="70D901A0">
          <w:pPr>
            <w:pStyle w:val="41"/>
            <w:tabs>
              <w:tab w:val="right" w:leader="dot" w:pos="8306"/>
            </w:tabs>
          </w:pPr>
          <w:r>
            <w:fldChar w:fldCharType="begin"/>
          </w:r>
          <w:r>
            <w:instrText xml:space="preserve"> HYPERLINK \l _Toc15648 </w:instrText>
          </w:r>
          <w:r>
            <w:fldChar w:fldCharType="separate"/>
          </w:r>
          <w:r>
            <w:rPr>
              <w:rFonts w:hint="default" w:ascii="Times New Roman" w:hAnsi="Times New Roman" w:eastAsia="仿宋_GB2312" w:cs="Times New Roman"/>
              <w:bCs w:val="0"/>
              <w:i w:val="0"/>
              <w:iCs w:val="0"/>
              <w:highlight w:val="none"/>
            </w:rPr>
            <w:t>八、一般公共预算财政拨款基本支出决算表</w:t>
          </w:r>
          <w:r>
            <w:tab/>
          </w:r>
          <w:r>
            <w:fldChar w:fldCharType="begin"/>
          </w:r>
          <w:r>
            <w:instrText xml:space="preserve"> PAGEREF _Toc15648 \h </w:instrText>
          </w:r>
          <w:r>
            <w:fldChar w:fldCharType="separate"/>
          </w:r>
          <w:r>
            <w:t>39</w:t>
          </w:r>
          <w:r>
            <w:fldChar w:fldCharType="end"/>
          </w:r>
          <w:r>
            <w:fldChar w:fldCharType="end"/>
          </w:r>
        </w:p>
        <w:p w14:paraId="47A5CC2F">
          <w:pPr>
            <w:pStyle w:val="41"/>
            <w:tabs>
              <w:tab w:val="right" w:leader="dot" w:pos="8306"/>
            </w:tabs>
          </w:pPr>
          <w:r>
            <w:fldChar w:fldCharType="begin"/>
          </w:r>
          <w:r>
            <w:instrText xml:space="preserve"> HYPERLINK \l _Toc24003 </w:instrText>
          </w:r>
          <w:r>
            <w:fldChar w:fldCharType="separate"/>
          </w:r>
          <w:r>
            <w:rPr>
              <w:rFonts w:hint="default" w:ascii="Times New Roman" w:hAnsi="Times New Roman" w:eastAsia="仿宋_GB2312" w:cs="Times New Roman"/>
              <w:bCs w:val="0"/>
              <w:i w:val="0"/>
              <w:iCs w:val="0"/>
              <w:highlight w:val="none"/>
            </w:rPr>
            <w:t>九、一般公共预算财政拨款项目支出决算表</w:t>
          </w:r>
          <w:r>
            <w:tab/>
          </w:r>
          <w:r>
            <w:fldChar w:fldCharType="begin"/>
          </w:r>
          <w:r>
            <w:instrText xml:space="preserve"> PAGEREF _Toc24003 \h </w:instrText>
          </w:r>
          <w:r>
            <w:fldChar w:fldCharType="separate"/>
          </w:r>
          <w:r>
            <w:t>39</w:t>
          </w:r>
          <w:r>
            <w:fldChar w:fldCharType="end"/>
          </w:r>
          <w:r>
            <w:fldChar w:fldCharType="end"/>
          </w:r>
        </w:p>
        <w:p w14:paraId="30E6B46E">
          <w:pPr>
            <w:pStyle w:val="41"/>
            <w:tabs>
              <w:tab w:val="right" w:leader="dot" w:pos="8306"/>
            </w:tabs>
          </w:pPr>
          <w:r>
            <w:fldChar w:fldCharType="begin"/>
          </w:r>
          <w:r>
            <w:instrText xml:space="preserve"> HYPERLINK \l _Toc9957 </w:instrText>
          </w:r>
          <w:r>
            <w:fldChar w:fldCharType="separate"/>
          </w:r>
          <w:r>
            <w:rPr>
              <w:rFonts w:hint="default" w:ascii="Times New Roman" w:hAnsi="Times New Roman" w:eastAsia="仿宋_GB2312" w:cs="Times New Roman"/>
              <w:bCs w:val="0"/>
              <w:i w:val="0"/>
              <w:iCs w:val="0"/>
              <w:highlight w:val="none"/>
            </w:rPr>
            <w:t>十、政府性基金预算财政拨款收入支出决算表</w:t>
          </w:r>
          <w:r>
            <w:tab/>
          </w:r>
          <w:r>
            <w:fldChar w:fldCharType="begin"/>
          </w:r>
          <w:r>
            <w:instrText xml:space="preserve"> PAGEREF _Toc9957 \h </w:instrText>
          </w:r>
          <w:r>
            <w:fldChar w:fldCharType="separate"/>
          </w:r>
          <w:r>
            <w:t>39</w:t>
          </w:r>
          <w:r>
            <w:fldChar w:fldCharType="end"/>
          </w:r>
          <w:r>
            <w:fldChar w:fldCharType="end"/>
          </w:r>
        </w:p>
        <w:p w14:paraId="2C412A1F">
          <w:pPr>
            <w:pStyle w:val="41"/>
            <w:tabs>
              <w:tab w:val="right" w:leader="dot" w:pos="8306"/>
            </w:tabs>
          </w:pPr>
          <w:r>
            <w:fldChar w:fldCharType="begin"/>
          </w:r>
          <w:r>
            <w:instrText xml:space="preserve"> HYPERLINK \l _Toc29267 </w:instrText>
          </w:r>
          <w:r>
            <w:fldChar w:fldCharType="separate"/>
          </w:r>
          <w:r>
            <w:rPr>
              <w:rFonts w:hint="default" w:ascii="Times New Roman" w:hAnsi="Times New Roman" w:eastAsia="仿宋_GB2312" w:cs="Times New Roman"/>
              <w:bCs w:val="0"/>
              <w:i w:val="0"/>
              <w:iCs w:val="0"/>
              <w:highlight w:val="none"/>
            </w:rPr>
            <w:t>十一、国有资本经营预算</w:t>
          </w:r>
          <w:r>
            <w:rPr>
              <w:rFonts w:hint="default" w:ascii="Times New Roman" w:hAnsi="Times New Roman" w:eastAsia="仿宋_GB2312" w:cs="Times New Roman"/>
              <w:bCs w:val="0"/>
              <w:i w:val="0"/>
              <w:iCs w:val="0"/>
              <w:highlight w:val="none"/>
              <w:lang w:eastAsia="zh-CN"/>
            </w:rPr>
            <w:t>财政拨款收入</w:t>
          </w:r>
          <w:r>
            <w:rPr>
              <w:rFonts w:hint="default" w:ascii="Times New Roman" w:hAnsi="Times New Roman" w:eastAsia="仿宋_GB2312" w:cs="Times New Roman"/>
              <w:bCs w:val="0"/>
              <w:i w:val="0"/>
              <w:iCs w:val="0"/>
              <w:highlight w:val="none"/>
            </w:rPr>
            <w:t>支出决算表</w:t>
          </w:r>
          <w:r>
            <w:tab/>
          </w:r>
          <w:r>
            <w:fldChar w:fldCharType="begin"/>
          </w:r>
          <w:r>
            <w:instrText xml:space="preserve"> PAGEREF _Toc29267 \h </w:instrText>
          </w:r>
          <w:r>
            <w:fldChar w:fldCharType="separate"/>
          </w:r>
          <w:r>
            <w:t>39</w:t>
          </w:r>
          <w:r>
            <w:fldChar w:fldCharType="end"/>
          </w:r>
          <w:r>
            <w:fldChar w:fldCharType="end"/>
          </w:r>
        </w:p>
        <w:p w14:paraId="1516B938">
          <w:pPr>
            <w:pStyle w:val="41"/>
            <w:tabs>
              <w:tab w:val="right" w:leader="dot" w:pos="8306"/>
            </w:tabs>
          </w:pPr>
          <w:r>
            <w:fldChar w:fldCharType="begin"/>
          </w:r>
          <w:r>
            <w:instrText xml:space="preserve"> HYPERLINK \l _Toc25532 </w:instrText>
          </w:r>
          <w:r>
            <w:fldChar w:fldCharType="separate"/>
          </w:r>
          <w:r>
            <w:rPr>
              <w:rFonts w:hint="default" w:ascii="Times New Roman" w:hAnsi="Times New Roman" w:eastAsia="仿宋_GB2312" w:cs="Times New Roman"/>
              <w:bCs w:val="0"/>
              <w:i w:val="0"/>
              <w:iCs w:val="0"/>
              <w:highlight w:val="none"/>
            </w:rPr>
            <w:t>十二、</w:t>
          </w:r>
          <w:r>
            <w:rPr>
              <w:rFonts w:hint="default" w:ascii="Times New Roman" w:hAnsi="Times New Roman" w:eastAsia="仿宋_GB2312" w:cs="Times New Roman"/>
              <w:bCs w:val="0"/>
              <w:i w:val="0"/>
              <w:iCs w:val="0"/>
              <w:highlight w:val="none"/>
              <w:lang w:eastAsia="zh-CN"/>
            </w:rPr>
            <w:t>国有资本经营预算财政拨款支出决算表</w:t>
          </w:r>
          <w:r>
            <w:tab/>
          </w:r>
          <w:r>
            <w:fldChar w:fldCharType="begin"/>
          </w:r>
          <w:r>
            <w:instrText xml:space="preserve"> PAGEREF _Toc25532 \h </w:instrText>
          </w:r>
          <w:r>
            <w:fldChar w:fldCharType="separate"/>
          </w:r>
          <w:r>
            <w:t>39</w:t>
          </w:r>
          <w:r>
            <w:fldChar w:fldCharType="end"/>
          </w:r>
          <w:r>
            <w:fldChar w:fldCharType="end"/>
          </w:r>
        </w:p>
        <w:p w14:paraId="4BD1D75F">
          <w:pPr>
            <w:pStyle w:val="41"/>
            <w:tabs>
              <w:tab w:val="right" w:leader="dot" w:pos="8306"/>
            </w:tabs>
          </w:pPr>
          <w:r>
            <w:fldChar w:fldCharType="begin"/>
          </w:r>
          <w:r>
            <w:instrText xml:space="preserve"> HYPERLINK \l _Toc31701 </w:instrText>
          </w:r>
          <w:r>
            <w:fldChar w:fldCharType="separate"/>
          </w:r>
          <w:r>
            <w:rPr>
              <w:rFonts w:hint="default" w:ascii="Times New Roman" w:hAnsi="Times New Roman" w:eastAsia="仿宋_GB2312" w:cs="Times New Roman"/>
              <w:bCs w:val="0"/>
              <w:i w:val="0"/>
              <w:iCs w:val="0"/>
              <w:highlight w:val="none"/>
            </w:rPr>
            <w:t>十三、</w:t>
          </w:r>
          <w:r>
            <w:rPr>
              <w:rFonts w:hint="default" w:ascii="Times New Roman" w:hAnsi="Times New Roman" w:eastAsia="仿宋_GB2312" w:cs="Times New Roman"/>
              <w:bCs w:val="0"/>
              <w:i w:val="0"/>
              <w:iCs w:val="0"/>
              <w:highlight w:val="none"/>
              <w:lang w:eastAsia="zh-CN"/>
            </w:rPr>
            <w:t>财政拨款“三公”经费支出决算表</w:t>
          </w:r>
          <w:r>
            <w:tab/>
          </w:r>
          <w:r>
            <w:fldChar w:fldCharType="begin"/>
          </w:r>
          <w:r>
            <w:instrText xml:space="preserve"> PAGEREF _Toc31701 \h </w:instrText>
          </w:r>
          <w:r>
            <w:fldChar w:fldCharType="separate"/>
          </w:r>
          <w:r>
            <w:t>39</w:t>
          </w:r>
          <w:r>
            <w:fldChar w:fldCharType="end"/>
          </w:r>
          <w:r>
            <w:fldChar w:fldCharType="end"/>
          </w:r>
        </w:p>
        <w:p w14:paraId="55842E45">
          <w:pPr>
            <w:rPr>
              <w:b/>
            </w:rPr>
          </w:pPr>
          <w:r>
            <w:rPr>
              <w:b/>
            </w:rPr>
            <w:fldChar w:fldCharType="end"/>
          </w:r>
        </w:p>
      </w:sdtContent>
    </w:sdt>
    <w:p w14:paraId="4BDAACEF">
      <w:pPr>
        <w:rPr>
          <w:b/>
        </w:rPr>
      </w:pPr>
    </w:p>
    <w:p w14:paraId="26567972">
      <w:pPr>
        <w:rPr>
          <w:rFonts w:ascii="Times New Roman" w:hAnsi="Times New Roman" w:eastAsia="宋体" w:cs="Times New Roman"/>
          <w:b/>
          <w:kern w:val="2"/>
          <w:sz w:val="21"/>
          <w:szCs w:val="24"/>
          <w:lang w:val="en-US" w:eastAsia="zh-CN" w:bidi="ar-SA"/>
        </w:rPr>
      </w:pPr>
    </w:p>
    <w:p w14:paraId="6AC3180A">
      <w:pPr>
        <w:rPr>
          <w:rFonts w:hint="eastAsia" w:ascii="黑体" w:hAnsi="黑体" w:eastAsia="黑体"/>
          <w:b w:val="0"/>
          <w:color w:val="000000" w:themeColor="text1"/>
          <w14:textFill>
            <w14:solidFill>
              <w14:schemeClr w14:val="tx1"/>
            </w14:solidFill>
          </w14:textFill>
        </w:rPr>
      </w:pPr>
      <w:r>
        <w:rPr>
          <w:rFonts w:hint="eastAsia" w:ascii="黑体" w:hAnsi="黑体" w:eastAsia="黑体"/>
          <w:b w:val="0"/>
          <w:color w:val="000000" w:themeColor="text1"/>
          <w14:textFill>
            <w14:solidFill>
              <w14:schemeClr w14:val="tx1"/>
            </w14:solidFill>
          </w14:textFill>
        </w:rPr>
        <w:br w:type="page"/>
      </w:r>
    </w:p>
    <w:p w14:paraId="3B373601">
      <w:pPr>
        <w:pStyle w:val="5"/>
        <w:shd w:val="clear"/>
        <w:jc w:val="center"/>
        <w:rPr>
          <w:rStyle w:val="33"/>
          <w:rFonts w:ascii="黑体" w:hAnsi="黑体" w:eastAsia="黑体"/>
          <w:b/>
          <w:bCs w:val="0"/>
          <w:color w:val="000000" w:themeColor="text1"/>
          <w14:textFill>
            <w14:solidFill>
              <w14:schemeClr w14:val="tx1"/>
            </w14:solidFill>
          </w14:textFill>
        </w:rPr>
      </w:pPr>
      <w:bookmarkStart w:id="30" w:name="_Toc3678"/>
      <w:r>
        <w:rPr>
          <w:rFonts w:hint="eastAsia" w:ascii="黑体" w:hAnsi="黑体" w:eastAsia="黑体"/>
          <w:b w:val="0"/>
          <w:color w:val="000000" w:themeColor="text1"/>
          <w14:textFill>
            <w14:solidFill>
              <w14:schemeClr w14:val="tx1"/>
            </w14:solidFill>
          </w14:textFill>
        </w:rPr>
        <w:t xml:space="preserve">第一部分 </w:t>
      </w:r>
      <w:r>
        <w:rPr>
          <w:rStyle w:val="33"/>
          <w:rFonts w:hint="eastAsia" w:ascii="黑体" w:hAnsi="黑体" w:eastAsia="黑体"/>
          <w:b w:val="0"/>
          <w:bCs w:val="0"/>
          <w:color w:val="000000" w:themeColor="text1"/>
          <w:lang w:eastAsia="zh-CN"/>
          <w14:textFill>
            <w14:solidFill>
              <w14:schemeClr w14:val="tx1"/>
            </w14:solidFill>
          </w14:textFill>
        </w:rPr>
        <w:t>部门</w:t>
      </w:r>
      <w:r>
        <w:rPr>
          <w:rStyle w:val="33"/>
          <w:rFonts w:hint="eastAsia" w:ascii="黑体" w:hAnsi="黑体" w:eastAsia="黑体"/>
          <w:b w:val="0"/>
          <w:bCs w:val="0"/>
          <w:color w:val="000000" w:themeColor="text1"/>
          <w14:textFill>
            <w14:solidFill>
              <w14:schemeClr w14:val="tx1"/>
            </w14:solidFill>
          </w14:textFill>
        </w:rPr>
        <w:t>概况</w:t>
      </w:r>
      <w:bookmarkEnd w:id="30"/>
    </w:p>
    <w:p w14:paraId="688E285C">
      <w:pPr>
        <w:widowControl/>
        <w:shd w:val="clear"/>
        <w:jc w:val="left"/>
        <w:rPr>
          <w:rFonts w:ascii="黑体" w:eastAsia="黑体"/>
          <w:color w:val="000000" w:themeColor="text1"/>
          <w:sz w:val="32"/>
          <w:szCs w:val="32"/>
          <w14:textFill>
            <w14:solidFill>
              <w14:schemeClr w14:val="tx1"/>
            </w14:solidFill>
          </w14:textFill>
        </w:rPr>
      </w:pPr>
    </w:p>
    <w:p w14:paraId="0B509C93">
      <w:pPr>
        <w:pStyle w:val="6"/>
        <w:rPr>
          <w:rStyle w:val="34"/>
          <w:rFonts w:hint="default" w:ascii="Times New Roman" w:hAnsi="Times New Roman" w:eastAsia="黑体" w:cs="Times New Roman"/>
          <w:b w:val="0"/>
          <w:bCs w:val="0"/>
          <w:i w:val="0"/>
          <w:iCs w:val="0"/>
          <w:color w:val="auto"/>
          <w:highlight w:val="none"/>
          <w:lang w:eastAsia="zh-CN"/>
        </w:rPr>
      </w:pPr>
      <w:bookmarkStart w:id="31" w:name="_Toc15396600"/>
      <w:bookmarkStart w:id="32" w:name="_Toc15377197"/>
      <w:bookmarkStart w:id="33" w:name="_Toc1650"/>
      <w:bookmarkStart w:id="34" w:name="_Toc15378446"/>
      <w:bookmarkStart w:id="35" w:name="_Toc15377199"/>
      <w:r>
        <w:rPr>
          <w:rFonts w:hint="default" w:ascii="Times New Roman" w:hAnsi="Times New Roman" w:eastAsia="黑体" w:cs="Times New Roman"/>
          <w:b w:val="0"/>
          <w:bCs w:val="0"/>
          <w:i w:val="0"/>
          <w:iCs w:val="0"/>
          <w:color w:val="auto"/>
          <w:highlight w:val="none"/>
        </w:rPr>
        <w:t>一、</w:t>
      </w:r>
      <w:bookmarkEnd w:id="31"/>
      <w:bookmarkEnd w:id="32"/>
      <w:r>
        <w:rPr>
          <w:rFonts w:hint="default" w:ascii="Times New Roman" w:hAnsi="Times New Roman" w:eastAsia="黑体" w:cs="Times New Roman"/>
          <w:b w:val="0"/>
          <w:bCs w:val="0"/>
          <w:i w:val="0"/>
          <w:iCs w:val="0"/>
          <w:color w:val="auto"/>
          <w:highlight w:val="none"/>
          <w:lang w:eastAsia="zh-CN"/>
        </w:rPr>
        <w:t>部门职责</w:t>
      </w:r>
      <w:bookmarkEnd w:id="33"/>
    </w:p>
    <w:p w14:paraId="36F4BF5D">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贯彻落实国家促进就业的各项方针政策和有关法律法规；分析、了解、掌握全区就业失业的基本状况，建立健全区就业失业监控管理体系，维护就业局势基本稳定。</w:t>
      </w:r>
    </w:p>
    <w:p w14:paraId="7BA0BE51">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fill="FFFFFF"/>
          <w:lang w:val="zh-CN" w:eastAsia="zh-CN" w:bidi="ar-SA"/>
        </w:rPr>
        <w:t>2.</w:t>
      </w:r>
      <w:r>
        <w:rPr>
          <w:rFonts w:hint="default" w:ascii="Times New Roman" w:hAnsi="Times New Roman" w:eastAsia="仿宋_GB2312" w:cs="Times New Roman"/>
          <w:sz w:val="32"/>
          <w:szCs w:val="32"/>
        </w:rPr>
        <w:t>负责全区城乡劳动力统筹管理，指导全区就业服务管理工作；负责就业</w:t>
      </w:r>
      <w:r>
        <w:rPr>
          <w:rFonts w:hint="eastAsia" w:cs="Times New Roman"/>
          <w:sz w:val="32"/>
          <w:szCs w:val="32"/>
          <w:lang w:val="en-US" w:eastAsia="zh-CN"/>
        </w:rPr>
        <w:t>创</w:t>
      </w:r>
      <w:r>
        <w:rPr>
          <w:rFonts w:hint="default" w:ascii="Times New Roman" w:hAnsi="Times New Roman" w:eastAsia="仿宋_GB2312" w:cs="Times New Roman"/>
          <w:sz w:val="32"/>
          <w:szCs w:val="32"/>
        </w:rPr>
        <w:t>业优惠政策的落实和企业下岗职工生活困难救助工作，有针对性地对困难群体进行就业援助。</w:t>
      </w:r>
    </w:p>
    <w:p w14:paraId="29F3E5C1">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fill="FFFFFF"/>
          <w:lang w:val="zh-CN" w:eastAsia="zh-CN" w:bidi="ar-SA"/>
        </w:rPr>
        <w:t>3.</w:t>
      </w:r>
      <w:r>
        <w:rPr>
          <w:rFonts w:hint="default" w:ascii="Times New Roman" w:hAnsi="Times New Roman" w:eastAsia="仿宋_GB2312" w:cs="Times New Roman"/>
          <w:sz w:val="32"/>
          <w:szCs w:val="32"/>
        </w:rPr>
        <w:t>负责全区城乡新增</w:t>
      </w:r>
      <w:r>
        <w:rPr>
          <w:rFonts w:hint="default" w:ascii="Times New Roman" w:hAnsi="Times New Roman" w:eastAsia="仿宋_GB2312" w:cs="Times New Roman"/>
          <w:sz w:val="32"/>
          <w:szCs w:val="32"/>
          <w:lang w:val="en-US" w:eastAsia="zh-CN"/>
        </w:rPr>
        <w:t>脱贫</w:t>
      </w:r>
      <w:r>
        <w:rPr>
          <w:rFonts w:hint="default" w:ascii="Times New Roman" w:hAnsi="Times New Roman" w:eastAsia="仿宋_GB2312" w:cs="Times New Roman"/>
          <w:sz w:val="32"/>
          <w:szCs w:val="32"/>
        </w:rPr>
        <w:t>劳动力就业培训、下岗失业人员就业再就业培训和农村</w:t>
      </w:r>
      <w:r>
        <w:rPr>
          <w:rFonts w:hint="default" w:ascii="Times New Roman" w:hAnsi="Times New Roman" w:eastAsia="仿宋_GB2312" w:cs="Times New Roman"/>
          <w:sz w:val="32"/>
          <w:szCs w:val="32"/>
          <w:lang w:val="en-US" w:eastAsia="zh-CN"/>
        </w:rPr>
        <w:t>脱贫</w:t>
      </w:r>
      <w:r>
        <w:rPr>
          <w:rFonts w:hint="default" w:ascii="Times New Roman" w:hAnsi="Times New Roman" w:eastAsia="仿宋_GB2312" w:cs="Times New Roman"/>
          <w:sz w:val="32"/>
          <w:szCs w:val="32"/>
        </w:rPr>
        <w:t>劳动力技能培训；负责全区镇（街道）、村（社区）劳动保障平台建设和管理</w:t>
      </w:r>
      <w:r>
        <w:rPr>
          <w:rFonts w:hint="default" w:ascii="Times New Roman" w:hAnsi="Times New Roman" w:eastAsia="仿宋_GB2312" w:cs="Times New Roman"/>
          <w:sz w:val="32"/>
          <w:szCs w:val="32"/>
          <w:lang w:eastAsia="zh-CN"/>
        </w:rPr>
        <w:t>。</w:t>
      </w:r>
    </w:p>
    <w:p w14:paraId="6E6F016A">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fill="FFFFFF"/>
          <w:lang w:val="zh-CN" w:eastAsia="zh-CN" w:bidi="ar-SA"/>
        </w:rPr>
        <w:t>4.</w:t>
      </w:r>
      <w:r>
        <w:rPr>
          <w:rFonts w:hint="default" w:ascii="Times New Roman" w:hAnsi="Times New Roman" w:eastAsia="仿宋_GB2312" w:cs="Times New Roman"/>
          <w:sz w:val="32"/>
          <w:szCs w:val="32"/>
        </w:rPr>
        <w:t>负责全区享受就业</w:t>
      </w:r>
      <w:r>
        <w:rPr>
          <w:rFonts w:hint="eastAsia" w:cs="Times New Roman"/>
          <w:sz w:val="32"/>
          <w:szCs w:val="32"/>
          <w:lang w:val="en-US" w:eastAsia="zh-CN"/>
        </w:rPr>
        <w:t>创业</w:t>
      </w:r>
      <w:r>
        <w:rPr>
          <w:rFonts w:hint="default" w:ascii="Times New Roman" w:hAnsi="Times New Roman" w:eastAsia="仿宋_GB2312" w:cs="Times New Roman"/>
          <w:sz w:val="32"/>
          <w:szCs w:val="32"/>
        </w:rPr>
        <w:t>优惠政策的各类人群、企业及社区就业实体的认定工作</w:t>
      </w:r>
      <w:r>
        <w:rPr>
          <w:rFonts w:hint="default" w:ascii="Times New Roman" w:hAnsi="Times New Roman" w:eastAsia="仿宋_GB2312" w:cs="Times New Roman"/>
          <w:sz w:val="32"/>
          <w:szCs w:val="32"/>
          <w:lang w:eastAsia="zh-CN"/>
        </w:rPr>
        <w:t>。</w:t>
      </w:r>
    </w:p>
    <w:p w14:paraId="62BD241B">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fill="FFFFFF"/>
          <w:lang w:val="zh-CN" w:eastAsia="zh-CN" w:bidi="ar-SA"/>
        </w:rPr>
        <w:t>5.</w:t>
      </w:r>
      <w:r>
        <w:rPr>
          <w:rFonts w:hint="default" w:ascii="Times New Roman" w:hAnsi="Times New Roman" w:eastAsia="仿宋_GB2312" w:cs="Times New Roman"/>
          <w:sz w:val="32"/>
          <w:szCs w:val="32"/>
        </w:rPr>
        <w:t>负责全区劳动者创业工作的统筹规划、组织协调、指导和</w:t>
      </w:r>
      <w:r>
        <w:rPr>
          <w:rFonts w:hint="eastAsia" w:cs="Times New Roman"/>
          <w:sz w:val="32"/>
          <w:szCs w:val="32"/>
          <w:lang w:val="en-US" w:eastAsia="zh-CN"/>
        </w:rPr>
        <w:t>就业</w:t>
      </w:r>
      <w:r>
        <w:rPr>
          <w:rFonts w:hint="default" w:ascii="Times New Roman" w:hAnsi="Times New Roman" w:eastAsia="仿宋_GB2312" w:cs="Times New Roman"/>
          <w:sz w:val="32"/>
          <w:szCs w:val="32"/>
        </w:rPr>
        <w:t>创业服务工作。</w:t>
      </w:r>
    </w:p>
    <w:p w14:paraId="36D968D7">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fill="FFFFFF"/>
          <w:lang w:val="zh-CN" w:eastAsia="zh-CN" w:bidi="ar-SA"/>
        </w:rPr>
        <w:t>6.</w:t>
      </w:r>
      <w:r>
        <w:rPr>
          <w:rFonts w:hint="default" w:ascii="Times New Roman" w:hAnsi="Times New Roman" w:eastAsia="仿宋_GB2312" w:cs="Times New Roman"/>
          <w:sz w:val="32"/>
          <w:szCs w:val="32"/>
        </w:rPr>
        <w:t>负责失业保险经办的业务管理、失业动态监测、失业金发放和失业人员日常管理</w:t>
      </w:r>
      <w:r>
        <w:rPr>
          <w:rFonts w:hint="default" w:ascii="Times New Roman" w:hAnsi="Times New Roman" w:eastAsia="仿宋_GB2312" w:cs="Times New Roman"/>
          <w:sz w:val="32"/>
          <w:szCs w:val="32"/>
          <w:lang w:eastAsia="zh-CN"/>
        </w:rPr>
        <w:t>。</w:t>
      </w:r>
    </w:p>
    <w:bookmarkEnd w:id="34"/>
    <w:bookmarkEnd w:id="35"/>
    <w:p w14:paraId="2684BA59">
      <w:pPr>
        <w:pStyle w:val="6"/>
        <w:shd w:val="clear"/>
        <w:rPr>
          <w:rStyle w:val="34"/>
          <w:b w:val="0"/>
          <w:bCs w:val="0"/>
          <w:color w:val="000000" w:themeColor="text1"/>
          <w14:textFill>
            <w14:solidFill>
              <w14:schemeClr w14:val="tx1"/>
            </w14:solidFill>
          </w14:textFill>
        </w:rPr>
      </w:pPr>
      <w:bookmarkStart w:id="36" w:name="_Toc15396601"/>
      <w:bookmarkStart w:id="37" w:name="_Toc10166"/>
      <w:bookmarkStart w:id="38" w:name="_Toc20207"/>
      <w:bookmarkStart w:id="39" w:name="_Toc7436"/>
      <w:bookmarkStart w:id="40" w:name="_Toc7901"/>
      <w:bookmarkStart w:id="41" w:name="_Toc15377200"/>
      <w:r>
        <w:rPr>
          <w:rFonts w:hint="eastAsia" w:ascii="黑体" w:eastAsia="黑体"/>
          <w:b w:val="0"/>
          <w:color w:val="000000" w:themeColor="text1"/>
          <w14:textFill>
            <w14:solidFill>
              <w14:schemeClr w14:val="tx1"/>
            </w14:solidFill>
          </w14:textFill>
        </w:rPr>
        <w:t>二、</w:t>
      </w:r>
      <w:r>
        <w:rPr>
          <w:rFonts w:hint="eastAsia" w:ascii="黑体" w:hAnsi="黑体" w:eastAsia="黑体"/>
          <w:b w:val="0"/>
          <w:color w:val="000000" w:themeColor="text1"/>
          <w14:textFill>
            <w14:solidFill>
              <w14:schemeClr w14:val="tx1"/>
            </w14:solidFill>
          </w14:textFill>
        </w:rPr>
        <w:t>机</w:t>
      </w:r>
      <w:r>
        <w:rPr>
          <w:rStyle w:val="34"/>
          <w:rFonts w:hint="eastAsia" w:ascii="黑体" w:hAnsi="黑体" w:eastAsia="黑体"/>
          <w:b w:val="0"/>
          <w:bCs w:val="0"/>
          <w:color w:val="000000" w:themeColor="text1"/>
          <w14:textFill>
            <w14:solidFill>
              <w14:schemeClr w14:val="tx1"/>
            </w14:solidFill>
          </w14:textFill>
        </w:rPr>
        <w:t>构设置</w:t>
      </w:r>
      <w:bookmarkEnd w:id="36"/>
      <w:bookmarkEnd w:id="37"/>
      <w:bookmarkEnd w:id="38"/>
      <w:bookmarkEnd w:id="39"/>
      <w:bookmarkEnd w:id="40"/>
      <w:bookmarkEnd w:id="41"/>
    </w:p>
    <w:p w14:paraId="607BEE6D">
      <w:pPr>
        <w:pStyle w:val="11"/>
        <w:shd w:val="clear"/>
        <w:adjustRightInd w:val="0"/>
        <w:snapToGrid w:val="0"/>
        <w:spacing w:beforeLines="0" w:line="560" w:lineRule="exact"/>
        <w:ind w:firstLine="640" w:firstLineChars="200"/>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我局</w:t>
      </w:r>
      <w:r>
        <w:rPr>
          <w:rFonts w:hint="eastAsia" w:ascii="仿宋_GB2312" w:hAnsi="仿宋_GB2312" w:eastAsia="仿宋_GB2312" w:cs="仿宋_GB2312"/>
          <w:color w:val="000000" w:themeColor="text1"/>
          <w:sz w:val="32"/>
          <w:szCs w:val="32"/>
          <w:lang w:eastAsia="zh-CN"/>
          <w14:textFill>
            <w14:solidFill>
              <w14:schemeClr w14:val="tx1"/>
            </w14:solidFill>
          </w14:textFill>
        </w:rPr>
        <w:t>为区人社局下属二级部门。区就业局下</w:t>
      </w:r>
      <w:r>
        <w:rPr>
          <w:rFonts w:hint="eastAsia" w:ascii="仿宋_GB2312" w:hAnsi="仿宋_GB2312" w:eastAsia="仿宋_GB2312" w:cs="仿宋_GB2312"/>
          <w:color w:val="000000" w:themeColor="text1"/>
          <w:sz w:val="32"/>
          <w:szCs w:val="32"/>
          <w14:textFill>
            <w14:solidFill>
              <w14:schemeClr w14:val="tx1"/>
            </w14:solidFill>
          </w14:textFill>
        </w:rPr>
        <w:t>属二级</w:t>
      </w:r>
      <w:r>
        <w:rPr>
          <w:rFonts w:hint="eastAsia" w:ascii="仿宋_GB2312" w:hAnsi="仿宋_GB2312" w:eastAsia="仿宋_GB2312" w:cs="仿宋_GB2312"/>
          <w:b w:val="0"/>
          <w:bCs w:val="0"/>
          <w:i w:val="0"/>
          <w:iCs w:val="0"/>
          <w:color w:val="auto"/>
          <w:sz w:val="32"/>
          <w:szCs w:val="32"/>
          <w:highlight w:val="none"/>
          <w:lang w:eastAsia="zh-CN"/>
        </w:rPr>
        <w:t>预算</w:t>
      </w:r>
      <w:r>
        <w:rPr>
          <w:rFonts w:hint="eastAsia" w:ascii="仿宋_GB2312" w:hAnsi="仿宋_GB2312" w:eastAsia="仿宋_GB2312" w:cs="仿宋_GB2312"/>
          <w:color w:val="000000" w:themeColor="text1"/>
          <w:sz w:val="32"/>
          <w:szCs w:val="32"/>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个</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其中行政单位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个，参照公务员法管理的事业单位</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个，其他事业单位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个</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65CE773A">
      <w:pPr>
        <w:pStyle w:val="11"/>
        <w:shd w:val="clear"/>
        <w:adjustRightInd w:val="0"/>
        <w:snapToGrid w:val="0"/>
        <w:spacing w:before="93"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纳入</w:t>
      </w:r>
      <w:r>
        <w:rPr>
          <w:rFonts w:hint="eastAsia" w:ascii="仿宋_GB2312" w:hAnsi="仿宋_GB2312" w:eastAsia="仿宋_GB2312" w:cs="仿宋_GB2312"/>
          <w:color w:val="000000" w:themeColor="text1"/>
          <w:sz w:val="32"/>
          <w:szCs w:val="32"/>
          <w:lang w:eastAsia="zh-CN"/>
          <w14:textFill>
            <w14:solidFill>
              <w14:schemeClr w14:val="tx1"/>
            </w14:solidFill>
          </w14:textFill>
        </w:rPr>
        <w:t>区就业局2023</w:t>
      </w:r>
      <w:r>
        <w:rPr>
          <w:rFonts w:hint="eastAsia" w:ascii="仿宋_GB2312" w:hAnsi="仿宋_GB2312" w:eastAsia="仿宋_GB2312" w:cs="仿宋_GB2312"/>
          <w:color w:val="000000" w:themeColor="text1"/>
          <w:sz w:val="32"/>
          <w:szCs w:val="32"/>
          <w14:textFill>
            <w14:solidFill>
              <w14:schemeClr w14:val="tx1"/>
            </w14:solidFill>
          </w14:textFill>
        </w:rPr>
        <w:t>年度</w:t>
      </w:r>
      <w:r>
        <w:rPr>
          <w:rFonts w:hint="eastAsia" w:ascii="仿宋_GB2312" w:hAnsi="仿宋_GB2312" w:eastAsia="仿宋_GB2312" w:cs="仿宋_GB2312"/>
          <w:color w:val="000000" w:themeColor="text1"/>
          <w:sz w:val="32"/>
          <w:szCs w:val="32"/>
          <w:lang w:eastAsia="zh-CN"/>
          <w14:textFill>
            <w14:solidFill>
              <w14:schemeClr w14:val="tx1"/>
            </w14:solidFill>
          </w14:textFill>
        </w:rPr>
        <w:t>部门</w:t>
      </w:r>
      <w:r>
        <w:rPr>
          <w:rFonts w:hint="eastAsia" w:ascii="仿宋_GB2312" w:hAnsi="仿宋_GB2312" w:eastAsia="仿宋_GB2312" w:cs="仿宋_GB2312"/>
          <w:color w:val="000000" w:themeColor="text1"/>
          <w:sz w:val="32"/>
          <w:szCs w:val="32"/>
          <w14:textFill>
            <w14:solidFill>
              <w14:schemeClr w14:val="tx1"/>
            </w14:solidFill>
          </w14:textFill>
        </w:rPr>
        <w:t>决算编制范围的二级预算单位包括：</w:t>
      </w:r>
      <w:r>
        <w:rPr>
          <w:rFonts w:hint="eastAsia" w:ascii="仿宋_GB2312" w:hAnsi="仿宋_GB2312" w:eastAsia="仿宋_GB2312" w:cs="仿宋_GB2312"/>
          <w:color w:val="000000" w:themeColor="text1"/>
          <w:sz w:val="32"/>
          <w:szCs w:val="32"/>
          <w:lang w:eastAsia="zh-CN"/>
          <w14:textFill>
            <w14:solidFill>
              <w14:schemeClr w14:val="tx1"/>
            </w14:solidFill>
          </w14:textFill>
        </w:rPr>
        <w:t>无</w:t>
      </w:r>
    </w:p>
    <w:p w14:paraId="267EFF32">
      <w:pPr>
        <w:widowControl/>
        <w:shd w:val="clear"/>
        <w:jc w:val="left"/>
        <w:rPr>
          <w:rFonts w:ascii="仿宋" w:hAnsi="仿宋" w:eastAsia="仿宋"/>
          <w:color w:val="000000" w:themeColor="text1"/>
          <w:kern w:val="0"/>
          <w:sz w:val="32"/>
          <w:szCs w:val="32"/>
          <w14:textFill>
            <w14:solidFill>
              <w14:schemeClr w14:val="tx1"/>
            </w14:solidFill>
          </w14:textFill>
        </w:rPr>
      </w:pPr>
    </w:p>
    <w:p w14:paraId="35271EE7">
      <w:pPr>
        <w:rPr>
          <w:rFonts w:hint="eastAsia" w:ascii="黑体" w:hAnsi="黑体" w:eastAsia="黑体"/>
          <w:b w:val="0"/>
          <w:color w:val="000000" w:themeColor="text1"/>
          <w14:textFill>
            <w14:solidFill>
              <w14:schemeClr w14:val="tx1"/>
            </w14:solidFill>
          </w14:textFill>
        </w:rPr>
      </w:pPr>
      <w:bookmarkStart w:id="42" w:name="_Toc21821"/>
      <w:bookmarkStart w:id="43" w:name="_Toc18871"/>
      <w:bookmarkStart w:id="44" w:name="_Toc10620"/>
      <w:bookmarkStart w:id="45" w:name="_Toc15377204"/>
      <w:bookmarkStart w:id="46" w:name="_Toc15396602"/>
      <w:r>
        <w:rPr>
          <w:rFonts w:hint="eastAsia" w:ascii="黑体" w:hAnsi="黑体" w:eastAsia="黑体"/>
          <w:b w:val="0"/>
          <w:color w:val="000000" w:themeColor="text1"/>
          <w14:textFill>
            <w14:solidFill>
              <w14:schemeClr w14:val="tx1"/>
            </w14:solidFill>
          </w14:textFill>
        </w:rPr>
        <w:br w:type="page"/>
      </w:r>
    </w:p>
    <w:p w14:paraId="06CB8248">
      <w:pPr>
        <w:pStyle w:val="5"/>
        <w:shd w:val="clear"/>
        <w:ind w:right="440"/>
        <w:jc w:val="right"/>
        <w:rPr>
          <w:rStyle w:val="33"/>
          <w:rFonts w:ascii="黑体" w:hAnsi="黑体" w:eastAsia="黑体"/>
          <w:b w:val="0"/>
          <w:bCs w:val="0"/>
          <w:color w:val="000000" w:themeColor="text1"/>
          <w14:textFill>
            <w14:solidFill>
              <w14:schemeClr w14:val="tx1"/>
            </w14:solidFill>
          </w14:textFill>
        </w:rPr>
      </w:pPr>
      <w:bookmarkStart w:id="47" w:name="_Toc24217"/>
      <w:r>
        <w:rPr>
          <w:rFonts w:hint="eastAsia" w:ascii="黑体" w:hAnsi="黑体" w:eastAsia="黑体"/>
          <w:b w:val="0"/>
          <w:color w:val="000000" w:themeColor="text1"/>
          <w14:textFill>
            <w14:solidFill>
              <w14:schemeClr w14:val="tx1"/>
            </w14:solidFill>
          </w14:textFill>
        </w:rPr>
        <w:t>第二部分</w:t>
      </w:r>
      <w:r>
        <w:rPr>
          <w:rFonts w:hint="eastAsia" w:ascii="黑体" w:hAnsi="黑体" w:eastAsia="黑体"/>
          <w:color w:val="000000" w:themeColor="text1"/>
          <w14:textFill>
            <w14:solidFill>
              <w14:schemeClr w14:val="tx1"/>
            </w14:solidFill>
          </w14:textFill>
        </w:rPr>
        <w:t xml:space="preserve"> </w:t>
      </w:r>
      <w:r>
        <w:rPr>
          <w:rStyle w:val="33"/>
          <w:rFonts w:hint="eastAsia" w:ascii="黑体" w:hAnsi="黑体" w:eastAsia="黑体"/>
          <w:b w:val="0"/>
          <w:bCs w:val="0"/>
          <w:color w:val="000000" w:themeColor="text1"/>
          <w:lang w:eastAsia="zh-CN"/>
          <w14:textFill>
            <w14:solidFill>
              <w14:schemeClr w14:val="tx1"/>
            </w14:solidFill>
          </w14:textFill>
        </w:rPr>
        <w:t>2023</w:t>
      </w:r>
      <w:r>
        <w:rPr>
          <w:rStyle w:val="33"/>
          <w:rFonts w:hint="eastAsia" w:ascii="黑体" w:hAnsi="黑体" w:eastAsia="黑体"/>
          <w:b w:val="0"/>
          <w:bCs w:val="0"/>
          <w:color w:val="000000" w:themeColor="text1"/>
          <w14:textFill>
            <w14:solidFill>
              <w14:schemeClr w14:val="tx1"/>
            </w14:solidFill>
          </w14:textFill>
        </w:rPr>
        <w:t>年度</w:t>
      </w:r>
      <w:r>
        <w:rPr>
          <w:rStyle w:val="33"/>
          <w:rFonts w:hint="eastAsia" w:ascii="黑体" w:hAnsi="黑体" w:eastAsia="黑体"/>
          <w:b w:val="0"/>
          <w:bCs w:val="0"/>
          <w:color w:val="000000" w:themeColor="text1"/>
          <w:lang w:eastAsia="zh-CN"/>
          <w14:textFill>
            <w14:solidFill>
              <w14:schemeClr w14:val="tx1"/>
            </w14:solidFill>
          </w14:textFill>
        </w:rPr>
        <w:t>部门</w:t>
      </w:r>
      <w:r>
        <w:rPr>
          <w:rStyle w:val="33"/>
          <w:rFonts w:hint="eastAsia" w:ascii="黑体" w:hAnsi="黑体" w:eastAsia="黑体"/>
          <w:b w:val="0"/>
          <w:bCs w:val="0"/>
          <w:color w:val="000000" w:themeColor="text1"/>
          <w14:textFill>
            <w14:solidFill>
              <w14:schemeClr w14:val="tx1"/>
            </w14:solidFill>
          </w14:textFill>
        </w:rPr>
        <w:t>决算情况说明</w:t>
      </w:r>
      <w:bookmarkEnd w:id="42"/>
      <w:bookmarkEnd w:id="43"/>
      <w:bookmarkEnd w:id="44"/>
      <w:bookmarkEnd w:id="45"/>
      <w:bookmarkEnd w:id="46"/>
      <w:bookmarkEnd w:id="47"/>
    </w:p>
    <w:p w14:paraId="26054E45">
      <w:pPr>
        <w:shd w:val="clear"/>
        <w:rPr>
          <w:color w:val="000000" w:themeColor="text1"/>
          <w14:textFill>
            <w14:solidFill>
              <w14:schemeClr w14:val="tx1"/>
            </w14:solidFill>
          </w14:textFill>
        </w:rPr>
      </w:pPr>
    </w:p>
    <w:p w14:paraId="3E57EF9C">
      <w:pPr>
        <w:pStyle w:val="32"/>
        <w:numPr>
          <w:ilvl w:val="0"/>
          <w:numId w:val="1"/>
        </w:numPr>
        <w:shd w:val="clear"/>
        <w:spacing w:line="600" w:lineRule="exact"/>
        <w:ind w:firstLineChars="0"/>
        <w:outlineLvl w:val="1"/>
        <w:rPr>
          <w:rStyle w:val="34"/>
          <w:rFonts w:ascii="黑体" w:hAnsi="黑体" w:eastAsia="黑体"/>
          <w:b w:val="0"/>
          <w:color w:val="000000" w:themeColor="text1"/>
          <w14:textFill>
            <w14:solidFill>
              <w14:schemeClr w14:val="tx1"/>
            </w14:solidFill>
          </w14:textFill>
        </w:rPr>
      </w:pPr>
      <w:bookmarkStart w:id="48" w:name="_Toc5541"/>
      <w:bookmarkStart w:id="49" w:name="_Toc15396603"/>
      <w:bookmarkStart w:id="50" w:name="_Toc23664"/>
      <w:bookmarkStart w:id="51" w:name="_Toc15377205"/>
      <w:bookmarkStart w:id="52" w:name="_Toc26344"/>
      <w:bookmarkStart w:id="53" w:name="_Toc9114"/>
      <w:r>
        <w:rPr>
          <w:rFonts w:hint="eastAsia" w:ascii="黑体" w:hAnsi="黑体" w:eastAsia="黑体"/>
          <w:color w:val="000000" w:themeColor="text1"/>
          <w:sz w:val="32"/>
          <w:szCs w:val="32"/>
          <w14:textFill>
            <w14:solidFill>
              <w14:schemeClr w14:val="tx1"/>
            </w14:solidFill>
          </w14:textFill>
        </w:rPr>
        <w:t>收</w:t>
      </w:r>
      <w:r>
        <w:rPr>
          <w:rStyle w:val="34"/>
          <w:rFonts w:hint="eastAsia" w:ascii="黑体" w:hAnsi="黑体" w:eastAsia="黑体"/>
          <w:b w:val="0"/>
          <w:color w:val="000000" w:themeColor="text1"/>
          <w14:textFill>
            <w14:solidFill>
              <w14:schemeClr w14:val="tx1"/>
            </w14:solidFill>
          </w14:textFill>
        </w:rPr>
        <w:t>入支出决算总体情况说明</w:t>
      </w:r>
      <w:bookmarkEnd w:id="48"/>
      <w:bookmarkEnd w:id="49"/>
      <w:bookmarkEnd w:id="50"/>
      <w:bookmarkEnd w:id="51"/>
      <w:bookmarkEnd w:id="52"/>
      <w:bookmarkEnd w:id="53"/>
    </w:p>
    <w:p w14:paraId="1805F240">
      <w:pPr>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2023年度</w:t>
      </w:r>
      <w:r>
        <w:rPr>
          <w:rFonts w:hint="eastAsia" w:ascii="仿宋_GB2312" w:hAnsi="仿宋_GB2312" w:eastAsia="仿宋_GB2312" w:cs="仿宋_GB2312"/>
          <w:color w:val="000000" w:themeColor="text1"/>
          <w:sz w:val="32"/>
          <w:szCs w:val="32"/>
          <w14:textFill>
            <w14:solidFill>
              <w14:schemeClr w14:val="tx1"/>
            </w14:solidFill>
          </w14:textFill>
        </w:rPr>
        <w:t>收、支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均为</w:t>
      </w:r>
      <w:r>
        <w:rPr>
          <w:rFonts w:hint="eastAsia" w:ascii="仿宋_GB2312" w:hAnsi="仿宋_GB2312" w:eastAsia="仿宋_GB2312" w:cs="仿宋_GB2312"/>
          <w:color w:val="000000" w:themeColor="text1"/>
          <w:sz w:val="32"/>
          <w:szCs w:val="32"/>
          <w:lang w:eastAsia="zh-CN"/>
          <w14:textFill>
            <w14:solidFill>
              <w14:schemeClr w14:val="tx1"/>
            </w14:solidFill>
          </w14:textFill>
        </w:rPr>
        <w:t>总计3,466.24</w:t>
      </w:r>
      <w:r>
        <w:rPr>
          <w:rFonts w:hint="eastAsia" w:ascii="仿宋_GB2312" w:hAnsi="仿宋_GB2312" w:eastAsia="仿宋_GB2312" w:cs="仿宋_GB2312"/>
          <w:color w:val="000000" w:themeColor="text1"/>
          <w:sz w:val="32"/>
          <w:szCs w:val="32"/>
          <w14:textFill>
            <w14:solidFill>
              <w14:schemeClr w14:val="tx1"/>
            </w14:solidFill>
          </w14:textFill>
        </w:rPr>
        <w:t>万元。与</w:t>
      </w:r>
      <w:r>
        <w:rPr>
          <w:rFonts w:hint="eastAsia" w:ascii="仿宋_GB2312" w:hAnsi="仿宋_GB2312" w:eastAsia="仿宋_GB2312" w:cs="仿宋_GB2312"/>
          <w:color w:val="000000" w:themeColor="text1"/>
          <w:sz w:val="32"/>
          <w:szCs w:val="32"/>
          <w:lang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年相比，</w:t>
      </w:r>
      <w:r>
        <w:rPr>
          <w:rFonts w:hint="eastAsia" w:ascii="仿宋_GB2312" w:hAnsi="仿宋_GB2312" w:eastAsia="仿宋_GB2312" w:cs="仿宋_GB2312"/>
          <w:color w:val="auto"/>
          <w:sz w:val="32"/>
          <w:szCs w:val="32"/>
          <w:highlight w:val="none"/>
        </w:rPr>
        <w:t>收、支总计各</w:t>
      </w:r>
      <w:r>
        <w:rPr>
          <w:rFonts w:hint="eastAsia" w:ascii="仿宋_GB2312" w:hAnsi="仿宋_GB2312" w:eastAsia="仿宋_GB2312" w:cs="仿宋_GB2312"/>
          <w:color w:val="auto"/>
          <w:sz w:val="32"/>
          <w:szCs w:val="32"/>
          <w:highlight w:val="none"/>
          <w:lang w:eastAsia="zh-CN"/>
        </w:rPr>
        <w:t xml:space="preserve">减少 208.56 </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下降6.02%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highlight w:val="none"/>
          <w:lang w:eastAsia="zh-CN"/>
        </w:rPr>
        <w:t>主要变动原因是就业创业补助项目资金减少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0BE2629B">
      <w:pPr>
        <w:shd w:val="clear"/>
        <w:ind w:firstLine="420" w:firstLineChars="200"/>
        <w:rPr>
          <w:rFonts w:hint="eastAsia" w:ascii="仿宋_GB2312" w:hAnsi="仿宋_GB2312" w:eastAsia="仿宋_GB2312" w:cs="仿宋_GB2312"/>
          <w:color w:val="000000" w:themeColor="text1"/>
          <w:lang w:val="en-US" w:eastAsia="zh-CN"/>
          <w14:textFill>
            <w14:solidFill>
              <w14:schemeClr w14:val="tx1"/>
            </w14:solidFill>
          </w14:textFill>
        </w:rPr>
      </w:pPr>
    </w:p>
    <w:p w14:paraId="720F6ACE">
      <w:pPr>
        <w:shd w:val="clear"/>
        <w:rPr>
          <w:color w:val="000000" w:themeColor="text1"/>
          <w14:textFill>
            <w14:solidFill>
              <w14:schemeClr w14:val="tx1"/>
            </w14:solidFill>
          </w14:textFill>
        </w:rPr>
      </w:pPr>
    </w:p>
    <w:p w14:paraId="7757E65E">
      <w:pPr>
        <w:shd w:val="clear"/>
        <w:rPr>
          <w:color w:val="000000" w:themeColor="text1"/>
          <w14:textFill>
            <w14:solidFill>
              <w14:schemeClr w14:val="tx1"/>
            </w14:solidFill>
          </w14:textFill>
        </w:rPr>
      </w:pPr>
    </w:p>
    <w:p w14:paraId="36ACDBCF">
      <w:pPr>
        <w:shd w:val="clea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200650" cy="2200275"/>
            <wp:effectExtent l="4445" t="4445" r="6985" b="508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4212BE6">
      <w:pPr>
        <w:shd w:val="clea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（图1：收、支决算总计变动情况图）（柱状图）</w:t>
      </w:r>
    </w:p>
    <w:p w14:paraId="730EB37F">
      <w:pPr>
        <w:shd w:val="clear"/>
        <w:spacing w:line="600" w:lineRule="exact"/>
        <w:ind w:firstLine="640" w:firstLineChars="200"/>
        <w:jc w:val="left"/>
        <w:rPr>
          <w:rFonts w:ascii="仿宋_GB2312" w:eastAsia="仿宋_GB2312"/>
          <w:color w:val="000000" w:themeColor="text1"/>
          <w:sz w:val="32"/>
          <w:szCs w:val="32"/>
          <w14:textFill>
            <w14:solidFill>
              <w14:schemeClr w14:val="tx1"/>
            </w14:solidFill>
          </w14:textFill>
        </w:rPr>
      </w:pPr>
    </w:p>
    <w:p w14:paraId="51A5E3FA">
      <w:pPr>
        <w:pStyle w:val="32"/>
        <w:numPr>
          <w:ilvl w:val="0"/>
          <w:numId w:val="1"/>
        </w:numPr>
        <w:shd w:val="clear"/>
        <w:spacing w:line="600" w:lineRule="exact"/>
        <w:ind w:firstLineChars="0"/>
        <w:outlineLvl w:val="1"/>
        <w:rPr>
          <w:rStyle w:val="34"/>
          <w:rFonts w:ascii="黑体" w:hAnsi="黑体" w:eastAsia="黑体"/>
          <w:b w:val="0"/>
          <w:color w:val="000000" w:themeColor="text1"/>
          <w14:textFill>
            <w14:solidFill>
              <w14:schemeClr w14:val="tx1"/>
            </w14:solidFill>
          </w14:textFill>
        </w:rPr>
      </w:pPr>
      <w:bookmarkStart w:id="54" w:name="_Toc15396604"/>
      <w:bookmarkStart w:id="55" w:name="_Toc15377206"/>
      <w:bookmarkStart w:id="56" w:name="_Toc13813"/>
      <w:bookmarkStart w:id="57" w:name="_Toc4525"/>
      <w:bookmarkStart w:id="58" w:name="_Toc10855"/>
      <w:bookmarkStart w:id="59" w:name="_Toc4836"/>
      <w:r>
        <w:rPr>
          <w:rFonts w:hint="eastAsia" w:ascii="黑体" w:hAnsi="黑体" w:eastAsia="黑体"/>
          <w:color w:val="000000" w:themeColor="text1"/>
          <w:sz w:val="32"/>
          <w:szCs w:val="32"/>
          <w14:textFill>
            <w14:solidFill>
              <w14:schemeClr w14:val="tx1"/>
            </w14:solidFill>
          </w14:textFill>
        </w:rPr>
        <w:t>收</w:t>
      </w:r>
      <w:r>
        <w:rPr>
          <w:rStyle w:val="34"/>
          <w:rFonts w:hint="eastAsia" w:ascii="黑体" w:hAnsi="黑体" w:eastAsia="黑体"/>
          <w:b w:val="0"/>
          <w:color w:val="000000" w:themeColor="text1"/>
          <w14:textFill>
            <w14:solidFill>
              <w14:schemeClr w14:val="tx1"/>
            </w14:solidFill>
          </w14:textFill>
        </w:rPr>
        <w:t>入决算情况说明</w:t>
      </w:r>
      <w:bookmarkEnd w:id="54"/>
      <w:bookmarkEnd w:id="55"/>
      <w:bookmarkEnd w:id="56"/>
      <w:bookmarkEnd w:id="57"/>
      <w:bookmarkEnd w:id="58"/>
      <w:bookmarkEnd w:id="59"/>
    </w:p>
    <w:p w14:paraId="4FF4E370">
      <w:pPr>
        <w:shd w:val="clear"/>
        <w:spacing w:line="600" w:lineRule="exact"/>
        <w:ind w:firstLine="640" w:firstLineChars="200"/>
        <w:outlineLvl w:val="1"/>
        <w:rPr>
          <w:rFonts w:hint="eastAsia" w:ascii="仿宋_GB2312" w:hAnsi="仿宋_GB2312" w:eastAsia="仿宋_GB2312" w:cs="仿宋_GB2312"/>
          <w:color w:val="000000" w:themeColor="text1"/>
          <w:sz w:val="32"/>
          <w:szCs w:val="32"/>
          <w14:textFill>
            <w14:solidFill>
              <w14:schemeClr w14:val="tx1"/>
            </w14:solidFill>
          </w14:textFill>
        </w:rPr>
      </w:pPr>
      <w:bookmarkStart w:id="60" w:name="_Toc8372"/>
      <w:bookmarkStart w:id="61" w:name="_Toc9857"/>
      <w:bookmarkStart w:id="62" w:name="_Toc30324"/>
      <w:bookmarkStart w:id="63" w:name="_Toc11588"/>
      <w:bookmarkStart w:id="64" w:name="_Toc87"/>
      <w:bookmarkStart w:id="65" w:name="_Toc19428"/>
      <w:r>
        <w:rPr>
          <w:rFonts w:hint="eastAsia" w:ascii="仿宋_GB2312" w:hAnsi="仿宋_GB2312" w:eastAsia="仿宋_GB2312" w:cs="仿宋_GB2312"/>
          <w:color w:val="000000" w:themeColor="text1"/>
          <w:sz w:val="32"/>
          <w:szCs w:val="32"/>
          <w:lang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年本年收入合计</w:t>
      </w:r>
      <w:r>
        <w:rPr>
          <w:rFonts w:hint="eastAsia" w:ascii="仿宋_GB2312" w:hAnsi="仿宋_GB2312" w:eastAsia="仿宋_GB2312" w:cs="仿宋_GB2312"/>
          <w:color w:val="000000" w:themeColor="text1"/>
          <w:sz w:val="32"/>
          <w:szCs w:val="32"/>
          <w:lang w:eastAsia="zh-CN"/>
          <w14:textFill>
            <w14:solidFill>
              <w14:schemeClr w14:val="tx1"/>
            </w14:solidFill>
          </w14:textFill>
        </w:rPr>
        <w:t>3,466.24</w:t>
      </w:r>
      <w:r>
        <w:rPr>
          <w:rFonts w:hint="eastAsia" w:ascii="仿宋_GB2312" w:hAnsi="仿宋_GB2312" w:eastAsia="仿宋_GB2312" w:cs="仿宋_GB2312"/>
          <w:color w:val="000000" w:themeColor="text1"/>
          <w:sz w:val="32"/>
          <w:szCs w:val="32"/>
          <w14:textFill>
            <w14:solidFill>
              <w14:schemeClr w14:val="tx1"/>
            </w14:solidFill>
          </w14:textFill>
        </w:rPr>
        <w:t>万元，其中：一般公共预算财政拨款收入</w:t>
      </w:r>
      <w:r>
        <w:rPr>
          <w:rFonts w:hint="eastAsia" w:ascii="仿宋_GB2312" w:hAnsi="仿宋_GB2312" w:eastAsia="仿宋_GB2312" w:cs="仿宋_GB2312"/>
          <w:color w:val="000000" w:themeColor="text1"/>
          <w:sz w:val="32"/>
          <w:szCs w:val="32"/>
          <w:lang w:eastAsia="zh-CN"/>
          <w14:textFill>
            <w14:solidFill>
              <w14:schemeClr w14:val="tx1"/>
            </w14:solidFill>
          </w14:textFill>
        </w:rPr>
        <w:t>3,466.24</w:t>
      </w:r>
      <w:r>
        <w:rPr>
          <w:rFonts w:hint="eastAsia" w:ascii="仿宋_GB2312" w:hAnsi="仿宋_GB2312" w:eastAsia="仿宋_GB2312" w:cs="仿宋_GB2312"/>
          <w:color w:val="000000" w:themeColor="text1"/>
          <w:sz w:val="32"/>
          <w:szCs w:val="32"/>
          <w14:textFill>
            <w14:solidFill>
              <w14:schemeClr w14:val="tx1"/>
            </w14:solidFill>
          </w14:textFill>
        </w:rPr>
        <w:t>万元，占100%；政府性基金预算财政拨款收入0万元，占0%；国有资本经营预算财政拨款收入0万元，占0%；事业收入0万元，占0%；经营收入0万元，占0%；附属单位上缴收入0万元，占0%；其他收入0万元，占0%。</w:t>
      </w:r>
      <w:bookmarkEnd w:id="60"/>
      <w:bookmarkEnd w:id="61"/>
      <w:bookmarkEnd w:id="62"/>
      <w:bookmarkEnd w:id="63"/>
      <w:bookmarkEnd w:id="64"/>
      <w:bookmarkEnd w:id="65"/>
    </w:p>
    <w:p w14:paraId="14683A88">
      <w:pPr>
        <w:shd w:val="clear"/>
        <w:spacing w:line="600" w:lineRule="exact"/>
        <w:ind w:firstLine="640" w:firstLineChars="200"/>
        <w:outlineLvl w:val="9"/>
        <w:rPr>
          <w:rFonts w:ascii="仿宋" w:hAnsi="仿宋" w:eastAsia="仿宋"/>
          <w:color w:val="000000" w:themeColor="text1"/>
          <w:sz w:val="32"/>
          <w:szCs w:val="32"/>
          <w14:textFill>
            <w14:solidFill>
              <w14:schemeClr w14:val="tx1"/>
            </w14:solidFill>
          </w14:textFill>
        </w:rPr>
      </w:pPr>
    </w:p>
    <w:p w14:paraId="2646913E">
      <w:pPr>
        <w:shd w:val="clear"/>
        <w:spacing w:line="600" w:lineRule="exact"/>
        <w:ind w:firstLine="640" w:firstLineChars="200"/>
        <w:outlineLvl w:val="9"/>
        <w:rPr>
          <w:rFonts w:ascii="仿宋" w:hAnsi="仿宋" w:eastAsia="仿宋"/>
          <w:color w:val="000000" w:themeColor="text1"/>
          <w:sz w:val="32"/>
          <w:szCs w:val="32"/>
          <w14:textFill>
            <w14:solidFill>
              <w14:schemeClr w14:val="tx1"/>
            </w14:solidFill>
          </w14:textFill>
        </w:rPr>
      </w:pPr>
    </w:p>
    <w:p w14:paraId="1556F215">
      <w:pPr>
        <w:shd w:val="clear"/>
        <w:rPr>
          <w:color w:val="000000" w:themeColor="text1"/>
          <w14:textFill>
            <w14:solidFill>
              <w14:schemeClr w14:val="tx1"/>
            </w14:solidFill>
          </w14:textFill>
        </w:rPr>
      </w:pPr>
    </w:p>
    <w:p w14:paraId="3B98248D">
      <w:pPr>
        <w:shd w:val="clear"/>
        <w:rPr>
          <w:color w:val="000000" w:themeColor="text1"/>
          <w14:textFill>
            <w14:solidFill>
              <w14:schemeClr w14:val="tx1"/>
            </w14:solidFill>
          </w14:textFill>
        </w:rPr>
      </w:pPr>
    </w:p>
    <w:p w14:paraId="3FC43B71">
      <w:pPr>
        <w:shd w:val="clear"/>
        <w:rPr>
          <w:color w:val="000000" w:themeColor="text1"/>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393700</wp:posOffset>
            </wp:positionH>
            <wp:positionV relativeFrom="paragraph">
              <wp:posOffset>-565785</wp:posOffset>
            </wp:positionV>
            <wp:extent cx="4772025" cy="2752725"/>
            <wp:effectExtent l="4445" t="4445" r="5080" b="508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5616CD8">
      <w:pPr>
        <w:shd w:val="clear"/>
        <w:rPr>
          <w:color w:val="000000" w:themeColor="text1"/>
          <w14:textFill>
            <w14:solidFill>
              <w14:schemeClr w14:val="tx1"/>
            </w14:solidFill>
          </w14:textFill>
        </w:rPr>
      </w:pPr>
    </w:p>
    <w:p w14:paraId="7C12BFD2">
      <w:pPr>
        <w:shd w:val="clear"/>
        <w:rPr>
          <w:color w:val="000000" w:themeColor="text1"/>
          <w14:textFill>
            <w14:solidFill>
              <w14:schemeClr w14:val="tx1"/>
            </w14:solidFill>
          </w14:textFill>
        </w:rPr>
      </w:pPr>
    </w:p>
    <w:p w14:paraId="226EAF35">
      <w:pPr>
        <w:shd w:val="clear"/>
        <w:rPr>
          <w:color w:val="000000" w:themeColor="text1"/>
          <w14:textFill>
            <w14:solidFill>
              <w14:schemeClr w14:val="tx1"/>
            </w14:solidFill>
          </w14:textFill>
        </w:rPr>
      </w:pPr>
    </w:p>
    <w:p w14:paraId="5555EAEB">
      <w:pPr>
        <w:shd w:val="clear"/>
        <w:rPr>
          <w:color w:val="000000" w:themeColor="text1"/>
          <w14:textFill>
            <w14:solidFill>
              <w14:schemeClr w14:val="tx1"/>
            </w14:solidFill>
          </w14:textFill>
        </w:rPr>
      </w:pPr>
    </w:p>
    <w:p w14:paraId="30ADF809">
      <w:pPr>
        <w:shd w:val="clear"/>
        <w:rPr>
          <w:color w:val="000000" w:themeColor="text1"/>
          <w14:textFill>
            <w14:solidFill>
              <w14:schemeClr w14:val="tx1"/>
            </w14:solidFill>
          </w14:textFill>
        </w:rPr>
      </w:pPr>
    </w:p>
    <w:p w14:paraId="27EAB2A0">
      <w:pPr>
        <w:shd w:val="clear"/>
        <w:rPr>
          <w:color w:val="000000" w:themeColor="text1"/>
          <w14:textFill>
            <w14:solidFill>
              <w14:schemeClr w14:val="tx1"/>
            </w14:solidFill>
          </w14:textFill>
        </w:rPr>
      </w:pPr>
    </w:p>
    <w:p w14:paraId="57E59EE3">
      <w:pPr>
        <w:shd w:val="clear"/>
        <w:rPr>
          <w:color w:val="000000" w:themeColor="text1"/>
          <w14:textFill>
            <w14:solidFill>
              <w14:schemeClr w14:val="tx1"/>
            </w14:solidFill>
          </w14:textFill>
        </w:rPr>
      </w:pPr>
    </w:p>
    <w:p w14:paraId="5C601B1F">
      <w:pPr>
        <w:shd w:val="clear"/>
        <w:rPr>
          <w:color w:val="000000" w:themeColor="text1"/>
          <w14:textFill>
            <w14:solidFill>
              <w14:schemeClr w14:val="tx1"/>
            </w14:solidFill>
          </w14:textFill>
        </w:rPr>
      </w:pPr>
    </w:p>
    <w:p w14:paraId="6F980478">
      <w:pPr>
        <w:shd w:val="clear"/>
        <w:spacing w:line="600" w:lineRule="exact"/>
        <w:ind w:firstLine="0" w:firstLineChars="0"/>
        <w:outlineLvl w:val="9"/>
        <w:rPr>
          <w:rFonts w:ascii="仿宋" w:hAnsi="仿宋" w:eastAsia="仿宋"/>
          <w:color w:val="000000" w:themeColor="text1"/>
          <w:sz w:val="32"/>
          <w:szCs w:val="32"/>
          <w14:textFill>
            <w14:solidFill>
              <w14:schemeClr w14:val="tx1"/>
            </w14:solidFill>
          </w14:textFill>
        </w:rPr>
      </w:pPr>
    </w:p>
    <w:p w14:paraId="23764361">
      <w:pPr>
        <w:shd w:val="clear"/>
        <w:spacing w:line="600" w:lineRule="exact"/>
        <w:ind w:firstLine="1600" w:firstLineChars="5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（图2：收入决算结构图）（饼状图）</w:t>
      </w:r>
    </w:p>
    <w:p w14:paraId="751B2433">
      <w:pPr>
        <w:shd w:val="clear"/>
        <w:spacing w:line="600" w:lineRule="exact"/>
        <w:ind w:firstLine="640" w:firstLineChars="200"/>
        <w:rPr>
          <w:rFonts w:ascii="仿宋_GB2312" w:eastAsia="仿宋_GB2312"/>
          <w:color w:val="000000" w:themeColor="text1"/>
          <w:sz w:val="32"/>
          <w:szCs w:val="32"/>
          <w14:textFill>
            <w14:solidFill>
              <w14:schemeClr w14:val="tx1"/>
            </w14:solidFill>
          </w14:textFill>
        </w:rPr>
      </w:pPr>
    </w:p>
    <w:p w14:paraId="6ADAAD70">
      <w:pPr>
        <w:pStyle w:val="32"/>
        <w:numPr>
          <w:ilvl w:val="0"/>
          <w:numId w:val="1"/>
        </w:numPr>
        <w:shd w:val="clear"/>
        <w:spacing w:line="600" w:lineRule="exact"/>
        <w:ind w:firstLineChars="0"/>
        <w:outlineLvl w:val="1"/>
        <w:rPr>
          <w:rStyle w:val="34"/>
          <w:rFonts w:ascii="黑体" w:hAnsi="黑体" w:eastAsia="黑体"/>
          <w:b w:val="0"/>
          <w:color w:val="000000" w:themeColor="text1"/>
          <w14:textFill>
            <w14:solidFill>
              <w14:schemeClr w14:val="tx1"/>
            </w14:solidFill>
          </w14:textFill>
        </w:rPr>
      </w:pPr>
      <w:bookmarkStart w:id="66" w:name="_Toc13771"/>
      <w:bookmarkStart w:id="67" w:name="_Toc20286"/>
      <w:bookmarkStart w:id="68" w:name="_Toc21711"/>
      <w:bookmarkStart w:id="69" w:name="_Toc15377207"/>
      <w:bookmarkStart w:id="70" w:name="_Toc15396605"/>
      <w:bookmarkStart w:id="71" w:name="_Toc17687"/>
      <w:r>
        <w:rPr>
          <w:rFonts w:hint="eastAsia" w:ascii="黑体" w:hAnsi="黑体" w:eastAsia="黑体"/>
          <w:color w:val="000000" w:themeColor="text1"/>
          <w:sz w:val="32"/>
          <w:szCs w:val="32"/>
          <w14:textFill>
            <w14:solidFill>
              <w14:schemeClr w14:val="tx1"/>
            </w14:solidFill>
          </w14:textFill>
        </w:rPr>
        <w:t>支</w:t>
      </w:r>
      <w:r>
        <w:rPr>
          <w:rStyle w:val="34"/>
          <w:rFonts w:hint="eastAsia" w:ascii="黑体" w:hAnsi="黑体" w:eastAsia="黑体"/>
          <w:b w:val="0"/>
          <w:color w:val="000000" w:themeColor="text1"/>
          <w14:textFill>
            <w14:solidFill>
              <w14:schemeClr w14:val="tx1"/>
            </w14:solidFill>
          </w14:textFill>
        </w:rPr>
        <w:t>出决算情况说明</w:t>
      </w:r>
      <w:bookmarkEnd w:id="66"/>
      <w:bookmarkEnd w:id="67"/>
      <w:bookmarkEnd w:id="68"/>
      <w:bookmarkEnd w:id="69"/>
      <w:bookmarkEnd w:id="70"/>
      <w:bookmarkEnd w:id="71"/>
    </w:p>
    <w:p w14:paraId="68484B32">
      <w:pPr>
        <w:shd w:val="clea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年本年支出合计</w:t>
      </w:r>
      <w:r>
        <w:rPr>
          <w:rFonts w:hint="eastAsia" w:ascii="仿宋_GB2312" w:hAnsi="仿宋_GB2312" w:eastAsia="仿宋_GB2312" w:cs="仿宋_GB2312"/>
          <w:color w:val="000000" w:themeColor="text1"/>
          <w:sz w:val="32"/>
          <w:szCs w:val="32"/>
          <w:lang w:eastAsia="zh-CN"/>
          <w14:textFill>
            <w14:solidFill>
              <w14:schemeClr w14:val="tx1"/>
            </w14:solidFill>
          </w14:textFill>
        </w:rPr>
        <w:t>3,466.24</w:t>
      </w:r>
      <w:r>
        <w:rPr>
          <w:rFonts w:hint="eastAsia" w:ascii="仿宋_GB2312" w:hAnsi="仿宋_GB2312" w:eastAsia="仿宋_GB2312" w:cs="仿宋_GB2312"/>
          <w:color w:val="000000" w:themeColor="text1"/>
          <w:sz w:val="32"/>
          <w:szCs w:val="32"/>
          <w14:textFill>
            <w14:solidFill>
              <w14:schemeClr w14:val="tx1"/>
            </w14:solidFill>
          </w14:textFill>
        </w:rPr>
        <w:t>万元，其中：基本支出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125.44</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eastAsia="zh-CN"/>
          <w14:textFill>
            <w14:solidFill>
              <w14:schemeClr w14:val="tx1"/>
            </w14:solidFill>
          </w14:textFill>
        </w:rPr>
        <w:t>3.62%</w:t>
      </w:r>
      <w:r>
        <w:rPr>
          <w:rFonts w:hint="eastAsia" w:ascii="仿宋_GB2312" w:hAnsi="仿宋_GB2312" w:eastAsia="仿宋_GB2312" w:cs="仿宋_GB2312"/>
          <w:color w:val="000000" w:themeColor="text1"/>
          <w:sz w:val="32"/>
          <w:szCs w:val="32"/>
          <w14:textFill>
            <w14:solidFill>
              <w14:schemeClr w14:val="tx1"/>
            </w14:solidFill>
          </w14:textFill>
        </w:rPr>
        <w:t>；项目支出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3,340.79</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eastAsia="zh-CN"/>
          <w14:textFill>
            <w14:solidFill>
              <w14:schemeClr w14:val="tx1"/>
            </w14:solidFill>
          </w14:textFill>
        </w:rPr>
        <w:t>96.38%</w:t>
      </w:r>
      <w:r>
        <w:rPr>
          <w:rFonts w:hint="eastAsia" w:ascii="仿宋_GB2312" w:hAnsi="仿宋_GB2312" w:eastAsia="仿宋_GB2312" w:cs="仿宋_GB2312"/>
          <w:color w:val="000000" w:themeColor="text1"/>
          <w:sz w:val="32"/>
          <w:szCs w:val="32"/>
          <w14:textFill>
            <w14:solidFill>
              <w14:schemeClr w14:val="tx1"/>
            </w14:solidFill>
          </w14:textFill>
        </w:rPr>
        <w:t>；上缴上级支出0万元，占0%；经营支出0万元，占0%；对附属单位补助支出0万元，占0%。</w:t>
      </w:r>
    </w:p>
    <w:p w14:paraId="6CA1426F">
      <w:pPr>
        <w:shd w:val="clear"/>
        <w:spacing w:line="600" w:lineRule="exact"/>
        <w:ind w:firstLine="640"/>
        <w:rPr>
          <w:rFonts w:ascii="仿宋" w:hAnsi="仿宋" w:eastAsia="仿宋"/>
          <w:color w:val="000000" w:themeColor="text1"/>
          <w:sz w:val="32"/>
          <w:szCs w:val="32"/>
          <w14:textFill>
            <w14:solidFill>
              <w14:schemeClr w14:val="tx1"/>
            </w14:solidFill>
          </w14:textFill>
        </w:rPr>
      </w:pPr>
    </w:p>
    <w:p w14:paraId="06D1AC4E">
      <w:pPr>
        <w:shd w:val="clea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540385</wp:posOffset>
            </wp:positionH>
            <wp:positionV relativeFrom="paragraph">
              <wp:posOffset>-252095</wp:posOffset>
            </wp:positionV>
            <wp:extent cx="4138930" cy="2661285"/>
            <wp:effectExtent l="4445" t="4445" r="9525" b="2032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03BE229">
      <w:pPr>
        <w:shd w:val="clear"/>
        <w:spacing w:line="600" w:lineRule="exact"/>
        <w:ind w:firstLine="640"/>
        <w:rPr>
          <w:rFonts w:ascii="仿宋" w:hAnsi="仿宋" w:eastAsia="仿宋"/>
          <w:color w:val="000000" w:themeColor="text1"/>
          <w:sz w:val="32"/>
          <w:szCs w:val="32"/>
          <w14:textFill>
            <w14:solidFill>
              <w14:schemeClr w14:val="tx1"/>
            </w14:solidFill>
          </w14:textFill>
        </w:rPr>
      </w:pPr>
    </w:p>
    <w:p w14:paraId="66D36F71">
      <w:pPr>
        <w:shd w:val="clear"/>
        <w:spacing w:line="600" w:lineRule="exact"/>
        <w:ind w:firstLine="640"/>
        <w:rPr>
          <w:rFonts w:ascii="仿宋" w:hAnsi="仿宋" w:eastAsia="仿宋"/>
          <w:color w:val="000000" w:themeColor="text1"/>
          <w:sz w:val="32"/>
          <w:szCs w:val="32"/>
          <w14:textFill>
            <w14:solidFill>
              <w14:schemeClr w14:val="tx1"/>
            </w14:solidFill>
          </w14:textFill>
        </w:rPr>
      </w:pPr>
    </w:p>
    <w:p w14:paraId="0A26EE64">
      <w:pPr>
        <w:shd w:val="clear"/>
        <w:spacing w:line="600" w:lineRule="exact"/>
        <w:ind w:firstLine="640"/>
        <w:rPr>
          <w:rFonts w:ascii="仿宋" w:hAnsi="仿宋" w:eastAsia="仿宋"/>
          <w:color w:val="000000" w:themeColor="text1"/>
          <w:sz w:val="32"/>
          <w:szCs w:val="32"/>
          <w14:textFill>
            <w14:solidFill>
              <w14:schemeClr w14:val="tx1"/>
            </w14:solidFill>
          </w14:textFill>
        </w:rPr>
      </w:pPr>
    </w:p>
    <w:p w14:paraId="1ADEF29E">
      <w:pPr>
        <w:shd w:val="clear"/>
        <w:spacing w:line="600" w:lineRule="exact"/>
        <w:ind w:firstLine="640"/>
        <w:rPr>
          <w:rFonts w:ascii="仿宋" w:hAnsi="仿宋" w:eastAsia="仿宋"/>
          <w:color w:val="000000" w:themeColor="text1"/>
          <w:sz w:val="32"/>
          <w:szCs w:val="32"/>
          <w14:textFill>
            <w14:solidFill>
              <w14:schemeClr w14:val="tx1"/>
            </w14:solidFill>
          </w14:textFill>
        </w:rPr>
      </w:pPr>
    </w:p>
    <w:p w14:paraId="0EA214CC">
      <w:pPr>
        <w:shd w:val="clear"/>
        <w:spacing w:line="600" w:lineRule="exact"/>
        <w:rPr>
          <w:rFonts w:ascii="仿宋" w:hAnsi="仿宋" w:eastAsia="仿宋"/>
          <w:color w:val="000000" w:themeColor="text1"/>
          <w:sz w:val="32"/>
          <w:szCs w:val="32"/>
          <w14:textFill>
            <w14:solidFill>
              <w14:schemeClr w14:val="tx1"/>
            </w14:solidFill>
          </w14:textFill>
        </w:rPr>
      </w:pPr>
    </w:p>
    <w:p w14:paraId="32C8ACCD">
      <w:pPr>
        <w:shd w:val="clear"/>
        <w:spacing w:line="600" w:lineRule="exact"/>
        <w:ind w:firstLine="1280" w:firstLineChars="4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（图3：支出决算结构图）（饼状图）</w:t>
      </w:r>
    </w:p>
    <w:p w14:paraId="29205B1F">
      <w:pPr>
        <w:shd w:val="clear"/>
        <w:spacing w:line="600" w:lineRule="exact"/>
        <w:ind w:firstLine="640" w:firstLineChars="200"/>
        <w:rPr>
          <w:rFonts w:ascii="仿宋_GB2312" w:eastAsia="仿宋_GB2312"/>
          <w:color w:val="000000" w:themeColor="text1"/>
          <w:sz w:val="32"/>
          <w:szCs w:val="32"/>
          <w14:textFill>
            <w14:solidFill>
              <w14:schemeClr w14:val="tx1"/>
            </w14:solidFill>
          </w14:textFill>
        </w:rPr>
      </w:pPr>
    </w:p>
    <w:p w14:paraId="613D3231">
      <w:pPr>
        <w:shd w:val="clear"/>
        <w:spacing w:line="600" w:lineRule="exact"/>
        <w:ind w:firstLine="640" w:firstLineChars="200"/>
        <w:outlineLvl w:val="1"/>
        <w:rPr>
          <w:rStyle w:val="34"/>
          <w:rFonts w:ascii="黑体" w:hAnsi="黑体" w:eastAsia="黑体"/>
          <w:b w:val="0"/>
          <w:color w:val="000000" w:themeColor="text1"/>
          <w14:textFill>
            <w14:solidFill>
              <w14:schemeClr w14:val="tx1"/>
            </w14:solidFill>
          </w14:textFill>
        </w:rPr>
      </w:pPr>
      <w:bookmarkStart w:id="72" w:name="_Toc11258"/>
      <w:bookmarkStart w:id="73" w:name="_Toc3055"/>
      <w:bookmarkStart w:id="74" w:name="_Toc14649"/>
      <w:bookmarkStart w:id="75" w:name="_Toc15377208"/>
      <w:bookmarkStart w:id="76" w:name="_Toc1509"/>
      <w:bookmarkStart w:id="77" w:name="_Toc15396606"/>
      <w:r>
        <w:rPr>
          <w:rFonts w:hint="eastAsia" w:ascii="黑体" w:hAnsi="黑体" w:eastAsia="黑体"/>
          <w:color w:val="000000" w:themeColor="text1"/>
          <w:sz w:val="32"/>
          <w:szCs w:val="32"/>
          <w14:textFill>
            <w14:solidFill>
              <w14:schemeClr w14:val="tx1"/>
            </w14:solidFill>
          </w14:textFill>
        </w:rPr>
        <w:t>四、财</w:t>
      </w:r>
      <w:r>
        <w:rPr>
          <w:rStyle w:val="34"/>
          <w:rFonts w:hint="eastAsia" w:ascii="黑体" w:hAnsi="黑体" w:eastAsia="黑体"/>
          <w:b w:val="0"/>
          <w:color w:val="000000" w:themeColor="text1"/>
          <w14:textFill>
            <w14:solidFill>
              <w14:schemeClr w14:val="tx1"/>
            </w14:solidFill>
          </w14:textFill>
        </w:rPr>
        <w:t>政拨款收入支出决算总体情况说明</w:t>
      </w:r>
      <w:bookmarkEnd w:id="72"/>
      <w:bookmarkEnd w:id="73"/>
      <w:bookmarkEnd w:id="74"/>
      <w:bookmarkEnd w:id="75"/>
      <w:bookmarkEnd w:id="76"/>
      <w:bookmarkEnd w:id="77"/>
    </w:p>
    <w:p w14:paraId="1FD22813">
      <w:pPr>
        <w:spacing w:line="600" w:lineRule="exact"/>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年财政拨款收、支</w:t>
      </w:r>
      <w:r>
        <w:rPr>
          <w:rFonts w:hint="eastAsia" w:ascii="仿宋_GB2312" w:hAnsi="仿宋_GB2312" w:eastAsia="仿宋_GB2312" w:cs="仿宋_GB2312"/>
          <w:color w:val="auto"/>
          <w:sz w:val="32"/>
          <w:szCs w:val="32"/>
          <w:highlight w:val="none"/>
          <w:lang w:val="en-US" w:eastAsia="zh-CN"/>
        </w:rPr>
        <w:t>均为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3,466.24</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2022</w:t>
      </w:r>
      <w:r>
        <w:rPr>
          <w:rFonts w:hint="eastAsia" w:ascii="仿宋_GB2312" w:hAnsi="仿宋_GB2312" w:eastAsia="仿宋_GB2312" w:cs="仿宋_GB2312"/>
          <w:color w:val="auto"/>
          <w:sz w:val="32"/>
          <w:szCs w:val="32"/>
          <w:highlight w:val="none"/>
        </w:rPr>
        <w:t>年相比，财政拨款收、支总计各</w:t>
      </w:r>
      <w:r>
        <w:rPr>
          <w:rFonts w:hint="eastAsia" w:ascii="仿宋_GB2312" w:hAnsi="仿宋_GB2312" w:eastAsia="仿宋_GB2312" w:cs="仿宋_GB2312"/>
          <w:color w:val="auto"/>
          <w:sz w:val="32"/>
          <w:szCs w:val="32"/>
          <w:highlight w:val="none"/>
          <w:lang w:eastAsia="zh-CN"/>
        </w:rPr>
        <w:t>减少 208.56</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下降6.02%，</w:t>
      </w:r>
      <w:r>
        <w:rPr>
          <w:rFonts w:hint="eastAsia" w:ascii="仿宋_GB2312" w:hAnsi="仿宋_GB2312" w:eastAsia="仿宋_GB2312" w:cs="仿宋_GB2312"/>
          <w:color w:val="auto"/>
          <w:sz w:val="32"/>
          <w:szCs w:val="32"/>
          <w:highlight w:val="none"/>
          <w:lang w:eastAsia="zh-CN"/>
        </w:rPr>
        <w:t>主要变动原因是就业创业补助项目资金减少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2AEA7747">
      <w:pPr>
        <w:shd w:val="clear"/>
        <w:ind w:firstLine="420" w:firstLineChars="200"/>
        <w:rPr>
          <w:rFonts w:hint="default" w:eastAsia="仿宋"/>
          <w:color w:val="000000" w:themeColor="text1"/>
          <w:lang w:val="en-US" w:eastAsia="zh-CN"/>
          <w14:textFill>
            <w14:solidFill>
              <w14:schemeClr w14:val="tx1"/>
            </w14:solidFill>
          </w14:textFill>
        </w:rPr>
      </w:pPr>
    </w:p>
    <w:p w14:paraId="476E8274">
      <w:pPr>
        <w:spacing w:line="600" w:lineRule="exact"/>
        <w:ind w:firstLine="640"/>
        <w:rPr>
          <w:rFonts w:ascii="仿宋" w:hAnsi="仿宋" w:eastAsia="仿宋"/>
          <w:color w:val="auto"/>
          <w:sz w:val="32"/>
          <w:szCs w:val="32"/>
          <w:highlight w:val="none"/>
        </w:rPr>
      </w:pPr>
    </w:p>
    <w:p w14:paraId="3AF5F1FC">
      <w:pPr>
        <w:shd w:val="clear"/>
        <w:ind w:firstLine="420" w:firstLineChars="200"/>
        <w:rPr>
          <w:color w:val="000000" w:themeColor="text1"/>
          <w14:textFill>
            <w14:solidFill>
              <w14:schemeClr w14:val="tx1"/>
            </w14:solidFill>
          </w14:textFill>
        </w:rPr>
      </w:pPr>
    </w:p>
    <w:p w14:paraId="11FD50CD">
      <w:pPr>
        <w:shd w:val="clea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200650" cy="2200275"/>
            <wp:effectExtent l="4445" t="4445" r="14605"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C3A93C">
      <w:pPr>
        <w:shd w:val="clear"/>
        <w:spacing w:line="600" w:lineRule="exact"/>
        <w:ind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（图4：财政拨款收、支决算总计变动情况）（柱状图）</w:t>
      </w:r>
    </w:p>
    <w:p w14:paraId="4DCF25DB">
      <w:pPr>
        <w:shd w:val="clear"/>
        <w:spacing w:line="600" w:lineRule="exact"/>
        <w:ind w:firstLine="640"/>
        <w:rPr>
          <w:rFonts w:hint="eastAsia" w:ascii="仿宋_GB2312" w:hAnsi="仿宋_GB2312" w:eastAsia="仿宋_GB2312" w:cs="仿宋_GB2312"/>
          <w:b/>
          <w:color w:val="000000" w:themeColor="text1"/>
          <w:sz w:val="32"/>
          <w:szCs w:val="32"/>
          <w14:textFill>
            <w14:solidFill>
              <w14:schemeClr w14:val="tx1"/>
            </w14:solidFill>
          </w14:textFill>
        </w:rPr>
      </w:pPr>
    </w:p>
    <w:p w14:paraId="5937DCC7">
      <w:pPr>
        <w:shd w:val="clear"/>
        <w:spacing w:line="600" w:lineRule="exact"/>
        <w:ind w:firstLine="640" w:firstLineChars="200"/>
        <w:outlineLvl w:val="1"/>
        <w:rPr>
          <w:rStyle w:val="34"/>
          <w:rFonts w:ascii="黑体" w:hAnsi="黑体" w:eastAsia="黑体"/>
          <w:b w:val="0"/>
          <w:color w:val="000000" w:themeColor="text1"/>
          <w14:textFill>
            <w14:solidFill>
              <w14:schemeClr w14:val="tx1"/>
            </w14:solidFill>
          </w14:textFill>
        </w:rPr>
      </w:pPr>
      <w:bookmarkStart w:id="78" w:name="_Toc5267"/>
      <w:bookmarkStart w:id="79" w:name="_Toc5295"/>
      <w:bookmarkStart w:id="80" w:name="_Toc15377209"/>
      <w:bookmarkStart w:id="81" w:name="_Toc25224"/>
      <w:bookmarkStart w:id="82" w:name="_Toc15396607"/>
      <w:bookmarkStart w:id="83" w:name="_Toc18087"/>
      <w:r>
        <w:rPr>
          <w:rFonts w:hint="eastAsia" w:ascii="黑体" w:hAnsi="黑体" w:eastAsia="黑体"/>
          <w:color w:val="000000" w:themeColor="text1"/>
          <w:sz w:val="32"/>
          <w:szCs w:val="32"/>
          <w14:textFill>
            <w14:solidFill>
              <w14:schemeClr w14:val="tx1"/>
            </w14:solidFill>
          </w14:textFill>
        </w:rPr>
        <w:t>五、</w:t>
      </w:r>
      <w:r>
        <w:rPr>
          <w:rFonts w:hint="eastAsia" w:ascii="黑体" w:hAnsi="黑体" w:eastAsia="黑体"/>
          <w:b/>
          <w:color w:val="000000" w:themeColor="text1"/>
          <w:sz w:val="32"/>
          <w:szCs w:val="32"/>
          <w14:textFill>
            <w14:solidFill>
              <w14:schemeClr w14:val="tx1"/>
            </w14:solidFill>
          </w14:textFill>
        </w:rPr>
        <w:t>一</w:t>
      </w:r>
      <w:r>
        <w:rPr>
          <w:rStyle w:val="34"/>
          <w:rFonts w:hint="eastAsia" w:ascii="黑体" w:hAnsi="黑体" w:eastAsia="黑体"/>
          <w:b w:val="0"/>
          <w:color w:val="000000" w:themeColor="text1"/>
          <w14:textFill>
            <w14:solidFill>
              <w14:schemeClr w14:val="tx1"/>
            </w14:solidFill>
          </w14:textFill>
        </w:rPr>
        <w:t>般公共预算财政拨款支出决算情况说明</w:t>
      </w:r>
      <w:bookmarkEnd w:id="78"/>
      <w:bookmarkEnd w:id="79"/>
      <w:bookmarkEnd w:id="80"/>
      <w:bookmarkEnd w:id="81"/>
      <w:bookmarkEnd w:id="82"/>
      <w:bookmarkEnd w:id="83"/>
    </w:p>
    <w:p w14:paraId="2C4CCCCF">
      <w:pPr>
        <w:shd w:val="clear"/>
        <w:spacing w:line="600" w:lineRule="exact"/>
        <w:ind w:firstLine="643" w:firstLineChars="200"/>
        <w:outlineLvl w:val="2"/>
        <w:rPr>
          <w:rFonts w:ascii="仿宋" w:hAnsi="仿宋" w:eastAsia="仿宋"/>
          <w:b/>
          <w:color w:val="000000" w:themeColor="text1"/>
          <w:sz w:val="32"/>
          <w:szCs w:val="32"/>
          <w14:textFill>
            <w14:solidFill>
              <w14:schemeClr w14:val="tx1"/>
            </w14:solidFill>
          </w14:textFill>
        </w:rPr>
      </w:pPr>
      <w:bookmarkStart w:id="84" w:name="_Toc15377210"/>
      <w:bookmarkStart w:id="85" w:name="_Toc7905"/>
      <w:bookmarkStart w:id="86" w:name="_Toc24976"/>
      <w:r>
        <w:rPr>
          <w:rFonts w:hint="eastAsia" w:ascii="仿宋" w:hAnsi="仿宋" w:eastAsia="仿宋"/>
          <w:b/>
          <w:color w:val="000000" w:themeColor="text1"/>
          <w:sz w:val="32"/>
          <w:szCs w:val="32"/>
          <w14:textFill>
            <w14:solidFill>
              <w14:schemeClr w14:val="tx1"/>
            </w14:solidFill>
          </w14:textFill>
        </w:rPr>
        <w:t>（一）一般公共预算财政拨款支出决算总体情况</w:t>
      </w:r>
      <w:bookmarkEnd w:id="84"/>
      <w:bookmarkEnd w:id="85"/>
      <w:bookmarkEnd w:id="86"/>
    </w:p>
    <w:p w14:paraId="42440F67">
      <w:pPr>
        <w:spacing w:line="60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eastAsia="zh-CN"/>
        </w:rPr>
        <w:t>3,466.24</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2022</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 xml:space="preserve">支出减少 208.56 </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下降6.02%，</w:t>
      </w:r>
      <w:r>
        <w:rPr>
          <w:rFonts w:hint="eastAsia" w:ascii="仿宋_GB2312" w:hAnsi="仿宋_GB2312" w:eastAsia="仿宋_GB2312" w:cs="仿宋_GB2312"/>
          <w:color w:val="auto"/>
          <w:sz w:val="32"/>
          <w:szCs w:val="32"/>
          <w:highlight w:val="none"/>
          <w:lang w:eastAsia="zh-CN"/>
        </w:rPr>
        <w:t>主要变动原因是就业创业补助项目资金减少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2C2F93D0">
      <w:pPr>
        <w:shd w:val="clear"/>
        <w:ind w:firstLine="420" w:firstLineChars="200"/>
        <w:rPr>
          <w:rFonts w:hint="default" w:eastAsia="仿宋"/>
          <w:color w:val="000000" w:themeColor="text1"/>
          <w:lang w:val="en-US" w:eastAsia="zh-CN"/>
          <w14:textFill>
            <w14:solidFill>
              <w14:schemeClr w14:val="tx1"/>
            </w14:solidFill>
          </w14:textFill>
        </w:rPr>
      </w:pPr>
    </w:p>
    <w:p w14:paraId="09F6EC11">
      <w:pPr>
        <w:shd w:val="clear"/>
        <w:rPr>
          <w:rFonts w:hint="eastAsia" w:eastAsia="仿宋"/>
          <w:color w:val="000000" w:themeColor="text1"/>
          <w:lang w:eastAsia="zh-CN"/>
          <w14:textFill>
            <w14:solidFill>
              <w14:schemeClr w14:val="tx1"/>
            </w14:solidFill>
          </w14:textFill>
        </w:rPr>
      </w:pPr>
    </w:p>
    <w:p w14:paraId="0202F765">
      <w:pPr>
        <w:shd w:val="clear"/>
        <w:ind w:firstLine="420" w:firstLineChars="200"/>
        <w:rPr>
          <w:rFonts w:hint="eastAsia" w:eastAsia="仿宋"/>
          <w:color w:val="000000" w:themeColor="text1"/>
          <w:lang w:eastAsia="zh-CN"/>
          <w14:textFill>
            <w14:solidFill>
              <w14:schemeClr w14:val="tx1"/>
            </w14:solidFill>
          </w14:textFill>
        </w:rPr>
      </w:pPr>
    </w:p>
    <w:p w14:paraId="584FA6E1">
      <w:pPr>
        <w:shd w:val="clear"/>
        <w:ind w:firstLine="640" w:firstLineChars="200"/>
        <w:rPr>
          <w:rFonts w:hint="eastAsia" w:eastAsia="仿宋"/>
          <w:color w:val="000000" w:themeColor="text1"/>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609600</wp:posOffset>
            </wp:positionH>
            <wp:positionV relativeFrom="paragraph">
              <wp:posOffset>102870</wp:posOffset>
            </wp:positionV>
            <wp:extent cx="4254500" cy="2241550"/>
            <wp:effectExtent l="5080" t="4445" r="7620" b="2095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A8D5105">
      <w:pPr>
        <w:shd w:val="clear"/>
        <w:spacing w:line="600" w:lineRule="exact"/>
        <w:ind w:firstLine="420" w:firstLineChars="200"/>
        <w:rPr>
          <w:color w:val="000000" w:themeColor="text1"/>
          <w14:textFill>
            <w14:solidFill>
              <w14:schemeClr w14:val="tx1"/>
            </w14:solidFill>
          </w14:textFill>
        </w:rPr>
      </w:pPr>
    </w:p>
    <w:p w14:paraId="5AAAA71C">
      <w:pPr>
        <w:shd w:val="clear"/>
        <w:ind w:firstLine="420" w:firstLineChars="200"/>
        <w:rPr>
          <w:rFonts w:hint="eastAsia" w:eastAsia="仿宋"/>
          <w:color w:val="000000" w:themeColor="text1"/>
          <w:lang w:eastAsia="zh-CN"/>
          <w14:textFill>
            <w14:solidFill>
              <w14:schemeClr w14:val="tx1"/>
            </w14:solidFill>
          </w14:textFill>
        </w:rPr>
      </w:pPr>
    </w:p>
    <w:p w14:paraId="76E39495">
      <w:pPr>
        <w:shd w:val="clea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48668C00">
      <w:pPr>
        <w:shd w:val="clea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48657563">
      <w:pPr>
        <w:shd w:val="clea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2B9F3265">
      <w:pPr>
        <w:shd w:val="clear"/>
        <w:spacing w:line="600" w:lineRule="exact"/>
        <w:ind w:firstLine="0" w:firstLineChars="0"/>
        <w:rPr>
          <w:rFonts w:hint="eastAsia" w:ascii="仿宋" w:hAnsi="仿宋" w:eastAsia="仿宋"/>
          <w:color w:val="000000" w:themeColor="text1"/>
          <w:sz w:val="32"/>
          <w:szCs w:val="32"/>
          <w14:textFill>
            <w14:solidFill>
              <w14:schemeClr w14:val="tx1"/>
            </w14:solidFill>
          </w14:textFill>
        </w:rPr>
      </w:pPr>
    </w:p>
    <w:p w14:paraId="2608D872">
      <w:pPr>
        <w:shd w:val="clear"/>
        <w:spacing w:line="600" w:lineRule="exact"/>
        <w:ind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（图5：一般公共预算财政拨款支出决算变动情况）（柱状图）</w:t>
      </w:r>
    </w:p>
    <w:p w14:paraId="1A737842">
      <w:pPr>
        <w:shd w:val="clea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69F2A8C7">
      <w:pPr>
        <w:shd w:val="clear"/>
        <w:spacing w:line="600" w:lineRule="exact"/>
        <w:ind w:firstLine="643" w:firstLineChars="200"/>
        <w:outlineLvl w:val="2"/>
        <w:rPr>
          <w:rFonts w:ascii="仿宋" w:hAnsi="仿宋" w:eastAsia="仿宋"/>
          <w:b/>
          <w:color w:val="000000" w:themeColor="text1"/>
          <w:sz w:val="32"/>
          <w:szCs w:val="32"/>
          <w14:textFill>
            <w14:solidFill>
              <w14:schemeClr w14:val="tx1"/>
            </w14:solidFill>
          </w14:textFill>
        </w:rPr>
      </w:pPr>
      <w:bookmarkStart w:id="87" w:name="_Toc2699"/>
      <w:bookmarkStart w:id="88" w:name="_Toc32160"/>
      <w:bookmarkStart w:id="89" w:name="_Toc15377211"/>
      <w:r>
        <w:rPr>
          <w:rFonts w:hint="eastAsia" w:ascii="仿宋" w:hAnsi="仿宋" w:eastAsia="仿宋"/>
          <w:b/>
          <w:color w:val="000000" w:themeColor="text1"/>
          <w:sz w:val="32"/>
          <w:szCs w:val="32"/>
          <w14:textFill>
            <w14:solidFill>
              <w14:schemeClr w14:val="tx1"/>
            </w14:solidFill>
          </w14:textFill>
        </w:rPr>
        <w:t>（二）一般公共预算财政拨款支出决算结构情况</w:t>
      </w:r>
      <w:bookmarkEnd w:id="87"/>
      <w:bookmarkEnd w:id="88"/>
      <w:bookmarkEnd w:id="89"/>
    </w:p>
    <w:p w14:paraId="71D9885E">
      <w:pPr>
        <w:shd w:val="clear"/>
        <w:spacing w:line="600" w:lineRule="exact"/>
        <w:ind w:firstLine="64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年一般公共预算财政拨款支出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3,466.24</w:t>
      </w:r>
      <w:r>
        <w:rPr>
          <w:rFonts w:hint="eastAsia" w:ascii="仿宋_GB2312" w:hAnsi="仿宋_GB2312" w:eastAsia="仿宋_GB2312" w:cs="仿宋_GB2312"/>
          <w:color w:val="000000" w:themeColor="text1"/>
          <w:sz w:val="32"/>
          <w:szCs w:val="32"/>
          <w14:textFill>
            <w14:solidFill>
              <w14:schemeClr w14:val="tx1"/>
            </w14:solidFill>
          </w14:textFill>
        </w:rPr>
        <w:t>万元，主要用于以下方面:</w:t>
      </w:r>
      <w:r>
        <w:rPr>
          <w:rFonts w:hint="eastAsia" w:ascii="仿宋_GB2312" w:hAnsi="仿宋_GB2312" w:eastAsia="仿宋_GB2312" w:cs="仿宋_GB2312"/>
          <w:b/>
          <w:color w:val="auto"/>
          <w:sz w:val="32"/>
          <w:szCs w:val="32"/>
          <w:highlight w:val="none"/>
        </w:rPr>
        <w:t>一般公共服务</w:t>
      </w:r>
      <w:r>
        <w:rPr>
          <w:rFonts w:hint="eastAsia" w:ascii="仿宋_GB2312" w:hAnsi="仿宋_GB2312" w:eastAsia="仿宋_GB2312" w:cs="仿宋_GB2312"/>
          <w:b/>
          <w:bCs/>
          <w:color w:val="auto"/>
          <w:sz w:val="32"/>
          <w:szCs w:val="32"/>
          <w:highlight w:val="none"/>
        </w:rPr>
        <w:t>支出</w:t>
      </w:r>
      <w:r>
        <w:rPr>
          <w:rFonts w:hint="eastAsia" w:ascii="仿宋_GB2312" w:hAnsi="仿宋_GB2312" w:eastAsia="仿宋_GB2312" w:cs="仿宋_GB2312"/>
          <w:b/>
          <w:bCs/>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教育支出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科学技术</w:t>
      </w:r>
      <w:r>
        <w:rPr>
          <w:rFonts w:hint="eastAsia" w:ascii="仿宋_GB2312" w:hAnsi="仿宋_GB2312" w:eastAsia="仿宋_GB2312" w:cs="仿宋_GB2312"/>
          <w:b/>
          <w:bCs/>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文化旅游体育与传媒支出</w:t>
      </w:r>
      <w:r>
        <w:rPr>
          <w:rFonts w:hint="eastAsia" w:ascii="仿宋_GB2312" w:hAnsi="仿宋_GB2312" w:eastAsia="仿宋_GB2312" w:cs="仿宋_GB2312"/>
          <w:b/>
          <w:bCs/>
          <w:color w:val="auto"/>
          <w:sz w:val="32"/>
          <w:szCs w:val="32"/>
          <w:highlight w:val="none"/>
          <w:lang w:val="en-US" w:eastAsia="zh-CN"/>
        </w:rPr>
        <w:t>0</w:t>
      </w:r>
      <w:r>
        <w:rPr>
          <w:rFonts w:hint="eastAsia" w:ascii="仿宋_GB2312" w:hAnsi="仿宋_GB2312" w:eastAsia="仿宋_GB2312" w:cs="仿宋_GB2312"/>
          <w:b/>
          <w:bCs/>
          <w:color w:val="auto"/>
          <w:sz w:val="32"/>
          <w:szCs w:val="32"/>
          <w:highlight w:val="none"/>
        </w:rPr>
        <w:t>万元，占</w:t>
      </w:r>
      <w:r>
        <w:rPr>
          <w:rFonts w:hint="eastAsia" w:ascii="仿宋_GB2312" w:hAnsi="仿宋_GB2312" w:eastAsia="仿宋_GB2312" w:cs="仿宋_GB2312"/>
          <w:b/>
          <w:bCs/>
          <w:color w:val="auto"/>
          <w:sz w:val="32"/>
          <w:szCs w:val="32"/>
          <w:highlight w:val="none"/>
          <w:lang w:val="en-US" w:eastAsia="zh-CN"/>
        </w:rPr>
        <w:t>0</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社会保障和就业</w:t>
      </w:r>
      <w:r>
        <w:rPr>
          <w:rFonts w:hint="eastAsia" w:ascii="仿宋_GB2312" w:hAnsi="仿宋_GB2312" w:eastAsia="仿宋_GB2312" w:cs="仿宋_GB2312"/>
          <w:b/>
          <w:bCs/>
          <w:color w:val="auto"/>
          <w:sz w:val="32"/>
          <w:szCs w:val="32"/>
          <w:highlight w:val="none"/>
        </w:rPr>
        <w:t>支出</w:t>
      </w:r>
      <w:r>
        <w:rPr>
          <w:rFonts w:hint="eastAsia" w:ascii="仿宋_GB2312" w:hAnsi="仿宋_GB2312" w:eastAsia="仿宋_GB2312" w:cs="仿宋_GB2312"/>
          <w:color w:val="auto"/>
          <w:sz w:val="32"/>
          <w:szCs w:val="32"/>
          <w:highlight w:val="none"/>
        </w:rPr>
        <w:t>2,333.66万元，占67.33%；</w:t>
      </w:r>
      <w:r>
        <w:rPr>
          <w:rFonts w:hint="eastAsia" w:ascii="仿宋_GB2312" w:hAnsi="仿宋_GB2312" w:eastAsia="仿宋_GB2312" w:cs="仿宋_GB2312"/>
          <w:b/>
          <w:bCs/>
          <w:color w:val="auto"/>
          <w:sz w:val="32"/>
          <w:szCs w:val="32"/>
          <w:highlight w:val="none"/>
        </w:rPr>
        <w:t>卫生健康支出</w:t>
      </w:r>
      <w:r>
        <w:rPr>
          <w:rFonts w:hint="eastAsia" w:ascii="仿宋_GB2312" w:hAnsi="仿宋_GB2312" w:eastAsia="仿宋_GB2312" w:cs="仿宋_GB2312"/>
          <w:b w:val="0"/>
          <w:bCs w:val="0"/>
          <w:color w:val="auto"/>
          <w:sz w:val="32"/>
          <w:szCs w:val="32"/>
          <w:highlight w:val="none"/>
        </w:rPr>
        <w:t>4.88</w:t>
      </w:r>
      <w:r>
        <w:rPr>
          <w:rFonts w:hint="eastAsia" w:ascii="仿宋_GB2312" w:hAnsi="仿宋_GB2312" w:eastAsia="仿宋_GB2312" w:cs="仿宋_GB2312"/>
          <w:color w:val="auto"/>
          <w:sz w:val="32"/>
          <w:szCs w:val="32"/>
          <w:highlight w:val="none"/>
        </w:rPr>
        <w:t>万元，占0.14%；</w:t>
      </w:r>
      <w:r>
        <w:rPr>
          <w:rFonts w:hint="eastAsia" w:ascii="仿宋_GB2312" w:hAnsi="仿宋_GB2312" w:eastAsia="仿宋_GB2312" w:cs="仿宋_GB2312"/>
          <w:b/>
          <w:bCs/>
          <w:color w:val="auto"/>
          <w:sz w:val="32"/>
          <w:szCs w:val="32"/>
          <w:highlight w:val="none"/>
        </w:rPr>
        <w:t>农林水支出</w:t>
      </w:r>
      <w:r>
        <w:rPr>
          <w:rFonts w:hint="eastAsia" w:ascii="仿宋_GB2312" w:hAnsi="仿宋_GB2312" w:eastAsia="仿宋_GB2312" w:cs="仿宋_GB2312"/>
          <w:color w:val="auto"/>
          <w:sz w:val="32"/>
          <w:szCs w:val="32"/>
          <w:highlight w:val="none"/>
          <w:lang w:val="en-US" w:eastAsia="zh-CN"/>
        </w:rPr>
        <w:t>1,121.75</w:t>
      </w:r>
      <w:r>
        <w:rPr>
          <w:rFonts w:hint="eastAsia" w:ascii="仿宋_GB2312" w:hAnsi="仿宋_GB2312" w:eastAsia="仿宋_GB2312" w:cs="仿宋_GB2312"/>
          <w:color w:val="auto"/>
          <w:sz w:val="32"/>
          <w:szCs w:val="32"/>
          <w:highlight w:val="none"/>
        </w:rPr>
        <w:t>万元，占32.36%；</w:t>
      </w:r>
      <w:r>
        <w:rPr>
          <w:rFonts w:hint="eastAsia" w:ascii="仿宋_GB2312" w:hAnsi="仿宋_GB2312" w:eastAsia="仿宋_GB2312" w:cs="仿宋_GB2312"/>
          <w:b/>
          <w:bCs/>
          <w:color w:val="auto"/>
          <w:sz w:val="32"/>
          <w:szCs w:val="32"/>
          <w:highlight w:val="none"/>
        </w:rPr>
        <w:t>住房保障支出5.95</w:t>
      </w:r>
      <w:r>
        <w:rPr>
          <w:rFonts w:hint="eastAsia" w:ascii="仿宋_GB2312" w:hAnsi="仿宋_GB2312" w:eastAsia="仿宋_GB2312" w:cs="仿宋_GB2312"/>
          <w:color w:val="auto"/>
          <w:sz w:val="32"/>
          <w:szCs w:val="32"/>
          <w:highlight w:val="none"/>
        </w:rPr>
        <w:t>万元，占0.17%</w:t>
      </w:r>
      <w:r>
        <w:rPr>
          <w:rFonts w:hint="eastAsia" w:ascii="仿宋_GB2312" w:hAnsi="仿宋_GB2312" w:eastAsia="仿宋_GB2312" w:cs="仿宋_GB2312"/>
          <w:color w:val="auto"/>
          <w:sz w:val="32"/>
          <w:szCs w:val="32"/>
          <w:highlight w:val="none"/>
          <w:lang w:eastAsia="zh-CN"/>
        </w:rPr>
        <w:t>。</w:t>
      </w:r>
    </w:p>
    <w:p w14:paraId="5C6CCA08">
      <w:pPr>
        <w:shd w:val="clear"/>
        <w:spacing w:line="600" w:lineRule="exact"/>
        <w:ind w:firstLine="640"/>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278130</wp:posOffset>
            </wp:positionH>
            <wp:positionV relativeFrom="paragraph">
              <wp:posOffset>40005</wp:posOffset>
            </wp:positionV>
            <wp:extent cx="5191125" cy="2733040"/>
            <wp:effectExtent l="4445" t="4445" r="5080" b="571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C11F5E7">
      <w:pPr>
        <w:shd w:val="clear"/>
        <w:spacing w:line="600" w:lineRule="exact"/>
        <w:ind w:firstLine="640"/>
        <w:rPr>
          <w:rFonts w:ascii="仿宋" w:hAnsi="仿宋" w:eastAsia="仿宋"/>
          <w:b/>
          <w:color w:val="000000" w:themeColor="text1"/>
          <w:sz w:val="32"/>
          <w:szCs w:val="32"/>
          <w14:textFill>
            <w14:solidFill>
              <w14:schemeClr w14:val="tx1"/>
            </w14:solidFill>
          </w14:textFill>
        </w:rPr>
      </w:pPr>
    </w:p>
    <w:p w14:paraId="013093F3">
      <w:pPr>
        <w:shd w:val="clear"/>
        <w:spacing w:line="600" w:lineRule="exact"/>
        <w:ind w:firstLine="640"/>
        <w:rPr>
          <w:rFonts w:ascii="仿宋" w:hAnsi="仿宋" w:eastAsia="仿宋"/>
          <w:b/>
          <w:color w:val="000000" w:themeColor="text1"/>
          <w:sz w:val="32"/>
          <w:szCs w:val="32"/>
          <w14:textFill>
            <w14:solidFill>
              <w14:schemeClr w14:val="tx1"/>
            </w14:solidFill>
          </w14:textFill>
        </w:rPr>
      </w:pPr>
    </w:p>
    <w:p w14:paraId="0F5014A4">
      <w:pPr>
        <w:shd w:val="clear"/>
        <w:spacing w:line="600" w:lineRule="exact"/>
        <w:ind w:firstLine="640"/>
        <w:rPr>
          <w:rFonts w:ascii="仿宋" w:hAnsi="仿宋" w:eastAsia="仿宋"/>
          <w:b/>
          <w:color w:val="000000" w:themeColor="text1"/>
          <w:sz w:val="32"/>
          <w:szCs w:val="32"/>
          <w14:textFill>
            <w14:solidFill>
              <w14:schemeClr w14:val="tx1"/>
            </w14:solidFill>
          </w14:textFill>
        </w:rPr>
      </w:pPr>
    </w:p>
    <w:p w14:paraId="44A0FA9D">
      <w:pPr>
        <w:shd w:val="clear"/>
        <w:spacing w:line="600" w:lineRule="exact"/>
        <w:ind w:firstLine="0"/>
        <w:rPr>
          <w:rFonts w:ascii="仿宋" w:hAnsi="仿宋" w:eastAsia="仿宋"/>
          <w:b/>
          <w:color w:val="000000" w:themeColor="text1"/>
          <w:sz w:val="32"/>
          <w:szCs w:val="32"/>
          <w14:textFill>
            <w14:solidFill>
              <w14:schemeClr w14:val="tx1"/>
            </w14:solidFill>
          </w14:textFill>
        </w:rPr>
      </w:pPr>
    </w:p>
    <w:p w14:paraId="5DFEDFA7">
      <w:pPr>
        <w:shd w:val="clear"/>
        <w:spacing w:line="600" w:lineRule="exact"/>
        <w:rPr>
          <w:rFonts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：一般公共预算财政拨款支出决算结构）（饼状图）</w:t>
      </w:r>
    </w:p>
    <w:p w14:paraId="439000A4">
      <w:pPr>
        <w:shd w:val="clear"/>
        <w:spacing w:line="600" w:lineRule="exact"/>
        <w:ind w:firstLine="0" w:firstLineChars="0"/>
        <w:outlineLvl w:val="9"/>
        <w:rPr>
          <w:rFonts w:hint="eastAsia" w:ascii="仿宋" w:hAnsi="仿宋" w:eastAsia="仿宋"/>
          <w:b/>
          <w:color w:val="000000" w:themeColor="text1"/>
          <w:sz w:val="32"/>
          <w:szCs w:val="32"/>
          <w14:textFill>
            <w14:solidFill>
              <w14:schemeClr w14:val="tx1"/>
            </w14:solidFill>
          </w14:textFill>
        </w:rPr>
      </w:pPr>
      <w:bookmarkStart w:id="90" w:name="_Toc20911"/>
      <w:bookmarkStart w:id="91" w:name="_Toc15377212"/>
      <w:bookmarkStart w:id="92" w:name="_Toc17996"/>
    </w:p>
    <w:p w14:paraId="3D564190">
      <w:pPr>
        <w:shd w:val="clear"/>
        <w:spacing w:line="600" w:lineRule="exact"/>
        <w:ind w:firstLine="643" w:firstLineChars="200"/>
        <w:outlineLvl w:val="2"/>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（三）一般公共预算财政拨款支出决算具体情况</w:t>
      </w:r>
      <w:bookmarkEnd w:id="90"/>
      <w:bookmarkEnd w:id="91"/>
      <w:bookmarkEnd w:id="92"/>
    </w:p>
    <w:p w14:paraId="3D2FAC4C">
      <w:pPr>
        <w:spacing w:line="600" w:lineRule="exact"/>
        <w:ind w:firstLine="643" w:firstLineChars="200"/>
        <w:outlineLvl w:val="9"/>
        <w:rPr>
          <w:rFonts w:hint="eastAsia" w:ascii="仿宋_GB2312" w:hAnsi="仿宋_GB2312" w:eastAsia="仿宋_GB2312" w:cs="仿宋_GB2312"/>
        </w:rPr>
      </w:pPr>
      <w:bookmarkStart w:id="93" w:name="_Toc11262"/>
      <w:bookmarkStart w:id="94" w:name="_Toc23135"/>
      <w:bookmarkStart w:id="95" w:name="_Toc15378460"/>
      <w:bookmarkStart w:id="96" w:name="_Toc15377213"/>
      <w:bookmarkStart w:id="97" w:name="_Toc8246"/>
      <w:bookmarkStart w:id="98" w:name="_Toc15805"/>
      <w:bookmarkStart w:id="99" w:name="_Toc26826"/>
      <w:bookmarkStart w:id="100" w:name="_Toc15377444"/>
      <w:r>
        <w:rPr>
          <w:rFonts w:hint="eastAsia" w:ascii="仿宋_GB2312" w:hAnsi="仿宋_GB2312" w:eastAsia="仿宋_GB2312" w:cs="仿宋_GB2312"/>
          <w:b/>
          <w:color w:val="000000" w:themeColor="text1"/>
          <w:sz w:val="32"/>
          <w:szCs w:val="32"/>
          <w:lang w:eastAsia="zh-CN"/>
          <w14:textFill>
            <w14:solidFill>
              <w14:schemeClr w14:val="tx1"/>
            </w14:solidFill>
          </w14:textFill>
        </w:rPr>
        <w:t>2023</w:t>
      </w:r>
      <w:r>
        <w:rPr>
          <w:rFonts w:hint="eastAsia" w:ascii="仿宋_GB2312" w:hAnsi="仿宋_GB2312" w:eastAsia="仿宋_GB2312" w:cs="仿宋_GB2312"/>
          <w:b/>
          <w:color w:val="000000" w:themeColor="text1"/>
          <w:sz w:val="32"/>
          <w:szCs w:val="32"/>
          <w14:textFill>
            <w14:solidFill>
              <w14:schemeClr w14:val="tx1"/>
            </w14:solidFill>
          </w14:textFill>
        </w:rPr>
        <w:t>年一般公共预算支出决算数为</w:t>
      </w:r>
      <w:r>
        <w:rPr>
          <w:rFonts w:hint="eastAsia" w:ascii="仿宋_GB2312" w:hAnsi="仿宋_GB2312" w:eastAsia="仿宋_GB2312" w:cs="仿宋_GB2312"/>
          <w:b/>
          <w:color w:val="000000" w:themeColor="text1"/>
          <w:sz w:val="32"/>
          <w:szCs w:val="32"/>
          <w:lang w:eastAsia="zh-CN"/>
          <w14:textFill>
            <w14:solidFill>
              <w14:schemeClr w14:val="tx1"/>
            </w14:solidFill>
          </w14:textFill>
        </w:rPr>
        <w:t>3,466.24</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21"/>
          <w:rFonts w:hint="eastAsia" w:ascii="仿宋_GB2312" w:hAnsi="仿宋_GB2312" w:eastAsia="仿宋_GB2312" w:cs="仿宋_GB2312"/>
          <w:bCs/>
          <w:color w:val="000000" w:themeColor="text1"/>
          <w:sz w:val="32"/>
          <w:szCs w:val="32"/>
          <w14:textFill>
            <w14:solidFill>
              <w14:schemeClr w14:val="tx1"/>
            </w14:solidFill>
          </w14:textFill>
        </w:rPr>
        <w:t>完成预算</w:t>
      </w: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100</w:t>
      </w:r>
      <w:r>
        <w:rPr>
          <w:rStyle w:val="21"/>
          <w:rFonts w:hint="eastAsia" w:ascii="仿宋_GB2312" w:hAnsi="仿宋_GB2312" w:eastAsia="仿宋_GB2312" w:cs="仿宋_GB2312"/>
          <w:bCs/>
          <w:color w:val="000000" w:themeColor="text1"/>
          <w:sz w:val="32"/>
          <w:szCs w:val="32"/>
          <w14:textFill>
            <w14:solidFill>
              <w14:schemeClr w14:val="tx1"/>
            </w14:solidFill>
          </w14:textFill>
        </w:rPr>
        <w:t>%。其中：</w:t>
      </w:r>
      <w:bookmarkEnd w:id="93"/>
      <w:bookmarkEnd w:id="94"/>
      <w:bookmarkEnd w:id="95"/>
      <w:bookmarkEnd w:id="96"/>
      <w:bookmarkEnd w:id="97"/>
      <w:bookmarkEnd w:id="98"/>
      <w:bookmarkEnd w:id="99"/>
      <w:bookmarkEnd w:id="100"/>
    </w:p>
    <w:p w14:paraId="53482E1B">
      <w:pPr>
        <w:numPr>
          <w:ilvl w:val="0"/>
          <w:numId w:val="0"/>
        </w:numPr>
        <w:shd w:val="clear"/>
        <w:spacing w:line="600" w:lineRule="exact"/>
        <w:ind w:firstLine="640" w:firstLineChars="200"/>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1.</w:t>
      </w:r>
      <w:r>
        <w:rPr>
          <w:rStyle w:val="21"/>
          <w:rFonts w:hint="eastAsia" w:ascii="仿宋_GB2312" w:hAnsi="仿宋_GB2312" w:eastAsia="仿宋_GB2312" w:cs="仿宋_GB2312"/>
          <w:bCs/>
          <w:color w:val="000000" w:themeColor="text1"/>
          <w:sz w:val="32"/>
          <w:szCs w:val="32"/>
          <w14:textFill>
            <w14:solidFill>
              <w14:schemeClr w14:val="tx1"/>
            </w14:solidFill>
          </w14:textFill>
        </w:rPr>
        <w:t>社会保障和就业（类）</w:t>
      </w:r>
      <w:r>
        <w:rPr>
          <w:rStyle w:val="21"/>
          <w:rFonts w:hint="eastAsia" w:ascii="仿宋_GB2312" w:hAnsi="仿宋_GB2312" w:eastAsia="仿宋_GB2312" w:cs="仿宋_GB2312"/>
          <w:bCs/>
          <w:color w:val="000000" w:themeColor="text1"/>
          <w:sz w:val="32"/>
          <w:szCs w:val="32"/>
          <w:lang w:eastAsia="zh-CN"/>
          <w14:textFill>
            <w14:solidFill>
              <w14:schemeClr w14:val="tx1"/>
            </w14:solidFill>
          </w14:textFill>
        </w:rPr>
        <w:t>人力资源和社会保障管理事务</w:t>
      </w:r>
      <w:r>
        <w:rPr>
          <w:rStyle w:val="21"/>
          <w:rFonts w:hint="eastAsia" w:ascii="仿宋_GB2312" w:hAnsi="仿宋_GB2312" w:eastAsia="仿宋_GB2312" w:cs="仿宋_GB2312"/>
          <w:bCs/>
          <w:color w:val="000000" w:themeColor="text1"/>
          <w:sz w:val="32"/>
          <w:szCs w:val="32"/>
          <w14:textFill>
            <w14:solidFill>
              <w14:schemeClr w14:val="tx1"/>
            </w14:solidFill>
          </w14:textFill>
        </w:rPr>
        <w:t>（款）</w:t>
      </w:r>
      <w:r>
        <w:rPr>
          <w:rStyle w:val="21"/>
          <w:rFonts w:hint="eastAsia" w:ascii="仿宋_GB2312" w:hAnsi="仿宋_GB2312" w:eastAsia="仿宋_GB2312" w:cs="仿宋_GB2312"/>
          <w:bCs/>
          <w:color w:val="000000" w:themeColor="text1"/>
          <w:sz w:val="32"/>
          <w:szCs w:val="32"/>
          <w:lang w:eastAsia="zh-CN"/>
          <w14:textFill>
            <w14:solidFill>
              <w14:schemeClr w14:val="tx1"/>
            </w14:solidFill>
          </w14:textFill>
        </w:rPr>
        <w:t>就业管理事务</w:t>
      </w:r>
      <w:r>
        <w:rPr>
          <w:rStyle w:val="21"/>
          <w:rFonts w:hint="eastAsia" w:ascii="仿宋_GB2312" w:hAnsi="仿宋_GB2312" w:eastAsia="仿宋_GB2312" w:cs="仿宋_GB2312"/>
          <w:bCs/>
          <w:color w:val="000000" w:themeColor="text1"/>
          <w:sz w:val="32"/>
          <w:szCs w:val="32"/>
          <w14:textFill>
            <w14:solidFill>
              <w14:schemeClr w14:val="tx1"/>
            </w14:solidFill>
          </w14:textFill>
        </w:rPr>
        <w:t>（项）</w:t>
      </w:r>
      <w:r>
        <w:rPr>
          <w:rStyle w:val="21"/>
          <w:rFonts w:ascii="仿宋" w:hAnsi="仿宋" w:eastAsia="仿宋"/>
          <w:bCs/>
          <w:color w:val="000000" w:themeColor="text1"/>
          <w:sz w:val="32"/>
          <w:szCs w:val="32"/>
          <w14:textFill>
            <w14:solidFill>
              <w14:schemeClr w14:val="tx1"/>
            </w14:solidFill>
          </w14:textFill>
        </w:rPr>
        <w:t>:</w:t>
      </w:r>
      <w:r>
        <w:rPr>
          <w:rStyle w:val="21"/>
          <w:rFonts w:ascii="仿宋" w:hAnsi="仿宋" w:eastAsia="仿宋"/>
          <w:b w:val="0"/>
          <w:bCs/>
          <w:color w:val="000000" w:themeColor="text1"/>
          <w:sz w:val="32"/>
          <w:szCs w:val="32"/>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支出决算为12万元，完成预算100%</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决算数等于预算数。</w:t>
      </w:r>
    </w:p>
    <w:p w14:paraId="51834415">
      <w:pPr>
        <w:numPr>
          <w:ilvl w:val="0"/>
          <w:numId w:val="0"/>
        </w:numPr>
        <w:shd w:val="clear"/>
        <w:spacing w:line="600" w:lineRule="exact"/>
        <w:ind w:firstLine="640" w:firstLineChars="200"/>
        <w:rPr>
          <w:rStyle w:val="21"/>
          <w:rFonts w:ascii="仿宋" w:hAnsi="仿宋" w:eastAsia="仿宋"/>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2.</w:t>
      </w:r>
      <w:r>
        <w:rPr>
          <w:rStyle w:val="21"/>
          <w:rFonts w:hint="eastAsia" w:ascii="仿宋_GB2312" w:hAnsi="仿宋_GB2312" w:eastAsia="仿宋_GB2312" w:cs="仿宋_GB2312"/>
          <w:bCs/>
          <w:color w:val="000000" w:themeColor="text1"/>
          <w:sz w:val="32"/>
          <w:szCs w:val="32"/>
          <w14:textFill>
            <w14:solidFill>
              <w14:schemeClr w14:val="tx1"/>
            </w14:solidFill>
          </w14:textFill>
        </w:rPr>
        <w:t>社会保障和就业（类）</w:t>
      </w:r>
      <w:r>
        <w:rPr>
          <w:rStyle w:val="21"/>
          <w:rFonts w:hint="eastAsia" w:ascii="仿宋_GB2312" w:hAnsi="仿宋_GB2312" w:eastAsia="仿宋_GB2312" w:cs="仿宋_GB2312"/>
          <w:bCs/>
          <w:color w:val="000000" w:themeColor="text1"/>
          <w:sz w:val="32"/>
          <w:szCs w:val="32"/>
          <w:lang w:eastAsia="zh-CN"/>
          <w14:textFill>
            <w14:solidFill>
              <w14:schemeClr w14:val="tx1"/>
            </w14:solidFill>
          </w14:textFill>
        </w:rPr>
        <w:t>人力资源和社会保障管理事务</w:t>
      </w:r>
      <w:r>
        <w:rPr>
          <w:rStyle w:val="21"/>
          <w:rFonts w:hint="eastAsia" w:ascii="仿宋_GB2312" w:hAnsi="仿宋_GB2312" w:eastAsia="仿宋_GB2312" w:cs="仿宋_GB2312"/>
          <w:bCs/>
          <w:color w:val="000000" w:themeColor="text1"/>
          <w:sz w:val="32"/>
          <w:szCs w:val="32"/>
          <w14:textFill>
            <w14:solidFill>
              <w14:schemeClr w14:val="tx1"/>
            </w14:solidFill>
          </w14:textFill>
        </w:rPr>
        <w:t>（款）</w:t>
      </w:r>
      <w:r>
        <w:rPr>
          <w:rStyle w:val="21"/>
          <w:rFonts w:hint="eastAsia" w:ascii="仿宋_GB2312" w:hAnsi="仿宋_GB2312" w:eastAsia="仿宋_GB2312" w:cs="仿宋_GB2312"/>
          <w:bCs/>
          <w:color w:val="000000" w:themeColor="text1"/>
          <w:sz w:val="32"/>
          <w:szCs w:val="32"/>
          <w:lang w:eastAsia="zh-CN"/>
          <w14:textFill>
            <w14:solidFill>
              <w14:schemeClr w14:val="tx1"/>
            </w14:solidFill>
          </w14:textFill>
        </w:rPr>
        <w:t>社会保险经办机构</w:t>
      </w:r>
      <w:r>
        <w:rPr>
          <w:rStyle w:val="21"/>
          <w:rFonts w:hint="eastAsia" w:ascii="仿宋_GB2312" w:hAnsi="仿宋_GB2312" w:eastAsia="仿宋_GB2312" w:cs="仿宋_GB2312"/>
          <w:bCs/>
          <w:color w:val="000000" w:themeColor="text1"/>
          <w:sz w:val="32"/>
          <w:szCs w:val="32"/>
          <w14:textFill>
            <w14:solidFill>
              <w14:schemeClr w14:val="tx1"/>
            </w14:solidFill>
          </w14:textFill>
        </w:rPr>
        <w:t>（项）</w:t>
      </w:r>
      <w:r>
        <w:rPr>
          <w:rStyle w:val="21"/>
          <w:rFonts w:ascii="仿宋" w:hAnsi="仿宋" w:eastAsia="仿宋"/>
          <w:bCs/>
          <w:color w:val="000000" w:themeColor="text1"/>
          <w:sz w:val="32"/>
          <w:szCs w:val="32"/>
          <w14:textFill>
            <w14:solidFill>
              <w14:schemeClr w14:val="tx1"/>
            </w14:solidFill>
          </w14:textFill>
        </w:rPr>
        <w:t>:</w:t>
      </w:r>
      <w:r>
        <w:rPr>
          <w:rStyle w:val="21"/>
          <w:rFonts w:ascii="仿宋" w:hAnsi="仿宋" w:eastAsia="仿宋"/>
          <w:b w:val="0"/>
          <w:bCs/>
          <w:color w:val="000000" w:themeColor="text1"/>
          <w:sz w:val="32"/>
          <w:szCs w:val="32"/>
          <w14:textFill>
            <w14:solidFill>
              <w14:schemeClr w14:val="tx1"/>
            </w14:solidFill>
          </w14:textFill>
        </w:rPr>
        <w:t xml:space="preserve"> </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支出决算为95.66万元，完成预算</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决算数等于预算数。</w:t>
      </w:r>
    </w:p>
    <w:p w14:paraId="41E037DC">
      <w:pPr>
        <w:numPr>
          <w:ilvl w:val="0"/>
          <w:numId w:val="0"/>
        </w:numPr>
        <w:shd w:val="clear"/>
        <w:spacing w:line="600" w:lineRule="exact"/>
        <w:ind w:firstLine="640" w:firstLineChars="200"/>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3.</w:t>
      </w:r>
      <w:r>
        <w:rPr>
          <w:rStyle w:val="21"/>
          <w:rFonts w:hint="eastAsia" w:ascii="仿宋_GB2312" w:hAnsi="仿宋_GB2312" w:eastAsia="仿宋_GB2312" w:cs="仿宋_GB2312"/>
          <w:b/>
          <w:bCs/>
          <w:color w:val="000000" w:themeColor="text1"/>
          <w:sz w:val="32"/>
          <w:szCs w:val="32"/>
          <w14:textFill>
            <w14:solidFill>
              <w14:schemeClr w14:val="tx1"/>
            </w14:solidFill>
          </w14:textFill>
        </w:rPr>
        <w:t>社会保障和就业支出（类）行政事业单位</w:t>
      </w:r>
      <w:r>
        <w:rPr>
          <w:rStyle w:val="21"/>
          <w:rFonts w:hint="eastAsia" w:ascii="仿宋_GB2312" w:hAnsi="仿宋_GB2312" w:eastAsia="仿宋_GB2312" w:cs="仿宋_GB2312"/>
          <w:b/>
          <w:bCs/>
          <w:color w:val="000000" w:themeColor="text1"/>
          <w:sz w:val="32"/>
          <w:szCs w:val="32"/>
          <w:lang w:eastAsia="zh-CN"/>
          <w14:textFill>
            <w14:solidFill>
              <w14:schemeClr w14:val="tx1"/>
            </w14:solidFill>
          </w14:textFill>
        </w:rPr>
        <w:t>养老支出</w:t>
      </w:r>
      <w:r>
        <w:rPr>
          <w:rStyle w:val="21"/>
          <w:rFonts w:hint="eastAsia" w:ascii="仿宋_GB2312" w:hAnsi="仿宋_GB2312" w:eastAsia="仿宋_GB2312" w:cs="仿宋_GB2312"/>
          <w:b/>
          <w:bCs/>
          <w:color w:val="000000" w:themeColor="text1"/>
          <w:sz w:val="32"/>
          <w:szCs w:val="32"/>
          <w14:textFill>
            <w14:solidFill>
              <w14:schemeClr w14:val="tx1"/>
            </w14:solidFill>
          </w14:textFill>
        </w:rPr>
        <w:t>（款） 行政单位离退休（项）</w:t>
      </w:r>
      <w:r>
        <w:rPr>
          <w:rStyle w:val="21"/>
          <w:rFonts w:ascii="仿宋" w:hAnsi="仿宋" w:eastAsia="仿宋"/>
          <w:b/>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支出决算为11.92万元，完成预算100%</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决算数等于预算数。</w:t>
      </w:r>
    </w:p>
    <w:p w14:paraId="6BE891A1">
      <w:pPr>
        <w:numPr>
          <w:ilvl w:val="0"/>
          <w:numId w:val="0"/>
        </w:numPr>
        <w:shd w:val="clear"/>
        <w:spacing w:line="600" w:lineRule="exact"/>
        <w:ind w:firstLine="640" w:firstLineChars="200"/>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4.</w:t>
      </w:r>
      <w:r>
        <w:rPr>
          <w:rStyle w:val="21"/>
          <w:rFonts w:hint="eastAsia" w:ascii="仿宋_GB2312" w:hAnsi="仿宋_GB2312" w:eastAsia="仿宋_GB2312" w:cs="仿宋_GB2312"/>
          <w:b/>
          <w:bCs/>
          <w:color w:val="000000" w:themeColor="text1"/>
          <w:sz w:val="32"/>
          <w:szCs w:val="32"/>
          <w14:textFill>
            <w14:solidFill>
              <w14:schemeClr w14:val="tx1"/>
            </w14:solidFill>
          </w14:textFill>
        </w:rPr>
        <w:t>社会保障和就业支出（类）行政事业单位</w:t>
      </w:r>
      <w:r>
        <w:rPr>
          <w:rStyle w:val="21"/>
          <w:rFonts w:hint="eastAsia" w:ascii="仿宋_GB2312" w:hAnsi="仿宋_GB2312" w:eastAsia="仿宋_GB2312" w:cs="仿宋_GB2312"/>
          <w:b/>
          <w:bCs/>
          <w:color w:val="000000" w:themeColor="text1"/>
          <w:sz w:val="32"/>
          <w:szCs w:val="32"/>
          <w:lang w:eastAsia="zh-CN"/>
          <w14:textFill>
            <w14:solidFill>
              <w14:schemeClr w14:val="tx1"/>
            </w14:solidFill>
          </w14:textFill>
        </w:rPr>
        <w:t>养老支出</w:t>
      </w:r>
      <w:r>
        <w:rPr>
          <w:rStyle w:val="21"/>
          <w:rFonts w:hint="eastAsia" w:ascii="仿宋_GB2312" w:hAnsi="仿宋_GB2312" w:eastAsia="仿宋_GB2312" w:cs="仿宋_GB2312"/>
          <w:b/>
          <w:bCs/>
          <w:color w:val="000000" w:themeColor="text1"/>
          <w:sz w:val="32"/>
          <w:szCs w:val="32"/>
          <w14:textFill>
            <w14:solidFill>
              <w14:schemeClr w14:val="tx1"/>
            </w14:solidFill>
          </w14:textFill>
        </w:rPr>
        <w:t>（款） 机关事业单位基本养老保险缴费支出（项）:</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支出决算为6.96万元，完成预算100%</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决算数等于预算数。</w:t>
      </w:r>
    </w:p>
    <w:p w14:paraId="604C7D7F">
      <w:pPr>
        <w:numPr>
          <w:ilvl w:val="0"/>
          <w:numId w:val="0"/>
        </w:numPr>
        <w:shd w:val="clear"/>
        <w:spacing w:line="600" w:lineRule="exact"/>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5.</w:t>
      </w: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社</w:t>
      </w:r>
      <w:r>
        <w:rPr>
          <w:rStyle w:val="21"/>
          <w:rFonts w:hint="eastAsia" w:ascii="仿宋_GB2312" w:hAnsi="仿宋_GB2312" w:eastAsia="仿宋_GB2312" w:cs="仿宋_GB2312"/>
          <w:bCs/>
          <w:color w:val="000000" w:themeColor="text1"/>
          <w:sz w:val="32"/>
          <w:szCs w:val="32"/>
          <w14:textFill>
            <w14:solidFill>
              <w14:schemeClr w14:val="tx1"/>
            </w14:solidFill>
          </w14:textFill>
        </w:rPr>
        <w:t>会保障和就业（类）</w:t>
      </w:r>
      <w:r>
        <w:rPr>
          <w:rStyle w:val="21"/>
          <w:rFonts w:hint="eastAsia" w:ascii="仿宋_GB2312" w:hAnsi="仿宋_GB2312" w:eastAsia="仿宋_GB2312" w:cs="仿宋_GB2312"/>
          <w:bCs/>
          <w:color w:val="000000" w:themeColor="text1"/>
          <w:sz w:val="32"/>
          <w:szCs w:val="32"/>
          <w:lang w:eastAsia="zh-CN"/>
          <w14:textFill>
            <w14:solidFill>
              <w14:schemeClr w14:val="tx1"/>
            </w14:solidFill>
          </w14:textFill>
        </w:rPr>
        <w:t>就业补助</w:t>
      </w:r>
      <w:r>
        <w:rPr>
          <w:rStyle w:val="21"/>
          <w:rFonts w:hint="eastAsia" w:ascii="仿宋_GB2312" w:hAnsi="仿宋_GB2312" w:eastAsia="仿宋_GB2312" w:cs="仿宋_GB2312"/>
          <w:bCs/>
          <w:color w:val="000000" w:themeColor="text1"/>
          <w:sz w:val="32"/>
          <w:szCs w:val="32"/>
          <w14:textFill>
            <w14:solidFill>
              <w14:schemeClr w14:val="tx1"/>
            </w14:solidFill>
          </w14:textFill>
        </w:rPr>
        <w:t>（款）其他就业补助支出（项）</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支出决算为2,207.04万元，完成预算100%</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决算数等于预算数。</w:t>
      </w:r>
    </w:p>
    <w:p w14:paraId="45A37315">
      <w:pPr>
        <w:numPr>
          <w:ilvl w:val="0"/>
          <w:numId w:val="0"/>
        </w:numPr>
        <w:shd w:val="clear"/>
        <w:spacing w:line="600" w:lineRule="exact"/>
        <w:ind w:firstLine="64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6.</w:t>
      </w:r>
      <w:r>
        <w:rPr>
          <w:rStyle w:val="21"/>
          <w:rFonts w:hint="eastAsia" w:ascii="仿宋_GB2312" w:hAnsi="仿宋_GB2312" w:eastAsia="仿宋_GB2312" w:cs="仿宋_GB2312"/>
          <w:bCs/>
          <w:color w:val="000000" w:themeColor="text1"/>
          <w:sz w:val="32"/>
          <w:szCs w:val="32"/>
          <w14:textFill>
            <w14:solidFill>
              <w14:schemeClr w14:val="tx1"/>
            </w14:solidFill>
          </w14:textFill>
        </w:rPr>
        <w:t>社会保障和就业（类）</w:t>
      </w:r>
      <w:r>
        <w:rPr>
          <w:rStyle w:val="21"/>
          <w:rFonts w:hint="eastAsia" w:ascii="仿宋_GB2312" w:hAnsi="仿宋_GB2312" w:eastAsia="仿宋_GB2312" w:cs="仿宋_GB2312"/>
          <w:bCs/>
          <w:color w:val="000000" w:themeColor="text1"/>
          <w:sz w:val="32"/>
          <w:szCs w:val="32"/>
          <w:lang w:eastAsia="zh-CN"/>
          <w14:textFill>
            <w14:solidFill>
              <w14:schemeClr w14:val="tx1"/>
            </w14:solidFill>
          </w14:textFill>
        </w:rPr>
        <w:t>人力资源和社会保障管理事务</w:t>
      </w:r>
      <w:r>
        <w:rPr>
          <w:rStyle w:val="21"/>
          <w:rFonts w:hint="eastAsia" w:ascii="仿宋_GB2312" w:hAnsi="仿宋_GB2312" w:eastAsia="仿宋_GB2312" w:cs="仿宋_GB2312"/>
          <w:bCs/>
          <w:color w:val="000000" w:themeColor="text1"/>
          <w:sz w:val="32"/>
          <w:szCs w:val="32"/>
          <w14:textFill>
            <w14:solidFill>
              <w14:schemeClr w14:val="tx1"/>
            </w14:solidFill>
          </w14:textFill>
        </w:rPr>
        <w:t>（款）</w:t>
      </w:r>
      <w:r>
        <w:rPr>
          <w:rStyle w:val="21"/>
          <w:rFonts w:hint="eastAsia" w:ascii="仿宋_GB2312" w:hAnsi="仿宋_GB2312" w:eastAsia="仿宋_GB2312" w:cs="仿宋_GB2312"/>
          <w:bCs/>
          <w:color w:val="000000" w:themeColor="text1"/>
          <w:sz w:val="32"/>
          <w:szCs w:val="32"/>
          <w:lang w:eastAsia="zh-CN"/>
          <w14:textFill>
            <w14:solidFill>
              <w14:schemeClr w14:val="tx1"/>
            </w14:solidFill>
          </w14:textFill>
        </w:rPr>
        <w:t>其他人力资源和社会保障管理事务</w:t>
      </w:r>
      <w:r>
        <w:rPr>
          <w:rStyle w:val="21"/>
          <w:rFonts w:hint="eastAsia" w:ascii="仿宋_GB2312" w:hAnsi="仿宋_GB2312" w:eastAsia="仿宋_GB2312" w:cs="仿宋_GB2312"/>
          <w:bCs/>
          <w:color w:val="000000" w:themeColor="text1"/>
          <w:sz w:val="32"/>
          <w:szCs w:val="32"/>
          <w14:textFill>
            <w14:solidFill>
              <w14:schemeClr w14:val="tx1"/>
            </w14:solidFill>
          </w14:textFill>
        </w:rPr>
        <w:t>（项）:</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 xml:space="preserve"> 支出决算为0.07万元，完成预算</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决算数等于预算数。</w:t>
      </w:r>
    </w:p>
    <w:p w14:paraId="6791FAB0">
      <w:pPr>
        <w:numPr>
          <w:ilvl w:val="0"/>
          <w:numId w:val="0"/>
        </w:numPr>
        <w:shd w:val="clear"/>
        <w:spacing w:line="600" w:lineRule="exact"/>
        <w:ind w:firstLine="640" w:firstLineChars="200"/>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7.</w:t>
      </w:r>
      <w:r>
        <w:rPr>
          <w:rStyle w:val="21"/>
          <w:rFonts w:hint="eastAsia" w:ascii="仿宋_GB2312" w:hAnsi="仿宋_GB2312" w:eastAsia="仿宋_GB2312" w:cs="仿宋_GB2312"/>
          <w:bCs/>
          <w:color w:val="000000" w:themeColor="text1"/>
          <w:sz w:val="32"/>
          <w:szCs w:val="32"/>
          <w14:textFill>
            <w14:solidFill>
              <w14:schemeClr w14:val="tx1"/>
            </w14:solidFill>
          </w14:textFill>
        </w:rPr>
        <w:t>卫生健康支出（类）行政事业单位医疗（款）行政单位医疗（项）:</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支出决算为3.37万元，完成预算100%</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决算数等于预算数。</w:t>
      </w:r>
    </w:p>
    <w:p w14:paraId="47490588">
      <w:pPr>
        <w:numPr>
          <w:ilvl w:val="0"/>
          <w:numId w:val="0"/>
        </w:numPr>
        <w:shd w:val="clear"/>
        <w:spacing w:line="600" w:lineRule="exact"/>
        <w:ind w:firstLine="643" w:firstLineChars="200"/>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8.</w:t>
      </w:r>
      <w:r>
        <w:rPr>
          <w:rStyle w:val="21"/>
          <w:rFonts w:hint="eastAsia" w:ascii="仿宋_GB2312" w:hAnsi="仿宋_GB2312" w:eastAsia="仿宋_GB2312" w:cs="仿宋_GB2312"/>
          <w:bCs/>
          <w:color w:val="000000" w:themeColor="text1"/>
          <w:sz w:val="32"/>
          <w:szCs w:val="32"/>
          <w14:textFill>
            <w14:solidFill>
              <w14:schemeClr w14:val="tx1"/>
            </w14:solidFill>
          </w14:textFill>
        </w:rPr>
        <w:t>卫生健康支出（类）行政事业单位医疗（款）</w:t>
      </w:r>
      <w:r>
        <w:rPr>
          <w:rStyle w:val="21"/>
          <w:rFonts w:hint="eastAsia" w:ascii="仿宋_GB2312" w:hAnsi="仿宋_GB2312" w:eastAsia="仿宋_GB2312" w:cs="仿宋_GB2312"/>
          <w:bCs/>
          <w:color w:val="000000" w:themeColor="text1"/>
          <w:sz w:val="32"/>
          <w:szCs w:val="32"/>
          <w:lang w:eastAsia="zh-CN"/>
          <w14:textFill>
            <w14:solidFill>
              <w14:schemeClr w14:val="tx1"/>
            </w14:solidFill>
          </w14:textFill>
        </w:rPr>
        <w:t>事业</w:t>
      </w:r>
      <w:r>
        <w:rPr>
          <w:rStyle w:val="21"/>
          <w:rFonts w:hint="eastAsia" w:ascii="仿宋_GB2312" w:hAnsi="仿宋_GB2312" w:eastAsia="仿宋_GB2312" w:cs="仿宋_GB2312"/>
          <w:bCs/>
          <w:color w:val="000000" w:themeColor="text1"/>
          <w:sz w:val="32"/>
          <w:szCs w:val="32"/>
          <w14:textFill>
            <w14:solidFill>
              <w14:schemeClr w14:val="tx1"/>
            </w14:solidFill>
          </w14:textFill>
        </w:rPr>
        <w:t>单位医疗（项）:</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支出决算为0.1</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万元，完成预算100%</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决算数等于预算数。</w:t>
      </w:r>
    </w:p>
    <w:p w14:paraId="251EE5C3">
      <w:pPr>
        <w:numPr>
          <w:ilvl w:val="0"/>
          <w:numId w:val="0"/>
        </w:numPr>
        <w:shd w:val="clear"/>
        <w:spacing w:line="600" w:lineRule="exact"/>
        <w:ind w:firstLine="640" w:firstLineChars="200"/>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9</w:t>
      </w:r>
      <w:r>
        <w:rPr>
          <w:rStyle w:val="21"/>
          <w:rFonts w:hint="eastAsia" w:ascii="仿宋_GB2312" w:hAnsi="仿宋_GB2312" w:eastAsia="仿宋_GB2312" w:cs="仿宋_GB2312"/>
          <w:bCs/>
          <w:color w:val="000000" w:themeColor="text1"/>
          <w:sz w:val="32"/>
          <w:szCs w:val="32"/>
          <w14:textFill>
            <w14:solidFill>
              <w14:schemeClr w14:val="tx1"/>
            </w14:solidFill>
          </w14:textFill>
        </w:rPr>
        <w:t>. 卫生健康支出（类）行政事业单位医疗（款）</w:t>
      </w:r>
      <w:r>
        <w:rPr>
          <w:rStyle w:val="21"/>
          <w:rFonts w:hint="eastAsia" w:ascii="仿宋_GB2312" w:hAnsi="仿宋_GB2312" w:eastAsia="仿宋_GB2312" w:cs="仿宋_GB2312"/>
          <w:bCs/>
          <w:color w:val="000000" w:themeColor="text1"/>
          <w:sz w:val="32"/>
          <w:szCs w:val="32"/>
          <w:lang w:eastAsia="zh-CN"/>
          <w14:textFill>
            <w14:solidFill>
              <w14:schemeClr w14:val="tx1"/>
            </w14:solidFill>
          </w14:textFill>
        </w:rPr>
        <w:t>公务员医疗补助</w:t>
      </w:r>
      <w:r>
        <w:rPr>
          <w:rStyle w:val="21"/>
          <w:rFonts w:hint="eastAsia" w:ascii="仿宋_GB2312" w:hAnsi="仿宋_GB2312" w:eastAsia="仿宋_GB2312" w:cs="仿宋_GB2312"/>
          <w:bCs/>
          <w:color w:val="000000" w:themeColor="text1"/>
          <w:sz w:val="32"/>
          <w:szCs w:val="32"/>
          <w14:textFill>
            <w14:solidFill>
              <w14:schemeClr w14:val="tx1"/>
            </w14:solidFill>
          </w14:textFill>
        </w:rPr>
        <w:t>（项）:</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支出决算为1.41万元，完成预算</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%，决算数等于预算数</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决算数等于预算数。</w:t>
      </w:r>
    </w:p>
    <w:p w14:paraId="2A8A0742">
      <w:pPr>
        <w:numPr>
          <w:ilvl w:val="0"/>
          <w:numId w:val="0"/>
        </w:numPr>
        <w:shd w:val="clear"/>
        <w:spacing w:line="600" w:lineRule="exact"/>
        <w:ind w:firstLine="643" w:firstLineChars="200"/>
        <w:rPr>
          <w:rStyle w:val="21"/>
          <w:rFonts w:hint="eastAsia" w:ascii="仿宋_GB2312" w:hAnsi="仿宋_GB2312" w:eastAsia="仿宋_GB2312" w:cs="仿宋_GB2312"/>
          <w:b w:val="0"/>
          <w:bCs/>
          <w:color w:val="000000" w:themeColor="text1"/>
          <w:sz w:val="32"/>
          <w:szCs w:val="32"/>
          <w14:textFill>
            <w14:solidFill>
              <w14:schemeClr w14:val="tx1"/>
            </w14:solidFill>
          </w14:textFill>
        </w:rPr>
      </w:pPr>
      <w:r>
        <w:rPr>
          <w:rStyle w:val="21"/>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10.</w:t>
      </w:r>
      <w:r>
        <w:rPr>
          <w:rStyle w:val="21"/>
          <w:rFonts w:hint="eastAsia" w:ascii="仿宋_GB2312" w:hAnsi="仿宋_GB2312" w:eastAsia="仿宋_GB2312" w:cs="仿宋_GB2312"/>
          <w:b/>
          <w:bCs/>
          <w:color w:val="000000" w:themeColor="text1"/>
          <w:sz w:val="32"/>
          <w:szCs w:val="32"/>
          <w14:textFill>
            <w14:solidFill>
              <w14:schemeClr w14:val="tx1"/>
            </w14:solidFill>
          </w14:textFill>
        </w:rPr>
        <w:t>农林水支出（类）巩固脱贫衔接乡村振兴（款）</w:t>
      </w:r>
      <w:r>
        <w:rPr>
          <w:rStyle w:val="21"/>
          <w:rFonts w:hint="eastAsia" w:ascii="仿宋_GB2312" w:hAnsi="仿宋_GB2312" w:eastAsia="仿宋_GB2312" w:cs="仿宋_GB2312"/>
          <w:b/>
          <w:bCs/>
          <w:color w:val="000000" w:themeColor="text1"/>
          <w:sz w:val="32"/>
          <w:szCs w:val="32"/>
          <w:lang w:eastAsia="zh-CN"/>
          <w14:textFill>
            <w14:solidFill>
              <w14:schemeClr w14:val="tx1"/>
            </w14:solidFill>
          </w14:textFill>
        </w:rPr>
        <w:t xml:space="preserve">  其他巩固脱贫衔接乡村振兴支出</w:t>
      </w:r>
      <w:r>
        <w:rPr>
          <w:rStyle w:val="21"/>
          <w:rFonts w:hint="eastAsia" w:ascii="仿宋_GB2312" w:hAnsi="仿宋_GB2312" w:eastAsia="仿宋_GB2312" w:cs="仿宋_GB2312"/>
          <w:b/>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支出决算为1,121.75万元，完成预算</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决算数等于预算数。</w:t>
      </w:r>
    </w:p>
    <w:p w14:paraId="5BB77A23">
      <w:pPr>
        <w:numPr>
          <w:ilvl w:val="0"/>
          <w:numId w:val="0"/>
        </w:numPr>
        <w:shd w:val="clear"/>
        <w:spacing w:line="600" w:lineRule="exact"/>
        <w:ind w:firstLine="643" w:firstLineChars="200"/>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Style w:val="21"/>
          <w:rFonts w:hint="eastAsia" w:ascii="仿宋_GB2312" w:hAnsi="仿宋_GB2312" w:eastAsia="仿宋_GB2312" w:cs="仿宋_GB2312"/>
          <w:bCs/>
          <w:color w:val="000000" w:themeColor="text1"/>
          <w:sz w:val="32"/>
          <w:szCs w:val="32"/>
          <w:lang w:val="en-US" w:eastAsia="zh-CN"/>
          <w14:textFill>
            <w14:solidFill>
              <w14:schemeClr w14:val="tx1"/>
            </w14:solidFill>
          </w14:textFill>
        </w:rPr>
        <w:t>11</w:t>
      </w:r>
      <w:r>
        <w:rPr>
          <w:rStyle w:val="21"/>
          <w:rFonts w:hint="eastAsia" w:ascii="仿宋_GB2312" w:hAnsi="仿宋_GB2312" w:eastAsia="仿宋_GB2312" w:cs="仿宋_GB2312"/>
          <w:bCs/>
          <w:color w:val="000000" w:themeColor="text1"/>
          <w:sz w:val="32"/>
          <w:szCs w:val="32"/>
          <w14:textFill>
            <w14:solidFill>
              <w14:schemeClr w14:val="tx1"/>
            </w14:solidFill>
          </w14:textFill>
        </w:rPr>
        <w:t>.住房保障支出（类）住房改革支出（款）住房公积金（项）:</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 xml:space="preserve"> 支出决算为5.9</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5</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万元，完成预算</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决算数等于预算数。</w:t>
      </w:r>
    </w:p>
    <w:p w14:paraId="6B6C163A">
      <w:pPr>
        <w:shd w:val="clear"/>
        <w:tabs>
          <w:tab w:val="right" w:pos="8306"/>
        </w:tabs>
        <w:spacing w:line="600" w:lineRule="exact"/>
        <w:ind w:firstLine="640"/>
        <w:outlineLvl w:val="9"/>
        <w:rPr>
          <w:rFonts w:hint="eastAsia" w:ascii="仿宋_GB2312" w:hAnsi="仿宋_GB2312" w:eastAsia="仿宋_GB2312" w:cs="仿宋_GB2312"/>
          <w:color w:val="000000" w:themeColor="text1"/>
          <w:sz w:val="32"/>
          <w:szCs w:val="32"/>
          <w14:textFill>
            <w14:solidFill>
              <w14:schemeClr w14:val="tx1"/>
            </w14:solidFill>
          </w14:textFill>
        </w:rPr>
      </w:pPr>
      <w:bookmarkStart w:id="101" w:name="_Toc15396608"/>
      <w:bookmarkStart w:id="102" w:name="_Toc15377214"/>
    </w:p>
    <w:p w14:paraId="0EDB5F92">
      <w:pPr>
        <w:shd w:val="clear"/>
        <w:tabs>
          <w:tab w:val="right" w:pos="8306"/>
        </w:tabs>
        <w:spacing w:line="600" w:lineRule="exact"/>
        <w:ind w:firstLine="640"/>
        <w:outlineLvl w:val="1"/>
        <w:rPr>
          <w:rStyle w:val="34"/>
          <w:rFonts w:hint="eastAsia" w:ascii="仿宋_GB2312" w:hAnsi="仿宋_GB2312" w:eastAsia="仿宋_GB2312" w:cs="仿宋_GB2312"/>
          <w:color w:val="000000" w:themeColor="text1"/>
          <w14:textFill>
            <w14:solidFill>
              <w14:schemeClr w14:val="tx1"/>
            </w14:solidFill>
          </w14:textFill>
        </w:rPr>
      </w:pPr>
      <w:bookmarkStart w:id="103" w:name="_Toc29003"/>
      <w:bookmarkStart w:id="104" w:name="_Toc12407"/>
      <w:bookmarkStart w:id="105" w:name="_Toc19005"/>
      <w:bookmarkStart w:id="106" w:name="_Toc1932"/>
      <w:r>
        <w:rPr>
          <w:rFonts w:hint="eastAsia" w:ascii="仿宋_GB2312" w:hAnsi="仿宋_GB2312" w:eastAsia="仿宋_GB2312" w:cs="仿宋_GB2312"/>
          <w:b/>
          <w:bCs/>
          <w:color w:val="000000" w:themeColor="text1"/>
          <w:sz w:val="32"/>
          <w:szCs w:val="32"/>
          <w14:textFill>
            <w14:solidFill>
              <w14:schemeClr w14:val="tx1"/>
            </w14:solidFill>
          </w14:textFill>
        </w:rPr>
        <w:t>六、一</w:t>
      </w:r>
      <w:r>
        <w:rPr>
          <w:rStyle w:val="34"/>
          <w:rFonts w:hint="eastAsia" w:ascii="仿宋_GB2312" w:hAnsi="仿宋_GB2312" w:eastAsia="仿宋_GB2312" w:cs="仿宋_GB2312"/>
          <w:b/>
          <w:bCs/>
          <w:color w:val="000000" w:themeColor="text1"/>
          <w14:textFill>
            <w14:solidFill>
              <w14:schemeClr w14:val="tx1"/>
            </w14:solidFill>
          </w14:textFill>
        </w:rPr>
        <w:t>般公共预算财政拨款基本支出决算情况说明</w:t>
      </w:r>
      <w:bookmarkEnd w:id="101"/>
      <w:bookmarkEnd w:id="102"/>
      <w:bookmarkEnd w:id="103"/>
      <w:bookmarkEnd w:id="104"/>
      <w:bookmarkEnd w:id="105"/>
      <w:bookmarkEnd w:id="106"/>
      <w:r>
        <w:rPr>
          <w:rStyle w:val="34"/>
          <w:rFonts w:hint="eastAsia" w:ascii="仿宋_GB2312" w:hAnsi="仿宋_GB2312" w:eastAsia="仿宋_GB2312" w:cs="仿宋_GB2312"/>
          <w:b w:val="0"/>
          <w:color w:val="000000" w:themeColor="text1"/>
          <w14:textFill>
            <w14:solidFill>
              <w14:schemeClr w14:val="tx1"/>
            </w14:solidFill>
          </w14:textFill>
        </w:rPr>
        <w:tab/>
      </w:r>
    </w:p>
    <w:p w14:paraId="5F5A98FB">
      <w:pPr>
        <w:shd w:val="clea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bookmarkStart w:id="107" w:name="_Toc15396609"/>
      <w:bookmarkStart w:id="108" w:name="_Toc15377215"/>
      <w:r>
        <w:rPr>
          <w:rFonts w:hint="eastAsia" w:ascii="仿宋_GB2312" w:hAnsi="仿宋_GB2312" w:eastAsia="仿宋_GB2312" w:cs="仿宋_GB2312"/>
          <w:color w:val="000000" w:themeColor="text1"/>
          <w:sz w:val="32"/>
          <w:szCs w:val="32"/>
          <w:lang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年一般公共预算财政拨款基本支出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125.44</w:t>
      </w:r>
      <w:r>
        <w:rPr>
          <w:rFonts w:hint="eastAsia" w:ascii="仿宋_GB2312" w:hAnsi="仿宋_GB2312" w:eastAsia="仿宋_GB2312" w:cs="仿宋_GB2312"/>
          <w:color w:val="000000" w:themeColor="text1"/>
          <w:sz w:val="32"/>
          <w:szCs w:val="32"/>
          <w14:textFill>
            <w14:solidFill>
              <w14:schemeClr w14:val="tx1"/>
            </w14:solidFill>
          </w14:textFill>
        </w:rPr>
        <w:t>万元，其中：</w:t>
      </w:r>
    </w:p>
    <w:p w14:paraId="68FBAF54">
      <w:pPr>
        <w:shd w:val="clear"/>
        <w:spacing w:line="600" w:lineRule="exact"/>
        <w:ind w:firstLine="645"/>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人员经费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114.36</w:t>
      </w:r>
      <w:r>
        <w:rPr>
          <w:rFonts w:hint="eastAsia" w:ascii="仿宋_GB2312" w:hAnsi="仿宋_GB2312" w:eastAsia="仿宋_GB2312" w:cs="仿宋_GB2312"/>
          <w:color w:val="000000" w:themeColor="text1"/>
          <w:sz w:val="32"/>
          <w:szCs w:val="32"/>
          <w14:textFill>
            <w14:solidFill>
              <w14:schemeClr w14:val="tx1"/>
            </w14:solidFill>
          </w14:textFill>
        </w:rPr>
        <w:t>万元，主要包括：基本工资、津贴补贴、奖金、伙食补助费、绩效工资、机关事业单位基本养老保险缴费、职业年金缴费、其他社会保障缴费、其他工资福利支出、离休费、退休费、抚恤金、生活补助、医疗费、奖励金、住房公积金、其他对个人和家庭的补助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w:t>
      </w:r>
    </w:p>
    <w:p w14:paraId="7EFDBE10">
      <w:pPr>
        <w:shd w:val="clear"/>
        <w:spacing w:line="600" w:lineRule="exact"/>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公用经费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11.09</w:t>
      </w:r>
      <w:r>
        <w:rPr>
          <w:rFonts w:hint="eastAsia" w:ascii="仿宋_GB2312" w:hAnsi="仿宋_GB2312" w:eastAsia="仿宋_GB2312" w:cs="仿宋_GB2312"/>
          <w:color w:val="000000" w:themeColor="text1"/>
          <w:sz w:val="32"/>
          <w:szCs w:val="32"/>
          <w14:textFill>
            <w14:solidFill>
              <w14:schemeClr w14:val="tx1"/>
            </w14:solidFill>
          </w14:textFill>
        </w:rPr>
        <w:t>万元，主要包括：办公费、印刷费、咨询费、手续费、水费、电费、邮电费、物业管理费、差旅费、维修（护）费、公务接待费、劳务费、委托业务费、工会经费、福利费、其他交通费、其他商品和服务支出、办公设备购置等。</w:t>
      </w:r>
    </w:p>
    <w:p w14:paraId="5262753A">
      <w:pPr>
        <w:shd w:val="clear"/>
        <w:spacing w:line="600" w:lineRule="exact"/>
        <w:ind w:firstLine="640"/>
        <w:outlineLvl w:val="1"/>
        <w:rPr>
          <w:rStyle w:val="34"/>
          <w:rFonts w:ascii="黑体" w:hAnsi="黑体" w:eastAsia="黑体"/>
          <w:b w:val="0"/>
          <w:color w:val="000000" w:themeColor="text1"/>
          <w14:textFill>
            <w14:solidFill>
              <w14:schemeClr w14:val="tx1"/>
            </w14:solidFill>
          </w14:textFill>
        </w:rPr>
      </w:pPr>
      <w:bookmarkStart w:id="109" w:name="_Toc27368"/>
      <w:bookmarkStart w:id="110" w:name="_Toc25677"/>
      <w:bookmarkStart w:id="111" w:name="_Toc18180"/>
      <w:bookmarkStart w:id="112" w:name="_Toc32353"/>
      <w:r>
        <w:rPr>
          <w:rFonts w:hint="eastAsia" w:ascii="黑体" w:eastAsia="黑体"/>
          <w:color w:val="000000" w:themeColor="text1"/>
          <w:sz w:val="32"/>
          <w:szCs w:val="32"/>
          <w14:textFill>
            <w14:solidFill>
              <w14:schemeClr w14:val="tx1"/>
            </w14:solidFill>
          </w14:textFill>
        </w:rPr>
        <w:t>七、</w:t>
      </w:r>
      <w:r>
        <w:rPr>
          <w:rStyle w:val="34"/>
          <w:rFonts w:hint="eastAsia" w:ascii="黑体" w:hAnsi="黑体" w:eastAsia="黑体"/>
          <w:color w:val="000000" w:themeColor="text1"/>
          <w14:textFill>
            <w14:solidFill>
              <w14:schemeClr w14:val="tx1"/>
            </w14:solidFill>
          </w14:textFill>
        </w:rPr>
        <w:t>“</w:t>
      </w:r>
      <w:r>
        <w:rPr>
          <w:rStyle w:val="34"/>
          <w:rFonts w:hint="eastAsia" w:ascii="黑体" w:hAnsi="黑体" w:eastAsia="黑体"/>
          <w:b w:val="0"/>
          <w:color w:val="000000" w:themeColor="text1"/>
          <w14:textFill>
            <w14:solidFill>
              <w14:schemeClr w14:val="tx1"/>
            </w14:solidFill>
          </w14:textFill>
        </w:rPr>
        <w:t>三公”经费财政拨款支出决算情况说明</w:t>
      </w:r>
      <w:bookmarkEnd w:id="107"/>
      <w:bookmarkEnd w:id="108"/>
      <w:bookmarkEnd w:id="109"/>
      <w:bookmarkEnd w:id="110"/>
      <w:bookmarkEnd w:id="111"/>
      <w:bookmarkEnd w:id="112"/>
    </w:p>
    <w:p w14:paraId="34698544">
      <w:pPr>
        <w:shd w:val="clear"/>
        <w:spacing w:line="600" w:lineRule="exact"/>
        <w:ind w:firstLine="640"/>
        <w:outlineLvl w:val="2"/>
        <w:rPr>
          <w:rFonts w:hint="eastAsia" w:ascii="仿宋_GB2312" w:hAnsi="仿宋_GB2312" w:eastAsia="仿宋_GB2312" w:cs="仿宋_GB2312"/>
          <w:b/>
          <w:color w:val="000000" w:themeColor="text1"/>
          <w:sz w:val="32"/>
          <w:szCs w:val="32"/>
          <w14:textFill>
            <w14:solidFill>
              <w14:schemeClr w14:val="tx1"/>
            </w14:solidFill>
          </w14:textFill>
        </w:rPr>
      </w:pPr>
      <w:bookmarkStart w:id="113" w:name="_Toc15377216"/>
      <w:bookmarkStart w:id="114" w:name="_Toc27908"/>
      <w:bookmarkStart w:id="115" w:name="_Toc7992"/>
      <w:r>
        <w:rPr>
          <w:rFonts w:hint="eastAsia" w:ascii="仿宋_GB2312" w:hAnsi="仿宋_GB2312" w:eastAsia="仿宋_GB2312" w:cs="仿宋_GB2312"/>
          <w:b/>
          <w:color w:val="000000" w:themeColor="text1"/>
          <w:sz w:val="32"/>
          <w:szCs w:val="32"/>
          <w14:textFill>
            <w14:solidFill>
              <w14:schemeClr w14:val="tx1"/>
            </w14:solidFill>
          </w14:textFill>
        </w:rPr>
        <w:t>（一）“三公”经费财政拨款支出决算总体情况说明</w:t>
      </w:r>
      <w:bookmarkEnd w:id="113"/>
      <w:bookmarkEnd w:id="114"/>
      <w:bookmarkEnd w:id="115"/>
    </w:p>
    <w:p w14:paraId="2D718B11">
      <w:pPr>
        <w:shd w:val="clear"/>
        <w:spacing w:line="600" w:lineRule="exact"/>
        <w:ind w:firstLine="640" w:firstLineChars="200"/>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bookmarkStart w:id="116" w:name="_Toc15377217"/>
      <w:r>
        <w:rPr>
          <w:rFonts w:hint="eastAsia" w:ascii="仿宋_GB2312" w:hAnsi="仿宋_GB2312" w:eastAsia="仿宋_GB2312" w:cs="仿宋_GB2312"/>
          <w:color w:val="000000" w:themeColor="text1"/>
          <w:sz w:val="32"/>
          <w:szCs w:val="32"/>
          <w:lang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年“三公”经费财政拨款支出决算为</w:t>
      </w:r>
      <w:r>
        <w:rPr>
          <w:rFonts w:hint="eastAsia" w:ascii="仿宋_GB2312" w:hAnsi="仿宋_GB2312" w:eastAsia="仿宋_GB2312" w:cs="仿宋_GB2312"/>
          <w:color w:val="000000" w:themeColor="text1"/>
          <w:sz w:val="32"/>
          <w:szCs w:val="32"/>
          <w:lang w:eastAsia="zh-CN"/>
          <w14:textFill>
            <w14:solidFill>
              <w14:schemeClr w14:val="tx1"/>
            </w14:solidFill>
          </w14:textFill>
        </w:rPr>
        <w:t>0.28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z w:val="32"/>
          <w:szCs w:val="32"/>
          <w14:textFill>
            <w14:solidFill>
              <w14:schemeClr w14:val="tx1"/>
            </w14:solidFill>
          </w14:textFill>
        </w:rPr>
        <w:t>元，完成预算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highlight w:val="none"/>
          <w:lang w:eastAsia="zh-CN"/>
        </w:rPr>
        <w:t>较上年</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增加0.06</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增长27.27%</w:t>
      </w:r>
      <w:r>
        <w:rPr>
          <w:rFonts w:hint="eastAsia" w:ascii="仿宋_GB2312" w:hAnsi="仿宋_GB2312" w:eastAsia="仿宋_GB2312" w:cs="仿宋_GB2312"/>
          <w:color w:val="auto"/>
          <w:sz w:val="32"/>
          <w:szCs w:val="32"/>
          <w:highlight w:val="none"/>
          <w:lang w:val="en-US" w:eastAsia="zh-CN"/>
        </w:rPr>
        <w:t>。</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决算数</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与</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预算数</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持平，</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严格预算支出</w:t>
      </w:r>
      <w:r>
        <w:rPr>
          <w:rStyle w:val="21"/>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14:paraId="03CE2428">
      <w:pPr>
        <w:shd w:val="clear"/>
        <w:spacing w:line="600" w:lineRule="exact"/>
        <w:ind w:firstLine="643" w:firstLineChars="200"/>
        <w:outlineLvl w:val="2"/>
        <w:rPr>
          <w:rFonts w:hint="eastAsia" w:ascii="仿宋_GB2312" w:hAnsi="仿宋_GB2312" w:eastAsia="仿宋_GB2312" w:cs="仿宋_GB2312"/>
          <w:b/>
          <w:color w:val="000000" w:themeColor="text1"/>
          <w:sz w:val="32"/>
          <w:szCs w:val="32"/>
          <w14:textFill>
            <w14:solidFill>
              <w14:schemeClr w14:val="tx1"/>
            </w14:solidFill>
          </w14:textFill>
        </w:rPr>
      </w:pPr>
      <w:bookmarkStart w:id="117" w:name="_Toc23710"/>
      <w:bookmarkStart w:id="118" w:name="_Toc16184"/>
      <w:r>
        <w:rPr>
          <w:rFonts w:hint="eastAsia" w:ascii="仿宋_GB2312" w:hAnsi="仿宋_GB2312" w:eastAsia="仿宋_GB2312" w:cs="仿宋_GB2312"/>
          <w:b/>
          <w:color w:val="000000" w:themeColor="text1"/>
          <w:sz w:val="32"/>
          <w:szCs w:val="32"/>
          <w14:textFill>
            <w14:solidFill>
              <w14:schemeClr w14:val="tx1"/>
            </w14:solidFill>
          </w14:textFill>
        </w:rPr>
        <w:t>（二）“三公”经费财政拨款支出决算具体情况说明</w:t>
      </w:r>
      <w:bookmarkEnd w:id="116"/>
      <w:bookmarkEnd w:id="117"/>
      <w:bookmarkEnd w:id="118"/>
    </w:p>
    <w:p w14:paraId="31042968">
      <w:pPr>
        <w:shd w:val="clea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年“三公”经费财政拨款支出决算中，因公出国（境）费支出决算0万元，占0%；公务用车购置及运行维护费支出决算0元，占0%；公务接待费支出决算</w:t>
      </w:r>
      <w:r>
        <w:rPr>
          <w:rFonts w:hint="eastAsia" w:ascii="仿宋_GB2312" w:hAnsi="仿宋_GB2312" w:eastAsia="仿宋_GB2312" w:cs="仿宋_GB2312"/>
          <w:color w:val="000000" w:themeColor="text1"/>
          <w:sz w:val="32"/>
          <w:szCs w:val="32"/>
          <w:lang w:eastAsia="zh-CN"/>
          <w14:textFill>
            <w14:solidFill>
              <w14:schemeClr w14:val="tx1"/>
            </w14:solidFill>
          </w14:textFill>
        </w:rPr>
        <w:t>0.28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sz w:val="32"/>
          <w:szCs w:val="32"/>
          <w14:textFill>
            <w14:solidFill>
              <w14:schemeClr w14:val="tx1"/>
            </w14:solidFill>
          </w14:textFill>
        </w:rPr>
        <w:t>元，占100%。具体情况如下：</w:t>
      </w:r>
    </w:p>
    <w:p w14:paraId="06599A27">
      <w:pPr>
        <w:shd w:val="clea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779145</wp:posOffset>
            </wp:positionH>
            <wp:positionV relativeFrom="paragraph">
              <wp:posOffset>293370</wp:posOffset>
            </wp:positionV>
            <wp:extent cx="4229100" cy="2038350"/>
            <wp:effectExtent l="4445" t="4445" r="14605" b="14605"/>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7E92534">
      <w:pPr>
        <w:shd w:val="clear"/>
        <w:spacing w:line="600" w:lineRule="exact"/>
        <w:ind w:firstLine="640"/>
        <w:rPr>
          <w:rFonts w:ascii="仿宋" w:hAnsi="仿宋" w:eastAsia="仿宋"/>
          <w:color w:val="000000" w:themeColor="text1"/>
          <w:sz w:val="32"/>
          <w:szCs w:val="32"/>
          <w14:textFill>
            <w14:solidFill>
              <w14:schemeClr w14:val="tx1"/>
            </w14:solidFill>
          </w14:textFill>
        </w:rPr>
      </w:pPr>
    </w:p>
    <w:p w14:paraId="0509F15B">
      <w:pPr>
        <w:shd w:val="clear"/>
        <w:spacing w:line="600" w:lineRule="exact"/>
        <w:ind w:firstLine="640"/>
        <w:rPr>
          <w:rFonts w:ascii="仿宋" w:hAnsi="仿宋" w:eastAsia="仿宋"/>
          <w:color w:val="000000" w:themeColor="text1"/>
          <w:sz w:val="32"/>
          <w:szCs w:val="32"/>
          <w14:textFill>
            <w14:solidFill>
              <w14:schemeClr w14:val="tx1"/>
            </w14:solidFill>
          </w14:textFill>
        </w:rPr>
      </w:pPr>
    </w:p>
    <w:p w14:paraId="4C47C5DF">
      <w:pPr>
        <w:shd w:val="clear"/>
        <w:spacing w:line="600" w:lineRule="exact"/>
        <w:ind w:firstLine="640"/>
        <w:rPr>
          <w:rFonts w:ascii="仿宋" w:hAnsi="仿宋" w:eastAsia="仿宋"/>
          <w:color w:val="000000" w:themeColor="text1"/>
          <w:sz w:val="32"/>
          <w:szCs w:val="32"/>
          <w14:textFill>
            <w14:solidFill>
              <w14:schemeClr w14:val="tx1"/>
            </w14:solidFill>
          </w14:textFill>
        </w:rPr>
      </w:pPr>
    </w:p>
    <w:p w14:paraId="43C157EC">
      <w:pPr>
        <w:shd w:val="clear"/>
        <w:spacing w:line="600" w:lineRule="exact"/>
        <w:rPr>
          <w:rFonts w:ascii="仿宋" w:hAnsi="仿宋" w:eastAsia="仿宋"/>
          <w:color w:val="000000" w:themeColor="text1"/>
          <w:sz w:val="32"/>
          <w:szCs w:val="32"/>
          <w14:textFill>
            <w14:solidFill>
              <w14:schemeClr w14:val="tx1"/>
            </w14:solidFill>
          </w14:textFill>
        </w:rPr>
      </w:pPr>
    </w:p>
    <w:p w14:paraId="43F89702">
      <w:pPr>
        <w:shd w:val="clear"/>
        <w:spacing w:line="600" w:lineRule="exact"/>
        <w:rPr>
          <w:rFonts w:ascii="仿宋" w:hAnsi="仿宋" w:eastAsia="仿宋"/>
          <w:color w:val="000000" w:themeColor="text1"/>
          <w:sz w:val="32"/>
          <w:szCs w:val="32"/>
          <w14:textFill>
            <w14:solidFill>
              <w14:schemeClr w14:val="tx1"/>
            </w14:solidFill>
          </w14:textFill>
        </w:rPr>
      </w:pPr>
    </w:p>
    <w:p w14:paraId="580B6AC0">
      <w:pPr>
        <w:shd w:val="clea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hint="eastAsia" w:ascii="仿宋" w:hAnsi="仿宋" w:eastAsia="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：“三公”经费财政拨款支出结构）（饼状图）</w:t>
      </w:r>
    </w:p>
    <w:p w14:paraId="68429C4E">
      <w:pPr>
        <w:shd w:val="clear"/>
        <w:spacing w:line="600" w:lineRule="exact"/>
        <w:ind w:firstLine="640"/>
        <w:rPr>
          <w:rFonts w:hint="eastAsia" w:ascii="仿宋" w:hAnsi="仿宋" w:eastAsia="仿宋"/>
          <w:color w:val="000000" w:themeColor="text1"/>
          <w:sz w:val="32"/>
          <w:szCs w:val="32"/>
          <w14:textFill>
            <w14:solidFill>
              <w14:schemeClr w14:val="tx1"/>
            </w14:solidFill>
          </w14:textFill>
        </w:rPr>
      </w:pPr>
    </w:p>
    <w:p w14:paraId="69FB6122">
      <w:pPr>
        <w:shd w:val="clear"/>
        <w:spacing w:line="600" w:lineRule="exact"/>
        <w:ind w:firstLine="640"/>
        <w:rPr>
          <w:rFonts w:hint="eastAsia" w:ascii="仿宋_GB2312" w:hAnsi="仿宋_GB2312" w:eastAsia="仿宋_GB2312" w:cs="仿宋_GB2312"/>
          <w:b/>
          <w:color w:val="000000" w:themeColor="text1"/>
          <w:sz w:val="32"/>
          <w:szCs w:val="32"/>
          <w14:textFill>
            <w14:solidFill>
              <w14:schemeClr w14:val="tx1"/>
            </w14:solidFill>
          </w14:textFill>
        </w:rPr>
      </w:pPr>
      <w:bookmarkStart w:id="119" w:name="_Toc15377218"/>
      <w:bookmarkStart w:id="120" w:name="_Toc15396610"/>
      <w:r>
        <w:rPr>
          <w:rFonts w:hint="eastAsia" w:ascii="仿宋_GB2312" w:hAnsi="仿宋_GB2312" w:eastAsia="仿宋_GB2312" w:cs="仿宋_GB2312"/>
          <w:b/>
          <w:color w:val="000000" w:themeColor="text1"/>
          <w:sz w:val="32"/>
          <w:szCs w:val="32"/>
          <w14:textFill>
            <w14:solidFill>
              <w14:schemeClr w14:val="tx1"/>
            </w14:solidFill>
          </w14:textFill>
        </w:rPr>
        <w:t>1.因公出国（境）经费支出</w:t>
      </w:r>
      <w:r>
        <w:rPr>
          <w:rFonts w:hint="eastAsia" w:ascii="仿宋_GB2312" w:hAnsi="仿宋_GB2312" w:eastAsia="仿宋_GB2312" w:cs="仿宋_GB2312"/>
          <w:color w:val="000000" w:themeColor="text1"/>
          <w:sz w:val="32"/>
          <w:szCs w:val="32"/>
          <w14:textFill>
            <w14:solidFill>
              <w14:schemeClr w14:val="tx1"/>
            </w14:solidFill>
          </w14:textFill>
        </w:rPr>
        <w:t>0万元</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。完成预算</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全年安排因公出国（境）团组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次，出国（境）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人。</w:t>
      </w:r>
    </w:p>
    <w:p w14:paraId="49A80FF5">
      <w:pPr>
        <w:shd w:val="clear"/>
        <w:spacing w:line="600" w:lineRule="exact"/>
        <w:ind w:firstLine="640"/>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2.公务用车购置及运行维护费支出</w:t>
      </w:r>
      <w:r>
        <w:rPr>
          <w:rFonts w:hint="eastAsia" w:ascii="仿宋_GB2312" w:hAnsi="仿宋_GB2312" w:eastAsia="仿宋_GB2312" w:cs="仿宋_GB2312"/>
          <w:color w:val="000000" w:themeColor="text1"/>
          <w:sz w:val="32"/>
          <w:szCs w:val="32"/>
          <w14:textFill>
            <w14:solidFill>
              <w14:schemeClr w14:val="tx1"/>
            </w14:solidFill>
          </w14:textFill>
        </w:rPr>
        <w:t>0万元</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p>
    <w:p w14:paraId="05F0D3DA">
      <w:pPr>
        <w:shd w:val="clea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其中：公务用车购置支出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万元。全年按规定更新购置公务用车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辆，其中：轿车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元，越野车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万元，载客汽车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万元。截至</w:t>
      </w:r>
      <w:r>
        <w:rPr>
          <w:rFonts w:hint="eastAsia" w:ascii="仿宋_GB2312" w:hAnsi="仿宋_GB2312" w:eastAsia="仿宋_GB2312" w:cs="仿宋_GB2312"/>
          <w:color w:val="000000" w:themeColor="text1"/>
          <w:sz w:val="32"/>
          <w:szCs w:val="32"/>
          <w:lang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年12月底，</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共有公务用车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辆，其中：轿车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辆、越野车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辆、载客汽车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w:t>
      </w:r>
    </w:p>
    <w:p w14:paraId="2E2B681D">
      <w:pPr>
        <w:shd w:val="clear"/>
        <w:spacing w:line="600"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color w:val="000000" w:themeColor="text1"/>
          <w:sz w:val="32"/>
          <w:szCs w:val="32"/>
          <w14:textFill>
            <w14:solidFill>
              <w14:schemeClr w14:val="tx1"/>
            </w14:solidFill>
          </w14:textFill>
        </w:rPr>
        <w:t>公务用车运行维护费支出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EC05BC0">
      <w:pPr>
        <w:shd w:val="clear"/>
        <w:spacing w:line="600" w:lineRule="exact"/>
        <w:ind w:firstLine="643"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color w:val="000000" w:themeColor="text1"/>
          <w:sz w:val="32"/>
          <w:szCs w:val="32"/>
          <w14:textFill>
            <w14:solidFill>
              <w14:schemeClr w14:val="tx1"/>
            </w14:solidFill>
          </w14:textFill>
        </w:rPr>
        <w:t>.公务接待费支出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0.28万</w:t>
      </w:r>
      <w:r>
        <w:rPr>
          <w:rFonts w:hint="eastAsia" w:ascii="仿宋_GB2312" w:hAnsi="仿宋_GB2312" w:eastAsia="仿宋_GB2312" w:cs="仿宋_GB2312"/>
          <w:color w:val="000000" w:themeColor="text1"/>
          <w:sz w:val="32"/>
          <w:szCs w:val="32"/>
          <w14:textFill>
            <w14:solidFill>
              <w14:schemeClr w14:val="tx1"/>
            </w14:solidFill>
          </w14:textFill>
        </w:rPr>
        <w:t>元，</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完成预算</w:t>
      </w:r>
      <w:r>
        <w:rPr>
          <w:rStyle w:val="21"/>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100</w:t>
      </w:r>
      <w:r>
        <w:rPr>
          <w:rStyle w:val="21"/>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公务接待费支出决算比</w:t>
      </w:r>
      <w:r>
        <w:rPr>
          <w:rFonts w:hint="eastAsia" w:ascii="仿宋_GB2312" w:hAnsi="仿宋_GB2312" w:eastAsia="仿宋_GB2312" w:cs="仿宋_GB2312"/>
          <w:color w:val="000000" w:themeColor="text1"/>
          <w:sz w:val="32"/>
          <w:szCs w:val="32"/>
          <w:lang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增加0.06</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增长27.27%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主要原因是</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增加了</w:t>
      </w:r>
      <w:r>
        <w:rPr>
          <w:rFonts w:hint="eastAsia" w:ascii="仿宋_GB2312" w:hAnsi="仿宋_GB2312" w:eastAsia="仿宋_GB2312" w:cs="仿宋_GB2312"/>
          <w:color w:val="000000" w:themeColor="text1"/>
          <w:sz w:val="32"/>
          <w:szCs w:val="32"/>
          <w14:textFill>
            <w14:solidFill>
              <w14:schemeClr w14:val="tx1"/>
            </w14:solidFill>
          </w14:textFill>
        </w:rPr>
        <w:t>2023年调研就业创业工作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对</w:t>
      </w:r>
      <w:r>
        <w:rPr>
          <w:rFonts w:hint="eastAsia" w:ascii="仿宋_GB2312" w:hAnsi="仿宋_GB2312" w:eastAsia="仿宋_GB2312" w:cs="仿宋_GB2312"/>
          <w:color w:val="000000" w:themeColor="text1"/>
          <w:sz w:val="32"/>
          <w:szCs w:val="32"/>
          <w14:textFill>
            <w14:solidFill>
              <w14:schemeClr w14:val="tx1"/>
            </w14:solidFill>
          </w14:textFill>
        </w:rPr>
        <w:t>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318D998D">
      <w:pPr>
        <w:shd w:val="clear"/>
        <w:spacing w:line="580" w:lineRule="exact"/>
        <w:ind w:firstLine="643"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color w:val="000000" w:themeColor="text1"/>
          <w:sz w:val="32"/>
          <w:szCs w:val="32"/>
          <w14:textFill>
            <w14:solidFill>
              <w14:schemeClr w14:val="tx1"/>
            </w14:solidFill>
          </w14:textFill>
        </w:rPr>
        <w:t>国内公务接待支出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0.28万</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主要用于执行公务、开展业务活动开支的交通费、住宿费、用餐费等。国内公务接待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批次，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人次，共计支出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0.28万</w:t>
      </w:r>
      <w:r>
        <w:rPr>
          <w:rFonts w:hint="eastAsia" w:ascii="仿宋_GB2312" w:hAnsi="仿宋_GB2312" w:eastAsia="仿宋_GB2312" w:cs="仿宋_GB2312"/>
          <w:color w:val="000000" w:themeColor="text1"/>
          <w:sz w:val="32"/>
          <w:szCs w:val="32"/>
          <w14:textFill>
            <w14:solidFill>
              <w14:schemeClr w14:val="tx1"/>
            </w14:solidFill>
          </w14:textFill>
        </w:rPr>
        <w:t>元，具体内容包括：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上级部门</w:t>
      </w:r>
      <w:r>
        <w:rPr>
          <w:rFonts w:hint="eastAsia" w:ascii="仿宋_GB2312" w:hAnsi="仿宋_GB2312" w:eastAsia="仿宋_GB2312" w:cs="仿宋_GB2312"/>
          <w:color w:val="000000" w:themeColor="text1"/>
          <w:sz w:val="32"/>
          <w:szCs w:val="32"/>
          <w14:textFill>
            <w14:solidFill>
              <w14:schemeClr w14:val="tx1"/>
            </w14:solidFill>
          </w14:textFill>
        </w:rPr>
        <w:t>领导</w:t>
      </w:r>
      <w:r>
        <w:rPr>
          <w:rFonts w:hint="eastAsia" w:ascii="仿宋_GB2312" w:hAnsi="仿宋_GB2312" w:eastAsia="仿宋_GB2312" w:cs="仿宋_GB2312"/>
          <w:color w:val="000000" w:themeColor="text1"/>
          <w:sz w:val="32"/>
          <w:szCs w:val="32"/>
          <w:lang w:eastAsia="zh-CN"/>
          <w14:textFill>
            <w14:solidFill>
              <w14:schemeClr w14:val="tx1"/>
            </w14:solidFill>
          </w14:textFill>
        </w:rPr>
        <w:t>、各区县的</w:t>
      </w:r>
      <w:r>
        <w:rPr>
          <w:rFonts w:hint="eastAsia" w:ascii="仿宋_GB2312" w:hAnsi="仿宋_GB2312" w:eastAsia="仿宋_GB2312" w:cs="仿宋_GB2312"/>
          <w:color w:val="000000" w:themeColor="text1"/>
          <w:sz w:val="32"/>
          <w:szCs w:val="32"/>
          <w14:textFill>
            <w14:solidFill>
              <w14:schemeClr w14:val="tx1"/>
            </w14:solidFill>
          </w14:textFill>
        </w:rPr>
        <w:t>调研、视察</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、工作交流</w:t>
      </w:r>
      <w:r>
        <w:rPr>
          <w:rFonts w:hint="eastAsia" w:ascii="仿宋_GB2312" w:hAnsi="仿宋_GB2312" w:eastAsia="仿宋_GB2312" w:cs="仿宋_GB2312"/>
          <w:color w:val="000000" w:themeColor="text1"/>
          <w:sz w:val="32"/>
          <w:szCs w:val="32"/>
          <w14:textFill>
            <w14:solidFill>
              <w14:schemeClr w14:val="tx1"/>
            </w14:solidFill>
          </w14:textFill>
        </w:rPr>
        <w:t>。</w:t>
      </w:r>
    </w:p>
    <w:p w14:paraId="1D3CF316">
      <w:pPr>
        <w:shd w:val="clear"/>
        <w:spacing w:line="600" w:lineRule="exact"/>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color w:val="000000" w:themeColor="text1"/>
          <w:sz w:val="32"/>
          <w:szCs w:val="32"/>
          <w14:textFill>
            <w14:solidFill>
              <w14:schemeClr w14:val="tx1"/>
            </w14:solidFill>
          </w14:textFill>
        </w:rPr>
        <w:t>外事接待支出</w:t>
      </w:r>
      <w:r>
        <w:rPr>
          <w:rFonts w:hint="eastAsia" w:ascii="仿宋_GB2312" w:hAnsi="仿宋_GB2312" w:eastAsia="仿宋_GB2312" w:cs="仿宋_GB2312"/>
          <w:color w:val="000000" w:themeColor="text1"/>
          <w:sz w:val="32"/>
          <w:szCs w:val="32"/>
          <w14:textFill>
            <w14:solidFill>
              <w14:schemeClr w14:val="tx1"/>
            </w14:solidFill>
          </w14:textFill>
        </w:rPr>
        <w:t>0万元，外事接待0批次，0人</w:t>
      </w:r>
      <w:r>
        <w:rPr>
          <w:rFonts w:hint="eastAsia" w:ascii="仿宋_GB2312" w:hAnsi="仿宋_GB2312" w:eastAsia="仿宋_GB2312" w:cs="仿宋_GB2312"/>
          <w:color w:val="000000" w:themeColor="text1"/>
          <w:sz w:val="32"/>
          <w:szCs w:val="32"/>
          <w:lang w:eastAsia="zh-CN"/>
          <w14:textFill>
            <w14:solidFill>
              <w14:schemeClr w14:val="tx1"/>
            </w14:solidFill>
          </w14:textFill>
        </w:rPr>
        <w:t>次</w:t>
      </w:r>
      <w:r>
        <w:rPr>
          <w:rFonts w:hint="eastAsia" w:ascii="仿宋_GB2312" w:hAnsi="仿宋_GB2312" w:eastAsia="仿宋_GB2312" w:cs="仿宋_GB2312"/>
          <w:color w:val="000000" w:themeColor="text1"/>
          <w:sz w:val="32"/>
          <w:szCs w:val="32"/>
          <w14:textFill>
            <w14:solidFill>
              <w14:schemeClr w14:val="tx1"/>
            </w14:solidFill>
          </w14:textFill>
        </w:rPr>
        <w:t>，共计支出0万元。</w:t>
      </w:r>
    </w:p>
    <w:p w14:paraId="2BCB556D">
      <w:pPr>
        <w:shd w:val="clear"/>
        <w:spacing w:line="600" w:lineRule="exact"/>
        <w:ind w:firstLine="640" w:firstLineChars="200"/>
        <w:outlineLvl w:val="1"/>
        <w:rPr>
          <w:rStyle w:val="34"/>
          <w:rFonts w:ascii="黑体" w:hAnsi="黑体" w:eastAsia="黑体"/>
          <w:color w:val="000000" w:themeColor="text1"/>
          <w14:textFill>
            <w14:solidFill>
              <w14:schemeClr w14:val="tx1"/>
            </w14:solidFill>
          </w14:textFill>
        </w:rPr>
      </w:pPr>
      <w:bookmarkStart w:id="121" w:name="_Toc28788"/>
      <w:bookmarkStart w:id="122" w:name="_Toc14846"/>
      <w:bookmarkStart w:id="123" w:name="_Toc17831"/>
      <w:bookmarkStart w:id="124" w:name="_Toc27118"/>
      <w:r>
        <w:rPr>
          <w:rFonts w:hint="eastAsia" w:ascii="黑体" w:eastAsia="黑体"/>
          <w:color w:val="000000" w:themeColor="text1"/>
          <w:sz w:val="32"/>
          <w:szCs w:val="32"/>
          <w14:textFill>
            <w14:solidFill>
              <w14:schemeClr w14:val="tx1"/>
            </w14:solidFill>
          </w14:textFill>
        </w:rPr>
        <w:t>八、</w:t>
      </w:r>
      <w:r>
        <w:rPr>
          <w:rStyle w:val="34"/>
          <w:rFonts w:hint="eastAsia" w:ascii="黑体" w:hAnsi="黑体" w:eastAsia="黑体"/>
          <w:b w:val="0"/>
          <w:color w:val="000000" w:themeColor="text1"/>
          <w14:textFill>
            <w14:solidFill>
              <w14:schemeClr w14:val="tx1"/>
            </w14:solidFill>
          </w14:textFill>
        </w:rPr>
        <w:t>政府性基金预算支出决算情况说明</w:t>
      </w:r>
      <w:bookmarkEnd w:id="119"/>
      <w:bookmarkEnd w:id="120"/>
      <w:bookmarkEnd w:id="121"/>
      <w:bookmarkEnd w:id="122"/>
      <w:bookmarkEnd w:id="123"/>
      <w:bookmarkEnd w:id="124"/>
    </w:p>
    <w:p w14:paraId="39BD87CA">
      <w:pPr>
        <w:shd w:val="clear"/>
        <w:spacing w:line="600" w:lineRule="exact"/>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2023</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度</w:t>
      </w:r>
      <w:r>
        <w:rPr>
          <w:rFonts w:hint="eastAsia" w:ascii="仿宋_GB2312" w:eastAsia="仿宋_GB2312"/>
          <w:color w:val="000000" w:themeColor="text1"/>
          <w:sz w:val="32"/>
          <w:szCs w:val="32"/>
          <w14:textFill>
            <w14:solidFill>
              <w14:schemeClr w14:val="tx1"/>
            </w14:solidFill>
          </w14:textFill>
        </w:rPr>
        <w:t>政府性基金预算</w:t>
      </w:r>
      <w:r>
        <w:rPr>
          <w:rFonts w:hint="eastAsia" w:ascii="仿宋_GB2312" w:eastAsia="仿宋_GB2312"/>
          <w:color w:val="000000" w:themeColor="text1"/>
          <w:sz w:val="32"/>
          <w:szCs w:val="32"/>
          <w:lang w:eastAsia="zh-CN"/>
          <w14:textFill>
            <w14:solidFill>
              <w14:schemeClr w14:val="tx1"/>
            </w14:solidFill>
          </w14:textFill>
        </w:rPr>
        <w:t>财政</w:t>
      </w:r>
      <w:r>
        <w:rPr>
          <w:rFonts w:hint="eastAsia" w:ascii="仿宋_GB2312" w:eastAsia="仿宋_GB2312"/>
          <w:color w:val="000000" w:themeColor="text1"/>
          <w:sz w:val="32"/>
          <w:szCs w:val="32"/>
          <w14:textFill>
            <w14:solidFill>
              <w14:schemeClr w14:val="tx1"/>
            </w14:solidFill>
          </w14:textFill>
        </w:rPr>
        <w:t>拨款支出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14:paraId="3E162215">
      <w:pPr>
        <w:shd w:val="clear"/>
        <w:spacing w:line="600" w:lineRule="exact"/>
        <w:ind w:firstLine="640"/>
        <w:rPr>
          <w:rFonts w:hint="eastAsia" w:ascii="仿宋_GB2312" w:eastAsia="仿宋_GB2312"/>
          <w:color w:val="000000" w:themeColor="text1"/>
          <w:sz w:val="32"/>
          <w:szCs w:val="32"/>
          <w14:textFill>
            <w14:solidFill>
              <w14:schemeClr w14:val="tx1"/>
            </w14:solidFill>
          </w14:textFill>
        </w:rPr>
      </w:pPr>
    </w:p>
    <w:p w14:paraId="64527238">
      <w:pPr>
        <w:numPr>
          <w:ilvl w:val="0"/>
          <w:numId w:val="2"/>
        </w:numPr>
        <w:shd w:val="clear"/>
        <w:spacing w:line="600" w:lineRule="exact"/>
        <w:ind w:firstLine="640"/>
        <w:outlineLvl w:val="1"/>
        <w:rPr>
          <w:rStyle w:val="34"/>
          <w:rFonts w:ascii="黑体" w:hAnsi="黑体" w:eastAsia="黑体"/>
          <w:b w:val="0"/>
          <w:color w:val="000000" w:themeColor="text1"/>
          <w14:textFill>
            <w14:solidFill>
              <w14:schemeClr w14:val="tx1"/>
            </w14:solidFill>
          </w14:textFill>
        </w:rPr>
      </w:pPr>
      <w:bookmarkStart w:id="125" w:name="_Toc6850"/>
      <w:bookmarkStart w:id="126" w:name="_Toc15396611"/>
      <w:bookmarkStart w:id="127" w:name="_Toc5435"/>
      <w:bookmarkStart w:id="128" w:name="_Toc9164"/>
      <w:bookmarkStart w:id="129" w:name="_Toc15377219"/>
      <w:bookmarkStart w:id="130" w:name="_Toc18406"/>
      <w:r>
        <w:rPr>
          <w:rStyle w:val="34"/>
          <w:rFonts w:hint="eastAsia" w:ascii="黑体" w:hAnsi="黑体" w:eastAsia="黑体"/>
          <w:b w:val="0"/>
          <w:color w:val="000000" w:themeColor="text1"/>
          <w14:textFill>
            <w14:solidFill>
              <w14:schemeClr w14:val="tx1"/>
            </w14:solidFill>
          </w14:textFill>
        </w:rPr>
        <w:t>国有资本经营预算支出决算情况说明</w:t>
      </w:r>
      <w:bookmarkEnd w:id="125"/>
      <w:bookmarkEnd w:id="126"/>
      <w:bookmarkEnd w:id="127"/>
      <w:bookmarkEnd w:id="128"/>
      <w:bookmarkEnd w:id="129"/>
      <w:bookmarkEnd w:id="130"/>
    </w:p>
    <w:p w14:paraId="53CDA79C">
      <w:pPr>
        <w:shd w:val="clear"/>
        <w:spacing w:line="600" w:lineRule="exact"/>
        <w:ind w:firstLine="640"/>
        <w:rPr>
          <w:rFonts w:hint="eastAsia" w:ascii="仿宋_GB2312" w:eastAsia="仿宋_GB2312"/>
          <w:color w:val="000000" w:themeColor="text1"/>
          <w:sz w:val="32"/>
          <w:szCs w:val="32"/>
          <w14:textFill>
            <w14:solidFill>
              <w14:schemeClr w14:val="tx1"/>
            </w14:solidFill>
          </w14:textFill>
        </w:rPr>
      </w:pPr>
      <w:bookmarkStart w:id="131" w:name="_Toc15377221"/>
      <w:bookmarkStart w:id="132" w:name="_Toc15396612"/>
      <w:r>
        <w:rPr>
          <w:rFonts w:hint="eastAsia" w:ascii="仿宋_GB2312" w:eastAsia="仿宋_GB2312"/>
          <w:color w:val="000000" w:themeColor="text1"/>
          <w:sz w:val="32"/>
          <w:szCs w:val="32"/>
          <w:lang w:eastAsia="zh-CN"/>
          <w14:textFill>
            <w14:solidFill>
              <w14:schemeClr w14:val="tx1"/>
            </w14:solidFill>
          </w14:textFill>
        </w:rPr>
        <w:t>2023</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度</w:t>
      </w:r>
      <w:r>
        <w:rPr>
          <w:rFonts w:hint="eastAsia" w:ascii="仿宋_GB2312" w:eastAsia="仿宋_GB2312"/>
          <w:color w:val="000000" w:themeColor="text1"/>
          <w:sz w:val="32"/>
          <w:szCs w:val="32"/>
          <w14:textFill>
            <w14:solidFill>
              <w14:schemeClr w14:val="tx1"/>
            </w14:solidFill>
          </w14:textFill>
        </w:rPr>
        <w:t>国有资本经营预算</w:t>
      </w:r>
      <w:r>
        <w:rPr>
          <w:rFonts w:hint="eastAsia" w:ascii="仿宋_GB2312" w:eastAsia="仿宋_GB2312"/>
          <w:color w:val="000000" w:themeColor="text1"/>
          <w:sz w:val="32"/>
          <w:szCs w:val="32"/>
          <w:lang w:eastAsia="zh-CN"/>
          <w14:textFill>
            <w14:solidFill>
              <w14:schemeClr w14:val="tx1"/>
            </w14:solidFill>
          </w14:textFill>
        </w:rPr>
        <w:t>财政</w:t>
      </w:r>
      <w:r>
        <w:rPr>
          <w:rFonts w:hint="eastAsia" w:ascii="仿宋_GB2312" w:eastAsia="仿宋_GB2312"/>
          <w:color w:val="000000" w:themeColor="text1"/>
          <w:sz w:val="32"/>
          <w:szCs w:val="32"/>
          <w14:textFill>
            <w14:solidFill>
              <w14:schemeClr w14:val="tx1"/>
            </w14:solidFill>
          </w14:textFill>
        </w:rPr>
        <w:t>拨款支出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14:paraId="4AA42044">
      <w:pPr>
        <w:shd w:val="clear"/>
        <w:spacing w:line="600" w:lineRule="exact"/>
        <w:ind w:firstLine="640"/>
        <w:rPr>
          <w:rFonts w:hint="eastAsia" w:ascii="仿宋_GB2312" w:eastAsia="仿宋_GB2312"/>
          <w:color w:val="000000" w:themeColor="text1"/>
          <w:sz w:val="32"/>
          <w:szCs w:val="32"/>
          <w14:textFill>
            <w14:solidFill>
              <w14:schemeClr w14:val="tx1"/>
            </w14:solidFill>
          </w14:textFill>
        </w:rPr>
      </w:pPr>
    </w:p>
    <w:p w14:paraId="2317BF1E">
      <w:pPr>
        <w:shd w:val="clear"/>
        <w:spacing w:line="600" w:lineRule="exact"/>
        <w:ind w:firstLine="800" w:firstLineChars="250"/>
        <w:outlineLvl w:val="1"/>
        <w:rPr>
          <w:rStyle w:val="34"/>
          <w:rFonts w:ascii="黑体" w:hAnsi="黑体" w:eastAsia="黑体"/>
          <w:color w:val="000000" w:themeColor="text1"/>
          <w14:textFill>
            <w14:solidFill>
              <w14:schemeClr w14:val="tx1"/>
            </w14:solidFill>
          </w14:textFill>
        </w:rPr>
      </w:pPr>
      <w:bookmarkStart w:id="133" w:name="_Toc1741"/>
      <w:bookmarkStart w:id="134" w:name="_Toc17155"/>
      <w:bookmarkStart w:id="135" w:name="_Toc30002"/>
      <w:bookmarkStart w:id="136" w:name="_Toc6160"/>
      <w:r>
        <w:rPr>
          <w:rFonts w:hint="eastAsia" w:ascii="黑体" w:hAnsi="黑体" w:eastAsia="黑体"/>
          <w:color w:val="000000" w:themeColor="text1"/>
          <w:sz w:val="32"/>
          <w:szCs w:val="32"/>
          <w14:textFill>
            <w14:solidFill>
              <w14:schemeClr w14:val="tx1"/>
            </w14:solidFill>
          </w14:textFill>
        </w:rPr>
        <w:t>十</w:t>
      </w:r>
      <w:r>
        <w:rPr>
          <w:rStyle w:val="34"/>
          <w:rFonts w:hint="eastAsia" w:ascii="黑体" w:hAnsi="黑体" w:eastAsia="黑体"/>
          <w:color w:val="000000" w:themeColor="text1"/>
          <w14:textFill>
            <w14:solidFill>
              <w14:schemeClr w14:val="tx1"/>
            </w14:solidFill>
          </w14:textFill>
        </w:rPr>
        <w:t>、</w:t>
      </w:r>
      <w:r>
        <w:rPr>
          <w:rStyle w:val="34"/>
          <w:rFonts w:hint="eastAsia" w:ascii="黑体" w:hAnsi="黑体" w:eastAsia="黑体"/>
          <w:b w:val="0"/>
          <w:color w:val="000000" w:themeColor="text1"/>
          <w14:textFill>
            <w14:solidFill>
              <w14:schemeClr w14:val="tx1"/>
            </w14:solidFill>
          </w14:textFill>
        </w:rPr>
        <w:t>其他重要事项的情况说明</w:t>
      </w:r>
      <w:bookmarkEnd w:id="131"/>
      <w:bookmarkEnd w:id="132"/>
      <w:bookmarkEnd w:id="133"/>
      <w:bookmarkEnd w:id="134"/>
      <w:bookmarkEnd w:id="135"/>
      <w:bookmarkEnd w:id="136"/>
    </w:p>
    <w:p w14:paraId="5067E0AF">
      <w:pPr>
        <w:shd w:val="clear"/>
        <w:spacing w:line="600" w:lineRule="exact"/>
        <w:ind w:firstLine="643" w:firstLineChars="200"/>
        <w:outlineLvl w:val="2"/>
        <w:rPr>
          <w:rFonts w:hint="eastAsia" w:ascii="仿宋_GB2312" w:hAnsi="仿宋_GB2312" w:eastAsia="仿宋_GB2312" w:cs="仿宋_GB2312"/>
          <w:color w:val="000000" w:themeColor="text1"/>
          <w:sz w:val="32"/>
          <w:szCs w:val="32"/>
          <w14:textFill>
            <w14:solidFill>
              <w14:schemeClr w14:val="tx1"/>
            </w14:solidFill>
          </w14:textFill>
        </w:rPr>
      </w:pPr>
      <w:bookmarkStart w:id="137" w:name="_Toc18927"/>
      <w:bookmarkStart w:id="138" w:name="_Toc15377222"/>
      <w:bookmarkStart w:id="139" w:name="_Toc7234"/>
      <w:r>
        <w:rPr>
          <w:rFonts w:hint="eastAsia" w:ascii="仿宋_GB2312" w:hAnsi="仿宋_GB2312" w:eastAsia="仿宋_GB2312" w:cs="仿宋_GB2312"/>
          <w:b/>
          <w:color w:val="000000" w:themeColor="text1"/>
          <w:sz w:val="32"/>
          <w:szCs w:val="32"/>
          <w14:textFill>
            <w14:solidFill>
              <w14:schemeClr w14:val="tx1"/>
            </w14:solidFill>
          </w14:textFill>
        </w:rPr>
        <w:t>（一）机关运行经费支出情况</w:t>
      </w:r>
      <w:bookmarkEnd w:id="137"/>
      <w:bookmarkEnd w:id="138"/>
      <w:bookmarkEnd w:id="139"/>
    </w:p>
    <w:p w14:paraId="53EA71E3">
      <w:pPr>
        <w:shd w:val="clear"/>
        <w:spacing w:line="600" w:lineRule="exact"/>
        <w:ind w:firstLine="640" w:firstLineChars="200"/>
        <w:rPr>
          <w:rFonts w:hint="eastAsia" w:ascii="仿宋_GB2312" w:hAnsi="仿宋_GB2312" w:eastAsia="仿宋_GB2312" w:cs="仿宋_GB2312"/>
          <w:color w:val="000000" w:themeColor="text1"/>
          <w:sz w:val="32"/>
          <w:szCs w:val="32"/>
          <w:lang w:val="en-US"/>
          <w14:textFill>
            <w14:solidFill>
              <w14:schemeClr w14:val="tx1"/>
            </w14:solidFill>
          </w14:textFill>
        </w:rPr>
      </w:pPr>
      <w:bookmarkStart w:id="140" w:name="_Toc15377223"/>
      <w:r>
        <w:rPr>
          <w:rFonts w:hint="eastAsia" w:ascii="仿宋_GB2312" w:hAnsi="仿宋_GB2312" w:eastAsia="仿宋_GB2312" w:cs="仿宋_GB2312"/>
          <w:color w:val="000000" w:themeColor="text1"/>
          <w:sz w:val="32"/>
          <w:szCs w:val="32"/>
          <w:lang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度</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区就业局</w:t>
      </w:r>
      <w:r>
        <w:rPr>
          <w:rFonts w:hint="eastAsia" w:ascii="仿宋_GB2312" w:hAnsi="仿宋_GB2312" w:eastAsia="仿宋_GB2312" w:cs="仿宋_GB2312"/>
          <w:color w:val="000000" w:themeColor="text1"/>
          <w:sz w:val="32"/>
          <w:szCs w:val="32"/>
          <w14:textFill>
            <w14:solidFill>
              <w14:schemeClr w14:val="tx1"/>
            </w14:solidFill>
          </w14:textFill>
        </w:rPr>
        <w:t>机关运行经费支出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11.09</w:t>
      </w:r>
      <w:r>
        <w:rPr>
          <w:rFonts w:hint="eastAsia" w:ascii="仿宋_GB2312" w:hAnsi="仿宋_GB2312" w:eastAsia="仿宋_GB2312" w:cs="仿宋_GB2312"/>
          <w:color w:val="000000" w:themeColor="text1"/>
          <w:sz w:val="32"/>
          <w:szCs w:val="32"/>
          <w14:textFill>
            <w14:solidFill>
              <w14:schemeClr w14:val="tx1"/>
            </w14:solidFill>
          </w14:textFill>
        </w:rPr>
        <w:t>万元，比</w:t>
      </w:r>
      <w:r>
        <w:rPr>
          <w:rFonts w:hint="eastAsia" w:ascii="仿宋_GB2312" w:hAnsi="仿宋_GB2312" w:eastAsia="仿宋_GB2312" w:cs="仿宋_GB2312"/>
          <w:color w:val="000000" w:themeColor="text1"/>
          <w:sz w:val="32"/>
          <w:szCs w:val="32"/>
          <w:lang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增加2.91</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增长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35.57%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变动的</w:t>
      </w:r>
      <w:r>
        <w:rPr>
          <w:rFonts w:hint="eastAsia" w:ascii="仿宋_GB2312" w:hAnsi="仿宋_GB2312" w:eastAsia="仿宋_GB2312" w:cs="仿宋_GB2312"/>
          <w:color w:val="000000" w:themeColor="text1"/>
          <w:sz w:val="32"/>
          <w:szCs w:val="32"/>
          <w14:textFill>
            <w14:solidFill>
              <w14:schemeClr w14:val="tx1"/>
            </w14:solidFill>
          </w14:textFill>
        </w:rPr>
        <w:t>主要原因</w:t>
      </w:r>
      <w:r>
        <w:rPr>
          <w:rFonts w:hint="eastAsia" w:ascii="仿宋_GB2312" w:hAnsi="仿宋_GB2312" w:eastAsia="仿宋_GB2312" w:cs="仿宋_GB2312"/>
          <w:color w:val="000000" w:themeColor="text1"/>
          <w:sz w:val="32"/>
          <w:szCs w:val="32"/>
          <w:lang w:eastAsia="zh-CN"/>
          <w14:textFill>
            <w14:solidFill>
              <w14:schemeClr w14:val="tx1"/>
            </w14:solidFill>
          </w14:textFill>
        </w:rPr>
        <w:t>是人员变动</w:t>
      </w:r>
      <w:r>
        <w:rPr>
          <w:rFonts w:hint="eastAsia" w:ascii="仿宋_GB2312" w:hAnsi="仿宋_GB2312" w:eastAsia="仿宋_GB2312" w:cs="仿宋_GB2312"/>
          <w:color w:val="000000" w:themeColor="text1"/>
          <w:sz w:val="32"/>
          <w:szCs w:val="32"/>
          <w14:textFill>
            <w14:solidFill>
              <w14:schemeClr w14:val="tx1"/>
            </w14:solidFill>
          </w14:textFill>
        </w:rPr>
        <w:t>。</w:t>
      </w:r>
    </w:p>
    <w:p w14:paraId="58F4B0DF">
      <w:pPr>
        <w:shd w:val="clea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themeColor="text1"/>
          <w:sz w:val="32"/>
          <w:szCs w:val="32"/>
          <w14:textFill>
            <w14:solidFill>
              <w14:schemeClr w14:val="tx1"/>
            </w14:solidFill>
          </w14:textFill>
        </w:rPr>
      </w:pPr>
      <w:bookmarkStart w:id="141" w:name="_Toc2319"/>
      <w:bookmarkStart w:id="142" w:name="_Toc20171"/>
      <w:r>
        <w:rPr>
          <w:rFonts w:hint="eastAsia" w:ascii="仿宋_GB2312" w:hAnsi="仿宋_GB2312" w:eastAsia="仿宋_GB2312" w:cs="仿宋_GB2312"/>
          <w:b/>
          <w:color w:val="000000" w:themeColor="text1"/>
          <w:sz w:val="32"/>
          <w:szCs w:val="32"/>
          <w14:textFill>
            <w14:solidFill>
              <w14:schemeClr w14:val="tx1"/>
            </w14:solidFill>
          </w14:textFill>
        </w:rPr>
        <w:t>（二）政府采购支出情况</w:t>
      </w:r>
      <w:bookmarkEnd w:id="140"/>
      <w:bookmarkEnd w:id="141"/>
      <w:bookmarkEnd w:id="142"/>
    </w:p>
    <w:p w14:paraId="026F8942">
      <w:pPr>
        <w:shd w:val="clea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bookmarkStart w:id="143" w:name="_Toc15377224"/>
      <w:r>
        <w:rPr>
          <w:rFonts w:hint="eastAsia" w:ascii="仿宋_GB2312" w:hAnsi="仿宋_GB2312" w:eastAsia="仿宋_GB2312" w:cs="仿宋_GB2312"/>
          <w:color w:val="000000" w:themeColor="text1"/>
          <w:sz w:val="32"/>
          <w:szCs w:val="32"/>
          <w:lang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度</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区就业局</w:t>
      </w:r>
      <w:r>
        <w:rPr>
          <w:rFonts w:hint="eastAsia" w:ascii="仿宋_GB2312" w:hAnsi="仿宋_GB2312" w:eastAsia="仿宋_GB2312" w:cs="仿宋_GB2312"/>
          <w:color w:val="000000" w:themeColor="text1"/>
          <w:sz w:val="32"/>
          <w:szCs w:val="32"/>
          <w14:textFill>
            <w14:solidFill>
              <w14:schemeClr w14:val="tx1"/>
            </w14:solidFill>
          </w14:textFill>
        </w:rPr>
        <w:t>政府采购支出总额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万元，其中：政府采购货物支出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万元、政府采购工程支出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万元、政府采购服务支出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万元。授予中小企业合同金额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万元，占政府采购支出总额的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%，其中：授予小微企业合同金额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万元，占政府采购支出总额的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w:t>
      </w:r>
    </w:p>
    <w:p w14:paraId="7A5E8A92">
      <w:pPr>
        <w:shd w:val="clea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themeColor="text1"/>
          <w:sz w:val="32"/>
          <w:szCs w:val="32"/>
          <w14:textFill>
            <w14:solidFill>
              <w14:schemeClr w14:val="tx1"/>
            </w14:solidFill>
          </w14:textFill>
        </w:rPr>
      </w:pPr>
      <w:bookmarkStart w:id="144" w:name="_Toc23907"/>
      <w:bookmarkStart w:id="145" w:name="_Toc4143"/>
      <w:r>
        <w:rPr>
          <w:rFonts w:hint="eastAsia" w:ascii="仿宋_GB2312" w:hAnsi="仿宋_GB2312" w:eastAsia="仿宋_GB2312" w:cs="仿宋_GB2312"/>
          <w:b/>
          <w:color w:val="000000" w:themeColor="text1"/>
          <w:sz w:val="32"/>
          <w:szCs w:val="32"/>
          <w14:textFill>
            <w14:solidFill>
              <w14:schemeClr w14:val="tx1"/>
            </w14:solidFill>
          </w14:textFill>
        </w:rPr>
        <w:t>（三）国有资产占有使用情况</w:t>
      </w:r>
      <w:bookmarkEnd w:id="143"/>
      <w:bookmarkEnd w:id="144"/>
      <w:bookmarkEnd w:id="145"/>
    </w:p>
    <w:p w14:paraId="7DF570EC">
      <w:pPr>
        <w:shd w:val="clear"/>
        <w:autoSpaceDE w:val="0"/>
        <w:autoSpaceDN w:val="0"/>
        <w:adjustRightInd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截至</w:t>
      </w:r>
      <w:r>
        <w:rPr>
          <w:rFonts w:hint="eastAsia" w:ascii="仿宋_GB2312" w:hAnsi="仿宋_GB2312" w:eastAsia="仿宋_GB2312" w:cs="仿宋_GB2312"/>
          <w:color w:val="000000" w:themeColor="text1"/>
          <w:sz w:val="32"/>
          <w:szCs w:val="32"/>
          <w:lang w:eastAsia="zh-CN"/>
          <w14:textFill>
            <w14:solidFill>
              <w14:schemeClr w14:val="tx1"/>
            </w14:solidFill>
          </w14:textFill>
        </w:rPr>
        <w:t>2023</w:t>
      </w:r>
      <w:r>
        <w:rPr>
          <w:rFonts w:hint="eastAsia" w:ascii="仿宋_GB2312" w:hAnsi="仿宋_GB2312" w:eastAsia="仿宋_GB2312" w:cs="仿宋_GB2312"/>
          <w:color w:val="000000" w:themeColor="text1"/>
          <w:sz w:val="32"/>
          <w:szCs w:val="32"/>
          <w14:textFill>
            <w14:solidFill>
              <w14:schemeClr w14:val="tx1"/>
            </w14:solidFill>
          </w14:textFill>
        </w:rPr>
        <w:t>年12月31日，</w:t>
      </w:r>
      <w:r>
        <w:rPr>
          <w:rFonts w:hint="eastAsia" w:ascii="仿宋_GB2312" w:hAnsi="仿宋_GB2312" w:eastAsia="仿宋_GB2312" w:cs="仿宋_GB2312"/>
          <w:color w:val="000000" w:themeColor="text1"/>
          <w:sz w:val="32"/>
          <w:szCs w:val="32"/>
          <w:lang w:eastAsia="zh-CN"/>
          <w14:textFill>
            <w14:solidFill>
              <w14:schemeClr w14:val="tx1"/>
            </w14:solidFill>
          </w14:textFill>
        </w:rPr>
        <w:t>区就业局</w:t>
      </w:r>
      <w:r>
        <w:rPr>
          <w:rFonts w:hint="eastAsia" w:ascii="仿宋_GB2312" w:hAnsi="仿宋_GB2312" w:eastAsia="仿宋_GB2312" w:cs="仿宋_GB2312"/>
          <w:color w:val="000000" w:themeColor="text1"/>
          <w:sz w:val="32"/>
          <w:szCs w:val="32"/>
          <w14:textFill>
            <w14:solidFill>
              <w14:schemeClr w14:val="tx1"/>
            </w14:solidFill>
          </w14:textFill>
        </w:rPr>
        <w:t>共有车辆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辆，其中：主要领导干部用车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辆、机要通信用车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辆、应急保障用车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辆、其他用车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其他用车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i w:val="0"/>
          <w:iCs w:val="0"/>
          <w:color w:val="auto"/>
          <w:sz w:val="32"/>
          <w:szCs w:val="32"/>
          <w:highlight w:val="none"/>
        </w:rPr>
        <w:t>单价100万元以上设备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台（套）。</w:t>
      </w:r>
    </w:p>
    <w:p w14:paraId="09D58919">
      <w:pPr>
        <w:keepNext w:val="0"/>
        <w:keepLines w:val="0"/>
        <w:pageBreakBefore w:val="0"/>
        <w:widowControl w:val="0"/>
        <w:numPr>
          <w:ilvl w:val="0"/>
          <w:numId w:val="3"/>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color w:val="auto"/>
          <w:sz w:val="32"/>
          <w:szCs w:val="32"/>
          <w:highlight w:val="none"/>
        </w:rPr>
      </w:pPr>
      <w:bookmarkStart w:id="146" w:name="_Toc15396613"/>
      <w:bookmarkStart w:id="147" w:name="_Toc15377225"/>
      <w:bookmarkStart w:id="148" w:name="_Toc3256"/>
      <w:r>
        <w:rPr>
          <w:rFonts w:hint="eastAsia" w:ascii="仿宋_GB2312" w:hAnsi="仿宋_GB2312" w:eastAsia="仿宋_GB2312" w:cs="仿宋_GB2312"/>
          <w:b/>
          <w:color w:val="auto"/>
          <w:sz w:val="32"/>
          <w:szCs w:val="32"/>
          <w:highlight w:val="none"/>
        </w:rPr>
        <w:t>预算绩效管理情况</w:t>
      </w:r>
    </w:p>
    <w:p w14:paraId="68AE5408">
      <w:pPr>
        <w:spacing w:line="58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根据预算绩效管理要求，在年初预算编制阶段，组织对</w:t>
      </w:r>
      <w:r>
        <w:rPr>
          <w:rFonts w:hint="eastAsia" w:ascii="仿宋_GB2312" w:hAnsi="仿宋_GB2312" w:eastAsia="仿宋_GB2312" w:cs="仿宋_GB2312"/>
          <w:b w:val="0"/>
          <w:bCs w:val="0"/>
          <w:color w:val="auto"/>
          <w:sz w:val="32"/>
          <w:szCs w:val="32"/>
          <w:lang w:eastAsia="zh-CN"/>
        </w:rPr>
        <w:t>“就业创业</w:t>
      </w:r>
      <w:r>
        <w:rPr>
          <w:rFonts w:hint="eastAsia" w:ascii="仿宋_GB2312" w:hAnsi="仿宋_GB2312" w:eastAsia="仿宋_GB2312" w:cs="仿宋_GB2312"/>
          <w:b w:val="0"/>
          <w:bCs w:val="0"/>
          <w:color w:val="auto"/>
          <w:sz w:val="32"/>
          <w:szCs w:val="32"/>
          <w:lang w:val="en-US" w:eastAsia="zh-CN"/>
        </w:rPr>
        <w:t>服务</w:t>
      </w:r>
      <w:r>
        <w:rPr>
          <w:rFonts w:hint="eastAsia" w:ascii="仿宋_GB2312" w:hAnsi="仿宋_GB2312" w:eastAsia="仿宋_GB2312" w:cs="仿宋_GB2312"/>
          <w:b w:val="0"/>
          <w:bCs w:val="0"/>
          <w:color w:val="auto"/>
          <w:sz w:val="32"/>
          <w:szCs w:val="32"/>
          <w:lang w:eastAsia="zh-CN"/>
        </w:rPr>
        <w:t>经费”、</w:t>
      </w:r>
      <w:r>
        <w:rPr>
          <w:rFonts w:hint="eastAsia" w:ascii="仿宋_GB2312" w:hAnsi="仿宋_GB2312" w:eastAsia="仿宋_GB2312" w:cs="仿宋_GB2312"/>
          <w:b w:val="0"/>
          <w:bCs w:val="0"/>
          <w:color w:val="auto"/>
          <w:sz w:val="32"/>
          <w:szCs w:val="32"/>
          <w:lang w:val="en-US" w:eastAsia="zh-CN"/>
        </w:rPr>
        <w:t>“就业创业补助资金”</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“2023年中省财政衔接推进乡村振兴补助资金”</w:t>
      </w:r>
      <w:r>
        <w:rPr>
          <w:rFonts w:hint="eastAsia" w:ascii="仿宋_GB2312" w:hAnsi="仿宋_GB2312" w:eastAsia="仿宋_GB2312" w:cs="仿宋_GB2312"/>
          <w:color w:val="auto"/>
          <w:sz w:val="32"/>
          <w:szCs w:val="32"/>
        </w:rPr>
        <w:t>项目开展了预算事前绩效评估，对</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个项目开展绩效监控，年终执行完毕后，对</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个项目开展了绩效目标完成情况自评。</w:t>
      </w:r>
    </w:p>
    <w:p w14:paraId="528EC742">
      <w:pPr>
        <w:autoSpaceDE w:val="0"/>
        <w:autoSpaceDN w:val="0"/>
        <w:adjustRightInd w:val="0"/>
        <w:spacing w:line="600" w:lineRule="exact"/>
        <w:ind w:firstLine="640" w:firstLineChars="200"/>
        <w:jc w:val="left"/>
        <w:outlineLvl w:val="2"/>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val="0"/>
          <w:bCs w:val="0"/>
          <w:i w:val="0"/>
          <w:iCs w:val="0"/>
          <w:color w:val="auto"/>
          <w:sz w:val="32"/>
          <w:szCs w:val="32"/>
          <w:highlight w:val="none"/>
          <w:lang w:eastAsia="zh-CN"/>
        </w:rPr>
        <w:t>组织</w:t>
      </w:r>
      <w:r>
        <w:rPr>
          <w:rFonts w:hint="eastAsia" w:ascii="仿宋_GB2312" w:hAnsi="仿宋_GB2312" w:eastAsia="仿宋_GB2312" w:cs="仿宋_GB2312"/>
          <w:b w:val="0"/>
          <w:bCs w:val="0"/>
          <w:i w:val="0"/>
          <w:iCs w:val="0"/>
          <w:color w:val="auto"/>
          <w:sz w:val="32"/>
          <w:szCs w:val="32"/>
          <w:highlight w:val="none"/>
        </w:rPr>
        <w:t>对</w:t>
      </w:r>
      <w:r>
        <w:rPr>
          <w:rFonts w:hint="eastAsia" w:ascii="仿宋_GB2312" w:hAnsi="仿宋_GB2312" w:eastAsia="仿宋_GB2312" w:cs="仿宋_GB2312"/>
          <w:b w:val="0"/>
          <w:bCs w:val="0"/>
          <w:i w:val="0"/>
          <w:iCs w:val="0"/>
          <w:color w:val="auto"/>
          <w:sz w:val="32"/>
          <w:szCs w:val="32"/>
          <w:highlight w:val="none"/>
          <w:lang w:val="en-US" w:eastAsia="zh-CN"/>
        </w:rPr>
        <w:t>2023年度一般公共预算全面开展绩效自评，形成遂宁市安居区就业服务管理局</w:t>
      </w:r>
      <w:r>
        <w:rPr>
          <w:rFonts w:hint="eastAsia" w:ascii="仿宋_GB2312" w:hAnsi="仿宋_GB2312" w:eastAsia="仿宋_GB2312" w:cs="仿宋_GB2312"/>
          <w:b w:val="0"/>
          <w:bCs w:val="0"/>
          <w:i w:val="0"/>
          <w:iCs w:val="0"/>
          <w:color w:val="auto"/>
          <w:sz w:val="32"/>
          <w:szCs w:val="32"/>
          <w:highlight w:val="none"/>
          <w:lang w:eastAsia="zh-CN"/>
        </w:rPr>
        <w:t>部门整体（含部门预算项目）</w:t>
      </w:r>
      <w:r>
        <w:rPr>
          <w:rFonts w:hint="eastAsia" w:ascii="仿宋_GB2312" w:hAnsi="仿宋_GB2312" w:eastAsia="仿宋_GB2312" w:cs="仿宋_GB2312"/>
          <w:b w:val="0"/>
          <w:bCs w:val="0"/>
          <w:i w:val="0"/>
          <w:iCs w:val="0"/>
          <w:color w:val="auto"/>
          <w:sz w:val="32"/>
          <w:szCs w:val="32"/>
          <w:highlight w:val="none"/>
          <w:lang w:val="en-US" w:eastAsia="zh-CN"/>
        </w:rPr>
        <w:t>绩效自评报告</w:t>
      </w:r>
      <w:r>
        <w:rPr>
          <w:rFonts w:hint="eastAsia" w:ascii="仿宋_GB2312" w:hAnsi="仿宋_GB2312" w:eastAsia="仿宋_GB2312" w:cs="仿宋_GB2312"/>
          <w:b w:val="0"/>
          <w:bCs w:val="0"/>
          <w:i w:val="0"/>
          <w:iCs w:val="0"/>
          <w:color w:val="auto"/>
          <w:sz w:val="32"/>
          <w:szCs w:val="32"/>
          <w:highlight w:val="none"/>
          <w:lang w:eastAsia="zh-CN"/>
        </w:rPr>
        <w:t>、“就业创业资金”“就业创业补助资金”“就业创业服务经费”“2023年中省财政衔接推进乡村振兴补助资金”</w:t>
      </w:r>
      <w:r>
        <w:rPr>
          <w:rFonts w:hint="eastAsia" w:ascii="仿宋_GB2312" w:hAnsi="仿宋_GB2312" w:eastAsia="仿宋_GB2312" w:cs="仿宋_GB2312"/>
          <w:b w:val="0"/>
          <w:bCs w:val="0"/>
          <w:i w:val="0"/>
          <w:iCs w:val="0"/>
          <w:color w:val="auto"/>
          <w:sz w:val="32"/>
          <w:szCs w:val="32"/>
          <w:highlight w:val="none"/>
          <w:lang w:val="en-US" w:eastAsia="zh-CN"/>
        </w:rPr>
        <w:t>等</w:t>
      </w:r>
      <w:r>
        <w:rPr>
          <w:rFonts w:hint="eastAsia" w:ascii="仿宋_GB2312" w:hAnsi="仿宋_GB2312" w:eastAsia="仿宋_GB2312" w:cs="仿宋_GB2312"/>
          <w:b w:val="0"/>
          <w:bCs w:val="0"/>
          <w:i w:val="0"/>
          <w:iCs w:val="0"/>
          <w:color w:val="auto"/>
          <w:sz w:val="32"/>
          <w:szCs w:val="32"/>
          <w:highlight w:val="none"/>
          <w:lang w:eastAsia="zh-CN"/>
        </w:rPr>
        <w:t>专项预算项目</w:t>
      </w:r>
      <w:r>
        <w:rPr>
          <w:rFonts w:hint="eastAsia" w:ascii="仿宋_GB2312" w:hAnsi="仿宋_GB2312" w:eastAsia="仿宋_GB2312" w:cs="仿宋_GB2312"/>
          <w:b w:val="0"/>
          <w:bCs w:val="0"/>
          <w:i w:val="0"/>
          <w:iCs w:val="0"/>
          <w:color w:val="auto"/>
          <w:sz w:val="32"/>
          <w:szCs w:val="32"/>
          <w:highlight w:val="none"/>
          <w:lang w:val="en-US" w:eastAsia="zh-CN"/>
        </w:rPr>
        <w:t>绩效自评报告，其中，遂宁市安居区就业服务管理局部门整体</w:t>
      </w:r>
      <w:r>
        <w:rPr>
          <w:rFonts w:hint="eastAsia" w:ascii="仿宋_GB2312" w:hAnsi="仿宋_GB2312" w:eastAsia="仿宋_GB2312" w:cs="仿宋_GB2312"/>
          <w:b w:val="0"/>
          <w:bCs w:val="0"/>
          <w:i w:val="0"/>
          <w:iCs w:val="0"/>
          <w:color w:val="auto"/>
          <w:sz w:val="32"/>
          <w:szCs w:val="32"/>
          <w:highlight w:val="none"/>
          <w:lang w:eastAsia="zh-CN"/>
        </w:rPr>
        <w:t>（含部门预算项目）</w:t>
      </w:r>
      <w:r>
        <w:rPr>
          <w:rFonts w:hint="eastAsia" w:ascii="仿宋_GB2312" w:hAnsi="仿宋_GB2312" w:eastAsia="仿宋_GB2312" w:cs="仿宋_GB2312"/>
          <w:b w:val="0"/>
          <w:bCs w:val="0"/>
          <w:i w:val="0"/>
          <w:iCs w:val="0"/>
          <w:color w:val="auto"/>
          <w:sz w:val="32"/>
          <w:szCs w:val="32"/>
          <w:highlight w:val="none"/>
          <w:lang w:val="en-US" w:eastAsia="zh-CN"/>
        </w:rPr>
        <w:t>绩效自评得分为88分，绩效自评综述：为贯彻落实各项就业创业政策，根据《中华人民共和国就业促进法》《关于印发〈2023年全市就业创业服务工作要点〉的通知》（遂就发〔2022〕13 号）《遂宁市人力资源和社会保障局等5部门关于加强就业帮扶巩固拓展脱贫攻坚成果推进乡村振兴的实施意见》（遂人社发〔2021〕23号）等文件要求，</w:t>
      </w:r>
      <w:r>
        <w:rPr>
          <w:rFonts w:hint="eastAsia" w:ascii="仿宋_GB2312" w:hAnsi="仿宋_GB2312" w:eastAsia="仿宋_GB2312" w:cs="仿宋_GB2312"/>
          <w:b w:val="0"/>
          <w:bCs w:val="0"/>
          <w:i w:val="0"/>
          <w:iCs w:val="0"/>
          <w:color w:val="auto"/>
          <w:sz w:val="32"/>
          <w:szCs w:val="32"/>
          <w:highlight w:val="none"/>
          <w:lang w:val="zh-CN" w:eastAsia="zh-CN"/>
        </w:rPr>
        <w:t>大力实施就业普惠政策，</w:t>
      </w:r>
      <w:r>
        <w:rPr>
          <w:rFonts w:hint="eastAsia" w:ascii="仿宋_GB2312" w:hAnsi="仿宋_GB2312" w:eastAsia="仿宋_GB2312" w:cs="仿宋_GB2312"/>
          <w:b w:val="0"/>
          <w:bCs w:val="0"/>
          <w:i w:val="0"/>
          <w:iCs w:val="0"/>
          <w:color w:val="auto"/>
          <w:sz w:val="32"/>
          <w:szCs w:val="32"/>
          <w:highlight w:val="none"/>
          <w:lang w:val="en-US" w:eastAsia="zh-CN"/>
        </w:rPr>
        <w:t>完善公共服务举措，着力促进重点群体就业，推动创业带动就业，确保全区就业形势总体稳定，全年预算安排资金3340.79万元，支出率100%。基本完成年初预算产出指标、效益、满意度指标；</w:t>
      </w:r>
      <w:r>
        <w:rPr>
          <w:rFonts w:hint="eastAsia" w:ascii="仿宋_GB2312" w:hAnsi="仿宋_GB2312" w:eastAsia="仿宋_GB2312" w:cs="仿宋_GB2312"/>
          <w:b w:val="0"/>
          <w:bCs w:val="0"/>
          <w:i w:val="0"/>
          <w:iCs w:val="0"/>
          <w:color w:val="auto"/>
          <w:sz w:val="32"/>
          <w:szCs w:val="32"/>
          <w:highlight w:val="none"/>
          <w:lang w:eastAsia="zh-CN"/>
        </w:rPr>
        <w:t>“就业创业补助资金”专项预</w:t>
      </w:r>
      <w:r>
        <w:rPr>
          <w:rFonts w:hint="eastAsia" w:ascii="仿宋_GB2312" w:hAnsi="仿宋_GB2312" w:eastAsia="仿宋_GB2312" w:cs="仿宋_GB2312"/>
          <w:b w:val="0"/>
          <w:bCs w:val="0"/>
          <w:i w:val="0"/>
          <w:iCs w:val="0"/>
          <w:color w:val="auto"/>
          <w:sz w:val="32"/>
          <w:szCs w:val="32"/>
          <w:highlight w:val="none"/>
          <w:lang w:val="en-US" w:eastAsia="zh-CN"/>
        </w:rPr>
        <w:t>算项目绩效自评得分为93分，绩效自评综述：项目绩效目标完成情况综述。项目全年预算就业创业资金等专项资金2208.83万元，执行数为2208.83万元，完成预算的100%。通过项目实施，全区城镇新增就业4185人，占年度目标任务3200人的130.78%；城镇失业人员再就业1931人，占年度目标任务1400人的137.92%；就业困难人员就业300人，占年度目标任务300人的100%；青年就业见习79人，占年度目标任务60人的131.66%；离校未就业高校毕业生联系率100%，占年度目标任务95%的105%；离校未就业高校毕业生帮扶就业率90.97%，占年度目标任务85%的107%。离校未就业高校毕业生联系率98%、就业创业比例达到95%。“</w:t>
      </w:r>
      <w:r>
        <w:rPr>
          <w:rFonts w:hint="eastAsia" w:ascii="仿宋_GB2312" w:hAnsi="仿宋_GB2312" w:eastAsia="仿宋_GB2312" w:cs="仿宋_GB2312"/>
          <w:b w:val="0"/>
          <w:bCs w:val="0"/>
          <w:i w:val="0"/>
          <w:iCs w:val="0"/>
          <w:color w:val="auto"/>
          <w:sz w:val="32"/>
          <w:szCs w:val="32"/>
          <w:highlight w:val="none"/>
          <w:lang w:eastAsia="zh-CN"/>
        </w:rPr>
        <w:t>就业创业服务经费</w:t>
      </w:r>
      <w:r>
        <w:rPr>
          <w:rFonts w:hint="eastAsia" w:ascii="仿宋_GB2312" w:hAnsi="仿宋_GB2312" w:eastAsia="仿宋_GB2312" w:cs="仿宋_GB2312"/>
          <w:b w:val="0"/>
          <w:bCs w:val="0"/>
          <w:i w:val="0"/>
          <w:iCs w:val="0"/>
          <w:color w:val="auto"/>
          <w:sz w:val="32"/>
          <w:szCs w:val="32"/>
          <w:highlight w:val="none"/>
          <w:lang w:val="en-US" w:eastAsia="zh-CN"/>
        </w:rPr>
        <w:t>”</w:t>
      </w:r>
      <w:r>
        <w:rPr>
          <w:rFonts w:hint="eastAsia" w:ascii="仿宋_GB2312" w:hAnsi="仿宋_GB2312" w:eastAsia="仿宋_GB2312" w:cs="仿宋_GB2312"/>
          <w:b w:val="0"/>
          <w:bCs w:val="0"/>
          <w:i w:val="0"/>
          <w:iCs w:val="0"/>
          <w:color w:val="auto"/>
          <w:sz w:val="32"/>
          <w:szCs w:val="32"/>
          <w:highlight w:val="none"/>
          <w:lang w:eastAsia="zh-CN"/>
        </w:rPr>
        <w:t>专项预</w:t>
      </w:r>
      <w:r>
        <w:rPr>
          <w:rFonts w:hint="eastAsia" w:ascii="仿宋_GB2312" w:hAnsi="仿宋_GB2312" w:eastAsia="仿宋_GB2312" w:cs="仿宋_GB2312"/>
          <w:b w:val="0"/>
          <w:bCs w:val="0"/>
          <w:i w:val="0"/>
          <w:iCs w:val="0"/>
          <w:color w:val="auto"/>
          <w:sz w:val="32"/>
          <w:szCs w:val="32"/>
          <w:highlight w:val="none"/>
          <w:lang w:val="en-US" w:eastAsia="zh-CN"/>
        </w:rPr>
        <w:t>算项目绩效自评得分为89分，绩效自评综述：项目全年预算数10万元，历年结余0.38万元，执行数为10.21万元，完成预算的98.36%。通过项目实施，用于保障单位机构正常运转、完成日常工作任务以及承担全区就业创业服务相关工作。</w:t>
      </w:r>
      <w:r>
        <w:rPr>
          <w:rFonts w:hint="eastAsia" w:ascii="仿宋_GB2312" w:hAnsi="仿宋_GB2312" w:eastAsia="仿宋_GB2312" w:cs="仿宋_GB2312"/>
          <w:b w:val="0"/>
          <w:bCs w:val="0"/>
          <w:i w:val="0"/>
          <w:iCs w:val="0"/>
          <w:color w:val="auto"/>
          <w:sz w:val="32"/>
          <w:szCs w:val="32"/>
          <w:highlight w:val="none"/>
          <w:lang w:eastAsia="zh-CN"/>
        </w:rPr>
        <w:t>“2023年中省财政衔接推进乡村振兴补助资金”专项预</w:t>
      </w:r>
      <w:r>
        <w:rPr>
          <w:rFonts w:hint="eastAsia" w:ascii="仿宋_GB2312" w:hAnsi="仿宋_GB2312" w:eastAsia="仿宋_GB2312" w:cs="仿宋_GB2312"/>
          <w:b w:val="0"/>
          <w:bCs w:val="0"/>
          <w:i w:val="0"/>
          <w:iCs w:val="0"/>
          <w:color w:val="auto"/>
          <w:sz w:val="32"/>
          <w:szCs w:val="32"/>
          <w:highlight w:val="none"/>
          <w:lang w:val="en-US" w:eastAsia="zh-CN"/>
        </w:rPr>
        <w:t>算项目绩效自评得分为92分，绩效自评综述：项目绩效目标完成情况综述。全年预算数1121.75万元，执行数为1145.06万元，完成预算100%。通过项目实施，开发临时性工作岗位2000余人，为脱贫户和边缘易致贫户提供就业扶持，增加收入。绩效自评报告详见附件。</w:t>
      </w:r>
    </w:p>
    <w:p w14:paraId="598F0634">
      <w:pPr>
        <w:rPr>
          <w:rStyle w:val="33"/>
          <w:rFonts w:ascii="黑体" w:hAnsi="黑体" w:eastAsia="黑体"/>
          <w:b w:val="0"/>
          <w:color w:val="000000" w:themeColor="text1"/>
          <w14:textFill>
            <w14:solidFill>
              <w14:schemeClr w14:val="tx1"/>
            </w14:solidFill>
          </w14:textFill>
        </w:rPr>
      </w:pPr>
      <w:bookmarkStart w:id="149" w:name="_Toc26895"/>
      <w:bookmarkStart w:id="150" w:name="_Toc28261"/>
      <w:r>
        <w:rPr>
          <w:rFonts w:hint="eastAsia" w:ascii="黑体" w:hAnsi="黑体" w:eastAsia="黑体"/>
          <w:color w:val="000000" w:themeColor="text1"/>
          <w:sz w:val="44"/>
          <w:szCs w:val="44"/>
          <w14:textFill>
            <w14:solidFill>
              <w14:schemeClr w14:val="tx1"/>
            </w14:solidFill>
          </w14:textFill>
        </w:rPr>
        <w:br w:type="page"/>
      </w:r>
    </w:p>
    <w:p w14:paraId="7FBF2C9B">
      <w:pPr>
        <w:numPr>
          <w:ilvl w:val="0"/>
          <w:numId w:val="4"/>
        </w:numPr>
        <w:shd w:val="clear"/>
        <w:spacing w:line="600" w:lineRule="exact"/>
        <w:ind w:firstLine="660" w:firstLineChars="150"/>
        <w:jc w:val="center"/>
        <w:outlineLvl w:val="0"/>
        <w:rPr>
          <w:rStyle w:val="33"/>
          <w:rFonts w:ascii="黑体" w:hAnsi="黑体" w:eastAsia="黑体"/>
          <w:b w:val="0"/>
          <w:color w:val="000000" w:themeColor="text1"/>
          <w14:textFill>
            <w14:solidFill>
              <w14:schemeClr w14:val="tx1"/>
            </w14:solidFill>
          </w14:textFill>
        </w:rPr>
      </w:pPr>
      <w:bookmarkStart w:id="151" w:name="_Toc27767"/>
      <w:r>
        <w:rPr>
          <w:rFonts w:hint="eastAsia" w:ascii="黑体" w:hAnsi="黑体" w:eastAsia="黑体"/>
          <w:color w:val="000000" w:themeColor="text1"/>
          <w:sz w:val="44"/>
          <w:szCs w:val="44"/>
          <w14:textFill>
            <w14:solidFill>
              <w14:schemeClr w14:val="tx1"/>
            </w14:solidFill>
          </w14:textFill>
        </w:rPr>
        <w:t>名</w:t>
      </w:r>
      <w:r>
        <w:rPr>
          <w:rStyle w:val="33"/>
          <w:rFonts w:hint="eastAsia" w:ascii="黑体" w:hAnsi="黑体" w:eastAsia="黑体"/>
          <w:b w:val="0"/>
          <w:color w:val="000000" w:themeColor="text1"/>
          <w14:textFill>
            <w14:solidFill>
              <w14:schemeClr w14:val="tx1"/>
            </w14:solidFill>
          </w14:textFill>
        </w:rPr>
        <w:t>词解释</w:t>
      </w:r>
      <w:bookmarkEnd w:id="146"/>
      <w:bookmarkEnd w:id="147"/>
      <w:bookmarkEnd w:id="148"/>
      <w:bookmarkEnd w:id="149"/>
      <w:bookmarkEnd w:id="150"/>
      <w:bookmarkEnd w:id="151"/>
    </w:p>
    <w:p w14:paraId="78640A08">
      <w:pPr>
        <w:shd w:val="clear"/>
        <w:spacing w:line="600" w:lineRule="exact"/>
        <w:jc w:val="left"/>
        <w:rPr>
          <w:rFonts w:ascii="宋体"/>
          <w:b/>
          <w:color w:val="000000" w:themeColor="text1"/>
          <w:sz w:val="44"/>
          <w:szCs w:val="44"/>
          <w14:textFill>
            <w14:solidFill>
              <w14:schemeClr w14:val="tx1"/>
            </w14:solidFill>
          </w14:textFill>
        </w:rPr>
      </w:pPr>
    </w:p>
    <w:p w14:paraId="354E36F6">
      <w:pPr>
        <w:pStyle w:val="31"/>
        <w:spacing w:line="560" w:lineRule="exact"/>
        <w:ind w:firstLine="640" w:firstLineChars="200"/>
        <w:outlineLvl w:val="1"/>
        <w:rPr>
          <w:rFonts w:hint="eastAsia" w:ascii="仿宋_GB2312" w:hAnsi="仿宋_GB2312" w:eastAsia="仿宋_GB2312" w:cs="仿宋_GB2312"/>
          <w:color w:val="auto"/>
          <w:sz w:val="32"/>
          <w:szCs w:val="32"/>
          <w:highlight w:val="none"/>
        </w:rPr>
      </w:pPr>
      <w:bookmarkStart w:id="152" w:name="_Toc11029"/>
      <w:bookmarkStart w:id="153" w:name="_Toc7699"/>
      <w:bookmarkStart w:id="154" w:name="_Toc11301"/>
      <w:bookmarkStart w:id="155" w:name="_Toc15517"/>
      <w:bookmarkStart w:id="156" w:name="_Toc15377226"/>
      <w:r>
        <w:rPr>
          <w:rFonts w:hint="eastAsia" w:ascii="仿宋_GB2312" w:hAnsi="仿宋_GB2312" w:eastAsia="仿宋_GB2312" w:cs="仿宋_GB2312"/>
          <w:color w:val="auto"/>
          <w:sz w:val="32"/>
          <w:szCs w:val="32"/>
          <w:highlight w:val="none"/>
        </w:rPr>
        <w:t>1.财政拨款收入：指</w:t>
      </w:r>
      <w:r>
        <w:rPr>
          <w:rFonts w:hint="eastAsia"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highlight w:val="none"/>
        </w:rPr>
        <w:t>从同级财政取得的财政预算资金。</w:t>
      </w:r>
      <w:bookmarkEnd w:id="152"/>
      <w:bookmarkEnd w:id="153"/>
      <w:bookmarkEnd w:id="154"/>
      <w:bookmarkEnd w:id="155"/>
    </w:p>
    <w:p w14:paraId="745A2469">
      <w:pPr>
        <w:shd w:val="clear"/>
        <w:spacing w:line="560" w:lineRule="exact"/>
        <w:ind w:firstLine="640" w:firstLineChars="200"/>
        <w:rPr>
          <w:rStyle w:val="21"/>
          <w:rFonts w:hint="eastAsia" w:ascii="仿宋_GB2312" w:hAnsi="仿宋_GB2312" w:eastAsia="仿宋_GB2312" w:cs="仿宋_GB2312"/>
          <w:b w:val="0"/>
          <w:color w:val="000000" w:themeColor="text1"/>
          <w:sz w:val="32"/>
          <w:szCs w:val="32"/>
          <w:highlight w:val="none"/>
          <w:lang w:eastAsia="zh-CN"/>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2</w:t>
      </w:r>
      <w:r>
        <w:rPr>
          <w:rStyle w:val="21"/>
          <w:rFonts w:hint="eastAsia" w:ascii="仿宋_GB2312" w:hAnsi="仿宋_GB2312" w:eastAsia="仿宋_GB2312" w:cs="仿宋_GB2312"/>
          <w:b w:val="0"/>
          <w:color w:val="000000" w:themeColor="text1"/>
          <w:sz w:val="32"/>
          <w:szCs w:val="32"/>
          <w14:textFill>
            <w14:solidFill>
              <w14:schemeClr w14:val="tx1"/>
            </w14:solidFill>
          </w14:textFill>
        </w:rPr>
        <w:t>.社会保障和就业（类）人力资源和社会保障管</w:t>
      </w:r>
      <w:r>
        <w:rPr>
          <w:rStyle w:val="21"/>
          <w:rFonts w:hint="eastAsia" w:ascii="仿宋_GB2312" w:hAnsi="仿宋_GB2312" w:eastAsia="仿宋_GB2312" w:cs="仿宋_GB2312"/>
          <w:b w:val="0"/>
          <w:color w:val="000000" w:themeColor="text1"/>
          <w:sz w:val="32"/>
          <w:szCs w:val="32"/>
          <w:highlight w:val="none"/>
          <w14:textFill>
            <w14:solidFill>
              <w14:schemeClr w14:val="tx1"/>
            </w14:solidFill>
          </w14:textFill>
        </w:rPr>
        <w:t>理事务、行政（款）就业管理事务（项）: 指</w:t>
      </w:r>
      <w:r>
        <w:rPr>
          <w:rStyle w:val="21"/>
          <w:rFonts w:hint="eastAsia" w:ascii="仿宋_GB2312" w:hAnsi="仿宋_GB2312" w:eastAsia="仿宋_GB2312" w:cs="仿宋_GB2312"/>
          <w:b w:val="0"/>
          <w:color w:val="000000" w:themeColor="text1"/>
          <w:sz w:val="32"/>
          <w:szCs w:val="32"/>
          <w:highlight w:val="none"/>
          <w:lang w:eastAsia="zh-CN"/>
          <w14:textFill>
            <w14:solidFill>
              <w14:schemeClr w14:val="tx1"/>
            </w14:solidFill>
          </w14:textFill>
        </w:rPr>
        <w:t>单位为就业管理事务的日常支出</w:t>
      </w:r>
    </w:p>
    <w:p w14:paraId="63B1F633">
      <w:pPr>
        <w:shd w:val="clear"/>
        <w:spacing w:line="560" w:lineRule="exact"/>
        <w:ind w:firstLine="640" w:firstLineChars="200"/>
        <w:rPr>
          <w:rStyle w:val="21"/>
          <w:rFonts w:hint="eastAsia" w:ascii="仿宋_GB2312" w:hAnsi="仿宋_GB2312" w:eastAsia="仿宋_GB2312" w:cs="仿宋_GB2312"/>
          <w:b w:val="0"/>
          <w:color w:val="000000" w:themeColor="text1"/>
          <w:sz w:val="32"/>
          <w:szCs w:val="32"/>
          <w:highlight w:val="none"/>
          <w:lang w:eastAsia="zh-CN"/>
          <w14:textFill>
            <w14:solidFill>
              <w14:schemeClr w14:val="tx1"/>
            </w14:solidFill>
          </w14:textFill>
        </w:rPr>
      </w:pPr>
      <w:r>
        <w:rPr>
          <w:rStyle w:val="21"/>
          <w:rFonts w:hint="eastAsia" w:ascii="仿宋_GB2312" w:hAnsi="仿宋_GB2312" w:eastAsia="仿宋_GB2312" w:cs="仿宋_GB2312"/>
          <w:b w:val="0"/>
          <w:color w:val="000000" w:themeColor="text1"/>
          <w:sz w:val="32"/>
          <w:szCs w:val="32"/>
          <w:highlight w:val="none"/>
          <w:lang w:val="en-US" w:eastAsia="zh-CN"/>
          <w14:textFill>
            <w14:solidFill>
              <w14:schemeClr w14:val="tx1"/>
            </w14:solidFill>
          </w14:textFill>
        </w:rPr>
        <w:t>3</w:t>
      </w:r>
      <w:r>
        <w:rPr>
          <w:rStyle w:val="21"/>
          <w:rFonts w:hint="eastAsia" w:ascii="仿宋_GB2312" w:hAnsi="仿宋_GB2312" w:eastAsia="仿宋_GB2312" w:cs="仿宋_GB2312"/>
          <w:b w:val="0"/>
          <w:color w:val="000000" w:themeColor="text1"/>
          <w:sz w:val="32"/>
          <w:szCs w:val="32"/>
          <w:highlight w:val="none"/>
          <w14:textFill>
            <w14:solidFill>
              <w14:schemeClr w14:val="tx1"/>
            </w14:solidFill>
          </w14:textFill>
        </w:rPr>
        <w:t>.社会保障和就业（类）人力资源和社会保障管理事务、</w:t>
      </w:r>
      <w:r>
        <w:rPr>
          <w:rStyle w:val="21"/>
          <w:rFonts w:hint="eastAsia" w:ascii="仿宋_GB2312" w:hAnsi="仿宋_GB2312" w:eastAsia="仿宋_GB2312" w:cs="仿宋_GB2312"/>
          <w:b w:val="0"/>
          <w:color w:val="000000" w:themeColor="text1"/>
          <w:sz w:val="32"/>
          <w:szCs w:val="32"/>
          <w14:textFill>
            <w14:solidFill>
              <w14:schemeClr w14:val="tx1"/>
            </w14:solidFill>
          </w14:textFill>
        </w:rPr>
        <w:t xml:space="preserve">行政（款）社会保险经办机构（项）: </w:t>
      </w:r>
      <w:r>
        <w:rPr>
          <w:rStyle w:val="21"/>
          <w:rFonts w:hint="eastAsia" w:ascii="仿宋_GB2312" w:hAnsi="仿宋_GB2312" w:eastAsia="仿宋_GB2312" w:cs="仿宋_GB2312"/>
          <w:b w:val="0"/>
          <w:color w:val="000000" w:themeColor="text1"/>
          <w:sz w:val="32"/>
          <w:szCs w:val="32"/>
          <w:highlight w:val="none"/>
          <w14:textFill>
            <w14:solidFill>
              <w14:schemeClr w14:val="tx1"/>
            </w14:solidFill>
          </w14:textFill>
        </w:rPr>
        <w:t xml:space="preserve"> 指</w:t>
      </w:r>
      <w:r>
        <w:rPr>
          <w:rStyle w:val="21"/>
          <w:rFonts w:hint="eastAsia" w:ascii="仿宋_GB2312" w:hAnsi="仿宋_GB2312" w:eastAsia="仿宋_GB2312" w:cs="仿宋_GB2312"/>
          <w:b w:val="0"/>
          <w:color w:val="000000" w:themeColor="text1"/>
          <w:sz w:val="32"/>
          <w:szCs w:val="32"/>
          <w:highlight w:val="none"/>
          <w:lang w:eastAsia="zh-CN"/>
          <w14:textFill>
            <w14:solidFill>
              <w14:schemeClr w14:val="tx1"/>
            </w14:solidFill>
          </w14:textFill>
        </w:rPr>
        <w:t>单位机关人员日常经费开支</w:t>
      </w:r>
    </w:p>
    <w:p w14:paraId="04735897">
      <w:pPr>
        <w:shd w:val="clear"/>
        <w:spacing w:line="560" w:lineRule="exact"/>
        <w:ind w:firstLine="640" w:firstLineChars="200"/>
        <w:rPr>
          <w:rStyle w:val="21"/>
          <w:rFonts w:hint="eastAsia" w:ascii="仿宋_GB2312" w:hAnsi="仿宋_GB2312" w:eastAsia="仿宋_GB2312" w:cs="仿宋_GB2312"/>
          <w:b w:val="0"/>
          <w:color w:val="000000" w:themeColor="text1"/>
          <w:sz w:val="32"/>
          <w:szCs w:val="32"/>
          <w:lang w:eastAsia="zh-CN"/>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4</w:t>
      </w:r>
      <w:r>
        <w:rPr>
          <w:rStyle w:val="21"/>
          <w:rFonts w:hint="eastAsia" w:ascii="仿宋_GB2312" w:hAnsi="仿宋_GB2312" w:eastAsia="仿宋_GB2312" w:cs="仿宋_GB2312"/>
          <w:b w:val="0"/>
          <w:color w:val="000000" w:themeColor="text1"/>
          <w:sz w:val="32"/>
          <w:szCs w:val="32"/>
          <w14:textFill>
            <w14:solidFill>
              <w14:schemeClr w14:val="tx1"/>
            </w14:solidFill>
          </w14:textFill>
        </w:rPr>
        <w:t>.社会保障和就业（类）行政事业单位养老支出款</w:t>
      </w:r>
      <w:r>
        <w:rPr>
          <w:rStyle w:val="21"/>
          <w:rFonts w:hint="eastAsia" w:ascii="仿宋_GB2312" w:hAnsi="仿宋_GB2312" w:eastAsia="仿宋_GB2312" w:cs="仿宋_GB2312"/>
          <w:b w:val="0"/>
          <w:color w:val="000000" w:themeColor="text1"/>
          <w:sz w:val="32"/>
          <w:szCs w:val="32"/>
          <w:lang w:eastAsia="zh-CN"/>
          <w14:textFill>
            <w14:solidFill>
              <w14:schemeClr w14:val="tx1"/>
            </w14:solidFill>
          </w14:textFill>
        </w:rPr>
        <w:t>（款）</w:t>
      </w:r>
      <w:r>
        <w:rPr>
          <w:rStyle w:val="21"/>
          <w:rFonts w:hint="eastAsia" w:ascii="仿宋_GB2312" w:hAnsi="仿宋_GB2312" w:eastAsia="仿宋_GB2312" w:cs="仿宋_GB2312"/>
          <w:b w:val="0"/>
          <w:color w:val="000000" w:themeColor="text1"/>
          <w:sz w:val="32"/>
          <w:szCs w:val="32"/>
          <w14:textFill>
            <w14:solidFill>
              <w14:schemeClr w14:val="tx1"/>
            </w14:solidFill>
          </w14:textFill>
        </w:rPr>
        <w:t>行政单位离退休（项）: 指</w:t>
      </w:r>
      <w:r>
        <w:rPr>
          <w:rStyle w:val="21"/>
          <w:rFonts w:hint="eastAsia" w:ascii="仿宋_GB2312" w:hAnsi="仿宋_GB2312" w:eastAsia="仿宋_GB2312" w:cs="仿宋_GB2312"/>
          <w:b w:val="0"/>
          <w:color w:val="000000" w:themeColor="text1"/>
          <w:sz w:val="32"/>
          <w:szCs w:val="32"/>
          <w:lang w:eastAsia="zh-CN"/>
          <w14:textFill>
            <w14:solidFill>
              <w14:schemeClr w14:val="tx1"/>
            </w14:solidFill>
          </w14:textFill>
        </w:rPr>
        <w:t>单位退休人员支出</w:t>
      </w:r>
    </w:p>
    <w:p w14:paraId="530C7F13">
      <w:pPr>
        <w:shd w:val="clear"/>
        <w:spacing w:line="560" w:lineRule="exact"/>
        <w:ind w:firstLine="640" w:firstLineChars="200"/>
        <w:rPr>
          <w:rStyle w:val="21"/>
          <w:rFonts w:hint="eastAsia" w:ascii="仿宋_GB2312" w:hAnsi="仿宋_GB2312" w:eastAsia="仿宋_GB2312" w:cs="仿宋_GB2312"/>
          <w:b w:val="0"/>
          <w:color w:val="000000" w:themeColor="text1"/>
          <w:sz w:val="32"/>
          <w:szCs w:val="32"/>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5</w:t>
      </w:r>
      <w:r>
        <w:rPr>
          <w:rStyle w:val="21"/>
          <w:rFonts w:hint="eastAsia" w:ascii="仿宋_GB2312" w:hAnsi="仿宋_GB2312" w:eastAsia="仿宋_GB2312" w:cs="仿宋_GB2312"/>
          <w:b w:val="0"/>
          <w:color w:val="000000" w:themeColor="text1"/>
          <w:sz w:val="32"/>
          <w:szCs w:val="32"/>
          <w14:textFill>
            <w14:solidFill>
              <w14:schemeClr w14:val="tx1"/>
            </w14:solidFill>
          </w14:textFill>
        </w:rPr>
        <w:t>.社会保障和就业（类）人力资源和社会保障管理事务、行政（款）社会保险经办机构（项）: 指社会保险经办机构开展业务工作的支出。</w:t>
      </w:r>
    </w:p>
    <w:p w14:paraId="32DE0189">
      <w:pPr>
        <w:shd w:val="clear"/>
        <w:spacing w:line="560" w:lineRule="exact"/>
        <w:ind w:firstLine="640" w:firstLineChars="200"/>
        <w:rPr>
          <w:rStyle w:val="21"/>
          <w:rFonts w:hint="eastAsia" w:ascii="仿宋_GB2312" w:hAnsi="仿宋_GB2312" w:eastAsia="仿宋_GB2312" w:cs="仿宋_GB2312"/>
          <w:b w:val="0"/>
          <w:color w:val="000000" w:themeColor="text1"/>
          <w:sz w:val="32"/>
          <w:szCs w:val="32"/>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6</w:t>
      </w:r>
      <w:r>
        <w:rPr>
          <w:rStyle w:val="21"/>
          <w:rFonts w:hint="eastAsia" w:ascii="仿宋_GB2312" w:hAnsi="仿宋_GB2312" w:eastAsia="仿宋_GB2312" w:cs="仿宋_GB2312"/>
          <w:b w:val="0"/>
          <w:color w:val="000000" w:themeColor="text1"/>
          <w:sz w:val="32"/>
          <w:szCs w:val="32"/>
          <w14:textFill>
            <w14:solidFill>
              <w14:schemeClr w14:val="tx1"/>
            </w14:solidFill>
          </w14:textFill>
        </w:rPr>
        <w:t>.社会保障和就业（类）行政事业单位离退休（款）机关事业单位基本养老保险缴费支出（项）:指机关事业单位实施养老保险制度由单位缴纳的基本养老保险费的支出。</w:t>
      </w:r>
    </w:p>
    <w:p w14:paraId="6FC80B06">
      <w:pPr>
        <w:shd w:val="clea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7</w:t>
      </w:r>
      <w:r>
        <w:rPr>
          <w:rStyle w:val="21"/>
          <w:rFonts w:hint="eastAsia" w:ascii="仿宋_GB2312" w:hAnsi="仿宋_GB2312" w:eastAsia="仿宋_GB2312" w:cs="仿宋_GB2312"/>
          <w:b w:val="0"/>
          <w:color w:val="000000" w:themeColor="text1"/>
          <w:sz w:val="32"/>
          <w:szCs w:val="32"/>
          <w14:textFill>
            <w14:solidFill>
              <w14:schemeClr w14:val="tx1"/>
            </w14:solidFill>
          </w14:textFill>
        </w:rPr>
        <w:t xml:space="preserve">.社会保障和就业（类）行政事业单位离退休（款）机关事业单位职业年金缴费支出（项）: </w:t>
      </w:r>
      <w:r>
        <w:rPr>
          <w:rFonts w:hint="eastAsia" w:ascii="仿宋_GB2312" w:hAnsi="仿宋_GB2312" w:eastAsia="仿宋_GB2312" w:cs="仿宋_GB2312"/>
          <w:color w:val="000000" w:themeColor="text1"/>
          <w:sz w:val="32"/>
          <w:szCs w:val="32"/>
          <w14:textFill>
            <w14:solidFill>
              <w14:schemeClr w14:val="tx1"/>
            </w14:solidFill>
          </w14:textFill>
        </w:rPr>
        <w:t>指机关事业实施养老保险制度由单位实际缴纳的职业年金的支出。</w:t>
      </w:r>
    </w:p>
    <w:p w14:paraId="006352F3">
      <w:pPr>
        <w:shd w:val="clear"/>
        <w:spacing w:line="560" w:lineRule="exact"/>
        <w:ind w:firstLine="640" w:firstLineChars="200"/>
        <w:rPr>
          <w:rStyle w:val="21"/>
          <w:rFonts w:hint="eastAsia" w:ascii="仿宋_GB2312" w:hAnsi="仿宋_GB2312" w:eastAsia="仿宋_GB2312" w:cs="仿宋_GB2312"/>
          <w:b w:val="0"/>
          <w:color w:val="000000" w:themeColor="text1"/>
          <w:sz w:val="32"/>
          <w:szCs w:val="32"/>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8</w:t>
      </w:r>
      <w:r>
        <w:rPr>
          <w:rStyle w:val="21"/>
          <w:rFonts w:hint="eastAsia" w:ascii="仿宋_GB2312" w:hAnsi="仿宋_GB2312" w:eastAsia="仿宋_GB2312" w:cs="仿宋_GB2312"/>
          <w:b w:val="0"/>
          <w:color w:val="000000" w:themeColor="text1"/>
          <w:sz w:val="32"/>
          <w:szCs w:val="32"/>
          <w14:textFill>
            <w14:solidFill>
              <w14:schemeClr w14:val="tx1"/>
            </w14:solidFill>
          </w14:textFill>
        </w:rPr>
        <w:t>.社会保障和就业（类）就业补助（款）其他就业补助支出（项）: 指除上述项目以外按规定确定的其他用于促进就业补助支出。</w:t>
      </w:r>
    </w:p>
    <w:p w14:paraId="604DA051">
      <w:pPr>
        <w:shd w:val="clea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9</w:t>
      </w:r>
      <w:r>
        <w:rPr>
          <w:rStyle w:val="21"/>
          <w:rFonts w:hint="eastAsia" w:ascii="仿宋_GB2312" w:hAnsi="仿宋_GB2312" w:eastAsia="仿宋_GB2312" w:cs="仿宋_GB2312"/>
          <w:b w:val="0"/>
          <w:color w:val="000000" w:themeColor="text1"/>
          <w:sz w:val="32"/>
          <w:szCs w:val="32"/>
          <w14:textFill>
            <w14:solidFill>
              <w14:schemeClr w14:val="tx1"/>
            </w14:solidFill>
          </w14:textFill>
        </w:rPr>
        <w:t xml:space="preserve">.社会保障和就业（类）其他社会保障和就业（款）其他社会保障和就业（项）: </w:t>
      </w:r>
      <w:r>
        <w:rPr>
          <w:rFonts w:hint="eastAsia" w:ascii="仿宋_GB2312" w:hAnsi="仿宋_GB2312" w:eastAsia="仿宋_GB2312" w:cs="仿宋_GB2312"/>
          <w:color w:val="000000" w:themeColor="text1"/>
          <w:sz w:val="32"/>
          <w:szCs w:val="32"/>
          <w14:textFill>
            <w14:solidFill>
              <w14:schemeClr w14:val="tx1"/>
            </w14:solidFill>
          </w14:textFill>
        </w:rPr>
        <w:t>指除上述项目外其他用于社会保障和就业方面的支出。</w:t>
      </w:r>
    </w:p>
    <w:p w14:paraId="4F1C0603">
      <w:pPr>
        <w:shd w:val="clear"/>
        <w:spacing w:line="24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10</w:t>
      </w:r>
      <w:r>
        <w:rPr>
          <w:rStyle w:val="21"/>
          <w:rFonts w:hint="eastAsia" w:ascii="仿宋_GB2312" w:hAnsi="仿宋_GB2312" w:eastAsia="仿宋_GB2312" w:cs="仿宋_GB2312"/>
          <w:b w:val="0"/>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color w:val="000000" w:themeColor="text1"/>
          <w:sz w:val="32"/>
          <w:szCs w:val="32"/>
          <w:lang w:eastAsia="zh-CN"/>
          <w14:textFill>
            <w14:solidFill>
              <w14:schemeClr w14:val="tx1"/>
            </w14:solidFill>
          </w14:textFill>
        </w:rPr>
        <w:t>卫生健康</w:t>
      </w:r>
      <w:r>
        <w:rPr>
          <w:rStyle w:val="21"/>
          <w:rFonts w:hint="eastAsia" w:ascii="仿宋_GB2312" w:hAnsi="仿宋_GB2312" w:eastAsia="仿宋_GB2312" w:cs="仿宋_GB2312"/>
          <w:b w:val="0"/>
          <w:color w:val="000000" w:themeColor="text1"/>
          <w:sz w:val="32"/>
          <w:szCs w:val="32"/>
          <w14:textFill>
            <w14:solidFill>
              <w14:schemeClr w14:val="tx1"/>
            </w14:solidFill>
          </w14:textFill>
        </w:rPr>
        <w:t>（类）行政事业单位医疗（款）行政单位医疗（项）:指行政</w:t>
      </w:r>
      <w:r>
        <w:rPr>
          <w:rStyle w:val="21"/>
          <w:rFonts w:hint="eastAsia" w:ascii="仿宋_GB2312" w:hAnsi="仿宋_GB2312" w:eastAsia="仿宋_GB2312" w:cs="仿宋_GB2312"/>
          <w:b w:val="0"/>
          <w:color w:val="000000" w:themeColor="text1"/>
          <w:sz w:val="32"/>
          <w:szCs w:val="32"/>
          <w:lang w:eastAsia="zh-CN"/>
          <w14:textFill>
            <w14:solidFill>
              <w14:schemeClr w14:val="tx1"/>
            </w14:solidFill>
          </w14:textFill>
        </w:rPr>
        <w:t>人员</w:t>
      </w:r>
      <w:r>
        <w:rPr>
          <w:rStyle w:val="21"/>
          <w:rFonts w:hint="eastAsia" w:ascii="仿宋_GB2312" w:hAnsi="仿宋_GB2312" w:eastAsia="仿宋_GB2312" w:cs="仿宋_GB2312"/>
          <w:b w:val="0"/>
          <w:color w:val="000000" w:themeColor="text1"/>
          <w:sz w:val="32"/>
          <w:szCs w:val="32"/>
          <w14:textFill>
            <w14:solidFill>
              <w14:schemeClr w14:val="tx1"/>
            </w14:solidFill>
          </w14:textFill>
        </w:rPr>
        <w:t>基本医疗保险缴费经费</w:t>
      </w:r>
    </w:p>
    <w:p w14:paraId="34B639A7">
      <w:pPr>
        <w:shd w:val="clea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11</w:t>
      </w:r>
      <w:r>
        <w:rPr>
          <w:rStyle w:val="21"/>
          <w:rFonts w:hint="eastAsia" w:ascii="仿宋_GB2312" w:hAnsi="仿宋_GB2312" w:eastAsia="仿宋_GB2312" w:cs="仿宋_GB2312"/>
          <w:b w:val="0"/>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color w:val="000000" w:themeColor="text1"/>
          <w:sz w:val="32"/>
          <w:szCs w:val="32"/>
          <w:lang w:eastAsia="zh-CN"/>
          <w14:textFill>
            <w14:solidFill>
              <w14:schemeClr w14:val="tx1"/>
            </w14:solidFill>
          </w14:textFill>
        </w:rPr>
        <w:t>卫生健康</w:t>
      </w:r>
      <w:r>
        <w:rPr>
          <w:rStyle w:val="21"/>
          <w:rFonts w:hint="eastAsia" w:ascii="仿宋_GB2312" w:hAnsi="仿宋_GB2312" w:eastAsia="仿宋_GB2312" w:cs="仿宋_GB2312"/>
          <w:b w:val="0"/>
          <w:color w:val="000000" w:themeColor="text1"/>
          <w:sz w:val="32"/>
          <w:szCs w:val="32"/>
          <w14:textFill>
            <w14:solidFill>
              <w14:schemeClr w14:val="tx1"/>
            </w14:solidFill>
          </w14:textFill>
        </w:rPr>
        <w:t>（类）行政事业单位医疗（款）事业单位医疗（项）:</w:t>
      </w:r>
      <w:r>
        <w:rPr>
          <w:rFonts w:hint="eastAsia" w:ascii="仿宋_GB2312" w:hAnsi="仿宋_GB2312" w:eastAsia="仿宋_GB2312" w:cs="仿宋_GB2312"/>
          <w:color w:val="000000" w:themeColor="text1"/>
          <w:sz w:val="32"/>
          <w:szCs w:val="32"/>
          <w14:textFill>
            <w14:solidFill>
              <w14:schemeClr w14:val="tx1"/>
            </w14:solidFill>
          </w14:textFill>
        </w:rPr>
        <w:t xml:space="preserve"> 指事业</w:t>
      </w:r>
      <w:r>
        <w:rPr>
          <w:rFonts w:hint="eastAsia" w:ascii="仿宋_GB2312" w:hAnsi="仿宋_GB2312" w:eastAsia="仿宋_GB2312" w:cs="仿宋_GB2312"/>
          <w:color w:val="000000" w:themeColor="text1"/>
          <w:sz w:val="32"/>
          <w:szCs w:val="32"/>
          <w:lang w:eastAsia="zh-CN"/>
          <w14:textFill>
            <w14:solidFill>
              <w14:schemeClr w14:val="tx1"/>
            </w14:solidFill>
          </w14:textFill>
        </w:rPr>
        <w:t>人员</w:t>
      </w:r>
      <w:r>
        <w:rPr>
          <w:rFonts w:hint="eastAsia" w:ascii="仿宋_GB2312" w:hAnsi="仿宋_GB2312" w:eastAsia="仿宋_GB2312" w:cs="仿宋_GB2312"/>
          <w:color w:val="000000" w:themeColor="text1"/>
          <w:sz w:val="32"/>
          <w:szCs w:val="32"/>
          <w14:textFill>
            <w14:solidFill>
              <w14:schemeClr w14:val="tx1"/>
            </w14:solidFill>
          </w14:textFill>
        </w:rPr>
        <w:t>单位基本医疗保险缴费经费。</w:t>
      </w:r>
    </w:p>
    <w:p w14:paraId="1034E38E">
      <w:pPr>
        <w:shd w:val="clear"/>
        <w:spacing w:line="240"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12</w:t>
      </w:r>
      <w:r>
        <w:rPr>
          <w:rStyle w:val="21"/>
          <w:rFonts w:hint="eastAsia" w:ascii="仿宋_GB2312" w:hAnsi="仿宋_GB2312" w:eastAsia="仿宋_GB2312" w:cs="仿宋_GB2312"/>
          <w:b w:val="0"/>
          <w:color w:val="000000" w:themeColor="text1"/>
          <w:sz w:val="32"/>
          <w:szCs w:val="32"/>
          <w14:textFill>
            <w14:solidFill>
              <w14:schemeClr w14:val="tx1"/>
            </w14:solidFill>
          </w14:textFill>
        </w:rPr>
        <w:t>.</w:t>
      </w:r>
      <w:r>
        <w:rPr>
          <w:rStyle w:val="21"/>
          <w:rFonts w:hint="eastAsia" w:ascii="仿宋_GB2312" w:hAnsi="仿宋_GB2312" w:eastAsia="仿宋_GB2312" w:cs="仿宋_GB2312"/>
          <w:b w:val="0"/>
          <w:color w:val="000000" w:themeColor="text1"/>
          <w:sz w:val="32"/>
          <w:szCs w:val="32"/>
          <w:lang w:eastAsia="zh-CN"/>
          <w14:textFill>
            <w14:solidFill>
              <w14:schemeClr w14:val="tx1"/>
            </w14:solidFill>
          </w14:textFill>
        </w:rPr>
        <w:t>卫生健康</w:t>
      </w:r>
      <w:r>
        <w:rPr>
          <w:rStyle w:val="21"/>
          <w:rFonts w:hint="eastAsia" w:ascii="仿宋_GB2312" w:hAnsi="仿宋_GB2312" w:eastAsia="仿宋_GB2312" w:cs="仿宋_GB2312"/>
          <w:b w:val="0"/>
          <w:color w:val="000000" w:themeColor="text1"/>
          <w:sz w:val="32"/>
          <w:szCs w:val="32"/>
          <w14:textFill>
            <w14:solidFill>
              <w14:schemeClr w14:val="tx1"/>
            </w14:solidFill>
          </w14:textFill>
        </w:rPr>
        <w:t>（类）行政事业单位医疗（款）公务员医疗补助（项）:</w:t>
      </w:r>
      <w:r>
        <w:rPr>
          <w:rFonts w:hint="eastAsia" w:ascii="仿宋_GB2312" w:hAnsi="仿宋_GB2312" w:eastAsia="仿宋_GB2312" w:cs="仿宋_GB2312"/>
          <w:color w:val="000000" w:themeColor="text1"/>
          <w:sz w:val="32"/>
          <w:szCs w:val="32"/>
          <w14:textFill>
            <w14:solidFill>
              <w14:schemeClr w14:val="tx1"/>
            </w14:solidFill>
          </w14:textFill>
        </w:rPr>
        <w:t xml:space="preserve"> 指公务员医疗补助经费。</w:t>
      </w:r>
    </w:p>
    <w:p w14:paraId="0E311083">
      <w:pPr>
        <w:shd w:val="clear"/>
        <w:spacing w:line="560" w:lineRule="exact"/>
        <w:ind w:firstLine="640" w:firstLineChars="200"/>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13</w:t>
      </w:r>
      <w:r>
        <w:rPr>
          <w:rStyle w:val="21"/>
          <w:rFonts w:hint="eastAsia" w:ascii="仿宋_GB2312" w:hAnsi="仿宋_GB2312" w:eastAsia="仿宋_GB2312" w:cs="仿宋_GB2312"/>
          <w:b w:val="0"/>
          <w:color w:val="000000" w:themeColor="text1"/>
          <w:sz w:val="32"/>
          <w:szCs w:val="32"/>
          <w14:textFill>
            <w14:solidFill>
              <w14:schemeClr w14:val="tx1"/>
            </w14:solidFill>
          </w14:textFill>
        </w:rPr>
        <w:t>.农林水支出（类）</w:t>
      </w:r>
      <w:r>
        <w:rPr>
          <w:rStyle w:val="21"/>
          <w:rFonts w:hint="eastAsia" w:ascii="仿宋_GB2312" w:hAnsi="仿宋_GB2312" w:eastAsia="仿宋_GB2312" w:cs="仿宋_GB2312"/>
          <w:b w:val="0"/>
          <w:color w:val="000000" w:themeColor="text1"/>
          <w:sz w:val="32"/>
          <w:szCs w:val="32"/>
          <w:lang w:eastAsia="zh-CN"/>
          <w14:textFill>
            <w14:solidFill>
              <w14:schemeClr w14:val="tx1"/>
            </w14:solidFill>
          </w14:textFill>
        </w:rPr>
        <w:t>巩固拓展脱贫攻坚成果</w:t>
      </w:r>
      <w:r>
        <w:rPr>
          <w:rStyle w:val="21"/>
          <w:rFonts w:hint="eastAsia" w:ascii="仿宋_GB2312" w:hAnsi="仿宋_GB2312" w:eastAsia="仿宋_GB2312" w:cs="仿宋_GB2312"/>
          <w:b w:val="0"/>
          <w:color w:val="000000" w:themeColor="text1"/>
          <w:sz w:val="32"/>
          <w:szCs w:val="32"/>
          <w14:textFill>
            <w14:solidFill>
              <w14:schemeClr w14:val="tx1"/>
            </w14:solidFill>
          </w14:textFill>
        </w:rPr>
        <w:t>衔接乡村振兴（款）其他</w:t>
      </w:r>
      <w:r>
        <w:rPr>
          <w:rStyle w:val="21"/>
          <w:rFonts w:hint="eastAsia" w:ascii="仿宋_GB2312" w:hAnsi="仿宋_GB2312" w:eastAsia="仿宋_GB2312" w:cs="仿宋_GB2312"/>
          <w:b w:val="0"/>
          <w:color w:val="000000" w:themeColor="text1"/>
          <w:sz w:val="32"/>
          <w:szCs w:val="32"/>
          <w:lang w:eastAsia="zh-CN"/>
          <w14:textFill>
            <w14:solidFill>
              <w14:schemeClr w14:val="tx1"/>
            </w14:solidFill>
          </w14:textFill>
        </w:rPr>
        <w:t>巩固拓展脱贫攻坚成果</w:t>
      </w:r>
      <w:r>
        <w:rPr>
          <w:rStyle w:val="21"/>
          <w:rFonts w:hint="eastAsia" w:ascii="仿宋_GB2312" w:hAnsi="仿宋_GB2312" w:eastAsia="仿宋_GB2312" w:cs="仿宋_GB2312"/>
          <w:b w:val="0"/>
          <w:color w:val="000000" w:themeColor="text1"/>
          <w:sz w:val="32"/>
          <w:szCs w:val="32"/>
          <w14:textFill>
            <w14:solidFill>
              <w14:schemeClr w14:val="tx1"/>
            </w14:solidFill>
          </w14:textFill>
        </w:rPr>
        <w:t>衔接乡村振兴支出（项）：指用于农村贫困地区</w:t>
      </w:r>
      <w:r>
        <w:rPr>
          <w:rStyle w:val="21"/>
          <w:rFonts w:hint="eastAsia" w:ascii="仿宋_GB2312" w:hAnsi="仿宋_GB2312" w:eastAsia="仿宋_GB2312" w:cs="仿宋_GB2312"/>
          <w:b w:val="0"/>
          <w:color w:val="000000" w:themeColor="text1"/>
          <w:sz w:val="32"/>
          <w:szCs w:val="32"/>
          <w:lang w:eastAsia="zh-CN"/>
          <w14:textFill>
            <w14:solidFill>
              <w14:schemeClr w14:val="tx1"/>
            </w14:solidFill>
          </w14:textFill>
        </w:rPr>
        <w:t>就业方面补助支出</w:t>
      </w: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 xml:space="preserve">  </w:t>
      </w:r>
    </w:p>
    <w:p w14:paraId="0DDCCEAE">
      <w:pPr>
        <w:shd w:val="clea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Style w:val="21"/>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14</w:t>
      </w:r>
      <w:r>
        <w:rPr>
          <w:rStyle w:val="21"/>
          <w:rFonts w:hint="eastAsia" w:ascii="仿宋_GB2312" w:hAnsi="仿宋_GB2312" w:eastAsia="仿宋_GB2312" w:cs="仿宋_GB2312"/>
          <w:b w:val="0"/>
          <w:color w:val="000000" w:themeColor="text1"/>
          <w:sz w:val="32"/>
          <w:szCs w:val="32"/>
          <w14:textFill>
            <w14:solidFill>
              <w14:schemeClr w14:val="tx1"/>
            </w14:solidFill>
          </w14:textFill>
        </w:rPr>
        <w:t>.住房保障（类）住房改革（款）住房公积金（项）:</w:t>
      </w:r>
      <w:r>
        <w:rPr>
          <w:rFonts w:hint="eastAsia" w:ascii="仿宋_GB2312" w:hAnsi="仿宋_GB2312" w:eastAsia="仿宋_GB2312" w:cs="仿宋_GB2312"/>
          <w:color w:val="000000" w:themeColor="text1"/>
          <w:sz w:val="32"/>
          <w:szCs w:val="32"/>
          <w14:textFill>
            <w14:solidFill>
              <w14:schemeClr w14:val="tx1"/>
            </w14:solidFill>
          </w14:textFill>
        </w:rPr>
        <w:t xml:space="preserve"> 指按照《住房公积金管理条例》的规定，由单位及其在职职工缴存的住房公积金。</w:t>
      </w:r>
    </w:p>
    <w:p w14:paraId="41E49BF1">
      <w:pPr>
        <w:shd w:val="clea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.基本支出：指为保障机构正常运转、完成日常工作任务而发生的人员支出和公用支出。</w:t>
      </w:r>
    </w:p>
    <w:p w14:paraId="6CFB46CE">
      <w:pPr>
        <w:shd w:val="clea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 xml:space="preserve">.项目支出：指在基本支出之外为完成特定行政任务和事业发展目标所发生的支出。 </w:t>
      </w:r>
    </w:p>
    <w:p w14:paraId="526650B1">
      <w:pPr>
        <w:pStyle w:val="31"/>
        <w:shd w:val="clea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.“三公”经费：指</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87E118C">
      <w:pPr>
        <w:pStyle w:val="31"/>
        <w:shd w:val="clear"/>
        <w:spacing w:line="560" w:lineRule="exact"/>
        <w:ind w:firstLine="64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8911272">
      <w:pPr>
        <w:spacing w:line="600" w:lineRule="exact"/>
        <w:jc w:val="center"/>
        <w:outlineLvl w:val="9"/>
        <w:rPr>
          <w:rFonts w:ascii="宋体"/>
          <w:b/>
          <w:color w:val="000000" w:themeColor="text1"/>
          <w:sz w:val="44"/>
          <w:szCs w:val="44"/>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titlePg/>
          <w:docGrid w:type="lines" w:linePitch="312" w:charSpace="0"/>
        </w:sectPr>
      </w:pPr>
      <w:r>
        <w:rPr>
          <w:rFonts w:ascii="宋体"/>
          <w:b/>
          <w:color w:val="000000" w:themeColor="text1"/>
          <w:sz w:val="44"/>
          <w:szCs w:val="44"/>
          <w14:textFill>
            <w14:solidFill>
              <w14:schemeClr w14:val="tx1"/>
            </w14:solidFill>
          </w14:textFill>
        </w:rPr>
        <w:br w:type="page"/>
      </w:r>
      <w:bookmarkEnd w:id="156"/>
      <w:bookmarkStart w:id="157" w:name="_Toc15396614"/>
    </w:p>
    <w:bookmarkEnd w:id="157"/>
    <w:p w14:paraId="05E1C474">
      <w:pPr>
        <w:spacing w:line="600" w:lineRule="exact"/>
        <w:jc w:val="center"/>
        <w:outlineLvl w:val="0"/>
        <w:rPr>
          <w:rStyle w:val="33"/>
          <w:rFonts w:hint="default" w:ascii="Times New Roman" w:hAnsi="Times New Roman" w:eastAsia="微软雅黑" w:cs="Times New Roman"/>
          <w:b w:val="0"/>
          <w:bCs w:val="0"/>
          <w:i w:val="0"/>
          <w:iCs w:val="0"/>
          <w:color w:val="auto"/>
          <w:highlight w:val="none"/>
          <w:lang w:eastAsia="zh-CN"/>
        </w:rPr>
      </w:pPr>
      <w:bookmarkStart w:id="158" w:name="_Toc30708"/>
      <w:r>
        <w:rPr>
          <w:rFonts w:hint="default" w:ascii="Times New Roman" w:hAnsi="Times New Roman" w:eastAsia="微软雅黑" w:cs="Times New Roman"/>
          <w:b w:val="0"/>
          <w:bCs w:val="0"/>
          <w:i w:val="0"/>
          <w:iCs w:val="0"/>
          <w:color w:val="auto"/>
          <w:sz w:val="44"/>
          <w:szCs w:val="44"/>
          <w:highlight w:val="none"/>
        </w:rPr>
        <w:t>第</w:t>
      </w:r>
      <w:r>
        <w:rPr>
          <w:rStyle w:val="33"/>
          <w:rFonts w:hint="default" w:ascii="Times New Roman" w:hAnsi="Times New Roman" w:eastAsia="微软雅黑" w:cs="Times New Roman"/>
          <w:b w:val="0"/>
          <w:bCs w:val="0"/>
          <w:i w:val="0"/>
          <w:iCs w:val="0"/>
          <w:color w:val="auto"/>
          <w:highlight w:val="none"/>
        </w:rPr>
        <w:t>四部分 附件</w:t>
      </w:r>
      <w:bookmarkEnd w:id="158"/>
    </w:p>
    <w:p w14:paraId="3FF3966A">
      <w:pPr>
        <w:keepNext w:val="0"/>
        <w:keepLines w:val="0"/>
        <w:pageBreakBefore w:val="0"/>
        <w:kinsoku/>
        <w:wordWrap/>
        <w:overflowPunct/>
        <w:topLinePunct w:val="0"/>
        <w:autoSpaceDE/>
        <w:autoSpaceDN/>
        <w:bidi w:val="0"/>
        <w:spacing w:line="572" w:lineRule="exact"/>
        <w:jc w:val="left"/>
        <w:textAlignment w:val="auto"/>
        <w:outlineLvl w:val="9"/>
        <w:rPr>
          <w:rFonts w:hint="default" w:ascii="Times New Roman" w:hAnsi="Times New Roman" w:eastAsia="黑体" w:cs="Times New Roman"/>
          <w:b w:val="0"/>
          <w:bCs w:val="0"/>
          <w:i w:val="0"/>
          <w:iCs w:val="0"/>
          <w:color w:val="FF0000"/>
          <w:sz w:val="32"/>
          <w:szCs w:val="32"/>
          <w:highlight w:val="none"/>
        </w:rPr>
      </w:pPr>
    </w:p>
    <w:p w14:paraId="163B004E">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b w:val="0"/>
          <w:bCs w:val="0"/>
          <w:i w:val="0"/>
          <w:iCs w:val="0"/>
          <w:color w:val="auto"/>
          <w:sz w:val="44"/>
          <w:szCs w:val="44"/>
          <w:highlight w:val="none"/>
          <w:lang w:val="en-US" w:eastAsia="zh-CN"/>
        </w:rPr>
      </w:pPr>
      <w:bookmarkStart w:id="159" w:name="_Toc6533"/>
      <w:bookmarkStart w:id="160" w:name="_Toc14893"/>
      <w:r>
        <w:rPr>
          <w:rFonts w:hint="default" w:ascii="Times New Roman" w:hAnsi="Times New Roman" w:eastAsia="黑体" w:cs="Times New Roman"/>
          <w:b w:val="0"/>
          <w:bCs w:val="0"/>
          <w:i w:val="0"/>
          <w:iCs w:val="0"/>
          <w:color w:val="auto"/>
          <w:sz w:val="32"/>
          <w:szCs w:val="32"/>
          <w:highlight w:val="none"/>
        </w:rPr>
        <w:t>附件</w:t>
      </w:r>
      <w:r>
        <w:rPr>
          <w:rFonts w:hint="default" w:ascii="Times New Roman" w:hAnsi="Times New Roman" w:eastAsia="黑体" w:cs="Times New Roman"/>
          <w:b w:val="0"/>
          <w:bCs w:val="0"/>
          <w:i w:val="0"/>
          <w:iCs w:val="0"/>
          <w:color w:val="auto"/>
          <w:sz w:val="32"/>
          <w:szCs w:val="32"/>
          <w:highlight w:val="none"/>
          <w:lang w:val="en-US" w:eastAsia="zh-CN"/>
        </w:rPr>
        <w:t>1</w:t>
      </w:r>
      <w:bookmarkEnd w:id="159"/>
      <w:bookmarkEnd w:id="160"/>
    </w:p>
    <w:p w14:paraId="23CD17C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微软雅黑" w:cs="Times New Roman"/>
          <w:b w:val="0"/>
          <w:bCs w:val="0"/>
          <w:i w:val="0"/>
          <w:iCs w:val="0"/>
          <w:sz w:val="44"/>
          <w:szCs w:val="44"/>
          <w:highlight w:val="none"/>
          <w:shd w:val="clear" w:color="auto" w:fill="FFFFFF"/>
        </w:rPr>
      </w:pPr>
      <w:r>
        <w:rPr>
          <w:rFonts w:hint="default" w:ascii="Times New Roman" w:hAnsi="Times New Roman" w:eastAsia="微软雅黑" w:cs="Times New Roman"/>
          <w:b w:val="0"/>
          <w:bCs w:val="0"/>
          <w:i w:val="0"/>
          <w:iCs w:val="0"/>
          <w:sz w:val="44"/>
          <w:szCs w:val="44"/>
          <w:highlight w:val="none"/>
          <w:shd w:val="clear" w:color="auto" w:fill="FFFFFF"/>
        </w:rPr>
        <w:t>遂宁市安居区就业服务管理局</w:t>
      </w:r>
    </w:p>
    <w:p w14:paraId="59134C1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微软雅黑" w:cs="Times New Roman"/>
          <w:b w:val="0"/>
          <w:bCs w:val="0"/>
          <w:i w:val="0"/>
          <w:iCs w:val="0"/>
          <w:sz w:val="44"/>
          <w:szCs w:val="44"/>
          <w:highlight w:val="none"/>
          <w:shd w:val="clear" w:color="auto" w:fill="FFFFFF"/>
        </w:rPr>
      </w:pPr>
      <w:r>
        <w:rPr>
          <w:rFonts w:hint="default" w:ascii="Times New Roman" w:hAnsi="Times New Roman" w:eastAsia="微软雅黑" w:cs="Times New Roman"/>
          <w:b w:val="0"/>
          <w:bCs w:val="0"/>
          <w:i w:val="0"/>
          <w:iCs w:val="0"/>
          <w:sz w:val="44"/>
          <w:szCs w:val="44"/>
          <w:highlight w:val="none"/>
          <w:shd w:val="clear" w:color="auto" w:fill="FFFFFF"/>
        </w:rPr>
        <w:t>部门</w:t>
      </w:r>
      <w:r>
        <w:rPr>
          <w:rFonts w:hint="default" w:ascii="Times New Roman" w:hAnsi="Times New Roman" w:eastAsia="微软雅黑" w:cs="Times New Roman"/>
          <w:b w:val="0"/>
          <w:bCs w:val="0"/>
          <w:i w:val="0"/>
          <w:iCs w:val="0"/>
          <w:sz w:val="44"/>
          <w:szCs w:val="44"/>
          <w:highlight w:val="none"/>
          <w:shd w:val="clear" w:color="auto" w:fill="FFFFFF"/>
          <w:lang w:eastAsia="zh-CN"/>
        </w:rPr>
        <w:t>预算</w:t>
      </w:r>
      <w:r>
        <w:rPr>
          <w:rFonts w:hint="eastAsia" w:eastAsia="微软雅黑" w:cs="Times New Roman"/>
          <w:b w:val="0"/>
          <w:bCs w:val="0"/>
          <w:i w:val="0"/>
          <w:iCs w:val="0"/>
          <w:sz w:val="44"/>
          <w:szCs w:val="44"/>
          <w:highlight w:val="none"/>
          <w:shd w:val="clear" w:color="auto" w:fill="FFFFFF"/>
          <w:lang w:eastAsia="zh-CN"/>
        </w:rPr>
        <w:t>整体</w:t>
      </w:r>
      <w:r>
        <w:rPr>
          <w:rFonts w:hint="default" w:ascii="Times New Roman" w:hAnsi="Times New Roman" w:eastAsia="微软雅黑" w:cs="Times New Roman"/>
          <w:b w:val="0"/>
          <w:bCs w:val="0"/>
          <w:i w:val="0"/>
          <w:iCs w:val="0"/>
          <w:sz w:val="44"/>
          <w:szCs w:val="44"/>
          <w:highlight w:val="none"/>
          <w:shd w:val="clear" w:color="auto" w:fill="FFFFFF"/>
        </w:rPr>
        <w:t>绩效</w:t>
      </w:r>
      <w:r>
        <w:rPr>
          <w:rFonts w:hint="default" w:ascii="Times New Roman" w:hAnsi="Times New Roman" w:eastAsia="微软雅黑" w:cs="Times New Roman"/>
          <w:b w:val="0"/>
          <w:bCs w:val="0"/>
          <w:i w:val="0"/>
          <w:iCs w:val="0"/>
          <w:sz w:val="44"/>
          <w:szCs w:val="44"/>
          <w:highlight w:val="none"/>
          <w:shd w:val="clear" w:color="auto" w:fill="FFFFFF"/>
          <w:lang w:eastAsia="zh-CN"/>
        </w:rPr>
        <w:t>评价</w:t>
      </w:r>
      <w:r>
        <w:rPr>
          <w:rFonts w:hint="default" w:ascii="Times New Roman" w:hAnsi="Times New Roman" w:eastAsia="微软雅黑" w:cs="Times New Roman"/>
          <w:b w:val="0"/>
          <w:bCs w:val="0"/>
          <w:i w:val="0"/>
          <w:iCs w:val="0"/>
          <w:sz w:val="44"/>
          <w:szCs w:val="44"/>
          <w:highlight w:val="none"/>
          <w:shd w:val="clear" w:color="auto" w:fill="FFFFFF"/>
        </w:rPr>
        <w:t>报告</w:t>
      </w:r>
    </w:p>
    <w:p w14:paraId="489958C4">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b w:val="0"/>
          <w:bCs w:val="0"/>
          <w:i w:val="0"/>
          <w:iCs w:val="0"/>
          <w:color w:val="000000"/>
          <w:kern w:val="0"/>
          <w:sz w:val="24"/>
          <w:szCs w:val="32"/>
          <w:highlight w:val="none"/>
          <w:shd w:val="clear" w:color="auto" w:fill="FFFFFF"/>
        </w:rPr>
      </w:pPr>
    </w:p>
    <w:p w14:paraId="7098B85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t>一、部门（单位）基本情况</w:t>
      </w:r>
    </w:p>
    <w:p w14:paraId="097AD42D">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i w:val="0"/>
          <w:iCs w:val="0"/>
          <w:szCs w:val="32"/>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w:t>
      </w:r>
      <w:r>
        <w:rPr>
          <w:rFonts w:hint="eastAsia" w:ascii="仿宋_GB2312" w:hAnsi="仿宋_GB2312" w:eastAsia="仿宋_GB2312" w:cs="仿宋_GB2312"/>
          <w:b w:val="0"/>
          <w:bCs w:val="0"/>
          <w:i w:val="0"/>
          <w:iCs w:val="0"/>
          <w:color w:val="000000"/>
          <w:kern w:val="0"/>
          <w:sz w:val="32"/>
          <w:szCs w:val="32"/>
          <w:highlight w:val="none"/>
          <w:shd w:val="clear" w:color="auto" w:fill="FFFFFF"/>
          <w:lang w:val="zh-CN"/>
        </w:rPr>
        <w:t>机构组成。</w:t>
      </w:r>
      <w:r>
        <w:rPr>
          <w:rFonts w:hint="eastAsia" w:ascii="仿宋_GB2312" w:hAnsi="仿宋_GB2312" w:eastAsia="仿宋_GB2312" w:cs="仿宋_GB2312"/>
          <w:sz w:val="32"/>
          <w:szCs w:val="32"/>
        </w:rPr>
        <w:t>遂宁市安居区就业服务管理局隶属于遂宁市安居区人力资源和社会保障局，属独立核算的参照公务员管理的事业单位。现设有办公室、就业创业指导股、培训职介指导股、失业保险股</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个股室。</w:t>
      </w:r>
    </w:p>
    <w:p w14:paraId="76279025">
      <w:pPr>
        <w:shd w:val="clear"/>
        <w:ind w:firstLine="640" w:firstLineChars="200"/>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（二）机构职能。</w:t>
      </w:r>
    </w:p>
    <w:p w14:paraId="0A7C5E62">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贯彻落实国家促进就业的各项方针政策和有关法律法规；分析、了解、掌握全区就业失业的基本状况，建立健全区就业失业监控管理体系，维护就业局势基本稳定。</w:t>
      </w:r>
    </w:p>
    <w:p w14:paraId="0A927158">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fill="FFFFFF"/>
          <w:lang w:val="zh-CN" w:eastAsia="zh-CN" w:bidi="ar-SA"/>
        </w:rPr>
        <w:t>2.</w:t>
      </w:r>
      <w:r>
        <w:rPr>
          <w:rFonts w:hint="default" w:ascii="Times New Roman" w:hAnsi="Times New Roman" w:eastAsia="仿宋_GB2312" w:cs="Times New Roman"/>
          <w:sz w:val="32"/>
          <w:szCs w:val="32"/>
        </w:rPr>
        <w:t>负责全区城乡劳动力统筹管理，指导全区就业服务管理工作；负责就业</w:t>
      </w:r>
      <w:r>
        <w:rPr>
          <w:rFonts w:hint="eastAsia" w:cs="Times New Roman"/>
          <w:sz w:val="32"/>
          <w:szCs w:val="32"/>
          <w:lang w:val="en-US" w:eastAsia="zh-CN"/>
        </w:rPr>
        <w:t>创</w:t>
      </w:r>
      <w:r>
        <w:rPr>
          <w:rFonts w:hint="default" w:ascii="Times New Roman" w:hAnsi="Times New Roman" w:eastAsia="仿宋_GB2312" w:cs="Times New Roman"/>
          <w:sz w:val="32"/>
          <w:szCs w:val="32"/>
        </w:rPr>
        <w:t>业优惠政策的落实和企业下岗职工生活困难救助工作，有针对性地对困难群体进行就业援助。</w:t>
      </w:r>
    </w:p>
    <w:p w14:paraId="2C472719">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fill="FFFFFF"/>
          <w:lang w:val="zh-CN" w:eastAsia="zh-CN" w:bidi="ar-SA"/>
        </w:rPr>
        <w:t>3.</w:t>
      </w:r>
      <w:r>
        <w:rPr>
          <w:rFonts w:hint="default" w:ascii="Times New Roman" w:hAnsi="Times New Roman" w:eastAsia="仿宋_GB2312" w:cs="Times New Roman"/>
          <w:sz w:val="32"/>
          <w:szCs w:val="32"/>
        </w:rPr>
        <w:t>负责全区城乡新增</w:t>
      </w:r>
      <w:r>
        <w:rPr>
          <w:rFonts w:hint="default" w:ascii="Times New Roman" w:hAnsi="Times New Roman" w:eastAsia="仿宋_GB2312" w:cs="Times New Roman"/>
          <w:sz w:val="32"/>
          <w:szCs w:val="32"/>
          <w:lang w:val="en-US" w:eastAsia="zh-CN"/>
        </w:rPr>
        <w:t>脱贫</w:t>
      </w:r>
      <w:r>
        <w:rPr>
          <w:rFonts w:hint="default" w:ascii="Times New Roman" w:hAnsi="Times New Roman" w:eastAsia="仿宋_GB2312" w:cs="Times New Roman"/>
          <w:sz w:val="32"/>
          <w:szCs w:val="32"/>
        </w:rPr>
        <w:t>劳动力就业培训、下岗失业人员就业再就业培训和农村</w:t>
      </w:r>
      <w:r>
        <w:rPr>
          <w:rFonts w:hint="default" w:ascii="Times New Roman" w:hAnsi="Times New Roman" w:eastAsia="仿宋_GB2312" w:cs="Times New Roman"/>
          <w:sz w:val="32"/>
          <w:szCs w:val="32"/>
          <w:lang w:val="en-US" w:eastAsia="zh-CN"/>
        </w:rPr>
        <w:t>脱贫</w:t>
      </w:r>
      <w:r>
        <w:rPr>
          <w:rFonts w:hint="default" w:ascii="Times New Roman" w:hAnsi="Times New Roman" w:eastAsia="仿宋_GB2312" w:cs="Times New Roman"/>
          <w:sz w:val="32"/>
          <w:szCs w:val="32"/>
        </w:rPr>
        <w:t>劳动力技能培训；负责全区镇（街道）、村（社区）劳动保障平台建设和管理</w:t>
      </w:r>
      <w:r>
        <w:rPr>
          <w:rFonts w:hint="default" w:ascii="Times New Roman" w:hAnsi="Times New Roman" w:eastAsia="仿宋_GB2312" w:cs="Times New Roman"/>
          <w:sz w:val="32"/>
          <w:szCs w:val="32"/>
          <w:lang w:eastAsia="zh-CN"/>
        </w:rPr>
        <w:t>。</w:t>
      </w:r>
    </w:p>
    <w:p w14:paraId="32D49C27">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fill="FFFFFF"/>
          <w:lang w:val="zh-CN" w:eastAsia="zh-CN" w:bidi="ar-SA"/>
        </w:rPr>
        <w:t>4.</w:t>
      </w:r>
      <w:r>
        <w:rPr>
          <w:rFonts w:hint="default" w:ascii="Times New Roman" w:hAnsi="Times New Roman" w:eastAsia="仿宋_GB2312" w:cs="Times New Roman"/>
          <w:sz w:val="32"/>
          <w:szCs w:val="32"/>
        </w:rPr>
        <w:t>负责全区享受就业</w:t>
      </w:r>
      <w:r>
        <w:rPr>
          <w:rFonts w:hint="eastAsia" w:cs="Times New Roman"/>
          <w:sz w:val="32"/>
          <w:szCs w:val="32"/>
          <w:lang w:val="en-US" w:eastAsia="zh-CN"/>
        </w:rPr>
        <w:t>创业</w:t>
      </w:r>
      <w:r>
        <w:rPr>
          <w:rFonts w:hint="default" w:ascii="Times New Roman" w:hAnsi="Times New Roman" w:eastAsia="仿宋_GB2312" w:cs="Times New Roman"/>
          <w:sz w:val="32"/>
          <w:szCs w:val="32"/>
        </w:rPr>
        <w:t>优惠政策的各类人群、企业及社区就业实体的认定工作</w:t>
      </w:r>
      <w:r>
        <w:rPr>
          <w:rFonts w:hint="default" w:ascii="Times New Roman" w:hAnsi="Times New Roman" w:eastAsia="仿宋_GB2312" w:cs="Times New Roman"/>
          <w:sz w:val="32"/>
          <w:szCs w:val="32"/>
          <w:lang w:eastAsia="zh-CN"/>
        </w:rPr>
        <w:t>。</w:t>
      </w:r>
    </w:p>
    <w:p w14:paraId="676AC6A2">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fill="FFFFFF"/>
          <w:lang w:val="zh-CN" w:eastAsia="zh-CN" w:bidi="ar-SA"/>
        </w:rPr>
        <w:t>5.</w:t>
      </w:r>
      <w:r>
        <w:rPr>
          <w:rFonts w:hint="default" w:ascii="Times New Roman" w:hAnsi="Times New Roman" w:eastAsia="仿宋_GB2312" w:cs="Times New Roman"/>
          <w:sz w:val="32"/>
          <w:szCs w:val="32"/>
        </w:rPr>
        <w:t>负责全区劳动者创业工作的统筹规划、组织协调、指导和</w:t>
      </w:r>
      <w:r>
        <w:rPr>
          <w:rFonts w:hint="eastAsia" w:cs="Times New Roman"/>
          <w:sz w:val="32"/>
          <w:szCs w:val="32"/>
          <w:lang w:val="en-US" w:eastAsia="zh-CN"/>
        </w:rPr>
        <w:t>就业</w:t>
      </w:r>
      <w:r>
        <w:rPr>
          <w:rFonts w:hint="default" w:ascii="Times New Roman" w:hAnsi="Times New Roman" w:eastAsia="仿宋_GB2312" w:cs="Times New Roman"/>
          <w:sz w:val="32"/>
          <w:szCs w:val="32"/>
        </w:rPr>
        <w:t>创业服务工作。</w:t>
      </w:r>
    </w:p>
    <w:p w14:paraId="5979A6F6">
      <w:pPr>
        <w:keepNext w:val="0"/>
        <w:keepLines w:val="0"/>
        <w:pageBreakBefore w:val="0"/>
        <w:widowControl w:val="0"/>
        <w:numPr>
          <w:ilvl w:val="0"/>
          <w:numId w:val="0"/>
        </w:numPr>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fill="FFFFFF"/>
          <w:lang w:val="zh-CN" w:eastAsia="zh-CN" w:bidi="ar-SA"/>
        </w:rPr>
        <w:t>6.</w:t>
      </w:r>
      <w:r>
        <w:rPr>
          <w:rFonts w:hint="default" w:ascii="Times New Roman" w:hAnsi="Times New Roman" w:eastAsia="仿宋_GB2312" w:cs="Times New Roman"/>
          <w:sz w:val="32"/>
          <w:szCs w:val="32"/>
        </w:rPr>
        <w:t>负责失业保险经办的业务管理、失业动态监测、失业金发放和失业人员日常管理</w:t>
      </w:r>
      <w:r>
        <w:rPr>
          <w:rFonts w:hint="default" w:ascii="Times New Roman" w:hAnsi="Times New Roman" w:eastAsia="仿宋_GB2312" w:cs="Times New Roman"/>
          <w:sz w:val="32"/>
          <w:szCs w:val="32"/>
          <w:lang w:eastAsia="zh-CN"/>
        </w:rPr>
        <w:t>。</w:t>
      </w:r>
    </w:p>
    <w:p w14:paraId="66E4A3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szCs w:val="32"/>
          <w:lang w:val="en-US"/>
        </w:rPr>
      </w:pPr>
      <w:r>
        <w:rPr>
          <w:rFonts w:hint="eastAsia" w:ascii="仿宋_GB2312" w:hAnsi="仿宋_GB2312" w:eastAsia="仿宋_GB2312" w:cs="仿宋_GB2312"/>
          <w:b w:val="0"/>
          <w:bCs w:val="0"/>
          <w:i w:val="0"/>
          <w:iCs w:val="0"/>
          <w:color w:val="000000"/>
          <w:kern w:val="0"/>
          <w:sz w:val="32"/>
          <w:szCs w:val="32"/>
          <w:highlight w:val="none"/>
          <w:shd w:val="clear" w:color="auto" w:fill="FFFFFF"/>
          <w:lang w:val="zh-CN"/>
        </w:rPr>
        <w:t>（三）人员概况。</w:t>
      </w:r>
      <w:r>
        <w:rPr>
          <w:rFonts w:hint="eastAsia" w:ascii="仿宋_GB2312" w:hAnsi="仿宋_GB2312" w:eastAsia="仿宋_GB2312" w:cs="仿宋_GB2312"/>
          <w:b w:val="0"/>
          <w:bCs w:val="0"/>
          <w:i w:val="0"/>
          <w:iCs w:val="0"/>
          <w:sz w:val="32"/>
          <w:szCs w:val="32"/>
          <w:lang w:val="en-US" w:eastAsia="zh-CN"/>
        </w:rPr>
        <w:t>截至2023年末，区就业局编制人员5人，年末实有人员4人。</w:t>
      </w:r>
    </w:p>
    <w:p w14:paraId="4CA6DBE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二、部门资金收支情况</w:t>
      </w:r>
    </w:p>
    <w:p w14:paraId="3FBF1F4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i w:val="0"/>
          <w:iCs w:val="0"/>
          <w:color w:val="000000"/>
          <w:kern w:val="0"/>
          <w:szCs w:val="32"/>
          <w:highlight w:val="none"/>
          <w:shd w:val="clear" w:color="auto" w:fill="FFFFFF"/>
          <w:lang w:val="en-US"/>
        </w:rPr>
      </w:pPr>
      <w:r>
        <w:rPr>
          <w:rFonts w:hint="eastAsia" w:ascii="仿宋_GB2312" w:hAnsi="仿宋_GB2312" w:eastAsia="仿宋_GB2312" w:cs="仿宋_GB2312"/>
          <w:b w:val="0"/>
          <w:bCs w:val="0"/>
          <w:i w:val="0"/>
          <w:iCs w:val="0"/>
          <w:color w:val="000000"/>
          <w:kern w:val="0"/>
          <w:sz w:val="32"/>
          <w:szCs w:val="32"/>
          <w:highlight w:val="none"/>
          <w:shd w:val="clear" w:color="auto" w:fill="FFFFFF"/>
          <w:lang w:val="zh-CN"/>
        </w:rPr>
        <w:t>（一）收入情况。</w:t>
      </w:r>
      <w:r>
        <w:rPr>
          <w:rFonts w:hint="eastAsia" w:ascii="仿宋_GB2312" w:hAnsi="仿宋_GB2312" w:eastAsia="仿宋_GB2312" w:cs="仿宋_GB2312"/>
          <w:b w:val="0"/>
          <w:bCs w:val="0"/>
          <w:i w:val="0"/>
          <w:iCs w:val="0"/>
          <w:sz w:val="32"/>
          <w:szCs w:val="32"/>
          <w:lang w:val="en-US" w:eastAsia="zh-CN"/>
        </w:rPr>
        <w:t>区就业局2023年年初预算收入161.85万元、决算报表收入3,466.24万元</w:t>
      </w:r>
    </w:p>
    <w:p w14:paraId="7B66DB7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i w:val="0"/>
          <w:iCs w:val="0"/>
          <w:szCs w:val="32"/>
          <w:lang w:val="zh-CN" w:eastAsia="zh-CN"/>
        </w:rPr>
      </w:pPr>
      <w:r>
        <w:rPr>
          <w:rFonts w:hint="eastAsia" w:ascii="仿宋_GB2312" w:hAnsi="仿宋_GB2312" w:eastAsia="仿宋_GB2312" w:cs="仿宋_GB2312"/>
          <w:b w:val="0"/>
          <w:bCs w:val="0"/>
          <w:i w:val="0"/>
          <w:iCs w:val="0"/>
          <w:color w:val="000000"/>
          <w:kern w:val="0"/>
          <w:sz w:val="32"/>
          <w:szCs w:val="32"/>
          <w:highlight w:val="none"/>
          <w:shd w:val="clear" w:color="auto" w:fill="FFFFFF"/>
          <w:lang w:val="zh-CN"/>
        </w:rPr>
        <w:t>（二）支出情况。</w:t>
      </w:r>
      <w:r>
        <w:rPr>
          <w:rFonts w:hint="eastAsia" w:ascii="仿宋_GB2312" w:hAnsi="仿宋_GB2312" w:eastAsia="仿宋_GB2312" w:cs="仿宋_GB2312"/>
          <w:b w:val="0"/>
          <w:bCs w:val="0"/>
          <w:i w:val="0"/>
          <w:iCs w:val="0"/>
          <w:sz w:val="32"/>
          <w:szCs w:val="32"/>
          <w:lang w:val="en-US" w:eastAsia="zh-CN"/>
        </w:rPr>
        <w:t>区就业局2023年年初预算支出161.85万元、决算报表支出3,466.24万元</w:t>
      </w:r>
    </w:p>
    <w:p w14:paraId="718B4C6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i w:val="0"/>
          <w:iCs w:val="0"/>
          <w:color w:val="000000"/>
          <w:kern w:val="0"/>
          <w:szCs w:val="32"/>
          <w:highlight w:val="none"/>
          <w:shd w:val="clear" w:color="auto" w:fill="FFFFFF"/>
          <w:lang w:val="zh-CN" w:eastAsia="zh-CN"/>
        </w:rPr>
      </w:pPr>
      <w:r>
        <w:rPr>
          <w:rFonts w:hint="eastAsia" w:ascii="仿宋_GB2312" w:hAnsi="仿宋_GB2312" w:eastAsia="仿宋_GB2312" w:cs="仿宋_GB2312"/>
          <w:b w:val="0"/>
          <w:bCs w:val="0"/>
          <w:i w:val="0"/>
          <w:iCs w:val="0"/>
          <w:color w:val="000000"/>
          <w:kern w:val="0"/>
          <w:sz w:val="32"/>
          <w:szCs w:val="32"/>
          <w:highlight w:val="none"/>
          <w:shd w:val="clear" w:color="auto" w:fill="FFFFFF"/>
          <w:lang w:val="zh-CN"/>
        </w:rPr>
        <w:t>（三）结余分配和结转结余情况</w:t>
      </w:r>
      <w:r>
        <w:rPr>
          <w:rFonts w:hint="eastAsia" w:ascii="仿宋_GB2312" w:hAnsi="仿宋_GB2312" w:eastAsia="仿宋_GB2312" w:cs="仿宋_GB2312"/>
          <w:b w:val="0"/>
          <w:bCs w:val="0"/>
          <w:i w:val="0"/>
          <w:iCs w:val="0"/>
          <w:color w:val="000000"/>
          <w:kern w:val="0"/>
          <w:sz w:val="32"/>
          <w:szCs w:val="32"/>
          <w:highlight w:val="none"/>
          <w:shd w:val="clear" w:color="auto" w:fill="FFFFFF"/>
          <w:lang w:val="zh-CN" w:eastAsia="zh-CN"/>
        </w:rPr>
        <w:t>。</w:t>
      </w:r>
      <w:r>
        <w:rPr>
          <w:rFonts w:hint="eastAsia" w:ascii="仿宋_GB2312" w:hAnsi="仿宋_GB2312" w:eastAsia="仿宋_GB2312" w:cs="仿宋_GB2312"/>
          <w:b w:val="0"/>
          <w:bCs w:val="0"/>
          <w:i w:val="0"/>
          <w:iCs w:val="0"/>
          <w:sz w:val="32"/>
          <w:szCs w:val="32"/>
          <w:lang w:val="en-US" w:eastAsia="zh-CN"/>
        </w:rPr>
        <w:t>区就业局2023年决算报表无结转结余。</w:t>
      </w:r>
    </w:p>
    <w:p w14:paraId="5AED769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三、部门预算绩效分析</w:t>
      </w:r>
    </w:p>
    <w:p w14:paraId="102A611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i w:val="0"/>
          <w:iCs w:val="0"/>
          <w:color w:val="000000"/>
          <w:kern w:val="0"/>
          <w:szCs w:val="32"/>
          <w:highlight w:val="none"/>
          <w:shd w:val="clear" w:color="auto" w:fill="FFFFFF"/>
          <w:lang w:val="zh-CN"/>
        </w:rPr>
      </w:pPr>
      <w:r>
        <w:rPr>
          <w:rFonts w:hint="eastAsia" w:ascii="仿宋_GB2312" w:hAnsi="仿宋_GB2312" w:eastAsia="仿宋_GB2312" w:cs="仿宋_GB2312"/>
          <w:b w:val="0"/>
          <w:bCs w:val="0"/>
          <w:i w:val="0"/>
          <w:iCs w:val="0"/>
          <w:color w:val="000000"/>
          <w:kern w:val="0"/>
          <w:sz w:val="32"/>
          <w:szCs w:val="32"/>
          <w:highlight w:val="none"/>
          <w:shd w:val="clear" w:color="auto" w:fill="FFFFFF"/>
          <w:lang w:val="zh-CN"/>
        </w:rPr>
        <w:t>（一）部门预算总体绩效分析。</w:t>
      </w:r>
      <w:r>
        <w:rPr>
          <w:rFonts w:hint="eastAsia" w:ascii="仿宋_GB2312" w:hAnsi="仿宋_GB2312" w:eastAsia="仿宋_GB2312" w:cs="仿宋_GB2312"/>
          <w:b w:val="0"/>
          <w:bCs w:val="0"/>
          <w:i w:val="0"/>
          <w:iCs w:val="0"/>
          <w:sz w:val="32"/>
          <w:szCs w:val="32"/>
          <w:lang w:val="zh-CN" w:eastAsia="zh-CN"/>
        </w:rPr>
        <w:t>根据部门预算绩效评价指标体系“总体绩效”涉及二、三级指标进行逐项绩效分析并评分，依次包括履职效能、预算管理、财务管理、资产管理、采购管理等情况。</w:t>
      </w:r>
    </w:p>
    <w:p w14:paraId="0A220D3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i w:val="0"/>
          <w:iCs w:val="0"/>
          <w:color w:val="000000"/>
          <w:kern w:val="0"/>
          <w:sz w:val="32"/>
          <w:szCs w:val="32"/>
          <w:highlight w:val="none"/>
          <w:shd w:val="clear" w:color="auto" w:fill="FFFFFF"/>
          <w:lang w:val="zh-CN"/>
        </w:rPr>
      </w:pPr>
      <w:r>
        <w:rPr>
          <w:rFonts w:hint="eastAsia" w:ascii="仿宋_GB2312" w:hAnsi="仿宋_GB2312" w:eastAsia="仿宋_GB2312" w:cs="仿宋_GB2312"/>
          <w:b w:val="0"/>
          <w:bCs w:val="0"/>
          <w:i w:val="0"/>
          <w:iCs w:val="0"/>
          <w:color w:val="000000"/>
          <w:kern w:val="0"/>
          <w:sz w:val="32"/>
          <w:szCs w:val="32"/>
          <w:highlight w:val="none"/>
          <w:shd w:val="clear" w:color="auto" w:fill="FFFFFF"/>
          <w:lang w:val="en-US" w:eastAsia="zh-CN"/>
        </w:rPr>
        <w:t>1.</w:t>
      </w:r>
      <w:r>
        <w:rPr>
          <w:rFonts w:hint="eastAsia" w:ascii="仿宋_GB2312" w:hAnsi="仿宋_GB2312" w:eastAsia="仿宋_GB2312" w:cs="仿宋_GB2312"/>
          <w:b w:val="0"/>
          <w:bCs w:val="0"/>
          <w:i w:val="0"/>
          <w:iCs w:val="0"/>
          <w:color w:val="000000"/>
          <w:kern w:val="0"/>
          <w:sz w:val="32"/>
          <w:szCs w:val="32"/>
          <w:highlight w:val="none"/>
          <w:shd w:val="clear" w:color="auto" w:fill="FFFFFF"/>
          <w:lang w:val="zh-CN"/>
        </w:rPr>
        <w:t>履职效能。</w:t>
      </w:r>
      <w:r>
        <w:rPr>
          <w:rFonts w:hint="eastAsia" w:ascii="仿宋_GB2312" w:hAnsi="仿宋_GB2312" w:eastAsia="仿宋_GB2312" w:cs="仿宋_GB2312"/>
          <w:b w:val="0"/>
          <w:bCs w:val="0"/>
          <w:i w:val="0"/>
          <w:iCs w:val="0"/>
          <w:sz w:val="32"/>
          <w:szCs w:val="32"/>
          <w:lang w:val="zh-CN" w:eastAsia="zh-CN"/>
        </w:rPr>
        <w:t>围绕就业创业、促进城镇就业目标，兜底安置乡村公益性岗位1957人次，扶贫公益性岗位263人次，城镇公益性岗位188人次；按照巩固拓展脱贫攻坚成果同乡村振兴有效衔接相关要求，动态安置临时性工作岗位2235人次。鼓励企业、农村专业合作社等吸纳高校毕业生和建档立卡脱贫户就业38人，发放一次性吸纳奖补资金4.8万元。积极招募参加就业见习人员79人（其中2023年高校毕业生16人），截至目前，发放就业见习补贴共计58.903万元。完成预算的100%。通过项目实施，鼓励企业吸纳高校毕业生和建档立卡脱贫户38人就业，发放一次性吸纳奖补贴资金4.8万元。积极招募参加就业见习人员79人（其中2023年高校毕业生16人）。扶持382人成功创业，带动各类人员就业1256人。发放创业补贴178万元，超额完成目标任务。着力提升公共就业服务水平促就业，组织100余家企业开展线上线下春风行动、遂企制造·职等你来等各类招聘会83次</w:t>
      </w:r>
    </w:p>
    <w:p w14:paraId="06B378C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i w:val="0"/>
          <w:iCs w:val="0"/>
          <w:color w:val="000000"/>
          <w:kern w:val="0"/>
          <w:sz w:val="32"/>
          <w:szCs w:val="32"/>
          <w:highlight w:val="none"/>
          <w:shd w:val="clear" w:color="auto" w:fill="FFFFFF"/>
          <w:lang w:val="en-US"/>
        </w:rPr>
      </w:pPr>
      <w:r>
        <w:rPr>
          <w:rFonts w:hint="eastAsia" w:ascii="仿宋_GB2312" w:hAnsi="仿宋_GB2312" w:eastAsia="仿宋_GB2312" w:cs="仿宋_GB2312"/>
          <w:b w:val="0"/>
          <w:bCs w:val="0"/>
          <w:i w:val="0"/>
          <w:iCs w:val="0"/>
          <w:color w:val="000000"/>
          <w:kern w:val="0"/>
          <w:sz w:val="32"/>
          <w:szCs w:val="32"/>
          <w:highlight w:val="none"/>
          <w:shd w:val="clear" w:color="auto" w:fill="FFFFFF"/>
          <w:lang w:val="en-US" w:eastAsia="zh-CN"/>
        </w:rPr>
        <w:t>2.</w:t>
      </w:r>
      <w:r>
        <w:rPr>
          <w:rFonts w:hint="eastAsia" w:ascii="仿宋_GB2312" w:hAnsi="仿宋_GB2312" w:eastAsia="仿宋_GB2312" w:cs="仿宋_GB2312"/>
          <w:b w:val="0"/>
          <w:bCs w:val="0"/>
          <w:i w:val="0"/>
          <w:iCs w:val="0"/>
          <w:color w:val="000000"/>
          <w:kern w:val="0"/>
          <w:sz w:val="32"/>
          <w:szCs w:val="32"/>
          <w:highlight w:val="none"/>
          <w:shd w:val="clear" w:color="auto" w:fill="FFFFFF"/>
          <w:lang w:val="zh-CN"/>
        </w:rPr>
        <w:t>预算管理。</w:t>
      </w:r>
      <w:r>
        <w:rPr>
          <w:rFonts w:hint="eastAsia" w:ascii="仿宋_GB2312" w:hAnsi="仿宋_GB2312" w:eastAsia="仿宋_GB2312" w:cs="仿宋_GB2312"/>
          <w:b w:val="0"/>
          <w:bCs w:val="0"/>
          <w:i w:val="0"/>
          <w:iCs w:val="0"/>
          <w:sz w:val="32"/>
          <w:szCs w:val="32"/>
          <w:lang w:val="zh-CN" w:eastAsia="zh-CN"/>
        </w:rPr>
        <w:t>全年预算项目资金</w:t>
      </w:r>
      <w:r>
        <w:rPr>
          <w:rFonts w:hint="eastAsia" w:ascii="仿宋_GB2312" w:hAnsi="仿宋_GB2312" w:eastAsia="仿宋_GB2312" w:cs="仿宋_GB2312"/>
          <w:b w:val="0"/>
          <w:bCs w:val="0"/>
          <w:i w:val="0"/>
          <w:iCs w:val="0"/>
          <w:sz w:val="32"/>
          <w:szCs w:val="32"/>
          <w:lang w:val="en-US" w:eastAsia="zh-CN"/>
        </w:rPr>
        <w:t>3340.79万元，执行数3340.79万元，执行率100%。预算编制科学合理，年末无结余资金</w:t>
      </w:r>
    </w:p>
    <w:p w14:paraId="6CD03E6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i w:val="0"/>
          <w:iCs w:val="0"/>
          <w:color w:val="000000"/>
          <w:kern w:val="0"/>
          <w:sz w:val="32"/>
          <w:szCs w:val="32"/>
          <w:highlight w:val="none"/>
          <w:shd w:val="clear" w:color="auto" w:fill="FFFFFF"/>
          <w:lang w:val="zh-CN"/>
        </w:rPr>
      </w:pPr>
      <w:r>
        <w:rPr>
          <w:rFonts w:hint="eastAsia" w:ascii="仿宋_GB2312" w:hAnsi="仿宋_GB2312" w:eastAsia="仿宋_GB2312" w:cs="仿宋_GB2312"/>
          <w:b w:val="0"/>
          <w:bCs w:val="0"/>
          <w:i w:val="0"/>
          <w:iCs w:val="0"/>
          <w:color w:val="000000"/>
          <w:kern w:val="0"/>
          <w:sz w:val="32"/>
          <w:szCs w:val="32"/>
          <w:highlight w:val="none"/>
          <w:shd w:val="clear" w:color="auto" w:fill="FFFFFF"/>
          <w:lang w:val="en-US" w:eastAsia="zh-CN"/>
        </w:rPr>
        <w:t>3.</w:t>
      </w:r>
      <w:r>
        <w:rPr>
          <w:rFonts w:hint="eastAsia" w:ascii="仿宋_GB2312" w:hAnsi="仿宋_GB2312" w:eastAsia="仿宋_GB2312" w:cs="仿宋_GB2312"/>
          <w:b w:val="0"/>
          <w:bCs w:val="0"/>
          <w:i w:val="0"/>
          <w:iCs w:val="0"/>
          <w:color w:val="000000"/>
          <w:kern w:val="0"/>
          <w:sz w:val="32"/>
          <w:szCs w:val="32"/>
          <w:highlight w:val="none"/>
          <w:shd w:val="clear" w:color="auto" w:fill="FFFFFF"/>
          <w:lang w:val="zh-CN"/>
        </w:rPr>
        <w:t>财务管理。</w:t>
      </w:r>
      <w:r>
        <w:rPr>
          <w:rFonts w:hint="eastAsia" w:ascii="仿宋_GB2312" w:hAnsi="仿宋_GB2312" w:eastAsia="仿宋_GB2312" w:cs="仿宋_GB2312"/>
          <w:b w:val="0"/>
          <w:bCs w:val="0"/>
          <w:i w:val="0"/>
          <w:iCs w:val="0"/>
          <w:sz w:val="32"/>
          <w:szCs w:val="32"/>
          <w:lang w:val="zh-CN" w:eastAsia="zh-CN"/>
        </w:rPr>
        <w:t>围绕我局财务管理制度、设立财务岗位，严格执行相关政策资金使用规范。</w:t>
      </w:r>
    </w:p>
    <w:p w14:paraId="45C8DBA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i w:val="0"/>
          <w:iCs w:val="0"/>
          <w:color w:val="000000"/>
          <w:kern w:val="0"/>
          <w:sz w:val="32"/>
          <w:szCs w:val="32"/>
          <w:highlight w:val="none"/>
          <w:shd w:val="clear" w:color="auto" w:fill="FFFFFF"/>
          <w:lang w:val="zh-CN"/>
        </w:rPr>
      </w:pPr>
      <w:r>
        <w:rPr>
          <w:rFonts w:hint="eastAsia" w:ascii="仿宋_GB2312" w:hAnsi="仿宋_GB2312" w:eastAsia="仿宋_GB2312" w:cs="仿宋_GB2312"/>
          <w:b w:val="0"/>
          <w:bCs w:val="0"/>
          <w:i w:val="0"/>
          <w:iCs w:val="0"/>
          <w:color w:val="000000"/>
          <w:kern w:val="0"/>
          <w:sz w:val="32"/>
          <w:szCs w:val="32"/>
          <w:highlight w:val="none"/>
          <w:shd w:val="clear" w:color="auto" w:fill="FFFFFF"/>
          <w:lang w:val="en-US" w:eastAsia="zh-CN"/>
        </w:rPr>
        <w:t>4.</w:t>
      </w:r>
      <w:r>
        <w:rPr>
          <w:rFonts w:hint="eastAsia" w:ascii="仿宋_GB2312" w:hAnsi="仿宋_GB2312" w:eastAsia="仿宋_GB2312" w:cs="仿宋_GB2312"/>
          <w:b w:val="0"/>
          <w:bCs w:val="0"/>
          <w:i w:val="0"/>
          <w:iCs w:val="0"/>
          <w:color w:val="000000"/>
          <w:kern w:val="0"/>
          <w:sz w:val="32"/>
          <w:szCs w:val="32"/>
          <w:highlight w:val="none"/>
          <w:shd w:val="clear" w:color="auto" w:fill="FFFFFF"/>
          <w:lang w:val="zh-CN"/>
        </w:rPr>
        <w:t>资产管理。我局严格资产管理，</w:t>
      </w:r>
      <w:r>
        <w:rPr>
          <w:rFonts w:hint="eastAsia" w:ascii="仿宋_GB2312" w:hAnsi="仿宋_GB2312" w:eastAsia="仿宋_GB2312" w:cs="仿宋_GB2312"/>
          <w:b w:val="0"/>
          <w:bCs w:val="0"/>
          <w:i w:val="0"/>
          <w:iCs w:val="0"/>
          <w:sz w:val="32"/>
          <w:szCs w:val="32"/>
          <w:lang w:val="zh-CN" w:eastAsia="zh-CN"/>
        </w:rPr>
        <w:t>资产利用率</w:t>
      </w:r>
      <w:r>
        <w:rPr>
          <w:rFonts w:hint="eastAsia" w:ascii="仿宋_GB2312" w:hAnsi="仿宋_GB2312" w:eastAsia="仿宋_GB2312" w:cs="仿宋_GB2312"/>
          <w:b w:val="0"/>
          <w:bCs w:val="0"/>
          <w:i w:val="0"/>
          <w:iCs w:val="0"/>
          <w:sz w:val="32"/>
          <w:szCs w:val="32"/>
          <w:lang w:val="en-US" w:eastAsia="zh-CN"/>
        </w:rPr>
        <w:t>100%</w:t>
      </w:r>
      <w:r>
        <w:rPr>
          <w:rFonts w:hint="eastAsia" w:ascii="仿宋_GB2312" w:hAnsi="仿宋_GB2312" w:eastAsia="仿宋_GB2312" w:cs="仿宋_GB2312"/>
          <w:b w:val="0"/>
          <w:bCs w:val="0"/>
          <w:i w:val="0"/>
          <w:iCs w:val="0"/>
          <w:sz w:val="32"/>
          <w:szCs w:val="32"/>
          <w:lang w:val="zh-CN" w:eastAsia="zh-CN"/>
        </w:rPr>
        <w:t>、资产盘活率</w:t>
      </w:r>
      <w:r>
        <w:rPr>
          <w:rFonts w:hint="eastAsia" w:ascii="仿宋_GB2312" w:hAnsi="仿宋_GB2312" w:eastAsia="仿宋_GB2312" w:cs="仿宋_GB2312"/>
          <w:b w:val="0"/>
          <w:bCs w:val="0"/>
          <w:i w:val="0"/>
          <w:iCs w:val="0"/>
          <w:sz w:val="32"/>
          <w:szCs w:val="32"/>
          <w:lang w:val="en-US" w:eastAsia="zh-CN"/>
        </w:rPr>
        <w:t>100%</w:t>
      </w:r>
      <w:r>
        <w:rPr>
          <w:rFonts w:hint="eastAsia" w:ascii="仿宋_GB2312" w:hAnsi="仿宋_GB2312" w:eastAsia="仿宋_GB2312" w:cs="仿宋_GB2312"/>
          <w:b w:val="0"/>
          <w:bCs w:val="0"/>
          <w:i w:val="0"/>
          <w:iCs w:val="0"/>
          <w:sz w:val="32"/>
          <w:szCs w:val="32"/>
          <w:lang w:val="zh-CN" w:eastAsia="zh-CN"/>
        </w:rPr>
        <w:t>。</w:t>
      </w:r>
    </w:p>
    <w:p w14:paraId="0653618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i w:val="0"/>
          <w:iCs w:val="0"/>
          <w:color w:val="000000"/>
          <w:kern w:val="0"/>
          <w:sz w:val="32"/>
          <w:szCs w:val="32"/>
          <w:highlight w:val="none"/>
          <w:shd w:val="clear" w:color="auto" w:fill="FFFFFF"/>
          <w:lang w:val="en-US"/>
        </w:rPr>
      </w:pPr>
      <w:r>
        <w:rPr>
          <w:rFonts w:hint="eastAsia" w:ascii="仿宋_GB2312" w:hAnsi="仿宋_GB2312" w:eastAsia="仿宋_GB2312" w:cs="仿宋_GB2312"/>
          <w:b w:val="0"/>
          <w:bCs w:val="0"/>
          <w:i w:val="0"/>
          <w:iCs w:val="0"/>
          <w:color w:val="000000"/>
          <w:kern w:val="0"/>
          <w:sz w:val="32"/>
          <w:szCs w:val="32"/>
          <w:highlight w:val="none"/>
          <w:shd w:val="clear" w:color="auto" w:fill="FFFFFF"/>
          <w:lang w:val="en-US" w:eastAsia="zh-CN"/>
        </w:rPr>
        <w:t>5.</w:t>
      </w:r>
      <w:r>
        <w:rPr>
          <w:rFonts w:hint="eastAsia" w:ascii="仿宋_GB2312" w:hAnsi="仿宋_GB2312" w:eastAsia="仿宋_GB2312" w:cs="仿宋_GB2312"/>
          <w:b w:val="0"/>
          <w:bCs w:val="0"/>
          <w:i w:val="0"/>
          <w:iCs w:val="0"/>
          <w:color w:val="000000"/>
          <w:kern w:val="0"/>
          <w:sz w:val="32"/>
          <w:szCs w:val="32"/>
          <w:highlight w:val="none"/>
          <w:shd w:val="clear" w:color="auto" w:fill="FFFFFF"/>
          <w:lang w:val="zh-CN"/>
        </w:rPr>
        <w:t>采购管理。</w:t>
      </w:r>
      <w:r>
        <w:rPr>
          <w:rFonts w:hint="eastAsia" w:ascii="仿宋_GB2312" w:hAnsi="仿宋_GB2312" w:eastAsia="仿宋_GB2312" w:cs="仿宋_GB2312"/>
          <w:b w:val="0"/>
          <w:bCs w:val="0"/>
          <w:i w:val="0"/>
          <w:iCs w:val="0"/>
          <w:sz w:val="32"/>
          <w:szCs w:val="32"/>
          <w:lang w:val="en-US" w:eastAsia="zh-CN"/>
        </w:rPr>
        <w:t>2023年未采购</w:t>
      </w:r>
    </w:p>
    <w:p w14:paraId="106640C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olor w:val="000000"/>
          <w:kern w:val="0"/>
          <w:sz w:val="32"/>
          <w:szCs w:val="32"/>
          <w:highlight w:val="none"/>
          <w:shd w:val="clear" w:color="auto" w:fill="FFFFFF"/>
          <w:lang w:val="zh-CN"/>
        </w:rPr>
        <w:t>（二）部门预算项目绩效分析。</w:t>
      </w:r>
      <w:r>
        <w:rPr>
          <w:rFonts w:hint="eastAsia" w:ascii="仿宋_GB2312" w:hAnsi="仿宋_GB2312" w:eastAsia="仿宋_GB2312" w:cs="仿宋_GB2312"/>
          <w:b w:val="0"/>
          <w:bCs w:val="0"/>
          <w:i w:val="0"/>
          <w:iCs w:val="0"/>
          <w:sz w:val="32"/>
          <w:szCs w:val="32"/>
          <w:lang w:val="zh-CN" w:eastAsia="zh-CN"/>
        </w:rPr>
        <w:t>填报以下数据，并根据部门预算绩效评价指标体系“项目绩效”涉及二、三级指标进行逐项绩效分析并评分，依次包括项目</w:t>
      </w:r>
      <w:r>
        <w:rPr>
          <w:rFonts w:hint="eastAsia" w:ascii="仿宋_GB2312" w:hAnsi="仿宋_GB2312" w:eastAsia="仿宋_GB2312" w:cs="仿宋_GB2312"/>
          <w:b w:val="0"/>
          <w:bCs w:val="0"/>
          <w:i w:val="0"/>
          <w:iCs w:val="0"/>
          <w:sz w:val="32"/>
          <w:szCs w:val="32"/>
          <w:lang w:val="en-US" w:eastAsia="zh-CN"/>
        </w:rPr>
        <w:t>决策、项目执行、目标实现等情况。</w:t>
      </w:r>
    </w:p>
    <w:p w14:paraId="252CD61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仿宋_GB2312" w:cs="Times New Roman"/>
          <w:b w:val="0"/>
          <w:bCs w:val="0"/>
          <w:i w:val="0"/>
          <w:iCs w:val="0"/>
          <w:sz w:val="32"/>
          <w:szCs w:val="32"/>
          <w:lang w:val="en-US" w:eastAsia="zh-CN"/>
        </w:rPr>
        <w:t>常年项目绩效分析。</w:t>
      </w:r>
      <w:r>
        <w:rPr>
          <w:rFonts w:hint="default" w:ascii="Times New Roman" w:hAnsi="Times New Roman" w:eastAsia="仿宋_GB2312" w:cs="Times New Roman"/>
          <w:b w:val="0"/>
          <w:bCs w:val="0"/>
          <w:i w:val="0"/>
          <w:iCs w:val="0"/>
          <w:sz w:val="32"/>
          <w:szCs w:val="32"/>
          <w:lang w:val="zh-CN" w:eastAsia="zh-CN"/>
        </w:rPr>
        <w:t>该类项目总数</w:t>
      </w:r>
      <w:r>
        <w:rPr>
          <w:rFonts w:hint="eastAsia" w:ascii="Times New Roman" w:hAnsi="Times New Roman" w:eastAsia="仿宋_GB2312" w:cs="Times New Roman"/>
          <w:b w:val="0"/>
          <w:bCs w:val="0"/>
          <w:i w:val="0"/>
          <w:iCs w:val="0"/>
          <w:sz w:val="32"/>
          <w:szCs w:val="32"/>
          <w:lang w:val="en-US" w:eastAsia="zh-CN"/>
        </w:rPr>
        <w:t>3个</w:t>
      </w:r>
      <w:r>
        <w:rPr>
          <w:rFonts w:hint="default" w:ascii="Times New Roman" w:hAnsi="Times New Roman" w:eastAsia="仿宋_GB2312" w:cs="Times New Roman"/>
          <w:b w:val="0"/>
          <w:bCs w:val="0"/>
          <w:i w:val="0"/>
          <w:iCs w:val="0"/>
          <w:sz w:val="32"/>
          <w:szCs w:val="32"/>
          <w:lang w:val="zh-CN" w:eastAsia="zh-CN"/>
        </w:rPr>
        <w:t>，涉及预算总金额</w:t>
      </w:r>
      <w:r>
        <w:rPr>
          <w:rFonts w:hint="default" w:ascii="Times New Roman" w:hAnsi="Times New Roman" w:eastAsia="仿宋_GB2312" w:cs="Times New Roman"/>
          <w:b w:val="0"/>
          <w:bCs w:val="0"/>
          <w:i w:val="0"/>
          <w:iCs w:val="0"/>
          <w:sz w:val="32"/>
          <w:szCs w:val="32"/>
          <w:lang w:val="en-US" w:eastAsia="zh-CN"/>
        </w:rPr>
        <w:t>3,340.79</w:t>
      </w:r>
      <w:r>
        <w:rPr>
          <w:rFonts w:hint="default" w:ascii="Times New Roman" w:hAnsi="Times New Roman" w:eastAsia="仿宋_GB2312" w:cs="Times New Roman"/>
          <w:b w:val="0"/>
          <w:bCs w:val="0"/>
          <w:i w:val="0"/>
          <w:iCs w:val="0"/>
          <w:sz w:val="32"/>
          <w:szCs w:val="32"/>
          <w:lang w:val="zh-CN" w:eastAsia="zh-CN"/>
        </w:rPr>
        <w:t>万元，1—1</w:t>
      </w:r>
      <w:r>
        <w:rPr>
          <w:rFonts w:hint="default" w:ascii="Times New Roman" w:hAnsi="Times New Roman" w:eastAsia="仿宋_GB2312" w:cs="Times New Roman"/>
          <w:b w:val="0"/>
          <w:bCs w:val="0"/>
          <w:i w:val="0"/>
          <w:iCs w:val="0"/>
          <w:sz w:val="32"/>
          <w:szCs w:val="32"/>
          <w:lang w:val="en-US" w:eastAsia="zh-CN"/>
        </w:rPr>
        <w:t>2</w:t>
      </w:r>
      <w:r>
        <w:rPr>
          <w:rFonts w:hint="default" w:ascii="Times New Roman" w:hAnsi="Times New Roman" w:eastAsia="仿宋_GB2312" w:cs="Times New Roman"/>
          <w:b w:val="0"/>
          <w:bCs w:val="0"/>
          <w:i w:val="0"/>
          <w:iCs w:val="0"/>
          <w:sz w:val="32"/>
          <w:szCs w:val="32"/>
          <w:lang w:val="zh-CN" w:eastAsia="zh-CN"/>
        </w:rPr>
        <w:t>月预算执行总体进度为</w:t>
      </w:r>
      <w:r>
        <w:rPr>
          <w:rFonts w:hint="eastAsia" w:ascii="Times New Roman" w:hAnsi="Times New Roman" w:eastAsia="仿宋_GB2312" w:cs="Times New Roman"/>
          <w:b w:val="0"/>
          <w:bCs w:val="0"/>
          <w:i w:val="0"/>
          <w:iCs w:val="0"/>
          <w:sz w:val="32"/>
          <w:szCs w:val="32"/>
          <w:lang w:val="en-US" w:eastAsia="zh-CN"/>
        </w:rPr>
        <w:t>100</w:t>
      </w:r>
      <w:r>
        <w:rPr>
          <w:rFonts w:hint="default" w:ascii="Times New Roman" w:hAnsi="Times New Roman" w:eastAsia="仿宋_GB2312" w:cs="Times New Roman"/>
          <w:b w:val="0"/>
          <w:bCs w:val="0"/>
          <w:i w:val="0"/>
          <w:iCs w:val="0"/>
          <w:sz w:val="32"/>
          <w:szCs w:val="32"/>
          <w:lang w:val="zh-CN" w:eastAsia="zh-CN"/>
        </w:rPr>
        <w:t>%，其中：预算结余率大于</w:t>
      </w:r>
      <w:r>
        <w:rPr>
          <w:rFonts w:hint="default" w:ascii="Times New Roman" w:hAnsi="Times New Roman" w:eastAsia="仿宋_GB2312" w:cs="Times New Roman"/>
          <w:b w:val="0"/>
          <w:bCs w:val="0"/>
          <w:i w:val="0"/>
          <w:iCs w:val="0"/>
          <w:sz w:val="32"/>
          <w:szCs w:val="32"/>
          <w:lang w:val="en-US" w:eastAsia="zh-CN"/>
        </w:rPr>
        <w:t>10%</w:t>
      </w:r>
      <w:r>
        <w:rPr>
          <w:rFonts w:hint="default" w:ascii="Times New Roman" w:hAnsi="Times New Roman" w:eastAsia="仿宋_GB2312" w:cs="Times New Roman"/>
          <w:b w:val="0"/>
          <w:bCs w:val="0"/>
          <w:i w:val="0"/>
          <w:iCs w:val="0"/>
          <w:sz w:val="32"/>
          <w:szCs w:val="32"/>
          <w:lang w:val="zh-CN" w:eastAsia="zh-CN"/>
        </w:rPr>
        <w:t>的项目共计</w:t>
      </w:r>
      <w:r>
        <w:rPr>
          <w:rFonts w:hint="eastAsia" w:ascii="Times New Roman" w:hAnsi="Times New Roman" w:eastAsia="仿宋_GB2312" w:cs="Times New Roman"/>
          <w:b w:val="0"/>
          <w:bCs w:val="0"/>
          <w:i w:val="0"/>
          <w:iCs w:val="0"/>
          <w:sz w:val="32"/>
          <w:szCs w:val="32"/>
          <w:lang w:val="en-US" w:eastAsia="zh-CN"/>
        </w:rPr>
        <w:t>0</w:t>
      </w:r>
      <w:r>
        <w:rPr>
          <w:rFonts w:hint="default" w:ascii="Times New Roman" w:hAnsi="Times New Roman" w:eastAsia="仿宋_GB2312" w:cs="Times New Roman"/>
          <w:b w:val="0"/>
          <w:bCs w:val="0"/>
          <w:i w:val="0"/>
          <w:iCs w:val="0"/>
          <w:sz w:val="32"/>
          <w:szCs w:val="32"/>
          <w:lang w:val="zh-CN" w:eastAsia="zh-CN"/>
        </w:rPr>
        <w:t>个。</w:t>
      </w:r>
    </w:p>
    <w:p w14:paraId="1ECF7E72">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en-US" w:eastAsia="zh-CN"/>
        </w:rPr>
      </w:pPr>
    </w:p>
    <w:p w14:paraId="236E06D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仿宋_GB2312" w:cs="Times New Roman"/>
          <w:b w:val="0"/>
          <w:bCs w:val="0"/>
          <w:i w:val="0"/>
          <w:iCs w:val="0"/>
          <w:sz w:val="32"/>
          <w:szCs w:val="32"/>
          <w:lang w:val="en-US" w:eastAsia="zh-CN"/>
        </w:rPr>
        <w:t>阶段（一次性）项目绩效分析。</w:t>
      </w:r>
      <w:r>
        <w:rPr>
          <w:rFonts w:hint="default" w:ascii="Times New Roman" w:hAnsi="Times New Roman" w:eastAsia="仿宋_GB2312" w:cs="Times New Roman"/>
          <w:b w:val="0"/>
          <w:bCs w:val="0"/>
          <w:i w:val="0"/>
          <w:iCs w:val="0"/>
          <w:sz w:val="32"/>
          <w:szCs w:val="32"/>
          <w:lang w:val="zh-CN" w:eastAsia="zh-CN"/>
        </w:rPr>
        <w:t>该类项目总数</w:t>
      </w:r>
      <w:r>
        <w:rPr>
          <w:rFonts w:hint="eastAsia" w:eastAsia="仿宋_GB2312" w:cs="Times New Roman"/>
          <w:b w:val="0"/>
          <w:bCs w:val="0"/>
          <w:i w:val="0"/>
          <w:iCs w:val="0"/>
          <w:sz w:val="32"/>
          <w:szCs w:val="32"/>
          <w:lang w:val="en-US" w:eastAsia="zh-CN"/>
        </w:rPr>
        <w:t>0</w:t>
      </w:r>
      <w:r>
        <w:rPr>
          <w:rFonts w:hint="default" w:ascii="Times New Roman" w:hAnsi="Times New Roman" w:eastAsia="仿宋_GB2312" w:cs="Times New Roman"/>
          <w:b w:val="0"/>
          <w:bCs w:val="0"/>
          <w:i w:val="0"/>
          <w:iCs w:val="0"/>
          <w:sz w:val="32"/>
          <w:szCs w:val="32"/>
          <w:lang w:val="zh-CN" w:eastAsia="zh-CN"/>
        </w:rPr>
        <w:t>个，涉及预算总金额</w:t>
      </w:r>
      <w:r>
        <w:rPr>
          <w:rFonts w:hint="eastAsia" w:eastAsia="仿宋_GB2312" w:cs="Times New Roman"/>
          <w:b w:val="0"/>
          <w:bCs w:val="0"/>
          <w:i w:val="0"/>
          <w:iCs w:val="0"/>
          <w:sz w:val="32"/>
          <w:szCs w:val="32"/>
          <w:lang w:val="en-US" w:eastAsia="zh-CN"/>
        </w:rPr>
        <w:t>0</w:t>
      </w:r>
      <w:r>
        <w:rPr>
          <w:rFonts w:hint="default" w:ascii="Times New Roman" w:hAnsi="Times New Roman" w:eastAsia="仿宋_GB2312" w:cs="Times New Roman"/>
          <w:b w:val="0"/>
          <w:bCs w:val="0"/>
          <w:i w:val="0"/>
          <w:iCs w:val="0"/>
          <w:sz w:val="32"/>
          <w:szCs w:val="32"/>
          <w:lang w:val="zh-CN" w:eastAsia="zh-CN"/>
        </w:rPr>
        <w:t>万元，1—1</w:t>
      </w:r>
      <w:r>
        <w:rPr>
          <w:rFonts w:hint="default" w:ascii="Times New Roman" w:hAnsi="Times New Roman" w:eastAsia="仿宋_GB2312" w:cs="Times New Roman"/>
          <w:b w:val="0"/>
          <w:bCs w:val="0"/>
          <w:i w:val="0"/>
          <w:iCs w:val="0"/>
          <w:sz w:val="32"/>
          <w:szCs w:val="32"/>
          <w:lang w:val="en-US" w:eastAsia="zh-CN"/>
        </w:rPr>
        <w:t>2</w:t>
      </w:r>
      <w:r>
        <w:rPr>
          <w:rFonts w:hint="default" w:ascii="Times New Roman" w:hAnsi="Times New Roman" w:eastAsia="仿宋_GB2312" w:cs="Times New Roman"/>
          <w:b w:val="0"/>
          <w:bCs w:val="0"/>
          <w:i w:val="0"/>
          <w:iCs w:val="0"/>
          <w:sz w:val="32"/>
          <w:szCs w:val="32"/>
          <w:lang w:val="zh-CN" w:eastAsia="zh-CN"/>
        </w:rPr>
        <w:t>月预算执行总体进度为</w:t>
      </w:r>
      <w:r>
        <w:rPr>
          <w:rFonts w:hint="default" w:ascii="Times New Roman" w:hAnsi="Times New Roman" w:eastAsia="仿宋_GB2312" w:cs="Times New Roman"/>
          <w:b w:val="0"/>
          <w:bCs w:val="0"/>
          <w:i w:val="0"/>
          <w:iCs w:val="0"/>
          <w:sz w:val="32"/>
          <w:szCs w:val="32"/>
          <w:lang w:val="en-US" w:eastAsia="zh-CN"/>
        </w:rPr>
        <w:t xml:space="preserve"> </w:t>
      </w:r>
      <w:r>
        <w:rPr>
          <w:rFonts w:hint="eastAsia" w:eastAsia="仿宋_GB2312" w:cs="Times New Roman"/>
          <w:b w:val="0"/>
          <w:bCs w:val="0"/>
          <w:i w:val="0"/>
          <w:iCs w:val="0"/>
          <w:sz w:val="32"/>
          <w:szCs w:val="32"/>
          <w:lang w:val="en-US" w:eastAsia="zh-CN"/>
        </w:rPr>
        <w:t>0</w:t>
      </w:r>
      <w:r>
        <w:rPr>
          <w:rFonts w:hint="default" w:ascii="Times New Roman" w:hAnsi="Times New Roman" w:eastAsia="仿宋_GB2312" w:cs="Times New Roman"/>
          <w:b w:val="0"/>
          <w:bCs w:val="0"/>
          <w:i w:val="0"/>
          <w:iCs w:val="0"/>
          <w:sz w:val="32"/>
          <w:szCs w:val="32"/>
          <w:lang w:val="en-US" w:eastAsia="zh-CN"/>
        </w:rPr>
        <w:t xml:space="preserve"> </w:t>
      </w:r>
      <w:r>
        <w:rPr>
          <w:rFonts w:hint="default" w:ascii="Times New Roman" w:hAnsi="Times New Roman" w:eastAsia="仿宋_GB2312" w:cs="Times New Roman"/>
          <w:b w:val="0"/>
          <w:bCs w:val="0"/>
          <w:i w:val="0"/>
          <w:iCs w:val="0"/>
          <w:sz w:val="32"/>
          <w:szCs w:val="32"/>
          <w:lang w:val="zh-CN" w:eastAsia="zh-CN"/>
        </w:rPr>
        <w:t>%，其中：预算结余率大于</w:t>
      </w:r>
      <w:r>
        <w:rPr>
          <w:rFonts w:hint="default" w:ascii="Times New Roman" w:hAnsi="Times New Roman" w:eastAsia="仿宋_GB2312" w:cs="Times New Roman"/>
          <w:b w:val="0"/>
          <w:bCs w:val="0"/>
          <w:i w:val="0"/>
          <w:iCs w:val="0"/>
          <w:sz w:val="32"/>
          <w:szCs w:val="32"/>
          <w:lang w:val="en-US" w:eastAsia="zh-CN"/>
        </w:rPr>
        <w:t>10%</w:t>
      </w:r>
      <w:r>
        <w:rPr>
          <w:rFonts w:hint="default" w:ascii="Times New Roman" w:hAnsi="Times New Roman" w:eastAsia="仿宋_GB2312" w:cs="Times New Roman"/>
          <w:b w:val="0"/>
          <w:bCs w:val="0"/>
          <w:i w:val="0"/>
          <w:iCs w:val="0"/>
          <w:sz w:val="32"/>
          <w:szCs w:val="32"/>
          <w:lang w:val="zh-CN" w:eastAsia="zh-CN"/>
        </w:rPr>
        <w:t>的项目共计</w:t>
      </w:r>
      <w:r>
        <w:rPr>
          <w:rFonts w:hint="default" w:ascii="Times New Roman" w:hAnsi="Times New Roman" w:eastAsia="仿宋_GB2312" w:cs="Times New Roman"/>
          <w:b w:val="0"/>
          <w:bCs w:val="0"/>
          <w:i w:val="0"/>
          <w:iCs w:val="0"/>
          <w:sz w:val="32"/>
          <w:szCs w:val="32"/>
          <w:lang w:val="en-US" w:eastAsia="zh-CN"/>
        </w:rPr>
        <w:t xml:space="preserve"> </w:t>
      </w:r>
      <w:r>
        <w:rPr>
          <w:rFonts w:hint="eastAsia" w:eastAsia="仿宋_GB2312" w:cs="Times New Roman"/>
          <w:b w:val="0"/>
          <w:bCs w:val="0"/>
          <w:i w:val="0"/>
          <w:iCs w:val="0"/>
          <w:sz w:val="32"/>
          <w:szCs w:val="32"/>
          <w:lang w:val="en-US" w:eastAsia="zh-CN"/>
        </w:rPr>
        <w:t>0</w:t>
      </w:r>
      <w:r>
        <w:rPr>
          <w:rFonts w:hint="default" w:ascii="Times New Roman" w:hAnsi="Times New Roman" w:eastAsia="仿宋_GB2312" w:cs="Times New Roman"/>
          <w:b w:val="0"/>
          <w:bCs w:val="0"/>
          <w:i w:val="0"/>
          <w:iCs w:val="0"/>
          <w:sz w:val="32"/>
          <w:szCs w:val="32"/>
          <w:lang w:val="zh-CN" w:eastAsia="zh-CN"/>
        </w:rPr>
        <w:t>个。</w:t>
      </w:r>
    </w:p>
    <w:p w14:paraId="4AFF2A7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1.</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项目决策。</w:t>
      </w:r>
      <w:r>
        <w:rPr>
          <w:rFonts w:hint="eastAsia" w:eastAsia="仿宋_GB2312" w:cs="Times New Roman"/>
          <w:b w:val="0"/>
          <w:bCs w:val="0"/>
          <w:i w:val="0"/>
          <w:iCs w:val="0"/>
          <w:color w:val="000000"/>
          <w:kern w:val="0"/>
          <w:sz w:val="32"/>
          <w:szCs w:val="32"/>
          <w:highlight w:val="none"/>
          <w:shd w:val="clear" w:color="auto" w:fill="FFFFFF"/>
          <w:lang w:val="en-US" w:eastAsia="zh-CN"/>
        </w:rPr>
        <w:t>通过每一项决策进行分析和评价，产生积极的效果，以及存在的问题等项目</w:t>
      </w:r>
      <w:r>
        <w:rPr>
          <w:rFonts w:hint="default" w:ascii="Times New Roman" w:hAnsi="Times New Roman" w:eastAsia="仿宋_GB2312" w:cs="Times New Roman"/>
          <w:b w:val="0"/>
          <w:bCs w:val="0"/>
          <w:i w:val="0"/>
          <w:iCs w:val="0"/>
          <w:sz w:val="32"/>
          <w:szCs w:val="32"/>
          <w:highlight w:val="none"/>
          <w:lang w:val="zh-CN" w:eastAsia="zh-CN"/>
        </w:rPr>
        <w:t>目标设置、项目入库进行绩效分析</w:t>
      </w:r>
      <w:r>
        <w:rPr>
          <w:rFonts w:hint="eastAsia" w:eastAsia="仿宋_GB2312" w:cs="Times New Roman"/>
          <w:b w:val="0"/>
          <w:bCs w:val="0"/>
          <w:i w:val="0"/>
          <w:iCs w:val="0"/>
          <w:sz w:val="32"/>
          <w:szCs w:val="32"/>
          <w:highlight w:val="none"/>
          <w:lang w:val="en-US" w:eastAsia="zh-CN"/>
        </w:rPr>
        <w:t>和评价</w:t>
      </w:r>
      <w:r>
        <w:rPr>
          <w:rFonts w:hint="default" w:ascii="Times New Roman" w:hAnsi="Times New Roman" w:eastAsia="仿宋_GB2312" w:cs="Times New Roman"/>
          <w:b w:val="0"/>
          <w:bCs w:val="0"/>
          <w:i w:val="0"/>
          <w:iCs w:val="0"/>
          <w:sz w:val="32"/>
          <w:szCs w:val="32"/>
          <w:highlight w:val="none"/>
          <w:lang w:val="zh-CN" w:eastAsia="zh-CN"/>
        </w:rPr>
        <w:t>。</w:t>
      </w:r>
    </w:p>
    <w:p w14:paraId="3F7236B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green"/>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2.项目执行</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w:t>
      </w:r>
      <w:r>
        <w:rPr>
          <w:rFonts w:hint="default" w:ascii="Times New Roman" w:hAnsi="Times New Roman" w:eastAsia="仿宋_GB2312" w:cs="Times New Roman"/>
          <w:b w:val="0"/>
          <w:bCs w:val="0"/>
          <w:i w:val="0"/>
          <w:iCs w:val="0"/>
          <w:sz w:val="32"/>
          <w:szCs w:val="32"/>
          <w:highlight w:val="none"/>
          <w:lang w:val="zh-CN" w:eastAsia="zh-CN"/>
        </w:rPr>
        <w:t>围绕资金执行同向、项目调整、执行结果进行绩效分析</w:t>
      </w:r>
      <w:r>
        <w:rPr>
          <w:rFonts w:hint="eastAsia" w:eastAsia="仿宋_GB2312" w:cs="Times New Roman"/>
          <w:b w:val="0"/>
          <w:bCs w:val="0"/>
          <w:i w:val="0"/>
          <w:iCs w:val="0"/>
          <w:sz w:val="32"/>
          <w:szCs w:val="32"/>
          <w:highlight w:val="none"/>
          <w:lang w:val="en-US" w:eastAsia="zh-CN"/>
        </w:rPr>
        <w:t>良好</w:t>
      </w:r>
      <w:r>
        <w:rPr>
          <w:rFonts w:hint="default" w:ascii="Times New Roman" w:hAnsi="Times New Roman" w:eastAsia="仿宋_GB2312" w:cs="Times New Roman"/>
          <w:b w:val="0"/>
          <w:bCs w:val="0"/>
          <w:i w:val="0"/>
          <w:iCs w:val="0"/>
          <w:sz w:val="32"/>
          <w:szCs w:val="32"/>
          <w:highlight w:val="none"/>
          <w:lang w:val="zh-CN" w:eastAsia="zh-CN"/>
        </w:rPr>
        <w:t>。</w:t>
      </w:r>
    </w:p>
    <w:p w14:paraId="7408D1B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3.</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目标实现。</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eastAsia="zh-CN"/>
        </w:rPr>
        <w:t>通过项目绩效自评实现</w:t>
      </w: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en-US" w:eastAsia="zh-CN"/>
        </w:rPr>
        <w:t>项目价值，促进就业创业</w:t>
      </w:r>
    </w:p>
    <w:p w14:paraId="46BA7A4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楷体_GB2312" w:cs="Times New Roman"/>
          <w:b w:val="0"/>
          <w:bCs w:val="0"/>
          <w:i w:val="0"/>
          <w:iCs w:val="0"/>
          <w:color w:val="000000"/>
          <w:kern w:val="0"/>
          <w:szCs w:val="32"/>
          <w:highlight w:val="none"/>
          <w:shd w:val="clear" w:color="auto" w:fill="FFFFFF"/>
          <w:lang w:val="en-US"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绩效分析</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w:t>
      </w:r>
      <w:r>
        <w:rPr>
          <w:rFonts w:hint="eastAsia" w:eastAsia="仿宋_GB2312" w:cs="Times New Roman"/>
          <w:b w:val="0"/>
          <w:bCs w:val="0"/>
          <w:i w:val="0"/>
          <w:iCs w:val="0"/>
          <w:sz w:val="32"/>
          <w:szCs w:val="32"/>
          <w:highlight w:val="none"/>
          <w:u w:val="none"/>
          <w:lang w:eastAsia="zh-CN"/>
        </w:rPr>
        <w:t>无</w:t>
      </w:r>
    </w:p>
    <w:p w14:paraId="7BA7DF9C">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b w:val="0"/>
          <w:bCs w:val="0"/>
          <w:i w:val="0"/>
          <w:iCs w:val="0"/>
          <w:color w:val="000000"/>
          <w:kern w:val="0"/>
          <w:sz w:val="32"/>
          <w:szCs w:val="32"/>
          <w:highlight w:val="none"/>
          <w:u w:val="none"/>
          <w:shd w:val="clear" w:color="auto" w:fill="FFFFFF"/>
          <w:lang w:val="zh-CN" w:bidi="ar"/>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（四）绩效结果应用情况。</w:t>
      </w:r>
      <w:r>
        <w:rPr>
          <w:rFonts w:hint="default" w:eastAsia="仿宋_GB2312" w:cs="Times New Roman"/>
          <w:b w:val="0"/>
          <w:bCs w:val="0"/>
          <w:i w:val="0"/>
          <w:iCs w:val="0"/>
          <w:color w:val="000000"/>
          <w:kern w:val="0"/>
          <w:sz w:val="32"/>
          <w:szCs w:val="32"/>
          <w:highlight w:val="none"/>
          <w:shd w:val="clear" w:color="auto" w:fill="FFFFFF"/>
          <w:lang w:val="zh-CN" w:eastAsia="zh-CN"/>
        </w:rPr>
        <w:t>及时完成自评，通过项目绩效应用，应用于次年</w:t>
      </w:r>
      <w:r>
        <w:rPr>
          <w:rFonts w:hint="eastAsia" w:eastAsia="仿宋_GB2312" w:cs="Times New Roman"/>
          <w:b w:val="0"/>
          <w:bCs w:val="0"/>
          <w:i w:val="0"/>
          <w:iCs w:val="0"/>
          <w:color w:val="000000"/>
          <w:kern w:val="0"/>
          <w:sz w:val="32"/>
          <w:szCs w:val="32"/>
          <w:highlight w:val="none"/>
          <w:shd w:val="clear" w:color="auto" w:fill="FFFFFF"/>
          <w:lang w:val="zh-CN" w:eastAsia="zh-CN"/>
        </w:rPr>
        <w:t>。</w:t>
      </w:r>
    </w:p>
    <w:p w14:paraId="75FB035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四、</w:t>
      </w:r>
      <w: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t>评价结论及建议</w:t>
      </w:r>
    </w:p>
    <w:p w14:paraId="540C7B29">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b w:val="0"/>
          <w:bCs w:val="0"/>
          <w:i w:val="0"/>
          <w:iCs w:val="0"/>
          <w:sz w:val="32"/>
          <w:szCs w:val="32"/>
          <w:highlight w:val="none"/>
          <w:u w:val="none"/>
          <w:lang w:val="en-US" w:eastAsia="zh-CN" w:bidi="ar"/>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（一）评价结论。</w:t>
      </w:r>
      <w:r>
        <w:rPr>
          <w:rFonts w:hint="eastAsia" w:ascii="Times New Roman" w:hAnsi="Times New Roman" w:eastAsia="仿宋_GB2312" w:cs="Times New Roman"/>
          <w:b w:val="0"/>
          <w:bCs w:val="0"/>
          <w:i w:val="0"/>
          <w:iCs w:val="0"/>
          <w:sz w:val="32"/>
          <w:szCs w:val="32"/>
          <w:highlight w:val="none"/>
          <w:u w:val="none"/>
          <w:lang w:val="zh-CN" w:eastAsia="zh-CN" w:bidi="ar"/>
        </w:rPr>
        <w:t>通过项目实施，</w:t>
      </w:r>
      <w:r>
        <w:rPr>
          <w:rFonts w:hint="default" w:ascii="Times New Roman" w:hAnsi="Times New Roman" w:eastAsia="仿宋_GB2312" w:cs="Times New Roman"/>
          <w:b w:val="0"/>
          <w:bCs w:val="0"/>
          <w:i w:val="0"/>
          <w:iCs w:val="0"/>
          <w:sz w:val="32"/>
          <w:szCs w:val="32"/>
          <w:highlight w:val="none"/>
          <w:u w:val="none"/>
          <w:lang w:val="en-US" w:eastAsia="zh-CN" w:bidi="ar"/>
        </w:rPr>
        <w:t>兜底安置乡村公益性岗位19</w:t>
      </w:r>
      <w:r>
        <w:rPr>
          <w:rFonts w:hint="eastAsia" w:ascii="Times New Roman" w:hAnsi="Times New Roman" w:eastAsia="仿宋_GB2312" w:cs="Times New Roman"/>
          <w:b w:val="0"/>
          <w:bCs w:val="0"/>
          <w:i w:val="0"/>
          <w:iCs w:val="0"/>
          <w:sz w:val="32"/>
          <w:szCs w:val="32"/>
          <w:highlight w:val="none"/>
          <w:u w:val="none"/>
          <w:lang w:val="en-US" w:eastAsia="zh-CN" w:bidi="ar"/>
        </w:rPr>
        <w:t>57</w:t>
      </w:r>
      <w:r>
        <w:rPr>
          <w:rFonts w:hint="default" w:ascii="Times New Roman" w:hAnsi="Times New Roman" w:eastAsia="仿宋_GB2312" w:cs="Times New Roman"/>
          <w:b w:val="0"/>
          <w:bCs w:val="0"/>
          <w:i w:val="0"/>
          <w:iCs w:val="0"/>
          <w:sz w:val="32"/>
          <w:szCs w:val="32"/>
          <w:highlight w:val="none"/>
          <w:u w:val="none"/>
          <w:lang w:val="en-US" w:eastAsia="zh-CN" w:bidi="ar"/>
        </w:rPr>
        <w:t>人次</w:t>
      </w:r>
      <w:r>
        <w:rPr>
          <w:rFonts w:hint="eastAsia" w:ascii="Times New Roman" w:hAnsi="Times New Roman" w:eastAsia="仿宋_GB2312" w:cs="Times New Roman"/>
          <w:b w:val="0"/>
          <w:bCs w:val="0"/>
          <w:i w:val="0"/>
          <w:iCs w:val="0"/>
          <w:sz w:val="32"/>
          <w:szCs w:val="32"/>
          <w:highlight w:val="none"/>
          <w:u w:val="none"/>
          <w:lang w:val="en-US" w:eastAsia="zh-CN" w:bidi="ar"/>
        </w:rPr>
        <w:t>着力提升公共就业服务水平促就业，组织100余家企业开展线上线下春风行动、遂企制造·职等你来等各类招聘会8</w:t>
      </w:r>
      <w:r>
        <w:rPr>
          <w:rFonts w:hint="default" w:ascii="Times New Roman" w:hAnsi="Times New Roman" w:eastAsia="仿宋_GB2312" w:cs="Times New Roman"/>
          <w:b w:val="0"/>
          <w:bCs w:val="0"/>
          <w:i w:val="0"/>
          <w:iCs w:val="0"/>
          <w:sz w:val="32"/>
          <w:szCs w:val="32"/>
          <w:highlight w:val="none"/>
          <w:u w:val="none"/>
          <w:lang w:val="en-US" w:eastAsia="zh-CN" w:bidi="ar"/>
        </w:rPr>
        <w:t>3</w:t>
      </w:r>
      <w:r>
        <w:rPr>
          <w:rFonts w:hint="eastAsia" w:ascii="Times New Roman" w:hAnsi="Times New Roman" w:eastAsia="仿宋_GB2312" w:cs="Times New Roman"/>
          <w:b w:val="0"/>
          <w:bCs w:val="0"/>
          <w:i w:val="0"/>
          <w:iCs w:val="0"/>
          <w:sz w:val="32"/>
          <w:szCs w:val="32"/>
          <w:highlight w:val="none"/>
          <w:u w:val="none"/>
          <w:lang w:val="en-US" w:eastAsia="zh-CN" w:bidi="ar"/>
        </w:rPr>
        <w:t>次</w:t>
      </w:r>
      <w:r>
        <w:rPr>
          <w:rFonts w:hint="eastAsia" w:eastAsia="仿宋_GB2312" w:cs="Times New Roman"/>
          <w:b w:val="0"/>
          <w:bCs w:val="0"/>
          <w:i w:val="0"/>
          <w:iCs w:val="0"/>
          <w:sz w:val="32"/>
          <w:szCs w:val="32"/>
          <w:highlight w:val="none"/>
          <w:u w:val="none"/>
          <w:lang w:val="en-US" w:eastAsia="zh-CN" w:bidi="ar"/>
        </w:rPr>
        <w:t>，切实</w:t>
      </w:r>
      <w:r>
        <w:rPr>
          <w:rFonts w:hint="eastAsia" w:ascii="Times New Roman" w:hAnsi="Times New Roman" w:eastAsia="仿宋_GB2312" w:cs="Times New Roman"/>
          <w:b w:val="0"/>
          <w:bCs w:val="0"/>
          <w:i w:val="0"/>
          <w:iCs w:val="0"/>
          <w:sz w:val="32"/>
          <w:szCs w:val="32"/>
          <w:highlight w:val="none"/>
          <w:u w:val="none"/>
          <w:lang w:val="zh-CN" w:eastAsia="zh-CN" w:bidi="ar"/>
        </w:rPr>
        <w:t>促进就业创业，自评得分</w:t>
      </w:r>
      <w:r>
        <w:rPr>
          <w:rFonts w:hint="eastAsia" w:ascii="Times New Roman" w:hAnsi="Times New Roman" w:eastAsia="仿宋_GB2312" w:cs="Times New Roman"/>
          <w:b w:val="0"/>
          <w:bCs w:val="0"/>
          <w:i w:val="0"/>
          <w:iCs w:val="0"/>
          <w:sz w:val="32"/>
          <w:szCs w:val="32"/>
          <w:highlight w:val="none"/>
          <w:u w:val="none"/>
          <w:lang w:val="en-US" w:eastAsia="zh-CN" w:bidi="ar"/>
        </w:rPr>
        <w:t>88分</w:t>
      </w:r>
    </w:p>
    <w:p w14:paraId="3FF80AD6">
      <w:pPr>
        <w:pStyle w:val="11"/>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（二）存在问题。</w:t>
      </w:r>
    </w:p>
    <w:p w14:paraId="550DE7EB">
      <w:pPr>
        <w:pStyle w:val="11"/>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eastAsia" w:ascii="Times New Roman" w:hAnsi="Times New Roman" w:eastAsia="仿宋_GB2312" w:cs="Times New Roman"/>
          <w:b w:val="0"/>
          <w:bCs w:val="0"/>
          <w:i w:val="0"/>
          <w:iCs w:val="0"/>
          <w:color w:val="auto"/>
          <w:kern w:val="2"/>
          <w:sz w:val="32"/>
          <w:szCs w:val="32"/>
          <w:highlight w:val="none"/>
          <w:u w:val="none"/>
          <w:shd w:val="clear" w:color="auto" w:fill="auto"/>
          <w:lang w:val="zh-CN" w:eastAsia="zh-CN" w:bidi="ar"/>
        </w:rPr>
      </w:pPr>
      <w:r>
        <w:rPr>
          <w:rFonts w:hint="eastAsia" w:ascii="Times New Roman" w:hAnsi="Times New Roman" w:eastAsia="仿宋_GB2312" w:cs="Times New Roman"/>
          <w:b w:val="0"/>
          <w:bCs w:val="0"/>
          <w:i w:val="0"/>
          <w:iCs w:val="0"/>
          <w:color w:val="auto"/>
          <w:kern w:val="2"/>
          <w:sz w:val="32"/>
          <w:szCs w:val="32"/>
          <w:highlight w:val="none"/>
          <w:u w:val="none"/>
          <w:shd w:val="clear" w:color="auto" w:fill="auto"/>
          <w:lang w:val="zh-CN" w:eastAsia="zh-CN" w:bidi="ar"/>
        </w:rPr>
        <w:t>1、内控制度、财务制度还可进一步完善。</w:t>
      </w:r>
    </w:p>
    <w:p w14:paraId="7D5B2CEA">
      <w:pPr>
        <w:pStyle w:val="11"/>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仿宋_GB2312" w:cs="Times New Roman"/>
          <w:b w:val="0"/>
          <w:bCs w:val="0"/>
          <w:i w:val="0"/>
          <w:iCs w:val="0"/>
          <w:sz w:val="32"/>
          <w:szCs w:val="32"/>
          <w:u w:val="none"/>
          <w:lang w:val="en-US" w:eastAsia="zh-CN" w:bidi="ar"/>
        </w:rPr>
      </w:pPr>
      <w:r>
        <w:rPr>
          <w:rFonts w:hint="eastAsia" w:ascii="Times New Roman" w:hAnsi="Times New Roman" w:eastAsia="仿宋_GB2312" w:cs="Times New Roman"/>
          <w:b w:val="0"/>
          <w:bCs w:val="0"/>
          <w:i w:val="0"/>
          <w:iCs w:val="0"/>
          <w:color w:val="auto"/>
          <w:kern w:val="2"/>
          <w:sz w:val="32"/>
          <w:szCs w:val="32"/>
          <w:highlight w:val="none"/>
          <w:u w:val="none"/>
          <w:shd w:val="clear" w:color="auto" w:fill="auto"/>
          <w:lang w:val="zh-CN" w:eastAsia="zh-CN" w:bidi="ar"/>
        </w:rPr>
        <w:t>2、资金使用效益有待进一步提高</w:t>
      </w:r>
      <w:r>
        <w:rPr>
          <w:rFonts w:hint="eastAsia" w:ascii="Times New Roman" w:cs="Times New Roman"/>
          <w:b w:val="0"/>
          <w:bCs w:val="0"/>
          <w:i w:val="0"/>
          <w:iCs w:val="0"/>
          <w:color w:val="auto"/>
          <w:kern w:val="2"/>
          <w:sz w:val="32"/>
          <w:szCs w:val="32"/>
          <w:highlight w:val="none"/>
          <w:u w:val="none"/>
          <w:shd w:val="clear" w:color="auto" w:fill="auto"/>
          <w:lang w:val="zh-CN" w:eastAsia="zh-CN" w:bidi="ar"/>
        </w:rPr>
        <w:t>。</w:t>
      </w:r>
    </w:p>
    <w:p w14:paraId="34868C24">
      <w:pPr>
        <w:keepNext w:val="0"/>
        <w:keepLines w:val="0"/>
        <w:pageBreakBefore w:val="0"/>
        <w:widowControl/>
        <w:numPr>
          <w:ilvl w:val="0"/>
          <w:numId w:val="5"/>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改进建议。</w:t>
      </w:r>
      <w:bookmarkStart w:id="161" w:name="_Hlk110546638"/>
    </w:p>
    <w:p w14:paraId="69927E7B">
      <w:pPr>
        <w:pStyle w:val="2"/>
        <w:numPr>
          <w:ilvl w:val="0"/>
          <w:numId w:val="0"/>
        </w:numPr>
        <w:ind w:left="180" w:hanging="180" w:hangingChars="100"/>
        <w:rPr>
          <w:rFonts w:hint="default" w:ascii="Times New Roman" w:hAnsi="Times New Roman" w:cs="Times New Roman"/>
          <w:b w:val="0"/>
          <w:bCs w:val="0"/>
          <w:i w:val="0"/>
          <w:iCs w:val="0"/>
          <w:color w:val="auto"/>
          <w:sz w:val="32"/>
          <w:szCs w:val="32"/>
          <w:highlight w:val="none"/>
          <w:lang w:val="zh-CN" w:eastAsia="zh-CN"/>
        </w:rPr>
      </w:pPr>
      <w:r>
        <w:rPr>
          <w:rFonts w:hint="eastAsia"/>
          <w:lang w:val="en-US" w:eastAsia="zh-CN"/>
        </w:rPr>
        <w:t xml:space="preserve">          </w:t>
      </w:r>
      <w:r>
        <w:rPr>
          <w:rFonts w:hint="eastAsia" w:ascii="Times New Roman" w:hAnsi="Times New Roman" w:eastAsia="仿宋_GB2312" w:cs="Times New Roman"/>
          <w:b w:val="0"/>
          <w:bCs w:val="0"/>
          <w:i w:val="0"/>
          <w:iCs w:val="0"/>
          <w:color w:val="auto"/>
          <w:kern w:val="2"/>
          <w:sz w:val="32"/>
          <w:szCs w:val="32"/>
          <w:highlight w:val="none"/>
          <w:u w:val="none"/>
          <w:shd w:val="clear" w:color="auto" w:fill="auto"/>
          <w:lang w:val="zh-CN" w:eastAsia="zh-CN" w:bidi="ar"/>
        </w:rPr>
        <w:t>进一步 完善</w:t>
      </w:r>
      <w:bookmarkEnd w:id="161"/>
      <w:r>
        <w:rPr>
          <w:rFonts w:hint="eastAsia" w:ascii="Times New Roman" w:hAnsi="Times New Roman" w:eastAsia="仿宋_GB2312" w:cs="Times New Roman"/>
          <w:b w:val="0"/>
          <w:bCs w:val="0"/>
          <w:i w:val="0"/>
          <w:iCs w:val="0"/>
          <w:color w:val="auto"/>
          <w:kern w:val="2"/>
          <w:sz w:val="32"/>
          <w:szCs w:val="32"/>
          <w:highlight w:val="none"/>
          <w:u w:val="none"/>
          <w:shd w:val="clear" w:color="auto" w:fill="auto"/>
          <w:lang w:val="zh-CN" w:eastAsia="zh-CN" w:bidi="ar"/>
        </w:rPr>
        <w:t>内控制度、财务制度</w:t>
      </w:r>
      <w:r>
        <w:rPr>
          <w:rFonts w:hint="eastAsia" w:eastAsia="仿宋_GB2312" w:cs="Times New Roman"/>
          <w:b w:val="0"/>
          <w:bCs w:val="0"/>
          <w:i w:val="0"/>
          <w:iCs w:val="0"/>
          <w:color w:val="auto"/>
          <w:kern w:val="2"/>
          <w:sz w:val="32"/>
          <w:szCs w:val="32"/>
          <w:highlight w:val="none"/>
          <w:u w:val="none"/>
          <w:shd w:val="clear" w:color="auto" w:fill="auto"/>
          <w:lang w:val="zh-CN" w:eastAsia="zh-CN" w:bidi="ar"/>
        </w:rPr>
        <w:t>，提高</w:t>
      </w:r>
      <w:r>
        <w:rPr>
          <w:rFonts w:hint="eastAsia" w:ascii="Times New Roman" w:hAnsi="Times New Roman" w:eastAsia="仿宋_GB2312" w:cs="Times New Roman"/>
          <w:b w:val="0"/>
          <w:bCs w:val="0"/>
          <w:i w:val="0"/>
          <w:iCs w:val="0"/>
          <w:color w:val="auto"/>
          <w:kern w:val="2"/>
          <w:sz w:val="32"/>
          <w:szCs w:val="32"/>
          <w:highlight w:val="none"/>
          <w:u w:val="none"/>
          <w:shd w:val="clear" w:color="auto" w:fill="auto"/>
          <w:lang w:val="zh-CN" w:eastAsia="zh-CN" w:bidi="ar"/>
        </w:rPr>
        <w:t>资金使用效益</w:t>
      </w:r>
      <w:r>
        <w:rPr>
          <w:rFonts w:hint="eastAsia" w:eastAsia="仿宋_GB2312" w:cs="Times New Roman"/>
          <w:b w:val="0"/>
          <w:bCs w:val="0"/>
          <w:i w:val="0"/>
          <w:iCs w:val="0"/>
          <w:color w:val="auto"/>
          <w:kern w:val="2"/>
          <w:sz w:val="32"/>
          <w:szCs w:val="32"/>
          <w:highlight w:val="none"/>
          <w:u w:val="none"/>
          <w:shd w:val="clear" w:color="auto" w:fill="auto"/>
          <w:lang w:val="zh-CN" w:eastAsia="zh-CN" w:bidi="ar"/>
        </w:rPr>
        <w:t>。</w:t>
      </w:r>
    </w:p>
    <w:p w14:paraId="4682546D">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b w:val="0"/>
          <w:bCs w:val="0"/>
          <w:i w:val="0"/>
          <w:iCs w:val="0"/>
          <w:color w:val="auto"/>
          <w:sz w:val="32"/>
          <w:szCs w:val="32"/>
          <w:highlight w:val="none"/>
          <w:lang w:val="zh-CN" w:eastAsia="zh-CN"/>
        </w:rPr>
      </w:pPr>
      <w:r>
        <w:rPr>
          <w:rFonts w:hint="default" w:ascii="Times New Roman" w:hAnsi="Times New Roman" w:cs="Times New Roman"/>
          <w:b w:val="0"/>
          <w:bCs w:val="0"/>
          <w:i w:val="0"/>
          <w:iCs w:val="0"/>
          <w:color w:val="auto"/>
          <w:sz w:val="32"/>
          <w:szCs w:val="32"/>
          <w:highlight w:val="none"/>
          <w:lang w:val="zh-CN" w:eastAsia="zh-CN"/>
        </w:rPr>
        <w:t>附表：</w:t>
      </w:r>
      <w:r>
        <w:rPr>
          <w:rFonts w:hint="default" w:ascii="Times New Roman" w:hAnsi="Times New Roman" w:cs="Times New Roman"/>
          <w:b w:val="0"/>
          <w:bCs w:val="0"/>
          <w:i w:val="0"/>
          <w:iCs w:val="0"/>
          <w:color w:val="auto"/>
          <w:sz w:val="32"/>
          <w:szCs w:val="32"/>
          <w:highlight w:val="none"/>
          <w:lang w:val="en-US" w:eastAsia="zh-CN"/>
        </w:rPr>
        <w:t>部门预算项目支出绩效自评表（2023年度）</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33"/>
        <w:gridCol w:w="864"/>
        <w:gridCol w:w="1203"/>
        <w:gridCol w:w="421"/>
        <w:gridCol w:w="785"/>
        <w:gridCol w:w="396"/>
        <w:gridCol w:w="849"/>
        <w:gridCol w:w="486"/>
        <w:gridCol w:w="486"/>
        <w:gridCol w:w="1360"/>
      </w:tblGrid>
      <w:tr w14:paraId="5D14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40" w:type="pct"/>
            <w:tcBorders>
              <w:top w:val="nil"/>
              <w:left w:val="nil"/>
              <w:bottom w:val="nil"/>
              <w:right w:val="nil"/>
            </w:tcBorders>
            <w:shd w:val="clear" w:color="auto" w:fill="auto"/>
            <w:vAlign w:val="center"/>
          </w:tcPr>
          <w:p w14:paraId="43BB4824">
            <w:pPr>
              <w:rPr>
                <w:rFonts w:hint="eastAsia" w:ascii="宋体" w:hAnsi="宋体" w:eastAsia="宋体" w:cs="宋体"/>
                <w:i w:val="0"/>
                <w:iCs w:val="0"/>
                <w:color w:val="000000"/>
                <w:sz w:val="18"/>
                <w:szCs w:val="18"/>
                <w:u w:val="none"/>
              </w:rPr>
            </w:pPr>
          </w:p>
        </w:tc>
        <w:tc>
          <w:tcPr>
            <w:tcW w:w="611" w:type="pct"/>
            <w:tcBorders>
              <w:top w:val="nil"/>
              <w:left w:val="nil"/>
              <w:bottom w:val="nil"/>
              <w:right w:val="nil"/>
            </w:tcBorders>
            <w:shd w:val="clear" w:color="auto" w:fill="auto"/>
            <w:vAlign w:val="center"/>
          </w:tcPr>
          <w:p w14:paraId="08F326A7">
            <w:pPr>
              <w:rPr>
                <w:rFonts w:hint="eastAsia" w:ascii="宋体" w:hAnsi="宋体" w:eastAsia="宋体" w:cs="宋体"/>
                <w:i w:val="0"/>
                <w:iCs w:val="0"/>
                <w:color w:val="000000"/>
                <w:sz w:val="18"/>
                <w:szCs w:val="18"/>
                <w:u w:val="none"/>
              </w:rPr>
            </w:pPr>
          </w:p>
        </w:tc>
        <w:tc>
          <w:tcPr>
            <w:tcW w:w="511" w:type="pct"/>
            <w:tcBorders>
              <w:top w:val="nil"/>
              <w:left w:val="nil"/>
              <w:bottom w:val="nil"/>
              <w:right w:val="nil"/>
            </w:tcBorders>
            <w:shd w:val="clear" w:color="auto" w:fill="auto"/>
            <w:vAlign w:val="center"/>
          </w:tcPr>
          <w:p w14:paraId="24195B06">
            <w:pPr>
              <w:rPr>
                <w:rFonts w:hint="eastAsia" w:ascii="宋体" w:hAnsi="宋体" w:eastAsia="宋体" w:cs="宋体"/>
                <w:i w:val="0"/>
                <w:iCs w:val="0"/>
                <w:color w:val="000000"/>
                <w:sz w:val="18"/>
                <w:szCs w:val="18"/>
                <w:u w:val="none"/>
              </w:rPr>
            </w:pPr>
          </w:p>
        </w:tc>
        <w:tc>
          <w:tcPr>
            <w:tcW w:w="711" w:type="pct"/>
            <w:tcBorders>
              <w:top w:val="nil"/>
              <w:left w:val="nil"/>
              <w:bottom w:val="nil"/>
              <w:right w:val="nil"/>
            </w:tcBorders>
            <w:shd w:val="clear" w:color="auto" w:fill="auto"/>
            <w:vAlign w:val="center"/>
          </w:tcPr>
          <w:p w14:paraId="643B3C05">
            <w:pPr>
              <w:rPr>
                <w:rFonts w:hint="eastAsia" w:ascii="宋体" w:hAnsi="宋体" w:eastAsia="宋体" w:cs="宋体"/>
                <w:i w:val="0"/>
                <w:iCs w:val="0"/>
                <w:color w:val="000000"/>
                <w:sz w:val="18"/>
                <w:szCs w:val="18"/>
                <w:u w:val="none"/>
              </w:rPr>
            </w:pPr>
          </w:p>
        </w:tc>
        <w:tc>
          <w:tcPr>
            <w:tcW w:w="248" w:type="pct"/>
            <w:tcBorders>
              <w:top w:val="nil"/>
              <w:left w:val="nil"/>
              <w:bottom w:val="nil"/>
              <w:right w:val="nil"/>
            </w:tcBorders>
            <w:shd w:val="clear" w:color="auto" w:fill="auto"/>
            <w:vAlign w:val="center"/>
          </w:tcPr>
          <w:p w14:paraId="471DB416">
            <w:pPr>
              <w:rPr>
                <w:rFonts w:hint="eastAsia" w:ascii="宋体" w:hAnsi="宋体" w:eastAsia="宋体" w:cs="宋体"/>
                <w:i w:val="0"/>
                <w:iCs w:val="0"/>
                <w:color w:val="000000"/>
                <w:sz w:val="18"/>
                <w:szCs w:val="18"/>
                <w:u w:val="none"/>
              </w:rPr>
            </w:pPr>
          </w:p>
        </w:tc>
        <w:tc>
          <w:tcPr>
            <w:tcW w:w="464" w:type="pct"/>
            <w:tcBorders>
              <w:top w:val="nil"/>
              <w:left w:val="nil"/>
              <w:bottom w:val="nil"/>
              <w:right w:val="nil"/>
            </w:tcBorders>
            <w:shd w:val="clear" w:color="auto" w:fill="auto"/>
            <w:vAlign w:val="center"/>
          </w:tcPr>
          <w:p w14:paraId="74942516">
            <w:pPr>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4B041912">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7E8AF10F">
            <w:pPr>
              <w:rPr>
                <w:rFonts w:hint="eastAsia" w:ascii="宋体" w:hAnsi="宋体" w:eastAsia="宋体" w:cs="宋体"/>
                <w:i w:val="0"/>
                <w:iCs w:val="0"/>
                <w:color w:val="000000"/>
                <w:sz w:val="18"/>
                <w:szCs w:val="18"/>
                <w:u w:val="none"/>
              </w:rPr>
            </w:pPr>
          </w:p>
        </w:tc>
        <w:tc>
          <w:tcPr>
            <w:tcW w:w="287" w:type="pct"/>
            <w:tcBorders>
              <w:top w:val="nil"/>
              <w:left w:val="nil"/>
              <w:bottom w:val="nil"/>
              <w:right w:val="nil"/>
            </w:tcBorders>
            <w:shd w:val="clear" w:color="auto" w:fill="auto"/>
            <w:vAlign w:val="center"/>
          </w:tcPr>
          <w:p w14:paraId="15A0AB14">
            <w:pPr>
              <w:rPr>
                <w:rFonts w:hint="eastAsia" w:ascii="宋体" w:hAnsi="宋体" w:eastAsia="宋体" w:cs="宋体"/>
                <w:i w:val="0"/>
                <w:iCs w:val="0"/>
                <w:color w:val="000000"/>
                <w:sz w:val="18"/>
                <w:szCs w:val="18"/>
                <w:u w:val="none"/>
              </w:rPr>
            </w:pPr>
          </w:p>
        </w:tc>
        <w:tc>
          <w:tcPr>
            <w:tcW w:w="287" w:type="pct"/>
            <w:tcBorders>
              <w:top w:val="nil"/>
              <w:left w:val="nil"/>
              <w:bottom w:val="nil"/>
              <w:right w:val="nil"/>
            </w:tcBorders>
            <w:shd w:val="clear" w:color="auto" w:fill="auto"/>
            <w:vAlign w:val="center"/>
          </w:tcPr>
          <w:p w14:paraId="43799F8E">
            <w:pPr>
              <w:rPr>
                <w:rFonts w:hint="eastAsia" w:ascii="宋体" w:hAnsi="宋体" w:eastAsia="宋体" w:cs="宋体"/>
                <w:i w:val="0"/>
                <w:iCs w:val="0"/>
                <w:color w:val="000000"/>
                <w:sz w:val="18"/>
                <w:szCs w:val="18"/>
                <w:u w:val="none"/>
              </w:rPr>
            </w:pPr>
          </w:p>
        </w:tc>
        <w:tc>
          <w:tcPr>
            <w:tcW w:w="803" w:type="pct"/>
            <w:tcBorders>
              <w:top w:val="nil"/>
              <w:left w:val="nil"/>
              <w:bottom w:val="nil"/>
              <w:right w:val="nil"/>
            </w:tcBorders>
            <w:shd w:val="clear" w:color="auto" w:fill="auto"/>
            <w:vAlign w:val="center"/>
          </w:tcPr>
          <w:p w14:paraId="138DE969">
            <w:pPr>
              <w:rPr>
                <w:rFonts w:hint="eastAsia" w:ascii="宋体" w:hAnsi="宋体" w:eastAsia="宋体" w:cs="宋体"/>
                <w:i w:val="0"/>
                <w:iCs w:val="0"/>
                <w:color w:val="000000"/>
                <w:sz w:val="18"/>
                <w:szCs w:val="18"/>
                <w:u w:val="none"/>
              </w:rPr>
            </w:pPr>
          </w:p>
        </w:tc>
      </w:tr>
      <w:tr w14:paraId="569E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AAFB1D">
            <w:pPr>
              <w:keepNext w:val="0"/>
              <w:keepLines w:val="0"/>
              <w:widowControl/>
              <w:suppressLineNumbers w:val="0"/>
              <w:jc w:val="center"/>
              <w:textAlignment w:val="center"/>
              <w:rPr>
                <w:rFonts w:hint="eastAsia"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bidi="ar"/>
              </w:rPr>
              <w:t>部门预算项目支出绩效自评表（2023年度）</w:t>
            </w:r>
          </w:p>
        </w:tc>
      </w:tr>
      <w:tr w14:paraId="2D1D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232B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40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5B948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51090422T000004990673-就业创业服务经费</w:t>
            </w:r>
          </w:p>
        </w:tc>
      </w:tr>
      <w:tr w14:paraId="3933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A9D6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C246B7">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遂宁市安居区就业服务管理局部门</w:t>
            </w:r>
          </w:p>
        </w:tc>
        <w:tc>
          <w:tcPr>
            <w:tcW w:w="501" w:type="pct"/>
            <w:tcBorders>
              <w:top w:val="nil"/>
              <w:left w:val="nil"/>
              <w:bottom w:val="nil"/>
              <w:right w:val="nil"/>
            </w:tcBorders>
            <w:shd w:val="clear" w:color="auto" w:fill="auto"/>
            <w:vAlign w:val="center"/>
          </w:tcPr>
          <w:p w14:paraId="1D24DDCF">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E542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遂宁市安居区就业服务管理局</w:t>
            </w:r>
          </w:p>
        </w:tc>
      </w:tr>
      <w:tr w14:paraId="1792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7B0EA">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BF5D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D5E6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18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6C5BAD">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年度目标完成情况</w:t>
            </w:r>
          </w:p>
        </w:tc>
      </w:tr>
      <w:tr w14:paraId="3DE6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1C9B8">
            <w:pPr>
              <w:rPr>
                <w:rFonts w:hint="eastAsia" w:ascii="宋体" w:hAnsi="宋体" w:eastAsia="宋体" w:cs="宋体"/>
                <w:i w:val="0"/>
                <w:iCs w:val="0"/>
                <w:color w:val="000000"/>
                <w:sz w:val="18"/>
                <w:szCs w:val="18"/>
                <w:highlight w:val="none"/>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B95C4">
            <w:pPr>
              <w:rPr>
                <w:rFonts w:hint="eastAsia" w:ascii="宋体" w:hAnsi="宋体" w:eastAsia="宋体" w:cs="宋体"/>
                <w:i w:val="0"/>
                <w:iCs w:val="0"/>
                <w:color w:val="000000"/>
                <w:sz w:val="18"/>
                <w:szCs w:val="18"/>
                <w:highlight w:val="none"/>
                <w:u w:val="none"/>
              </w:rPr>
            </w:pP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C4D3E0">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全区就业创业建设，提升就业率</w:t>
            </w:r>
          </w:p>
        </w:tc>
        <w:tc>
          <w:tcPr>
            <w:tcW w:w="18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3F21FE">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严格执行相关政策，足额按时支付、预算编制科学合理，无结余资金。</w:t>
            </w:r>
          </w:p>
        </w:tc>
      </w:tr>
      <w:tr w14:paraId="2BF1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36E8E">
            <w:pPr>
              <w:rPr>
                <w:rFonts w:hint="eastAsia" w:ascii="宋体" w:hAnsi="宋体" w:eastAsia="宋体" w:cs="宋体"/>
                <w:i w:val="0"/>
                <w:iCs w:val="0"/>
                <w:color w:val="000000"/>
                <w:sz w:val="18"/>
                <w:szCs w:val="18"/>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D42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40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98ECF6">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严格执行相关政策，足额按时支付、预算编制科学合理，无结余资金。</w:t>
            </w:r>
          </w:p>
        </w:tc>
      </w:tr>
      <w:tr w14:paraId="6B99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302B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B2BA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761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6EC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8228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BDE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3A2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196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D82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r>
      <w:tr w14:paraId="28F1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4A30A">
            <w:pPr>
              <w:jc w:val="center"/>
              <w:rPr>
                <w:rFonts w:hint="eastAsia" w:ascii="宋体" w:hAnsi="宋体" w:eastAsia="宋体" w:cs="宋体"/>
                <w:i w:val="0"/>
                <w:iCs w:val="0"/>
                <w:color w:val="000000"/>
                <w:sz w:val="18"/>
                <w:szCs w:val="18"/>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B28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C2C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0.38</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5C0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10.21</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128D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10.21</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BB1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A3E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D5E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737F0">
            <w:pPr>
              <w:keepNext w:val="0"/>
              <w:keepLines w:val="0"/>
              <w:widowControl/>
              <w:suppressLineNumbers w:val="0"/>
              <w:jc w:val="left"/>
              <w:textAlignment w:val="center"/>
              <w:rPr>
                <w:rFonts w:hint="eastAsia" w:ascii="黑体" w:hAnsi="黑体" w:eastAsia="黑体" w:cs="黑体"/>
                <w:i/>
                <w:iCs/>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r>
              <w:rPr>
                <w:rFonts w:hint="eastAsia" w:ascii="黑体" w:hAnsi="黑体" w:eastAsia="黑体" w:cs="黑体"/>
                <w:i/>
                <w:iCs/>
                <w:color w:val="000000"/>
                <w:kern w:val="0"/>
                <w:sz w:val="18"/>
                <w:szCs w:val="18"/>
                <w:highlight w:val="none"/>
                <w:u w:val="none"/>
                <w:lang w:val="en-US" w:eastAsia="zh-CN" w:bidi="ar"/>
              </w:rPr>
              <w:t>.</w:t>
            </w:r>
          </w:p>
        </w:tc>
      </w:tr>
      <w:tr w14:paraId="7ECF7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FDBD1">
            <w:pPr>
              <w:jc w:val="center"/>
              <w:rPr>
                <w:rFonts w:hint="eastAsia" w:ascii="宋体" w:hAnsi="宋体" w:eastAsia="宋体" w:cs="宋体"/>
                <w:i w:val="0"/>
                <w:iCs w:val="0"/>
                <w:color w:val="000000"/>
                <w:sz w:val="18"/>
                <w:szCs w:val="18"/>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FAD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AA9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0.38</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E2D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10.21</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13A4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10.21</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0B9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85D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CD1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1F615">
            <w:pPr>
              <w:rPr>
                <w:rFonts w:hint="eastAsia" w:ascii="黑体" w:hAnsi="黑体" w:eastAsia="黑体" w:cs="黑体"/>
                <w:i/>
                <w:iCs/>
                <w:color w:val="000000"/>
                <w:sz w:val="18"/>
                <w:szCs w:val="18"/>
                <w:highlight w:val="none"/>
                <w:u w:val="none"/>
              </w:rPr>
            </w:pPr>
          </w:p>
        </w:tc>
      </w:tr>
      <w:tr w14:paraId="3AB2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072C8">
            <w:pPr>
              <w:jc w:val="center"/>
              <w:rPr>
                <w:rFonts w:hint="eastAsia" w:ascii="宋体" w:hAnsi="宋体" w:eastAsia="宋体" w:cs="宋体"/>
                <w:i w:val="0"/>
                <w:iCs w:val="0"/>
                <w:color w:val="000000"/>
                <w:sz w:val="18"/>
                <w:szCs w:val="18"/>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5F7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620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9BD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09CB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E06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2E4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803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386F1">
            <w:pPr>
              <w:rPr>
                <w:rFonts w:hint="eastAsia" w:ascii="黑体" w:hAnsi="黑体" w:eastAsia="黑体" w:cs="黑体"/>
                <w:i/>
                <w:iCs/>
                <w:color w:val="000000"/>
                <w:sz w:val="18"/>
                <w:szCs w:val="18"/>
                <w:highlight w:val="none"/>
                <w:u w:val="none"/>
              </w:rPr>
            </w:pPr>
          </w:p>
        </w:tc>
      </w:tr>
      <w:tr w14:paraId="649F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0E03D">
            <w:pPr>
              <w:jc w:val="center"/>
              <w:rPr>
                <w:rFonts w:hint="eastAsia" w:ascii="宋体" w:hAnsi="宋体" w:eastAsia="宋体" w:cs="宋体"/>
                <w:i w:val="0"/>
                <w:iCs w:val="0"/>
                <w:color w:val="000000"/>
                <w:sz w:val="18"/>
                <w:szCs w:val="18"/>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3D2B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65EE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0C24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B08D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9EC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CF6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E018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DE0C1">
            <w:pPr>
              <w:rPr>
                <w:rFonts w:hint="eastAsia" w:ascii="黑体" w:hAnsi="黑体" w:eastAsia="黑体" w:cs="黑体"/>
                <w:i/>
                <w:iCs/>
                <w:color w:val="000000"/>
                <w:sz w:val="18"/>
                <w:szCs w:val="18"/>
                <w:highlight w:val="none"/>
                <w:u w:val="none"/>
              </w:rPr>
            </w:pPr>
          </w:p>
        </w:tc>
      </w:tr>
      <w:tr w14:paraId="6AAD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EEFD0">
            <w:pPr>
              <w:jc w:val="center"/>
              <w:rPr>
                <w:rFonts w:hint="eastAsia" w:ascii="宋体" w:hAnsi="宋体" w:eastAsia="宋体" w:cs="宋体"/>
                <w:i w:val="0"/>
                <w:iCs w:val="0"/>
                <w:color w:val="000000"/>
                <w:sz w:val="18"/>
                <w:szCs w:val="18"/>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D61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5FE4">
            <w:pPr>
              <w:jc w:val="center"/>
              <w:rPr>
                <w:rFonts w:hint="eastAsia" w:ascii="微软雅黑" w:hAnsi="微软雅黑" w:eastAsia="微软雅黑" w:cs="微软雅黑"/>
                <w:i/>
                <w:iCs/>
                <w:color w:val="000000"/>
                <w:sz w:val="16"/>
                <w:szCs w:val="16"/>
                <w:highlight w:val="none"/>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B2E6">
            <w:pPr>
              <w:jc w:val="center"/>
              <w:rPr>
                <w:rFonts w:hint="eastAsia" w:ascii="微软雅黑" w:hAnsi="微软雅黑" w:eastAsia="微软雅黑" w:cs="微软雅黑"/>
                <w:i/>
                <w:iCs/>
                <w:color w:val="000000"/>
                <w:sz w:val="16"/>
                <w:szCs w:val="16"/>
                <w:highlight w:val="none"/>
                <w:u w:val="none"/>
              </w:rPr>
            </w:pP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1CDC1">
            <w:pPr>
              <w:jc w:val="center"/>
              <w:rPr>
                <w:rFonts w:hint="eastAsia" w:ascii="微软雅黑" w:hAnsi="微软雅黑" w:eastAsia="微软雅黑" w:cs="微软雅黑"/>
                <w:i/>
                <w:iCs/>
                <w:color w:val="000000"/>
                <w:sz w:val="16"/>
                <w:szCs w:val="16"/>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E98C">
            <w:pPr>
              <w:jc w:val="center"/>
              <w:rPr>
                <w:rFonts w:hint="eastAsia" w:ascii="微软雅黑" w:hAnsi="微软雅黑" w:eastAsia="微软雅黑" w:cs="微软雅黑"/>
                <w:i/>
                <w:iCs/>
                <w:color w:val="000000"/>
                <w:sz w:val="16"/>
                <w:szCs w:val="16"/>
                <w:highlight w:val="none"/>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C643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CD8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B136">
            <w:pPr>
              <w:rPr>
                <w:rFonts w:hint="eastAsia" w:ascii="黑体" w:hAnsi="黑体" w:eastAsia="黑体" w:cs="黑体"/>
                <w:i/>
                <w:iCs/>
                <w:color w:val="000000"/>
                <w:sz w:val="18"/>
                <w:szCs w:val="18"/>
                <w:highlight w:val="none"/>
                <w:u w:val="none"/>
              </w:rPr>
            </w:pPr>
          </w:p>
        </w:tc>
      </w:tr>
      <w:tr w14:paraId="0F4E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BE41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800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773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E7F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3C6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D1FDC">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00F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53A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C82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096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F267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未完成原因分析</w:t>
            </w:r>
          </w:p>
        </w:tc>
      </w:tr>
      <w:tr w14:paraId="091E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11236">
            <w:pPr>
              <w:jc w:val="center"/>
              <w:rPr>
                <w:rFonts w:hint="eastAsia" w:ascii="宋体" w:hAnsi="宋体" w:eastAsia="宋体" w:cs="宋体"/>
                <w:i w:val="0"/>
                <w:iCs w:val="0"/>
                <w:color w:val="000000"/>
                <w:sz w:val="18"/>
                <w:szCs w:val="18"/>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0A58">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产出指标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132D">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数量指标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D9B4">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发放（缴纳）覆盖率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A04B">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5121">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649D">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F31C">
            <w:pPr>
              <w:jc w:val="center"/>
              <w:rPr>
                <w:rFonts w:hint="eastAsia" w:ascii="微软雅黑" w:hAnsi="微软雅黑" w:eastAsia="微软雅黑" w:cs="微软雅黑"/>
                <w:i/>
                <w:iCs/>
                <w:color w:val="000000"/>
                <w:kern w:val="2"/>
                <w:sz w:val="16"/>
                <w:szCs w:val="16"/>
                <w:highlight w:val="none"/>
                <w:u w:val="none"/>
                <w:lang w:val="en-US" w:eastAsia="zh-CN" w:bidi="ar-SA"/>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DC76">
            <w:pPr>
              <w:keepNext w:val="0"/>
              <w:keepLines w:val="0"/>
              <w:widowControl/>
              <w:suppressLineNumbers w:val="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0"/>
                <w:sz w:val="18"/>
                <w:szCs w:val="18"/>
                <w:highlight w:val="none"/>
                <w:u w:val="none"/>
                <w:lang w:val="en-US" w:eastAsia="zh-CN" w:bidi="ar"/>
              </w:rPr>
              <w:t>50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CD1A">
            <w:pPr>
              <w:keepNext w:val="0"/>
              <w:keepLines w:val="0"/>
              <w:widowControl/>
              <w:suppressLineNumbers w:val="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0"/>
                <w:sz w:val="18"/>
                <w:szCs w:val="18"/>
                <w:highlight w:val="none"/>
                <w:u w:val="none"/>
                <w:lang w:val="en-US" w:eastAsia="zh-CN" w:bidi="ar"/>
              </w:rPr>
              <w:t>50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B4C9">
            <w:pPr>
              <w:jc w:val="center"/>
              <w:rPr>
                <w:rFonts w:hint="eastAsia" w:ascii="宋体" w:hAnsi="宋体" w:eastAsia="宋体" w:cs="宋体"/>
                <w:i w:val="0"/>
                <w:iCs w:val="0"/>
                <w:color w:val="000000"/>
                <w:sz w:val="18"/>
                <w:szCs w:val="18"/>
                <w:highlight w:val="none"/>
                <w:u w:val="none"/>
              </w:rPr>
            </w:pPr>
          </w:p>
        </w:tc>
      </w:tr>
      <w:tr w14:paraId="7198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4CC45">
            <w:pPr>
              <w:jc w:val="center"/>
              <w:rPr>
                <w:rFonts w:hint="eastAsia" w:ascii="宋体" w:hAnsi="宋体" w:eastAsia="宋体" w:cs="宋体"/>
                <w:i w:val="0"/>
                <w:iCs w:val="0"/>
                <w:color w:val="000000"/>
                <w:sz w:val="18"/>
                <w:szCs w:val="18"/>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313F">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效益指标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95E98">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社会效益指标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7853">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足额保障率（参保率）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1264">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3D9E">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0F13">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C885">
            <w:pPr>
              <w:jc w:val="center"/>
              <w:rPr>
                <w:rFonts w:hint="eastAsia" w:ascii="微软雅黑" w:hAnsi="微软雅黑" w:eastAsia="微软雅黑" w:cs="微软雅黑"/>
                <w:i/>
                <w:iCs/>
                <w:color w:val="000000"/>
                <w:kern w:val="2"/>
                <w:sz w:val="16"/>
                <w:szCs w:val="16"/>
                <w:highlight w:val="none"/>
                <w:u w:val="none"/>
                <w:lang w:val="en-US" w:eastAsia="zh-CN" w:bidi="ar-SA"/>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6715">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30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79F1">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30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9572">
            <w:pPr>
              <w:jc w:val="center"/>
              <w:rPr>
                <w:rFonts w:hint="eastAsia" w:ascii="宋体" w:hAnsi="宋体" w:eastAsia="宋体" w:cs="宋体"/>
                <w:i w:val="0"/>
                <w:iCs w:val="0"/>
                <w:color w:val="000000"/>
                <w:sz w:val="18"/>
                <w:szCs w:val="18"/>
                <w:highlight w:val="none"/>
                <w:u w:val="none"/>
              </w:rPr>
            </w:pPr>
          </w:p>
        </w:tc>
      </w:tr>
      <w:tr w14:paraId="24822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A6FB6">
            <w:pPr>
              <w:jc w:val="center"/>
              <w:rPr>
                <w:rFonts w:hint="eastAsia" w:ascii="宋体" w:hAnsi="宋体" w:eastAsia="宋体" w:cs="宋体"/>
                <w:i w:val="0"/>
                <w:iCs w:val="0"/>
                <w:color w:val="000000"/>
                <w:sz w:val="18"/>
                <w:szCs w:val="18"/>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C29F">
            <w:pPr>
              <w:jc w:val="center"/>
              <w:rPr>
                <w:rFonts w:hint="eastAsia" w:ascii="宋体" w:hAnsi="宋体" w:eastAsia="宋体" w:cs="宋体"/>
                <w:i w:val="0"/>
                <w:iCs w:val="0"/>
                <w:color w:val="FFFFFF" w:themeColor="background1"/>
                <w:sz w:val="18"/>
                <w:szCs w:val="18"/>
                <w:highlight w:val="none"/>
                <w:u w:val="none"/>
                <w14:textFill>
                  <w14:solidFill>
                    <w14:schemeClr w14:val="bg1"/>
                  </w14:solidFill>
                </w14:textFill>
              </w:rPr>
            </w:pPr>
            <w:r>
              <w:rPr>
                <w:rFonts w:ascii="宋体" w:hAnsi="宋体" w:eastAsia="宋体" w:cs="宋体"/>
                <w:i w:val="0"/>
                <w:iCs w:val="0"/>
                <w:color w:val="000000"/>
                <w:kern w:val="0"/>
                <w:sz w:val="18"/>
                <w:szCs w:val="18"/>
                <w:highlight w:val="none"/>
                <w:u w:val="none"/>
                <w:lang w:val="en-US" w:eastAsia="zh-CN" w:bidi="ar"/>
              </w:rPr>
              <w:t>产出指标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6C572">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color w:val="000000"/>
                <w:kern w:val="0"/>
                <w:sz w:val="20"/>
                <w:szCs w:val="20"/>
                <w:highlight w:val="none"/>
              </w:rPr>
              <w:t>质量指标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F152E">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sz w:val="20"/>
                <w:szCs w:val="20"/>
                <w:highlight w:val="none"/>
                <w:vertAlign w:val="baseline"/>
                <w:lang w:val="en-US" w:eastAsia="zh-CN"/>
              </w:rPr>
              <w:t>脱贫人口稳岗就业和易地搬迁覆盖</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A2428">
            <w:pPr>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sz w:val="20"/>
                <w:szCs w:val="20"/>
                <w:highlight w:val="none"/>
                <w:vertAlign w:val="baseline"/>
                <w:lang w:val="en-US" w:eastAsia="zh-CN"/>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5C41">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BA0A2">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81BE">
            <w:pPr>
              <w:jc w:val="center"/>
              <w:rPr>
                <w:rFonts w:hint="eastAsia" w:ascii="宋体" w:hAnsi="宋体" w:eastAsia="宋体" w:cs="宋体"/>
                <w:i w:val="0"/>
                <w:iCs w:val="0"/>
                <w:color w:val="000000"/>
                <w:sz w:val="18"/>
                <w:szCs w:val="18"/>
                <w:highlight w:val="none"/>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754C">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A4D9">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0946">
            <w:pPr>
              <w:jc w:val="center"/>
              <w:rPr>
                <w:rFonts w:hint="eastAsia" w:ascii="宋体" w:hAnsi="宋体" w:eastAsia="宋体" w:cs="宋体"/>
                <w:i w:val="0"/>
                <w:iCs w:val="0"/>
                <w:color w:val="000000"/>
                <w:sz w:val="18"/>
                <w:szCs w:val="18"/>
                <w:highlight w:val="none"/>
                <w:u w:val="none"/>
              </w:rPr>
            </w:pPr>
          </w:p>
        </w:tc>
      </w:tr>
      <w:tr w14:paraId="4B21D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E7B15">
            <w:pPr>
              <w:jc w:val="center"/>
              <w:rPr>
                <w:rFonts w:hint="eastAsia" w:ascii="宋体" w:hAnsi="宋体" w:eastAsia="宋体" w:cs="宋体"/>
                <w:i w:val="0"/>
                <w:iCs w:val="0"/>
                <w:color w:val="000000"/>
                <w:sz w:val="18"/>
                <w:szCs w:val="18"/>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3716">
            <w:pPr>
              <w:jc w:val="center"/>
              <w:rPr>
                <w:rFonts w:hint="eastAsia" w:ascii="宋体" w:hAnsi="宋体" w:eastAsia="宋体" w:cs="宋体"/>
                <w:i w:val="0"/>
                <w:iCs w:val="0"/>
                <w:color w:val="000000"/>
                <w:sz w:val="18"/>
                <w:szCs w:val="18"/>
                <w:highlight w:val="none"/>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A854">
            <w:pPr>
              <w:jc w:val="center"/>
              <w:rPr>
                <w:rFonts w:hint="eastAsia" w:ascii="宋体" w:hAnsi="宋体" w:eastAsia="宋体" w:cs="宋体"/>
                <w:i w:val="0"/>
                <w:iCs w:val="0"/>
                <w:color w:val="000000"/>
                <w:sz w:val="18"/>
                <w:szCs w:val="18"/>
                <w:highlight w:val="none"/>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05D5">
            <w:pPr>
              <w:jc w:val="center"/>
              <w:rPr>
                <w:rFonts w:hint="eastAsia" w:ascii="宋体" w:hAnsi="宋体" w:eastAsia="宋体" w:cs="宋体"/>
                <w:i w:val="0"/>
                <w:iCs w:val="0"/>
                <w:color w:val="000000"/>
                <w:sz w:val="18"/>
                <w:szCs w:val="18"/>
                <w:highlight w:val="none"/>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941A">
            <w:pPr>
              <w:jc w:val="center"/>
              <w:rPr>
                <w:rFonts w:hint="eastAsia" w:ascii="宋体" w:hAnsi="宋体" w:eastAsia="宋体" w:cs="宋体"/>
                <w:i w:val="0"/>
                <w:iCs w:val="0"/>
                <w:color w:val="000000"/>
                <w:sz w:val="18"/>
                <w:szCs w:val="18"/>
                <w:highlight w:val="none"/>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D65D">
            <w:pPr>
              <w:jc w:val="center"/>
              <w:rPr>
                <w:rFonts w:hint="eastAsia" w:ascii="宋体" w:hAnsi="宋体" w:eastAsia="宋体" w:cs="宋体"/>
                <w:i w:val="0"/>
                <w:iCs w:val="0"/>
                <w:color w:val="000000"/>
                <w:sz w:val="18"/>
                <w:szCs w:val="18"/>
                <w:highlight w:val="none"/>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DB6D">
            <w:pPr>
              <w:jc w:val="center"/>
              <w:rPr>
                <w:rFonts w:hint="eastAsia" w:ascii="宋体" w:hAnsi="宋体" w:eastAsia="宋体" w:cs="宋体"/>
                <w:i w:val="0"/>
                <w:iCs w:val="0"/>
                <w:color w:val="000000"/>
                <w:sz w:val="18"/>
                <w:szCs w:val="18"/>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50D8">
            <w:pPr>
              <w:jc w:val="center"/>
              <w:rPr>
                <w:rFonts w:hint="eastAsia" w:ascii="微软雅黑" w:hAnsi="微软雅黑" w:eastAsia="微软雅黑" w:cs="微软雅黑"/>
                <w:i/>
                <w:iCs/>
                <w:color w:val="000000"/>
                <w:sz w:val="16"/>
                <w:szCs w:val="16"/>
                <w:highlight w:val="none"/>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1942">
            <w:pPr>
              <w:jc w:val="center"/>
              <w:rPr>
                <w:rFonts w:hint="eastAsia" w:ascii="宋体" w:hAnsi="宋体" w:eastAsia="宋体" w:cs="宋体"/>
                <w:i w:val="0"/>
                <w:iCs w:val="0"/>
                <w:color w:val="000000"/>
                <w:sz w:val="18"/>
                <w:szCs w:val="18"/>
                <w:highlight w:val="none"/>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B31D">
            <w:pPr>
              <w:jc w:val="center"/>
              <w:rPr>
                <w:rFonts w:hint="eastAsia" w:ascii="宋体" w:hAnsi="宋体" w:eastAsia="宋体" w:cs="宋体"/>
                <w:i w:val="0"/>
                <w:iCs w:val="0"/>
                <w:color w:val="000000"/>
                <w:sz w:val="18"/>
                <w:szCs w:val="18"/>
                <w:highlight w:val="none"/>
                <w:u w:val="none"/>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EA51">
            <w:pPr>
              <w:jc w:val="center"/>
              <w:rPr>
                <w:rFonts w:hint="eastAsia" w:ascii="微软雅黑" w:hAnsi="微软雅黑" w:eastAsia="微软雅黑" w:cs="微软雅黑"/>
                <w:i/>
                <w:iCs/>
                <w:color w:val="000000"/>
                <w:sz w:val="16"/>
                <w:szCs w:val="16"/>
                <w:highlight w:val="none"/>
                <w:u w:val="none"/>
              </w:rPr>
            </w:pPr>
          </w:p>
        </w:tc>
      </w:tr>
      <w:tr w14:paraId="50F5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2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EEA4E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合计</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B214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B61C">
            <w:pP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2167">
            <w:pPr>
              <w:rPr>
                <w:rFonts w:hint="eastAsia" w:ascii="宋体" w:hAnsi="宋体" w:eastAsia="宋体" w:cs="宋体"/>
                <w:i w:val="0"/>
                <w:iCs w:val="0"/>
                <w:color w:val="000000"/>
                <w:sz w:val="18"/>
                <w:szCs w:val="18"/>
                <w:highlight w:val="none"/>
                <w:u w:val="none"/>
              </w:rPr>
            </w:pPr>
          </w:p>
        </w:tc>
      </w:tr>
      <w:tr w14:paraId="3586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F481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46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9A5701">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严格执行相关政策，足额按时支付、预算编制科学合理，年末无结余资金。</w:t>
            </w:r>
          </w:p>
        </w:tc>
      </w:tr>
      <w:tr w14:paraId="66DF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CA2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46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DBC448">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14:paraId="00BC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4A8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46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A272CB">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14:paraId="0BA3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2F2089">
            <w:pPr>
              <w:keepNext w:val="0"/>
              <w:keepLines w:val="0"/>
              <w:widowControl/>
              <w:suppressLineNumbers w:val="0"/>
              <w:jc w:val="left"/>
              <w:textAlignment w:val="center"/>
              <w:rPr>
                <w:rFonts w:hint="default" w:ascii="黑体" w:hAnsi="黑体" w:eastAsia="黑体" w:cs="黑体"/>
                <w:i w:val="0"/>
                <w:iCs w:val="0"/>
                <w:color w:val="000000"/>
                <w:sz w:val="18"/>
                <w:szCs w:val="18"/>
                <w:highlight w:val="none"/>
                <w:u w:val="none"/>
                <w:lang w:val="en-US"/>
              </w:rPr>
            </w:pPr>
            <w:r>
              <w:rPr>
                <w:rFonts w:hint="eastAsia" w:ascii="黑体" w:hAnsi="黑体" w:eastAsia="黑体" w:cs="黑体"/>
                <w:i w:val="0"/>
                <w:iCs w:val="0"/>
                <w:color w:val="000000"/>
                <w:kern w:val="0"/>
                <w:sz w:val="18"/>
                <w:szCs w:val="18"/>
                <w:highlight w:val="none"/>
                <w:u w:val="none"/>
                <w:lang w:val="en-US" w:eastAsia="zh-CN" w:bidi="ar"/>
              </w:rPr>
              <w:t>项目负责人：</w:t>
            </w:r>
            <w:r>
              <w:rPr>
                <w:rFonts w:hint="eastAsia" w:ascii="黑体" w:hAnsi="黑体" w:eastAsia="黑体" w:cs="黑体"/>
                <w:i w:val="0"/>
                <w:iCs w:val="0"/>
                <w:color w:val="000000" w:themeColor="text1"/>
                <w:kern w:val="0"/>
                <w:sz w:val="18"/>
                <w:szCs w:val="18"/>
                <w:highlight w:val="none"/>
                <w:u w:val="none"/>
                <w:lang w:val="en-US" w:eastAsia="zh-CN" w:bidi="ar"/>
                <w14:textFill>
                  <w14:solidFill>
                    <w14:schemeClr w14:val="tx1"/>
                  </w14:solidFill>
                </w14:textFill>
              </w:rPr>
              <w:t>胡思勇</w:t>
            </w:r>
          </w:p>
        </w:tc>
        <w:tc>
          <w:tcPr>
            <w:tcW w:w="25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801EB2">
            <w:pPr>
              <w:keepNext w:val="0"/>
              <w:keepLines w:val="0"/>
              <w:widowControl/>
              <w:suppressLineNumbers w:val="0"/>
              <w:jc w:val="left"/>
              <w:textAlignment w:val="center"/>
              <w:rPr>
                <w:rFonts w:hint="default" w:ascii="黑体" w:hAnsi="黑体" w:eastAsia="宋体" w:cs="黑体"/>
                <w:i w:val="0"/>
                <w:iCs w:val="0"/>
                <w:color w:val="000000"/>
                <w:sz w:val="18"/>
                <w:szCs w:val="18"/>
                <w:highlight w:val="none"/>
                <w:u w:val="none"/>
                <w:lang w:val="en-US" w:eastAsia="zh-CN"/>
              </w:rPr>
            </w:pPr>
            <w:r>
              <w:rPr>
                <w:rFonts w:hint="eastAsia" w:ascii="黑体" w:hAnsi="黑体" w:eastAsia="黑体" w:cs="黑体"/>
                <w:i w:val="0"/>
                <w:iCs w:val="0"/>
                <w:color w:val="000000"/>
                <w:kern w:val="0"/>
                <w:sz w:val="18"/>
                <w:szCs w:val="18"/>
                <w:highlight w:val="none"/>
                <w:u w:val="none"/>
                <w:lang w:val="en-US" w:eastAsia="zh-CN" w:bidi="ar"/>
              </w:rPr>
              <w:t>财务负责人：</w:t>
            </w:r>
            <w:r>
              <w:rPr>
                <w:rFonts w:hint="eastAsia" w:ascii="黑体" w:hAnsi="黑体" w:eastAsia="黑体" w:cs="黑体"/>
                <w:color w:val="000000" w:themeColor="text1"/>
                <w:kern w:val="0"/>
                <w:sz w:val="18"/>
                <w:szCs w:val="18"/>
                <w:highlight w:val="none"/>
                <w:u w:val="none"/>
                <w:lang w:val="en-US" w:eastAsia="zh-CN" w:bidi="ar"/>
                <w14:textFill>
                  <w14:solidFill>
                    <w14:schemeClr w14:val="tx1"/>
                  </w14:solidFill>
                </w14:textFill>
              </w:rPr>
              <w:t>李琴</w:t>
            </w:r>
          </w:p>
        </w:tc>
      </w:tr>
      <w:tr w14:paraId="5EE8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 w:type="pct"/>
            <w:tcBorders>
              <w:top w:val="nil"/>
              <w:left w:val="nil"/>
              <w:bottom w:val="nil"/>
              <w:right w:val="nil"/>
            </w:tcBorders>
            <w:shd w:val="clear" w:color="auto" w:fill="auto"/>
            <w:vAlign w:val="center"/>
          </w:tcPr>
          <w:p w14:paraId="433F53D3">
            <w:pPr>
              <w:rPr>
                <w:rFonts w:hint="eastAsia" w:ascii="宋体" w:hAnsi="宋体" w:eastAsia="宋体" w:cs="宋体"/>
                <w:i w:val="0"/>
                <w:iCs w:val="0"/>
                <w:color w:val="000000"/>
                <w:sz w:val="18"/>
                <w:szCs w:val="18"/>
                <w:u w:val="none"/>
              </w:rPr>
            </w:pPr>
          </w:p>
        </w:tc>
        <w:tc>
          <w:tcPr>
            <w:tcW w:w="611" w:type="pct"/>
            <w:tcBorders>
              <w:top w:val="nil"/>
              <w:left w:val="nil"/>
              <w:bottom w:val="nil"/>
              <w:right w:val="nil"/>
            </w:tcBorders>
            <w:shd w:val="clear" w:color="auto" w:fill="auto"/>
            <w:vAlign w:val="center"/>
          </w:tcPr>
          <w:p w14:paraId="20969818">
            <w:pPr>
              <w:rPr>
                <w:rFonts w:hint="eastAsia" w:ascii="宋体" w:hAnsi="宋体" w:eastAsia="宋体" w:cs="宋体"/>
                <w:i w:val="0"/>
                <w:iCs w:val="0"/>
                <w:color w:val="000000"/>
                <w:sz w:val="18"/>
                <w:szCs w:val="18"/>
                <w:u w:val="none"/>
              </w:rPr>
            </w:pPr>
          </w:p>
        </w:tc>
        <w:tc>
          <w:tcPr>
            <w:tcW w:w="511" w:type="pct"/>
            <w:tcBorders>
              <w:top w:val="nil"/>
              <w:left w:val="nil"/>
              <w:bottom w:val="nil"/>
              <w:right w:val="nil"/>
            </w:tcBorders>
            <w:shd w:val="clear" w:color="auto" w:fill="auto"/>
            <w:vAlign w:val="center"/>
          </w:tcPr>
          <w:p w14:paraId="66F51141">
            <w:pPr>
              <w:rPr>
                <w:rFonts w:hint="eastAsia" w:ascii="宋体" w:hAnsi="宋体" w:eastAsia="宋体" w:cs="宋体"/>
                <w:i w:val="0"/>
                <w:iCs w:val="0"/>
                <w:color w:val="000000"/>
                <w:sz w:val="18"/>
                <w:szCs w:val="18"/>
                <w:u w:val="none"/>
              </w:rPr>
            </w:pPr>
          </w:p>
        </w:tc>
        <w:tc>
          <w:tcPr>
            <w:tcW w:w="711" w:type="pct"/>
            <w:tcBorders>
              <w:top w:val="nil"/>
              <w:left w:val="nil"/>
              <w:bottom w:val="nil"/>
              <w:right w:val="nil"/>
            </w:tcBorders>
            <w:shd w:val="clear" w:color="auto" w:fill="auto"/>
            <w:vAlign w:val="center"/>
          </w:tcPr>
          <w:p w14:paraId="32C6CBFF">
            <w:pPr>
              <w:rPr>
                <w:rFonts w:hint="eastAsia" w:ascii="宋体" w:hAnsi="宋体" w:eastAsia="宋体" w:cs="宋体"/>
                <w:i w:val="0"/>
                <w:iCs w:val="0"/>
                <w:color w:val="000000"/>
                <w:sz w:val="18"/>
                <w:szCs w:val="18"/>
                <w:u w:val="none"/>
              </w:rPr>
            </w:pPr>
          </w:p>
        </w:tc>
        <w:tc>
          <w:tcPr>
            <w:tcW w:w="248" w:type="pct"/>
            <w:tcBorders>
              <w:top w:val="nil"/>
              <w:left w:val="nil"/>
              <w:bottom w:val="nil"/>
              <w:right w:val="nil"/>
            </w:tcBorders>
            <w:shd w:val="clear" w:color="auto" w:fill="auto"/>
            <w:vAlign w:val="center"/>
          </w:tcPr>
          <w:p w14:paraId="7E0C1EDC">
            <w:pPr>
              <w:rPr>
                <w:rFonts w:hint="eastAsia" w:ascii="宋体" w:hAnsi="宋体" w:eastAsia="宋体" w:cs="宋体"/>
                <w:i w:val="0"/>
                <w:iCs w:val="0"/>
                <w:color w:val="000000"/>
                <w:sz w:val="18"/>
                <w:szCs w:val="18"/>
                <w:u w:val="none"/>
              </w:rPr>
            </w:pPr>
          </w:p>
        </w:tc>
        <w:tc>
          <w:tcPr>
            <w:tcW w:w="464" w:type="pct"/>
            <w:tcBorders>
              <w:top w:val="nil"/>
              <w:left w:val="nil"/>
              <w:bottom w:val="nil"/>
              <w:right w:val="nil"/>
            </w:tcBorders>
            <w:shd w:val="clear" w:color="auto" w:fill="auto"/>
            <w:vAlign w:val="center"/>
          </w:tcPr>
          <w:p w14:paraId="2C812371">
            <w:pPr>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214D8BC2">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6E2AEA15">
            <w:pPr>
              <w:rPr>
                <w:rFonts w:hint="eastAsia" w:ascii="宋体" w:hAnsi="宋体" w:eastAsia="宋体" w:cs="宋体"/>
                <w:i w:val="0"/>
                <w:iCs w:val="0"/>
                <w:color w:val="000000"/>
                <w:sz w:val="18"/>
                <w:szCs w:val="18"/>
                <w:u w:val="none"/>
              </w:rPr>
            </w:pPr>
          </w:p>
        </w:tc>
        <w:tc>
          <w:tcPr>
            <w:tcW w:w="287" w:type="pct"/>
            <w:tcBorders>
              <w:top w:val="nil"/>
              <w:left w:val="nil"/>
              <w:bottom w:val="nil"/>
              <w:right w:val="nil"/>
            </w:tcBorders>
            <w:shd w:val="clear" w:color="auto" w:fill="auto"/>
            <w:vAlign w:val="center"/>
          </w:tcPr>
          <w:p w14:paraId="56ECC33A">
            <w:pPr>
              <w:rPr>
                <w:rFonts w:hint="eastAsia" w:ascii="宋体" w:hAnsi="宋体" w:eastAsia="宋体" w:cs="宋体"/>
                <w:i w:val="0"/>
                <w:iCs w:val="0"/>
                <w:color w:val="000000"/>
                <w:sz w:val="18"/>
                <w:szCs w:val="18"/>
                <w:u w:val="none"/>
              </w:rPr>
            </w:pPr>
          </w:p>
        </w:tc>
        <w:tc>
          <w:tcPr>
            <w:tcW w:w="287" w:type="pct"/>
            <w:tcBorders>
              <w:top w:val="nil"/>
              <w:left w:val="nil"/>
              <w:bottom w:val="nil"/>
              <w:right w:val="nil"/>
            </w:tcBorders>
            <w:shd w:val="clear" w:color="auto" w:fill="auto"/>
            <w:vAlign w:val="center"/>
          </w:tcPr>
          <w:p w14:paraId="199499F5">
            <w:pPr>
              <w:rPr>
                <w:rFonts w:hint="eastAsia" w:ascii="宋体" w:hAnsi="宋体" w:eastAsia="宋体" w:cs="宋体"/>
                <w:i w:val="0"/>
                <w:iCs w:val="0"/>
                <w:color w:val="000000"/>
                <w:sz w:val="18"/>
                <w:szCs w:val="18"/>
                <w:u w:val="none"/>
              </w:rPr>
            </w:pPr>
          </w:p>
        </w:tc>
        <w:tc>
          <w:tcPr>
            <w:tcW w:w="803" w:type="pct"/>
            <w:tcBorders>
              <w:top w:val="nil"/>
              <w:left w:val="nil"/>
              <w:bottom w:val="nil"/>
              <w:right w:val="nil"/>
            </w:tcBorders>
            <w:shd w:val="clear" w:color="auto" w:fill="auto"/>
            <w:vAlign w:val="center"/>
          </w:tcPr>
          <w:p w14:paraId="3AFCA975">
            <w:pPr>
              <w:rPr>
                <w:rFonts w:hint="eastAsia" w:ascii="宋体" w:hAnsi="宋体" w:eastAsia="宋体" w:cs="宋体"/>
                <w:i w:val="0"/>
                <w:iCs w:val="0"/>
                <w:color w:val="000000"/>
                <w:sz w:val="18"/>
                <w:szCs w:val="18"/>
                <w:u w:val="none"/>
              </w:rPr>
            </w:pPr>
          </w:p>
        </w:tc>
      </w:tr>
      <w:tr w14:paraId="2C434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661DA00">
            <w:pPr>
              <w:keepNext w:val="0"/>
              <w:keepLines w:val="0"/>
              <w:widowControl/>
              <w:suppressLineNumbers w:val="0"/>
              <w:jc w:val="center"/>
              <w:textAlignment w:val="center"/>
              <w:rPr>
                <w:rFonts w:hint="eastAsia" w:ascii="黑体" w:hAnsi="宋体" w:eastAsia="黑体" w:cs="黑体"/>
                <w:b/>
                <w:bCs/>
                <w:i w:val="0"/>
                <w:iCs w:val="0"/>
                <w:color w:val="000000"/>
                <w:sz w:val="30"/>
                <w:szCs w:val="30"/>
                <w:highlight w:val="none"/>
                <w:u w:val="none"/>
              </w:rPr>
            </w:pPr>
            <w:r>
              <w:rPr>
                <w:rFonts w:hint="eastAsia" w:ascii="黑体" w:hAnsi="宋体" w:eastAsia="黑体" w:cs="黑体"/>
                <w:b/>
                <w:bCs/>
                <w:i w:val="0"/>
                <w:iCs w:val="0"/>
                <w:color w:val="000000"/>
                <w:kern w:val="0"/>
                <w:sz w:val="30"/>
                <w:szCs w:val="30"/>
                <w:highlight w:val="none"/>
                <w:u w:val="none"/>
                <w:lang w:val="en-US" w:eastAsia="zh-CN" w:bidi="ar"/>
              </w:rPr>
              <w:t>部门预算项目支出绩效自评表（2023年度）</w:t>
            </w:r>
          </w:p>
        </w:tc>
      </w:tr>
      <w:tr w14:paraId="0BB2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F3E41">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项目名称</w:t>
            </w:r>
          </w:p>
        </w:tc>
        <w:tc>
          <w:tcPr>
            <w:tcW w:w="40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896C2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51090422T000007427819-就业创业补助资金</w:t>
            </w:r>
          </w:p>
        </w:tc>
      </w:tr>
      <w:tr w14:paraId="4568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00C88">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主管部门</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9D21C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遂宁市安居区就业服务管理局部门</w:t>
            </w:r>
          </w:p>
        </w:tc>
        <w:tc>
          <w:tcPr>
            <w:tcW w:w="501" w:type="pct"/>
            <w:tcBorders>
              <w:top w:val="nil"/>
              <w:left w:val="nil"/>
              <w:bottom w:val="nil"/>
              <w:right w:val="nil"/>
            </w:tcBorders>
            <w:shd w:val="clear" w:color="auto" w:fill="auto"/>
            <w:vAlign w:val="center"/>
          </w:tcPr>
          <w:p w14:paraId="1F47148A">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黑体" w:hAnsi="黑体" w:eastAsia="黑体" w:cs="黑体"/>
                <w:i w:val="0"/>
                <w:iCs w:val="0"/>
                <w:color w:val="000000"/>
                <w:kern w:val="0"/>
                <w:sz w:val="18"/>
                <w:szCs w:val="18"/>
                <w:highlight w:val="none"/>
                <w:u w:val="none"/>
                <w:lang w:val="en-US" w:eastAsia="zh-CN" w:bidi="ar"/>
              </w:rPr>
              <w:t>实施单位 （盖章）</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567D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遂宁市安居区就业服务管理局</w:t>
            </w:r>
          </w:p>
        </w:tc>
      </w:tr>
      <w:tr w14:paraId="4B948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E5503">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项目基本情况</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1ADE9">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1.项目年度目标完成情况</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4CD90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项目年度目标</w:t>
            </w:r>
          </w:p>
        </w:tc>
        <w:tc>
          <w:tcPr>
            <w:tcW w:w="18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9069F">
            <w:pPr>
              <w:keepNext w:val="0"/>
              <w:keepLines w:val="0"/>
              <w:widowControl/>
              <w:suppressLineNumbers w:val="0"/>
              <w:jc w:val="center"/>
              <w:textAlignment w:val="center"/>
              <w:rPr>
                <w:rFonts w:hint="eastAsia" w:ascii="黑体" w:hAnsi="黑体" w:eastAsia="黑体" w:cs="黑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年度目标完成情况</w:t>
            </w:r>
          </w:p>
        </w:tc>
      </w:tr>
      <w:tr w14:paraId="7261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AED5">
            <w:pPr>
              <w:rPr>
                <w:rFonts w:hint="eastAsia" w:ascii="宋体" w:hAnsi="宋体" w:eastAsia="宋体" w:cs="宋体"/>
                <w:i w:val="0"/>
                <w:iCs w:val="0"/>
                <w:color w:val="000000"/>
                <w:sz w:val="18"/>
                <w:szCs w:val="18"/>
                <w:highlight w:val="none"/>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52225">
            <w:pPr>
              <w:rPr>
                <w:rFonts w:hint="eastAsia" w:ascii="宋体" w:hAnsi="宋体" w:eastAsia="宋体" w:cs="宋体"/>
                <w:i w:val="0"/>
                <w:iCs w:val="0"/>
                <w:color w:val="000000"/>
                <w:sz w:val="18"/>
                <w:szCs w:val="18"/>
                <w:highlight w:val="none"/>
                <w:u w:val="none"/>
              </w:rPr>
            </w:pP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9E9A85">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川财社【2019】38号、遂绩办【2022】10号、为贯彻落实《中共遂宁市委办公室遂宁市人民政府办公室关于印发,【2022年全市重点民生实事实施方案】的通知》（遂委办发{2022}9号）精神。1、促进就业困难人员等重点群体就业（城镇新增就业、失业人员再就业、就业困难人员再就业），2、完成全市重点民生实事目标任务。</w:t>
            </w:r>
          </w:p>
        </w:tc>
        <w:tc>
          <w:tcPr>
            <w:tcW w:w="18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F8627D">
            <w:pPr>
              <w:keepNext w:val="0"/>
              <w:keepLines w:val="0"/>
              <w:widowControl/>
              <w:suppressLineNumbers w:val="0"/>
              <w:jc w:val="left"/>
              <w:textAlignment w:val="center"/>
              <w:rPr>
                <w:rFonts w:hint="eastAsia" w:ascii="黑体" w:hAnsi="黑体" w:eastAsia="黑体" w:cs="黑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严格执行相关政策，足额按时支付、预算编制科学合理，无结余资金。</w:t>
            </w:r>
          </w:p>
        </w:tc>
      </w:tr>
      <w:tr w14:paraId="14B8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28A4E">
            <w:pPr>
              <w:rPr>
                <w:rFonts w:hint="eastAsia" w:ascii="宋体" w:hAnsi="宋体" w:eastAsia="宋体" w:cs="宋体"/>
                <w:i w:val="0"/>
                <w:iCs w:val="0"/>
                <w:color w:val="000000"/>
                <w:sz w:val="18"/>
                <w:szCs w:val="18"/>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601F">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2.项目实施内容及过程概述</w:t>
            </w:r>
          </w:p>
        </w:tc>
        <w:tc>
          <w:tcPr>
            <w:tcW w:w="40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6B776D">
            <w:pPr>
              <w:keepNext w:val="0"/>
              <w:keepLines w:val="0"/>
              <w:widowControl/>
              <w:suppressLineNumbers w:val="0"/>
              <w:jc w:val="left"/>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严格执行相关政策，足额按时支付、预算编制科学合理，无结余资金。</w:t>
            </w:r>
          </w:p>
        </w:tc>
      </w:tr>
      <w:tr w14:paraId="0EDF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29EB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预算执行情况（10分）</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F533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年度预算数（万元）</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00F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年初预算</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BC7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调整后预算数</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BD7C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403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预算执行率</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D4C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00F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CCD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原因</w:t>
            </w:r>
          </w:p>
        </w:tc>
      </w:tr>
      <w:tr w14:paraId="49B1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0D256">
            <w:pPr>
              <w:jc w:val="center"/>
              <w:rPr>
                <w:rFonts w:hint="eastAsia" w:ascii="宋体" w:hAnsi="宋体" w:eastAsia="宋体" w:cs="宋体"/>
                <w:i w:val="0"/>
                <w:iCs w:val="0"/>
                <w:color w:val="000000"/>
                <w:sz w:val="18"/>
                <w:szCs w:val="18"/>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B4A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总额</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A20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C4A8">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2208.83</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928EC">
            <w:pPr>
              <w:keepNext w:val="0"/>
              <w:keepLines w:val="0"/>
              <w:widowControl/>
              <w:suppressLineNumbers w:val="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0"/>
                <w:sz w:val="18"/>
                <w:szCs w:val="18"/>
                <w:highlight w:val="none"/>
                <w:u w:val="none"/>
                <w:lang w:val="en-US" w:eastAsia="zh-CN" w:bidi="ar"/>
              </w:rPr>
              <w:t>2208.83</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048A0">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FB2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8DA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w:t>
            </w:r>
          </w:p>
        </w:tc>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165BA">
            <w:pPr>
              <w:keepNext w:val="0"/>
              <w:keepLines w:val="0"/>
              <w:widowControl/>
              <w:suppressLineNumbers w:val="0"/>
              <w:jc w:val="left"/>
              <w:textAlignment w:val="center"/>
              <w:rPr>
                <w:rFonts w:hint="eastAsia" w:ascii="黑体" w:hAnsi="黑体" w:eastAsia="黑体" w:cs="黑体"/>
                <w:i/>
                <w:iCs/>
                <w:color w:val="000000"/>
                <w:sz w:val="18"/>
                <w:szCs w:val="18"/>
                <w:highlight w:val="none"/>
                <w:u w:val="none"/>
              </w:rPr>
            </w:pPr>
            <w:r>
              <w:rPr>
                <w:rFonts w:hint="eastAsia" w:ascii="黑体" w:hAnsi="黑体" w:eastAsia="黑体" w:cs="黑体"/>
                <w:i/>
                <w:iCs/>
                <w:color w:val="000000"/>
                <w:kern w:val="0"/>
                <w:sz w:val="18"/>
                <w:szCs w:val="18"/>
                <w:highlight w:val="none"/>
                <w:u w:val="none"/>
                <w:lang w:val="en-US" w:eastAsia="zh-CN" w:bidi="ar"/>
              </w:rPr>
              <w:t>1.预算执行率</w:t>
            </w:r>
            <w:r>
              <w:rPr>
                <w:rFonts w:hint="eastAsia" w:ascii="宋体" w:hAnsi="宋体" w:eastAsia="宋体" w:cs="宋体"/>
                <w:i w:val="0"/>
                <w:iCs w:val="0"/>
                <w:color w:val="000000"/>
                <w:kern w:val="0"/>
                <w:sz w:val="18"/>
                <w:szCs w:val="18"/>
                <w:highlight w:val="none"/>
                <w:u w:val="none"/>
                <w:lang w:val="en-US" w:eastAsia="zh-CN" w:bidi="ar"/>
              </w:rPr>
              <w:t>=预算执行数/调整后预算数，预算执行率未达到90%的需说明原因（100字以内）;2.年中发生预算调整的（追加或调减）,应单独说明理由；3.其他资金包括：社会投入资金、银行贷款.</w:t>
            </w:r>
          </w:p>
        </w:tc>
      </w:tr>
      <w:tr w14:paraId="27C91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D5358">
            <w:pPr>
              <w:jc w:val="center"/>
              <w:rPr>
                <w:rFonts w:hint="eastAsia" w:ascii="宋体" w:hAnsi="宋体" w:eastAsia="宋体" w:cs="宋体"/>
                <w:i w:val="0"/>
                <w:iCs w:val="0"/>
                <w:color w:val="000000"/>
                <w:sz w:val="18"/>
                <w:szCs w:val="18"/>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B4D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其中：财政资金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1C831">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D09CB">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2208.83</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892AF">
            <w:pPr>
              <w:keepNext w:val="0"/>
              <w:keepLines w:val="0"/>
              <w:widowControl/>
              <w:suppressLineNumbers w:val="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0"/>
                <w:sz w:val="18"/>
                <w:szCs w:val="18"/>
                <w:highlight w:val="none"/>
                <w:u w:val="none"/>
                <w:lang w:val="en-US" w:eastAsia="zh-CN" w:bidi="ar"/>
              </w:rPr>
              <w:t>2208.83</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E8B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100.00%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BBD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CE2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30D43">
            <w:pPr>
              <w:rPr>
                <w:rFonts w:hint="eastAsia" w:ascii="黑体" w:hAnsi="黑体" w:eastAsia="黑体" w:cs="黑体"/>
                <w:i/>
                <w:iCs/>
                <w:color w:val="000000"/>
                <w:sz w:val="18"/>
                <w:szCs w:val="18"/>
                <w:highlight w:val="none"/>
                <w:u w:val="none"/>
              </w:rPr>
            </w:pPr>
          </w:p>
        </w:tc>
      </w:tr>
      <w:tr w14:paraId="167AC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8AF8C">
            <w:pPr>
              <w:jc w:val="center"/>
              <w:rPr>
                <w:rFonts w:hint="eastAsia" w:ascii="宋体" w:hAnsi="宋体" w:eastAsia="宋体" w:cs="宋体"/>
                <w:i w:val="0"/>
                <w:iCs w:val="0"/>
                <w:color w:val="000000"/>
                <w:sz w:val="18"/>
                <w:szCs w:val="18"/>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CB22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财政专户管理资金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B6CB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CF66">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798B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91BE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3CC3">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F63E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165E5">
            <w:pPr>
              <w:rPr>
                <w:rFonts w:hint="eastAsia" w:ascii="黑体" w:hAnsi="黑体" w:eastAsia="黑体" w:cs="黑体"/>
                <w:i/>
                <w:iCs/>
                <w:color w:val="000000"/>
                <w:sz w:val="18"/>
                <w:szCs w:val="18"/>
                <w:highlight w:val="none"/>
                <w:u w:val="none"/>
              </w:rPr>
            </w:pPr>
          </w:p>
        </w:tc>
      </w:tr>
      <w:tr w14:paraId="6023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6CBE3">
            <w:pPr>
              <w:jc w:val="center"/>
              <w:rPr>
                <w:rFonts w:hint="eastAsia" w:ascii="宋体" w:hAnsi="宋体" w:eastAsia="宋体" w:cs="宋体"/>
                <w:i w:val="0"/>
                <w:iCs w:val="0"/>
                <w:color w:val="000000"/>
                <w:sz w:val="18"/>
                <w:szCs w:val="18"/>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040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单位资金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857D">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283E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382F2">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9F95">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0.00%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9AB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035D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D442A">
            <w:pPr>
              <w:rPr>
                <w:rFonts w:hint="eastAsia" w:ascii="黑体" w:hAnsi="黑体" w:eastAsia="黑体" w:cs="黑体"/>
                <w:i/>
                <w:iCs/>
                <w:color w:val="000000"/>
                <w:sz w:val="18"/>
                <w:szCs w:val="18"/>
                <w:highlight w:val="none"/>
                <w:u w:val="none"/>
              </w:rPr>
            </w:pPr>
          </w:p>
        </w:tc>
      </w:tr>
      <w:tr w14:paraId="1350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611ED">
            <w:pPr>
              <w:jc w:val="center"/>
              <w:rPr>
                <w:rFonts w:hint="eastAsia" w:ascii="宋体" w:hAnsi="宋体" w:eastAsia="宋体" w:cs="宋体"/>
                <w:i w:val="0"/>
                <w:iCs w:val="0"/>
                <w:color w:val="000000"/>
                <w:sz w:val="18"/>
                <w:szCs w:val="18"/>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EB6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其他资金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2FEB">
            <w:pPr>
              <w:jc w:val="center"/>
              <w:rPr>
                <w:rFonts w:hint="eastAsia" w:ascii="微软雅黑" w:hAnsi="微软雅黑" w:eastAsia="微软雅黑" w:cs="微软雅黑"/>
                <w:i/>
                <w:iCs/>
                <w:color w:val="000000"/>
                <w:sz w:val="16"/>
                <w:szCs w:val="16"/>
                <w:highlight w:val="none"/>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7EBC">
            <w:pPr>
              <w:jc w:val="center"/>
              <w:rPr>
                <w:rFonts w:hint="eastAsia" w:ascii="微软雅黑" w:hAnsi="微软雅黑" w:eastAsia="微软雅黑" w:cs="微软雅黑"/>
                <w:i/>
                <w:iCs/>
                <w:color w:val="000000"/>
                <w:sz w:val="16"/>
                <w:szCs w:val="16"/>
                <w:highlight w:val="none"/>
                <w:u w:val="none"/>
              </w:rPr>
            </w:pP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36CDA">
            <w:pPr>
              <w:jc w:val="center"/>
              <w:rPr>
                <w:rFonts w:hint="eastAsia" w:ascii="微软雅黑" w:hAnsi="微软雅黑" w:eastAsia="微软雅黑" w:cs="微软雅黑"/>
                <w:i/>
                <w:iCs/>
                <w:color w:val="000000"/>
                <w:sz w:val="16"/>
                <w:szCs w:val="16"/>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121D">
            <w:pPr>
              <w:jc w:val="center"/>
              <w:rPr>
                <w:rFonts w:hint="eastAsia" w:ascii="微软雅黑" w:hAnsi="微软雅黑" w:eastAsia="微软雅黑" w:cs="微软雅黑"/>
                <w:i/>
                <w:iCs/>
                <w:color w:val="000000"/>
                <w:sz w:val="16"/>
                <w:szCs w:val="16"/>
                <w:highlight w:val="none"/>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C0E8">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E6F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3D7E2">
            <w:pPr>
              <w:rPr>
                <w:rFonts w:hint="eastAsia" w:ascii="黑体" w:hAnsi="黑体" w:eastAsia="黑体" w:cs="黑体"/>
                <w:i/>
                <w:iCs/>
                <w:color w:val="000000"/>
                <w:sz w:val="18"/>
                <w:szCs w:val="18"/>
                <w:highlight w:val="none"/>
                <w:u w:val="none"/>
              </w:rPr>
            </w:pPr>
          </w:p>
        </w:tc>
      </w:tr>
      <w:tr w14:paraId="4B59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FA7D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绩效指标（90分）</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4F4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一级指标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E2FF">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二级指标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3F90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三级指标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3789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指标性质</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EF84">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指标值</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62E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9652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完成值</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E6E2A">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权重</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4C6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得分</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88E9">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未完成原因分析</w:t>
            </w:r>
          </w:p>
        </w:tc>
      </w:tr>
      <w:tr w14:paraId="5B8E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FBFE8">
            <w:pPr>
              <w:jc w:val="center"/>
              <w:rPr>
                <w:rFonts w:hint="eastAsia" w:ascii="宋体" w:hAnsi="宋体" w:eastAsia="宋体" w:cs="宋体"/>
                <w:i w:val="0"/>
                <w:iCs w:val="0"/>
                <w:color w:val="000000"/>
                <w:sz w:val="18"/>
                <w:szCs w:val="18"/>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F7E2">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产出指标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AB68">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数量指标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E091">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发放（缴纳）覆盖率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94DF">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2B35">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0652">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FA79">
            <w:pPr>
              <w:jc w:val="center"/>
              <w:rPr>
                <w:rFonts w:hint="eastAsia" w:ascii="微软雅黑" w:hAnsi="微软雅黑" w:eastAsia="微软雅黑" w:cs="微软雅黑"/>
                <w:i/>
                <w:iCs/>
                <w:color w:val="000000"/>
                <w:kern w:val="2"/>
                <w:sz w:val="16"/>
                <w:szCs w:val="16"/>
                <w:highlight w:val="none"/>
                <w:u w:val="none"/>
                <w:lang w:val="en-US" w:eastAsia="zh-CN" w:bidi="ar-SA"/>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FB34">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0"/>
                <w:sz w:val="18"/>
                <w:szCs w:val="18"/>
                <w:highlight w:val="none"/>
                <w:u w:val="none"/>
                <w:lang w:val="en-US" w:eastAsia="zh-CN" w:bidi="ar"/>
              </w:rPr>
              <w:t>5</w:t>
            </w:r>
            <w:r>
              <w:rPr>
                <w:rFonts w:ascii="宋体" w:hAnsi="宋体" w:eastAsia="宋体" w:cs="宋体"/>
                <w:i w:val="0"/>
                <w:iCs w:val="0"/>
                <w:color w:val="000000"/>
                <w:kern w:val="0"/>
                <w:sz w:val="18"/>
                <w:szCs w:val="18"/>
                <w:highlight w:val="none"/>
                <w:u w:val="none"/>
                <w:lang w:val="en-US" w:eastAsia="zh-CN" w:bidi="ar"/>
              </w:rPr>
              <w:t>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0403">
            <w:pPr>
              <w:keepNext w:val="0"/>
              <w:keepLines w:val="0"/>
              <w:widowControl/>
              <w:suppressLineNumbers w:val="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0"/>
                <w:sz w:val="18"/>
                <w:szCs w:val="18"/>
                <w:highlight w:val="none"/>
                <w:u w:val="none"/>
                <w:lang w:val="en-US" w:eastAsia="zh-CN" w:bidi="ar"/>
              </w:rPr>
              <w:t>50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8C94">
            <w:pPr>
              <w:jc w:val="center"/>
              <w:rPr>
                <w:rFonts w:hint="eastAsia" w:ascii="宋体" w:hAnsi="宋体" w:eastAsia="宋体" w:cs="宋体"/>
                <w:i w:val="0"/>
                <w:iCs w:val="0"/>
                <w:color w:val="000000"/>
                <w:sz w:val="18"/>
                <w:szCs w:val="18"/>
                <w:highlight w:val="none"/>
                <w:u w:val="none"/>
              </w:rPr>
            </w:pPr>
          </w:p>
        </w:tc>
      </w:tr>
      <w:tr w14:paraId="7B45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CE3C9">
            <w:pPr>
              <w:jc w:val="center"/>
              <w:rPr>
                <w:rFonts w:hint="eastAsia" w:ascii="宋体" w:hAnsi="宋体" w:eastAsia="宋体" w:cs="宋体"/>
                <w:i w:val="0"/>
                <w:iCs w:val="0"/>
                <w:color w:val="000000"/>
                <w:sz w:val="18"/>
                <w:szCs w:val="18"/>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D185">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效益指标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58EE">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社会效益指标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3F57">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足额保障率（参保率）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2B73">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A76F">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BAC7">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2B22">
            <w:pPr>
              <w:jc w:val="center"/>
              <w:rPr>
                <w:rFonts w:hint="eastAsia" w:ascii="微软雅黑" w:hAnsi="微软雅黑" w:eastAsia="微软雅黑" w:cs="微软雅黑"/>
                <w:i/>
                <w:iCs/>
                <w:color w:val="000000"/>
                <w:kern w:val="2"/>
                <w:sz w:val="16"/>
                <w:szCs w:val="16"/>
                <w:highlight w:val="none"/>
                <w:u w:val="none"/>
                <w:lang w:val="en-US" w:eastAsia="zh-CN" w:bidi="ar-SA"/>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27F56">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30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C401">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ascii="宋体" w:hAnsi="宋体" w:eastAsia="宋体" w:cs="宋体"/>
                <w:i w:val="0"/>
                <w:iCs w:val="0"/>
                <w:color w:val="000000"/>
                <w:kern w:val="0"/>
                <w:sz w:val="18"/>
                <w:szCs w:val="18"/>
                <w:highlight w:val="none"/>
                <w:u w:val="none"/>
                <w:lang w:val="en-US" w:eastAsia="zh-CN" w:bidi="ar"/>
              </w:rPr>
              <w:t>30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AB3A">
            <w:pPr>
              <w:jc w:val="center"/>
              <w:rPr>
                <w:rFonts w:hint="eastAsia" w:ascii="宋体" w:hAnsi="宋体" w:eastAsia="宋体" w:cs="宋体"/>
                <w:i w:val="0"/>
                <w:iCs w:val="0"/>
                <w:color w:val="000000"/>
                <w:sz w:val="18"/>
                <w:szCs w:val="18"/>
                <w:highlight w:val="none"/>
                <w:u w:val="none"/>
              </w:rPr>
            </w:pPr>
          </w:p>
        </w:tc>
      </w:tr>
      <w:tr w14:paraId="03CD0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47A62">
            <w:pPr>
              <w:jc w:val="center"/>
              <w:rPr>
                <w:rFonts w:hint="eastAsia" w:ascii="宋体" w:hAnsi="宋体" w:eastAsia="宋体" w:cs="宋体"/>
                <w:i w:val="0"/>
                <w:iCs w:val="0"/>
                <w:color w:val="000000"/>
                <w:sz w:val="18"/>
                <w:szCs w:val="18"/>
                <w:highlight w:val="none"/>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1B9CD">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C60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F12A">
            <w:pPr>
              <w:keepNext w:val="0"/>
              <w:keepLines w:val="0"/>
              <w:widowControl/>
              <w:suppressLineNumbers w:val="0"/>
              <w:tabs>
                <w:tab w:val="left" w:pos="441"/>
              </w:tabs>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ab/>
            </w:r>
            <w:r>
              <w:rPr>
                <w:rFonts w:hint="eastAsia" w:ascii="宋体" w:hAnsi="宋体" w:cs="宋体"/>
                <w:i w:val="0"/>
                <w:iCs w:val="0"/>
                <w:color w:val="000000"/>
                <w:kern w:val="0"/>
                <w:sz w:val="18"/>
                <w:szCs w:val="18"/>
                <w:highlight w:val="none"/>
                <w:u w:val="none"/>
                <w:lang w:val="en-US" w:eastAsia="zh-CN" w:bidi="ar"/>
              </w:rPr>
              <w:t>服务人员</w:t>
            </w:r>
            <w:r>
              <w:rPr>
                <w:rFonts w:hint="eastAsia" w:ascii="宋体" w:hAnsi="宋体" w:eastAsia="宋体" w:cs="宋体"/>
                <w:i w:val="0"/>
                <w:iCs w:val="0"/>
                <w:color w:val="000000"/>
                <w:kern w:val="0"/>
                <w:sz w:val="18"/>
                <w:szCs w:val="18"/>
                <w:highlight w:val="none"/>
                <w:u w:val="none"/>
                <w:lang w:val="en-US" w:eastAsia="zh-CN" w:bidi="ar"/>
              </w:rPr>
              <w:t>满意度</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2726">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BC26">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852F">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1A6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0EA0">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F341">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6631">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B53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B9915">
            <w:pPr>
              <w:jc w:val="center"/>
              <w:rPr>
                <w:rFonts w:hint="eastAsia" w:ascii="宋体" w:hAnsi="宋体" w:eastAsia="宋体" w:cs="宋体"/>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7663">
            <w:pPr>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A9A7">
            <w:pPr>
              <w:jc w:val="center"/>
              <w:rPr>
                <w:rFonts w:hint="eastAsia" w:ascii="宋体" w:hAnsi="宋体" w:eastAsia="宋体" w:cs="宋体"/>
                <w:i w:val="0"/>
                <w:iCs w:val="0"/>
                <w:color w:val="000000"/>
                <w:sz w:val="18"/>
                <w:szCs w:val="18"/>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0299">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ECC9">
            <w:pPr>
              <w:jc w:val="center"/>
              <w:rPr>
                <w:rFonts w:hint="eastAsia" w:ascii="宋体" w:hAnsi="宋体" w:eastAsia="宋体" w:cs="宋体"/>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49203">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EBE6">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23BB">
            <w:pPr>
              <w:jc w:val="center"/>
              <w:rPr>
                <w:rFonts w:hint="eastAsia" w:ascii="微软雅黑" w:hAnsi="微软雅黑" w:eastAsia="微软雅黑" w:cs="微软雅黑"/>
                <w:i/>
                <w:iCs/>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BAEBA">
            <w:pPr>
              <w:jc w:val="center"/>
              <w:rPr>
                <w:rFonts w:hint="eastAsia" w:ascii="宋体" w:hAnsi="宋体" w:eastAsia="宋体" w:cs="宋体"/>
                <w:i w:val="0"/>
                <w:iCs w:val="0"/>
                <w:color w:val="000000"/>
                <w:sz w:val="18"/>
                <w:szCs w:val="18"/>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6A99">
            <w:pPr>
              <w:jc w:val="center"/>
              <w:rPr>
                <w:rFonts w:hint="eastAsia" w:ascii="宋体" w:hAnsi="宋体" w:eastAsia="宋体" w:cs="宋体"/>
                <w:i w:val="0"/>
                <w:iCs w:val="0"/>
                <w:color w:val="000000"/>
                <w:sz w:val="18"/>
                <w:szCs w:val="18"/>
                <w:u w:val="none"/>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281ED">
            <w:pPr>
              <w:jc w:val="center"/>
              <w:rPr>
                <w:rFonts w:hint="eastAsia" w:ascii="微软雅黑" w:hAnsi="微软雅黑" w:eastAsia="微软雅黑" w:cs="微软雅黑"/>
                <w:i/>
                <w:iCs/>
                <w:color w:val="000000"/>
                <w:sz w:val="16"/>
                <w:szCs w:val="16"/>
                <w:u w:val="none"/>
              </w:rPr>
            </w:pPr>
          </w:p>
        </w:tc>
      </w:tr>
      <w:tr w14:paraId="19E3F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2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567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B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9109">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8A17">
            <w:pPr>
              <w:rPr>
                <w:rFonts w:hint="eastAsia" w:ascii="宋体" w:hAnsi="宋体" w:eastAsia="宋体" w:cs="宋体"/>
                <w:i w:val="0"/>
                <w:iCs w:val="0"/>
                <w:color w:val="000000"/>
                <w:sz w:val="18"/>
                <w:szCs w:val="18"/>
                <w:u w:val="none"/>
              </w:rPr>
            </w:pPr>
          </w:p>
        </w:tc>
      </w:tr>
      <w:tr w14:paraId="5E21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8FDE">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评价结论</w:t>
            </w:r>
          </w:p>
        </w:tc>
        <w:tc>
          <w:tcPr>
            <w:tcW w:w="46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082184">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严格执行相关政策，足额按时支付、预算编制科学合理，年末无结余资金。</w:t>
            </w:r>
          </w:p>
        </w:tc>
      </w:tr>
      <w:tr w14:paraId="722B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AD27">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存在问题</w:t>
            </w:r>
          </w:p>
        </w:tc>
        <w:tc>
          <w:tcPr>
            <w:tcW w:w="46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9C5DAD">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14:paraId="782B5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5A5B">
            <w:pPr>
              <w:keepNext w:val="0"/>
              <w:keepLines w:val="0"/>
              <w:widowControl/>
              <w:suppressLineNumbers w:val="0"/>
              <w:jc w:val="center"/>
              <w:textAlignment w:val="center"/>
              <w:rPr>
                <w:rFonts w:ascii="宋体" w:hAnsi="宋体" w:eastAsia="宋体" w:cs="宋体"/>
                <w:i w:val="0"/>
                <w:iCs w:val="0"/>
                <w:color w:val="000000"/>
                <w:sz w:val="18"/>
                <w:szCs w:val="18"/>
                <w:highlight w:val="none"/>
                <w:u w:val="none"/>
              </w:rPr>
            </w:pPr>
            <w:r>
              <w:rPr>
                <w:rFonts w:ascii="宋体" w:hAnsi="宋体" w:eastAsia="宋体" w:cs="宋体"/>
                <w:i w:val="0"/>
                <w:iCs w:val="0"/>
                <w:color w:val="000000"/>
                <w:kern w:val="0"/>
                <w:sz w:val="18"/>
                <w:szCs w:val="18"/>
                <w:highlight w:val="none"/>
                <w:u w:val="none"/>
                <w:lang w:val="en-US" w:eastAsia="zh-CN" w:bidi="ar"/>
              </w:rPr>
              <w:t>改进措施</w:t>
            </w:r>
          </w:p>
        </w:tc>
        <w:tc>
          <w:tcPr>
            <w:tcW w:w="46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8006B0">
            <w:pPr>
              <w:keepNext w:val="0"/>
              <w:keepLines w:val="0"/>
              <w:widowControl/>
              <w:suppressLineNumbers w:val="0"/>
              <w:jc w:val="left"/>
              <w:textAlignment w:val="center"/>
              <w:rPr>
                <w:rFonts w:hint="eastAsia" w:ascii="微软雅黑" w:hAnsi="微软雅黑" w:eastAsia="微软雅黑" w:cs="微软雅黑"/>
                <w:i/>
                <w:iCs/>
                <w:color w:val="000000"/>
                <w:sz w:val="16"/>
                <w:szCs w:val="16"/>
                <w:highlight w:val="none"/>
                <w:u w:val="none"/>
              </w:rPr>
            </w:pPr>
            <w:r>
              <w:rPr>
                <w:rFonts w:hint="eastAsia" w:ascii="微软雅黑" w:hAnsi="微软雅黑" w:eastAsia="微软雅黑" w:cs="微软雅黑"/>
                <w:i/>
                <w:iCs/>
                <w:color w:val="000000"/>
                <w:kern w:val="0"/>
                <w:sz w:val="16"/>
                <w:szCs w:val="16"/>
                <w:highlight w:val="none"/>
                <w:u w:val="none"/>
                <w:lang w:val="en-US" w:eastAsia="zh-CN" w:bidi="ar"/>
              </w:rPr>
              <w:t>无</w:t>
            </w:r>
          </w:p>
        </w:tc>
      </w:tr>
      <w:tr w14:paraId="70F4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4FE6F4">
            <w:pPr>
              <w:keepNext w:val="0"/>
              <w:keepLines w:val="0"/>
              <w:widowControl/>
              <w:suppressLineNumbers w:val="0"/>
              <w:jc w:val="left"/>
              <w:textAlignment w:val="center"/>
              <w:rPr>
                <w:rFonts w:hint="default" w:ascii="黑体" w:hAnsi="黑体" w:eastAsia="黑体" w:cs="黑体"/>
                <w:i w:val="0"/>
                <w:iCs w:val="0"/>
                <w:color w:val="000000"/>
                <w:sz w:val="18"/>
                <w:szCs w:val="18"/>
                <w:highlight w:val="none"/>
                <w:u w:val="none"/>
                <w:lang w:val="en-US"/>
              </w:rPr>
            </w:pPr>
            <w:r>
              <w:rPr>
                <w:rFonts w:hint="eastAsia" w:ascii="黑体" w:hAnsi="黑体" w:eastAsia="黑体" w:cs="黑体"/>
                <w:i w:val="0"/>
                <w:iCs w:val="0"/>
                <w:color w:val="000000"/>
                <w:kern w:val="0"/>
                <w:sz w:val="18"/>
                <w:szCs w:val="18"/>
                <w:highlight w:val="none"/>
                <w:u w:val="none"/>
                <w:lang w:val="en-US" w:eastAsia="zh-CN" w:bidi="ar"/>
              </w:rPr>
              <w:t>项目负责人：冯毅</w:t>
            </w:r>
          </w:p>
        </w:tc>
        <w:tc>
          <w:tcPr>
            <w:tcW w:w="25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14B550">
            <w:pPr>
              <w:keepNext w:val="0"/>
              <w:keepLines w:val="0"/>
              <w:widowControl/>
              <w:suppressLineNumbers w:val="0"/>
              <w:jc w:val="left"/>
              <w:textAlignment w:val="center"/>
              <w:rPr>
                <w:rFonts w:hint="default" w:ascii="黑体" w:hAnsi="黑体" w:eastAsia="黑体" w:cs="黑体"/>
                <w:i w:val="0"/>
                <w:iCs w:val="0"/>
                <w:color w:val="000000"/>
                <w:sz w:val="18"/>
                <w:szCs w:val="18"/>
                <w:highlight w:val="none"/>
                <w:u w:val="none"/>
                <w:lang w:val="en-US"/>
              </w:rPr>
            </w:pPr>
            <w:r>
              <w:rPr>
                <w:rFonts w:hint="eastAsia" w:ascii="黑体" w:hAnsi="黑体" w:eastAsia="黑体" w:cs="黑体"/>
                <w:i w:val="0"/>
                <w:iCs w:val="0"/>
                <w:color w:val="000000"/>
                <w:kern w:val="0"/>
                <w:sz w:val="18"/>
                <w:szCs w:val="18"/>
                <w:highlight w:val="none"/>
                <w:u w:val="none"/>
                <w:lang w:val="en-US" w:eastAsia="zh-CN" w:bidi="ar"/>
              </w:rPr>
              <w:t>财务负责人：向双玉</w:t>
            </w:r>
          </w:p>
        </w:tc>
      </w:tr>
      <w:tr w14:paraId="0874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 w:type="pct"/>
            <w:tcBorders>
              <w:top w:val="nil"/>
              <w:left w:val="nil"/>
              <w:bottom w:val="nil"/>
              <w:right w:val="nil"/>
            </w:tcBorders>
            <w:shd w:val="clear" w:color="auto" w:fill="auto"/>
            <w:vAlign w:val="center"/>
          </w:tcPr>
          <w:p w14:paraId="2F1F26E2">
            <w:pPr>
              <w:rPr>
                <w:rFonts w:hint="eastAsia" w:ascii="宋体" w:hAnsi="宋体" w:eastAsia="宋体" w:cs="宋体"/>
                <w:i w:val="0"/>
                <w:iCs w:val="0"/>
                <w:color w:val="000000"/>
                <w:sz w:val="18"/>
                <w:szCs w:val="18"/>
                <w:u w:val="none"/>
              </w:rPr>
            </w:pPr>
          </w:p>
        </w:tc>
        <w:tc>
          <w:tcPr>
            <w:tcW w:w="611" w:type="pct"/>
            <w:tcBorders>
              <w:top w:val="nil"/>
              <w:left w:val="nil"/>
              <w:bottom w:val="nil"/>
              <w:right w:val="nil"/>
            </w:tcBorders>
            <w:shd w:val="clear" w:color="auto" w:fill="auto"/>
            <w:vAlign w:val="center"/>
          </w:tcPr>
          <w:p w14:paraId="6E623500">
            <w:pPr>
              <w:rPr>
                <w:rFonts w:hint="eastAsia" w:ascii="宋体" w:hAnsi="宋体" w:eastAsia="宋体" w:cs="宋体"/>
                <w:i w:val="0"/>
                <w:iCs w:val="0"/>
                <w:color w:val="000000"/>
                <w:sz w:val="18"/>
                <w:szCs w:val="18"/>
                <w:u w:val="none"/>
              </w:rPr>
            </w:pPr>
          </w:p>
        </w:tc>
        <w:tc>
          <w:tcPr>
            <w:tcW w:w="511" w:type="pct"/>
            <w:tcBorders>
              <w:top w:val="nil"/>
              <w:left w:val="nil"/>
              <w:bottom w:val="nil"/>
              <w:right w:val="nil"/>
            </w:tcBorders>
            <w:shd w:val="clear" w:color="auto" w:fill="auto"/>
            <w:vAlign w:val="center"/>
          </w:tcPr>
          <w:p w14:paraId="15C52380">
            <w:pPr>
              <w:rPr>
                <w:rFonts w:hint="eastAsia" w:ascii="宋体" w:hAnsi="宋体" w:eastAsia="宋体" w:cs="宋体"/>
                <w:i w:val="0"/>
                <w:iCs w:val="0"/>
                <w:color w:val="000000"/>
                <w:sz w:val="18"/>
                <w:szCs w:val="18"/>
                <w:u w:val="none"/>
              </w:rPr>
            </w:pPr>
          </w:p>
        </w:tc>
        <w:tc>
          <w:tcPr>
            <w:tcW w:w="711" w:type="pct"/>
            <w:tcBorders>
              <w:top w:val="nil"/>
              <w:left w:val="nil"/>
              <w:bottom w:val="nil"/>
              <w:right w:val="nil"/>
            </w:tcBorders>
            <w:shd w:val="clear" w:color="auto" w:fill="auto"/>
            <w:vAlign w:val="center"/>
          </w:tcPr>
          <w:p w14:paraId="04E6E844">
            <w:pPr>
              <w:rPr>
                <w:rFonts w:hint="eastAsia" w:ascii="宋体" w:hAnsi="宋体" w:eastAsia="宋体" w:cs="宋体"/>
                <w:i w:val="0"/>
                <w:iCs w:val="0"/>
                <w:color w:val="000000"/>
                <w:sz w:val="18"/>
                <w:szCs w:val="18"/>
                <w:u w:val="none"/>
              </w:rPr>
            </w:pPr>
          </w:p>
        </w:tc>
        <w:tc>
          <w:tcPr>
            <w:tcW w:w="248" w:type="pct"/>
            <w:tcBorders>
              <w:top w:val="nil"/>
              <w:left w:val="nil"/>
              <w:bottom w:val="nil"/>
              <w:right w:val="nil"/>
            </w:tcBorders>
            <w:shd w:val="clear" w:color="auto" w:fill="auto"/>
            <w:vAlign w:val="center"/>
          </w:tcPr>
          <w:p w14:paraId="64946A69">
            <w:pPr>
              <w:rPr>
                <w:rFonts w:hint="eastAsia" w:ascii="宋体" w:hAnsi="宋体" w:eastAsia="宋体" w:cs="宋体"/>
                <w:i w:val="0"/>
                <w:iCs w:val="0"/>
                <w:color w:val="000000"/>
                <w:sz w:val="18"/>
                <w:szCs w:val="18"/>
                <w:u w:val="none"/>
              </w:rPr>
            </w:pPr>
          </w:p>
        </w:tc>
        <w:tc>
          <w:tcPr>
            <w:tcW w:w="464" w:type="pct"/>
            <w:tcBorders>
              <w:top w:val="nil"/>
              <w:left w:val="nil"/>
              <w:bottom w:val="nil"/>
              <w:right w:val="nil"/>
            </w:tcBorders>
            <w:shd w:val="clear" w:color="auto" w:fill="auto"/>
            <w:vAlign w:val="center"/>
          </w:tcPr>
          <w:p w14:paraId="0FC047F1">
            <w:pPr>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2E4B49B1">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6C5A68DC">
            <w:pPr>
              <w:rPr>
                <w:rFonts w:hint="eastAsia" w:ascii="宋体" w:hAnsi="宋体" w:eastAsia="宋体" w:cs="宋体"/>
                <w:i w:val="0"/>
                <w:iCs w:val="0"/>
                <w:color w:val="000000"/>
                <w:sz w:val="18"/>
                <w:szCs w:val="18"/>
                <w:u w:val="none"/>
              </w:rPr>
            </w:pPr>
          </w:p>
        </w:tc>
        <w:tc>
          <w:tcPr>
            <w:tcW w:w="287" w:type="pct"/>
            <w:tcBorders>
              <w:top w:val="nil"/>
              <w:left w:val="nil"/>
              <w:bottom w:val="nil"/>
              <w:right w:val="nil"/>
            </w:tcBorders>
            <w:shd w:val="clear" w:color="auto" w:fill="auto"/>
            <w:vAlign w:val="center"/>
          </w:tcPr>
          <w:p w14:paraId="4F70D47E">
            <w:pPr>
              <w:rPr>
                <w:rFonts w:hint="eastAsia" w:ascii="宋体" w:hAnsi="宋体" w:eastAsia="宋体" w:cs="宋体"/>
                <w:i w:val="0"/>
                <w:iCs w:val="0"/>
                <w:color w:val="000000"/>
                <w:sz w:val="18"/>
                <w:szCs w:val="18"/>
                <w:u w:val="none"/>
              </w:rPr>
            </w:pPr>
          </w:p>
        </w:tc>
        <w:tc>
          <w:tcPr>
            <w:tcW w:w="287" w:type="pct"/>
            <w:tcBorders>
              <w:top w:val="nil"/>
              <w:left w:val="nil"/>
              <w:bottom w:val="nil"/>
              <w:right w:val="nil"/>
            </w:tcBorders>
            <w:shd w:val="clear" w:color="auto" w:fill="auto"/>
            <w:vAlign w:val="center"/>
          </w:tcPr>
          <w:p w14:paraId="44BA44B3">
            <w:pPr>
              <w:rPr>
                <w:rFonts w:hint="eastAsia" w:ascii="宋体" w:hAnsi="宋体" w:eastAsia="宋体" w:cs="宋体"/>
                <w:i w:val="0"/>
                <w:iCs w:val="0"/>
                <w:color w:val="000000"/>
                <w:sz w:val="18"/>
                <w:szCs w:val="18"/>
                <w:u w:val="none"/>
              </w:rPr>
            </w:pPr>
          </w:p>
        </w:tc>
        <w:tc>
          <w:tcPr>
            <w:tcW w:w="803" w:type="pct"/>
            <w:tcBorders>
              <w:top w:val="nil"/>
              <w:left w:val="nil"/>
              <w:bottom w:val="nil"/>
              <w:right w:val="nil"/>
            </w:tcBorders>
            <w:shd w:val="clear" w:color="auto" w:fill="auto"/>
            <w:vAlign w:val="center"/>
          </w:tcPr>
          <w:p w14:paraId="4F47452B">
            <w:pPr>
              <w:rPr>
                <w:rFonts w:hint="eastAsia" w:ascii="宋体" w:hAnsi="宋体" w:eastAsia="宋体" w:cs="宋体"/>
                <w:i w:val="0"/>
                <w:iCs w:val="0"/>
                <w:color w:val="000000"/>
                <w:sz w:val="18"/>
                <w:szCs w:val="18"/>
                <w:u w:val="none"/>
              </w:rPr>
            </w:pPr>
          </w:p>
        </w:tc>
      </w:tr>
      <w:tr w14:paraId="59C8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 w:type="pct"/>
            <w:tcBorders>
              <w:top w:val="nil"/>
              <w:left w:val="nil"/>
              <w:bottom w:val="nil"/>
              <w:right w:val="nil"/>
            </w:tcBorders>
            <w:shd w:val="clear" w:color="auto" w:fill="auto"/>
            <w:vAlign w:val="center"/>
          </w:tcPr>
          <w:p w14:paraId="13220CCC">
            <w:pPr>
              <w:rPr>
                <w:rFonts w:hint="eastAsia" w:ascii="宋体" w:hAnsi="宋体" w:eastAsia="宋体" w:cs="宋体"/>
                <w:i w:val="0"/>
                <w:iCs w:val="0"/>
                <w:color w:val="000000"/>
                <w:sz w:val="18"/>
                <w:szCs w:val="18"/>
                <w:u w:val="none"/>
              </w:rPr>
            </w:pPr>
          </w:p>
        </w:tc>
        <w:tc>
          <w:tcPr>
            <w:tcW w:w="611" w:type="pct"/>
            <w:tcBorders>
              <w:top w:val="nil"/>
              <w:left w:val="nil"/>
              <w:bottom w:val="nil"/>
              <w:right w:val="nil"/>
            </w:tcBorders>
            <w:shd w:val="clear" w:color="auto" w:fill="auto"/>
            <w:vAlign w:val="center"/>
          </w:tcPr>
          <w:p w14:paraId="3C211E5A">
            <w:pPr>
              <w:rPr>
                <w:rFonts w:hint="eastAsia" w:ascii="宋体" w:hAnsi="宋体" w:eastAsia="宋体" w:cs="宋体"/>
                <w:i w:val="0"/>
                <w:iCs w:val="0"/>
                <w:color w:val="000000"/>
                <w:sz w:val="18"/>
                <w:szCs w:val="18"/>
                <w:u w:val="none"/>
              </w:rPr>
            </w:pPr>
          </w:p>
        </w:tc>
        <w:tc>
          <w:tcPr>
            <w:tcW w:w="511" w:type="pct"/>
            <w:tcBorders>
              <w:top w:val="nil"/>
              <w:left w:val="nil"/>
              <w:bottom w:val="nil"/>
              <w:right w:val="nil"/>
            </w:tcBorders>
            <w:shd w:val="clear" w:color="auto" w:fill="auto"/>
            <w:vAlign w:val="center"/>
          </w:tcPr>
          <w:p w14:paraId="0874C47A">
            <w:pPr>
              <w:rPr>
                <w:rFonts w:hint="eastAsia" w:ascii="宋体" w:hAnsi="宋体" w:eastAsia="宋体" w:cs="宋体"/>
                <w:i w:val="0"/>
                <w:iCs w:val="0"/>
                <w:color w:val="000000"/>
                <w:sz w:val="18"/>
                <w:szCs w:val="18"/>
                <w:u w:val="none"/>
              </w:rPr>
            </w:pPr>
          </w:p>
        </w:tc>
        <w:tc>
          <w:tcPr>
            <w:tcW w:w="711" w:type="pct"/>
            <w:tcBorders>
              <w:top w:val="nil"/>
              <w:left w:val="nil"/>
              <w:bottom w:val="nil"/>
              <w:right w:val="nil"/>
            </w:tcBorders>
            <w:shd w:val="clear" w:color="auto" w:fill="auto"/>
            <w:vAlign w:val="center"/>
          </w:tcPr>
          <w:p w14:paraId="473FB7EA">
            <w:pPr>
              <w:rPr>
                <w:rFonts w:hint="eastAsia" w:ascii="宋体" w:hAnsi="宋体" w:eastAsia="宋体" w:cs="宋体"/>
                <w:i w:val="0"/>
                <w:iCs w:val="0"/>
                <w:color w:val="000000"/>
                <w:sz w:val="18"/>
                <w:szCs w:val="18"/>
                <w:u w:val="none"/>
              </w:rPr>
            </w:pPr>
          </w:p>
        </w:tc>
        <w:tc>
          <w:tcPr>
            <w:tcW w:w="248" w:type="pct"/>
            <w:tcBorders>
              <w:top w:val="nil"/>
              <w:left w:val="nil"/>
              <w:bottom w:val="nil"/>
              <w:right w:val="nil"/>
            </w:tcBorders>
            <w:shd w:val="clear" w:color="auto" w:fill="auto"/>
            <w:vAlign w:val="center"/>
          </w:tcPr>
          <w:p w14:paraId="0A971B2C">
            <w:pPr>
              <w:rPr>
                <w:rFonts w:hint="eastAsia" w:ascii="宋体" w:hAnsi="宋体" w:eastAsia="宋体" w:cs="宋体"/>
                <w:i w:val="0"/>
                <w:iCs w:val="0"/>
                <w:color w:val="000000"/>
                <w:sz w:val="18"/>
                <w:szCs w:val="18"/>
                <w:u w:val="none"/>
              </w:rPr>
            </w:pPr>
          </w:p>
        </w:tc>
        <w:tc>
          <w:tcPr>
            <w:tcW w:w="464" w:type="pct"/>
            <w:tcBorders>
              <w:top w:val="nil"/>
              <w:left w:val="nil"/>
              <w:bottom w:val="nil"/>
              <w:right w:val="nil"/>
            </w:tcBorders>
            <w:shd w:val="clear" w:color="auto" w:fill="auto"/>
            <w:vAlign w:val="center"/>
          </w:tcPr>
          <w:p w14:paraId="6D636DFB">
            <w:pPr>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739BC923">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20082DA9">
            <w:pPr>
              <w:rPr>
                <w:rFonts w:hint="eastAsia" w:ascii="宋体" w:hAnsi="宋体" w:eastAsia="宋体" w:cs="宋体"/>
                <w:i w:val="0"/>
                <w:iCs w:val="0"/>
                <w:color w:val="000000"/>
                <w:sz w:val="18"/>
                <w:szCs w:val="18"/>
                <w:u w:val="none"/>
              </w:rPr>
            </w:pPr>
          </w:p>
        </w:tc>
        <w:tc>
          <w:tcPr>
            <w:tcW w:w="287" w:type="pct"/>
            <w:tcBorders>
              <w:top w:val="nil"/>
              <w:left w:val="nil"/>
              <w:bottom w:val="nil"/>
              <w:right w:val="nil"/>
            </w:tcBorders>
            <w:shd w:val="clear" w:color="auto" w:fill="auto"/>
            <w:vAlign w:val="center"/>
          </w:tcPr>
          <w:p w14:paraId="47D166EC">
            <w:pPr>
              <w:rPr>
                <w:rFonts w:hint="eastAsia" w:ascii="宋体" w:hAnsi="宋体" w:eastAsia="宋体" w:cs="宋体"/>
                <w:i w:val="0"/>
                <w:iCs w:val="0"/>
                <w:color w:val="000000"/>
                <w:sz w:val="18"/>
                <w:szCs w:val="18"/>
                <w:u w:val="none"/>
              </w:rPr>
            </w:pPr>
          </w:p>
        </w:tc>
        <w:tc>
          <w:tcPr>
            <w:tcW w:w="287" w:type="pct"/>
            <w:tcBorders>
              <w:top w:val="nil"/>
              <w:left w:val="nil"/>
              <w:bottom w:val="nil"/>
              <w:right w:val="nil"/>
            </w:tcBorders>
            <w:shd w:val="clear" w:color="auto" w:fill="auto"/>
            <w:vAlign w:val="center"/>
          </w:tcPr>
          <w:p w14:paraId="1AF6E798">
            <w:pPr>
              <w:rPr>
                <w:rFonts w:hint="eastAsia" w:ascii="宋体" w:hAnsi="宋体" w:eastAsia="宋体" w:cs="宋体"/>
                <w:i w:val="0"/>
                <w:iCs w:val="0"/>
                <w:color w:val="000000"/>
                <w:sz w:val="18"/>
                <w:szCs w:val="18"/>
                <w:u w:val="none"/>
              </w:rPr>
            </w:pPr>
          </w:p>
        </w:tc>
        <w:tc>
          <w:tcPr>
            <w:tcW w:w="803" w:type="pct"/>
            <w:tcBorders>
              <w:top w:val="nil"/>
              <w:left w:val="nil"/>
              <w:bottom w:val="nil"/>
              <w:right w:val="nil"/>
            </w:tcBorders>
            <w:shd w:val="clear" w:color="auto" w:fill="auto"/>
            <w:vAlign w:val="center"/>
          </w:tcPr>
          <w:p w14:paraId="789DCFF8">
            <w:pPr>
              <w:rPr>
                <w:rFonts w:hint="eastAsia" w:ascii="宋体" w:hAnsi="宋体" w:eastAsia="宋体" w:cs="宋体"/>
                <w:i w:val="0"/>
                <w:iCs w:val="0"/>
                <w:color w:val="000000"/>
                <w:sz w:val="18"/>
                <w:szCs w:val="18"/>
                <w:u w:val="none"/>
              </w:rPr>
            </w:pPr>
          </w:p>
        </w:tc>
      </w:tr>
      <w:tr w14:paraId="2CE6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 w:type="pct"/>
            <w:tcBorders>
              <w:top w:val="nil"/>
              <w:left w:val="nil"/>
              <w:bottom w:val="nil"/>
              <w:right w:val="nil"/>
            </w:tcBorders>
            <w:shd w:val="clear" w:color="auto" w:fill="auto"/>
            <w:vAlign w:val="center"/>
          </w:tcPr>
          <w:p w14:paraId="35B6DFF4">
            <w:pPr>
              <w:rPr>
                <w:rFonts w:hint="eastAsia" w:ascii="宋体" w:hAnsi="宋体" w:eastAsia="宋体" w:cs="宋体"/>
                <w:i w:val="0"/>
                <w:iCs w:val="0"/>
                <w:color w:val="000000"/>
                <w:sz w:val="18"/>
                <w:szCs w:val="18"/>
                <w:u w:val="none"/>
              </w:rPr>
            </w:pPr>
          </w:p>
        </w:tc>
        <w:tc>
          <w:tcPr>
            <w:tcW w:w="611" w:type="pct"/>
            <w:tcBorders>
              <w:top w:val="nil"/>
              <w:left w:val="nil"/>
              <w:bottom w:val="nil"/>
              <w:right w:val="nil"/>
            </w:tcBorders>
            <w:shd w:val="clear" w:color="auto" w:fill="auto"/>
            <w:vAlign w:val="center"/>
          </w:tcPr>
          <w:p w14:paraId="7DB3F8D7">
            <w:pPr>
              <w:rPr>
                <w:rFonts w:hint="eastAsia" w:ascii="宋体" w:hAnsi="宋体" w:eastAsia="宋体" w:cs="宋体"/>
                <w:i w:val="0"/>
                <w:iCs w:val="0"/>
                <w:color w:val="000000"/>
                <w:sz w:val="18"/>
                <w:szCs w:val="18"/>
                <w:u w:val="none"/>
              </w:rPr>
            </w:pPr>
          </w:p>
        </w:tc>
        <w:tc>
          <w:tcPr>
            <w:tcW w:w="511" w:type="pct"/>
            <w:tcBorders>
              <w:top w:val="nil"/>
              <w:left w:val="nil"/>
              <w:bottom w:val="nil"/>
              <w:right w:val="nil"/>
            </w:tcBorders>
            <w:shd w:val="clear" w:color="auto" w:fill="auto"/>
            <w:vAlign w:val="center"/>
          </w:tcPr>
          <w:p w14:paraId="309D927E">
            <w:pPr>
              <w:rPr>
                <w:rFonts w:hint="eastAsia" w:ascii="宋体" w:hAnsi="宋体" w:eastAsia="宋体" w:cs="宋体"/>
                <w:i w:val="0"/>
                <w:iCs w:val="0"/>
                <w:color w:val="000000"/>
                <w:sz w:val="18"/>
                <w:szCs w:val="18"/>
                <w:u w:val="none"/>
              </w:rPr>
            </w:pPr>
          </w:p>
        </w:tc>
        <w:tc>
          <w:tcPr>
            <w:tcW w:w="711" w:type="pct"/>
            <w:tcBorders>
              <w:top w:val="nil"/>
              <w:left w:val="nil"/>
              <w:bottom w:val="nil"/>
              <w:right w:val="nil"/>
            </w:tcBorders>
            <w:shd w:val="clear" w:color="auto" w:fill="auto"/>
            <w:vAlign w:val="center"/>
          </w:tcPr>
          <w:p w14:paraId="14A45E91">
            <w:pPr>
              <w:rPr>
                <w:rFonts w:hint="eastAsia" w:ascii="宋体" w:hAnsi="宋体" w:eastAsia="宋体" w:cs="宋体"/>
                <w:i w:val="0"/>
                <w:iCs w:val="0"/>
                <w:color w:val="000000"/>
                <w:sz w:val="18"/>
                <w:szCs w:val="18"/>
                <w:u w:val="none"/>
              </w:rPr>
            </w:pPr>
          </w:p>
        </w:tc>
        <w:tc>
          <w:tcPr>
            <w:tcW w:w="248" w:type="pct"/>
            <w:tcBorders>
              <w:top w:val="nil"/>
              <w:left w:val="nil"/>
              <w:bottom w:val="nil"/>
              <w:right w:val="nil"/>
            </w:tcBorders>
            <w:shd w:val="clear" w:color="auto" w:fill="auto"/>
            <w:vAlign w:val="center"/>
          </w:tcPr>
          <w:p w14:paraId="721FC2E7">
            <w:pPr>
              <w:rPr>
                <w:rFonts w:hint="eastAsia" w:ascii="宋体" w:hAnsi="宋体" w:eastAsia="宋体" w:cs="宋体"/>
                <w:i w:val="0"/>
                <w:iCs w:val="0"/>
                <w:color w:val="000000"/>
                <w:sz w:val="18"/>
                <w:szCs w:val="18"/>
                <w:u w:val="none"/>
              </w:rPr>
            </w:pPr>
          </w:p>
        </w:tc>
        <w:tc>
          <w:tcPr>
            <w:tcW w:w="464" w:type="pct"/>
            <w:tcBorders>
              <w:top w:val="nil"/>
              <w:left w:val="nil"/>
              <w:bottom w:val="nil"/>
              <w:right w:val="nil"/>
            </w:tcBorders>
            <w:shd w:val="clear" w:color="auto" w:fill="auto"/>
            <w:vAlign w:val="center"/>
          </w:tcPr>
          <w:p w14:paraId="45238EA6">
            <w:pPr>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2E3B8803">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6477E1AF">
            <w:pPr>
              <w:rPr>
                <w:rFonts w:hint="eastAsia" w:ascii="宋体" w:hAnsi="宋体" w:eastAsia="宋体" w:cs="宋体"/>
                <w:i w:val="0"/>
                <w:iCs w:val="0"/>
                <w:color w:val="000000"/>
                <w:sz w:val="18"/>
                <w:szCs w:val="18"/>
                <w:u w:val="none"/>
              </w:rPr>
            </w:pPr>
          </w:p>
        </w:tc>
        <w:tc>
          <w:tcPr>
            <w:tcW w:w="287" w:type="pct"/>
            <w:tcBorders>
              <w:top w:val="nil"/>
              <w:left w:val="nil"/>
              <w:bottom w:val="nil"/>
              <w:right w:val="nil"/>
            </w:tcBorders>
            <w:shd w:val="clear" w:color="auto" w:fill="auto"/>
            <w:vAlign w:val="center"/>
          </w:tcPr>
          <w:p w14:paraId="0F353A25">
            <w:pPr>
              <w:rPr>
                <w:rFonts w:hint="eastAsia" w:ascii="宋体" w:hAnsi="宋体" w:eastAsia="宋体" w:cs="宋体"/>
                <w:i w:val="0"/>
                <w:iCs w:val="0"/>
                <w:color w:val="000000"/>
                <w:sz w:val="18"/>
                <w:szCs w:val="18"/>
                <w:u w:val="none"/>
              </w:rPr>
            </w:pPr>
          </w:p>
        </w:tc>
        <w:tc>
          <w:tcPr>
            <w:tcW w:w="287" w:type="pct"/>
            <w:tcBorders>
              <w:top w:val="nil"/>
              <w:left w:val="nil"/>
              <w:bottom w:val="nil"/>
              <w:right w:val="nil"/>
            </w:tcBorders>
            <w:shd w:val="clear" w:color="auto" w:fill="auto"/>
            <w:vAlign w:val="center"/>
          </w:tcPr>
          <w:p w14:paraId="6DBA94E6">
            <w:pPr>
              <w:rPr>
                <w:rFonts w:hint="eastAsia" w:ascii="宋体" w:hAnsi="宋体" w:eastAsia="宋体" w:cs="宋体"/>
                <w:i w:val="0"/>
                <w:iCs w:val="0"/>
                <w:color w:val="000000"/>
                <w:sz w:val="18"/>
                <w:szCs w:val="18"/>
                <w:u w:val="none"/>
              </w:rPr>
            </w:pPr>
          </w:p>
        </w:tc>
        <w:tc>
          <w:tcPr>
            <w:tcW w:w="803" w:type="pct"/>
            <w:tcBorders>
              <w:top w:val="nil"/>
              <w:left w:val="nil"/>
              <w:bottom w:val="nil"/>
              <w:right w:val="nil"/>
            </w:tcBorders>
            <w:shd w:val="clear" w:color="auto" w:fill="auto"/>
            <w:vAlign w:val="center"/>
          </w:tcPr>
          <w:p w14:paraId="3A410D83">
            <w:pPr>
              <w:rPr>
                <w:rFonts w:hint="eastAsia" w:ascii="宋体" w:hAnsi="宋体" w:eastAsia="宋体" w:cs="宋体"/>
                <w:i w:val="0"/>
                <w:iCs w:val="0"/>
                <w:color w:val="000000"/>
                <w:sz w:val="18"/>
                <w:szCs w:val="18"/>
                <w:u w:val="none"/>
              </w:rPr>
            </w:pPr>
          </w:p>
        </w:tc>
      </w:tr>
      <w:tr w14:paraId="382B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3996B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B03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A37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5B16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51090423T000008968408-2023年中省财政衔接推进乡村振兴补助资金</w:t>
            </w:r>
          </w:p>
        </w:tc>
      </w:tr>
      <w:tr w14:paraId="0C60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D39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F467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遂宁市安居区就业服务管理局部门</w:t>
            </w:r>
          </w:p>
        </w:tc>
        <w:tc>
          <w:tcPr>
            <w:tcW w:w="501" w:type="pct"/>
            <w:tcBorders>
              <w:top w:val="nil"/>
              <w:left w:val="nil"/>
              <w:bottom w:val="nil"/>
              <w:right w:val="nil"/>
            </w:tcBorders>
            <w:shd w:val="clear" w:color="auto" w:fill="auto"/>
            <w:vAlign w:val="center"/>
          </w:tcPr>
          <w:p w14:paraId="1B2DED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12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遂宁市安居区就业服务管理局</w:t>
            </w:r>
          </w:p>
        </w:tc>
      </w:tr>
      <w:tr w14:paraId="2D5E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D0B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5AF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162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D991F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305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8ABD4">
            <w:pP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B39F1">
            <w:pPr>
              <w:rPr>
                <w:rFonts w:hint="eastAsia" w:ascii="宋体" w:hAnsi="宋体" w:eastAsia="宋体" w:cs="宋体"/>
                <w:i w:val="0"/>
                <w:iCs w:val="0"/>
                <w:color w:val="000000"/>
                <w:sz w:val="18"/>
                <w:szCs w:val="18"/>
                <w:u w:val="none"/>
              </w:rPr>
            </w:pP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6B65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促进城镇新增就业、失业人员再就业、就业困难人员再就业</w:t>
            </w:r>
          </w:p>
        </w:tc>
        <w:tc>
          <w:tcPr>
            <w:tcW w:w="18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068C4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严格执行相关政策，足额按时支付、预算编制科学合理，无结余资金。</w:t>
            </w:r>
          </w:p>
        </w:tc>
      </w:tr>
      <w:tr w14:paraId="3795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2418C">
            <w:pPr>
              <w:rPr>
                <w:rFonts w:hint="eastAsia" w:ascii="宋体" w:hAnsi="宋体" w:eastAsia="宋体" w:cs="宋体"/>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4F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F681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严格执行相关政策，足额按时支付、预算编制科学合理，无结余资金。</w:t>
            </w:r>
          </w:p>
        </w:tc>
      </w:tr>
      <w:tr w14:paraId="6467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25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1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27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8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61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22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D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C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30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B87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2CBDB">
            <w:pPr>
              <w:jc w:val="center"/>
              <w:rPr>
                <w:rFonts w:hint="eastAsia" w:ascii="宋体" w:hAnsi="宋体" w:eastAsia="宋体" w:cs="宋体"/>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C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1D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659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1121.75</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F45F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1121.75</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1F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98.68%</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FD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C5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CF03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188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0208D">
            <w:pPr>
              <w:jc w:val="center"/>
              <w:rPr>
                <w:rFonts w:hint="eastAsia" w:ascii="宋体" w:hAnsi="宋体" w:eastAsia="宋体" w:cs="宋体"/>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6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C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A2F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1121.75</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F6BC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1121.75</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5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98.68%</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C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5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16583">
            <w:pPr>
              <w:rPr>
                <w:rFonts w:hint="eastAsia" w:ascii="黑体" w:hAnsi="黑体" w:eastAsia="黑体" w:cs="黑体"/>
                <w:i/>
                <w:iCs/>
                <w:color w:val="000000"/>
                <w:sz w:val="18"/>
                <w:szCs w:val="18"/>
                <w:u w:val="none"/>
              </w:rPr>
            </w:pPr>
          </w:p>
        </w:tc>
      </w:tr>
      <w:tr w14:paraId="7F06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82684">
            <w:pPr>
              <w:jc w:val="center"/>
              <w:rPr>
                <w:rFonts w:hint="eastAsia" w:ascii="宋体" w:hAnsi="宋体" w:eastAsia="宋体" w:cs="宋体"/>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3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C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CF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74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A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9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F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9E9F6">
            <w:pPr>
              <w:rPr>
                <w:rFonts w:hint="eastAsia" w:ascii="黑体" w:hAnsi="黑体" w:eastAsia="黑体" w:cs="黑体"/>
                <w:i/>
                <w:iCs/>
                <w:color w:val="000000"/>
                <w:sz w:val="18"/>
                <w:szCs w:val="18"/>
                <w:u w:val="none"/>
              </w:rPr>
            </w:pPr>
          </w:p>
        </w:tc>
      </w:tr>
      <w:tr w14:paraId="1CEFB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D33FE">
            <w:pPr>
              <w:jc w:val="center"/>
              <w:rPr>
                <w:rFonts w:hint="eastAsia" w:ascii="宋体" w:hAnsi="宋体" w:eastAsia="宋体" w:cs="宋体"/>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2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F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0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A2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2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A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6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2C38D">
            <w:pPr>
              <w:rPr>
                <w:rFonts w:hint="eastAsia" w:ascii="黑体" w:hAnsi="黑体" w:eastAsia="黑体" w:cs="黑体"/>
                <w:i/>
                <w:iCs/>
                <w:color w:val="000000"/>
                <w:sz w:val="18"/>
                <w:szCs w:val="18"/>
                <w:u w:val="none"/>
              </w:rPr>
            </w:pPr>
          </w:p>
        </w:tc>
      </w:tr>
      <w:tr w14:paraId="7C1C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D59D0">
            <w:pPr>
              <w:jc w:val="center"/>
              <w:rPr>
                <w:rFonts w:hint="eastAsia" w:ascii="宋体" w:hAnsi="宋体" w:eastAsia="宋体" w:cs="宋体"/>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6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182F">
            <w:pPr>
              <w:jc w:val="center"/>
              <w:rPr>
                <w:rFonts w:hint="eastAsia" w:ascii="微软雅黑" w:hAnsi="微软雅黑" w:eastAsia="微软雅黑" w:cs="微软雅黑"/>
                <w:i/>
                <w:iCs/>
                <w:color w:val="000000"/>
                <w:sz w:val="16"/>
                <w:szCs w:val="16"/>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DFCD">
            <w:pPr>
              <w:jc w:val="center"/>
              <w:rPr>
                <w:rFonts w:hint="eastAsia" w:ascii="微软雅黑" w:hAnsi="微软雅黑" w:eastAsia="微软雅黑" w:cs="微软雅黑"/>
                <w:i/>
                <w:iCs/>
                <w:color w:val="000000"/>
                <w:sz w:val="16"/>
                <w:szCs w:val="16"/>
                <w:u w:val="none"/>
              </w:rPr>
            </w:pPr>
          </w:p>
        </w:tc>
        <w:tc>
          <w:tcPr>
            <w:tcW w:w="9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CB6C4">
            <w:pPr>
              <w:jc w:val="center"/>
              <w:rPr>
                <w:rFonts w:hint="eastAsia" w:ascii="微软雅黑" w:hAnsi="微软雅黑" w:eastAsia="微软雅黑" w:cs="微软雅黑"/>
                <w:i/>
                <w:iCs/>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A088D">
            <w:pPr>
              <w:jc w:val="center"/>
              <w:rPr>
                <w:rFonts w:hint="eastAsia" w:ascii="微软雅黑" w:hAnsi="微软雅黑" w:eastAsia="微软雅黑" w:cs="微软雅黑"/>
                <w:i/>
                <w:iCs/>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1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9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92DFF">
            <w:pPr>
              <w:rPr>
                <w:rFonts w:hint="eastAsia" w:ascii="黑体" w:hAnsi="黑体" w:eastAsia="黑体" w:cs="黑体"/>
                <w:i/>
                <w:iCs/>
                <w:color w:val="000000"/>
                <w:sz w:val="18"/>
                <w:szCs w:val="18"/>
                <w:u w:val="none"/>
              </w:rPr>
            </w:pPr>
          </w:p>
        </w:tc>
      </w:tr>
      <w:tr w14:paraId="54014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C3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2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A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86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3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D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3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A4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9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7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4C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9AB5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4AC9F">
            <w:pPr>
              <w:jc w:val="center"/>
              <w:rPr>
                <w:rFonts w:hint="eastAsia" w:ascii="宋体" w:hAnsi="宋体" w:eastAsia="宋体" w:cs="宋体"/>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31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5C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010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发放（缴纳）覆盖率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24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D3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8B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3855">
            <w:pPr>
              <w:jc w:val="center"/>
              <w:rPr>
                <w:rFonts w:hint="eastAsia" w:ascii="微软雅黑" w:hAnsi="微软雅黑" w:eastAsia="微软雅黑" w:cs="微软雅黑"/>
                <w:i/>
                <w:iCs/>
                <w:color w:val="000000"/>
                <w:kern w:val="2"/>
                <w:sz w:val="16"/>
                <w:szCs w:val="16"/>
                <w:u w:val="none"/>
                <w:lang w:val="en-US" w:eastAsia="zh-CN" w:bidi="ar-SA"/>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756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8A8F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40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BB7D">
            <w:pPr>
              <w:jc w:val="center"/>
              <w:rPr>
                <w:rFonts w:hint="eastAsia" w:ascii="宋体" w:hAnsi="宋体" w:eastAsia="宋体" w:cs="宋体"/>
                <w:i w:val="0"/>
                <w:iCs w:val="0"/>
                <w:color w:val="000000"/>
                <w:sz w:val="18"/>
                <w:szCs w:val="18"/>
                <w:u w:val="none"/>
              </w:rPr>
            </w:pPr>
          </w:p>
        </w:tc>
      </w:tr>
      <w:tr w14:paraId="75E0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099F4">
            <w:pPr>
              <w:jc w:val="center"/>
              <w:rPr>
                <w:rFonts w:hint="eastAsia" w:ascii="宋体" w:hAnsi="宋体" w:eastAsia="宋体" w:cs="宋体"/>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C68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效益指标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7B7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40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足额保障率（参保率）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DD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10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DD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9B1D5">
            <w:pPr>
              <w:jc w:val="center"/>
              <w:rPr>
                <w:rFonts w:hint="eastAsia" w:ascii="微软雅黑" w:hAnsi="微软雅黑" w:eastAsia="微软雅黑" w:cs="微软雅黑"/>
                <w:i/>
                <w:iCs/>
                <w:color w:val="000000"/>
                <w:kern w:val="2"/>
                <w:sz w:val="16"/>
                <w:szCs w:val="16"/>
                <w:u w:val="none"/>
                <w:lang w:val="en-US" w:eastAsia="zh-CN" w:bidi="ar-SA"/>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86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9B9A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7A2CD">
            <w:pPr>
              <w:jc w:val="center"/>
              <w:rPr>
                <w:rFonts w:hint="eastAsia" w:ascii="宋体" w:hAnsi="宋体" w:eastAsia="宋体" w:cs="宋体"/>
                <w:i w:val="0"/>
                <w:iCs w:val="0"/>
                <w:color w:val="000000"/>
                <w:sz w:val="18"/>
                <w:szCs w:val="18"/>
                <w:u w:val="none"/>
              </w:rPr>
            </w:pPr>
          </w:p>
        </w:tc>
      </w:tr>
      <w:tr w14:paraId="6B45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89B32">
            <w:pPr>
              <w:jc w:val="center"/>
              <w:rPr>
                <w:rFonts w:hint="eastAsia" w:ascii="宋体" w:hAnsi="宋体" w:eastAsia="宋体" w:cs="宋体"/>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01C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1374">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982AE">
            <w:pPr>
              <w:keepNext w:val="0"/>
              <w:keepLines w:val="0"/>
              <w:widowControl/>
              <w:suppressLineNumbers w:val="0"/>
              <w:tabs>
                <w:tab w:val="left" w:pos="441"/>
              </w:tabs>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ab/>
            </w:r>
            <w:r>
              <w:rPr>
                <w:rFonts w:hint="eastAsia" w:ascii="宋体" w:hAnsi="宋体" w:cs="宋体"/>
                <w:i w:val="0"/>
                <w:iCs w:val="0"/>
                <w:color w:val="000000"/>
                <w:kern w:val="0"/>
                <w:sz w:val="18"/>
                <w:szCs w:val="18"/>
                <w:highlight w:val="none"/>
                <w:u w:val="none"/>
                <w:lang w:val="en-US" w:eastAsia="zh-CN" w:bidi="ar"/>
              </w:rPr>
              <w:t>服务人员</w:t>
            </w:r>
            <w:r>
              <w:rPr>
                <w:rFonts w:hint="eastAsia" w:ascii="宋体" w:hAnsi="宋体" w:eastAsia="宋体" w:cs="宋体"/>
                <w:i w:val="0"/>
                <w:iCs w:val="0"/>
                <w:color w:val="000000"/>
                <w:kern w:val="0"/>
                <w:sz w:val="18"/>
                <w:szCs w:val="18"/>
                <w:highlight w:val="none"/>
                <w:u w:val="none"/>
                <w:lang w:val="en-US" w:eastAsia="zh-CN" w:bidi="ar"/>
              </w:rPr>
              <w:t>满意度</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C7D5">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54C0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100</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45A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6633">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C5DF">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7A40">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A916">
            <w:pPr>
              <w:jc w:val="center"/>
              <w:rPr>
                <w:rFonts w:hint="eastAsia" w:ascii="宋体" w:hAnsi="宋体" w:eastAsia="宋体" w:cs="宋体"/>
                <w:i w:val="0"/>
                <w:iCs w:val="0"/>
                <w:color w:val="000000"/>
                <w:sz w:val="18"/>
                <w:szCs w:val="18"/>
                <w:u w:val="none"/>
              </w:rPr>
            </w:pPr>
          </w:p>
        </w:tc>
      </w:tr>
      <w:tr w14:paraId="1C2AC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ECF7C">
            <w:pPr>
              <w:jc w:val="center"/>
              <w:rPr>
                <w:rFonts w:hint="eastAsia" w:ascii="宋体" w:hAnsi="宋体" w:eastAsia="宋体" w:cs="宋体"/>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CF24">
            <w:pPr>
              <w:jc w:val="center"/>
              <w:rPr>
                <w:rFonts w:hint="eastAsia" w:ascii="宋体" w:hAnsi="宋体" w:eastAsia="宋体" w:cs="宋体"/>
                <w:i w:val="0"/>
                <w:iCs w:val="0"/>
                <w:color w:val="000000"/>
                <w:sz w:val="18"/>
                <w:szCs w:val="18"/>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19A9">
            <w:pPr>
              <w:jc w:val="center"/>
              <w:rPr>
                <w:rFonts w:hint="eastAsia" w:ascii="宋体" w:hAnsi="宋体" w:eastAsia="宋体" w:cs="宋体"/>
                <w:i w:val="0"/>
                <w:iCs w:val="0"/>
                <w:color w:val="000000"/>
                <w:sz w:val="18"/>
                <w:szCs w:val="18"/>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9C10">
            <w:pPr>
              <w:jc w:val="center"/>
              <w:rPr>
                <w:rFonts w:hint="eastAsia" w:ascii="宋体" w:hAnsi="宋体" w:eastAsia="宋体" w:cs="宋体"/>
                <w:i w:val="0"/>
                <w:iCs w:val="0"/>
                <w:color w:val="000000"/>
                <w:sz w:val="18"/>
                <w:szCs w:val="18"/>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19451">
            <w:pPr>
              <w:jc w:val="center"/>
              <w:rPr>
                <w:rFonts w:hint="eastAsia" w:ascii="宋体" w:hAnsi="宋体" w:eastAsia="宋体" w:cs="宋体"/>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DCC8">
            <w:pPr>
              <w:jc w:val="center"/>
              <w:rPr>
                <w:rFonts w:hint="eastAsia" w:ascii="宋体" w:hAnsi="宋体" w:eastAsia="宋体" w:cs="宋体"/>
                <w:i w:val="0"/>
                <w:iCs w:val="0"/>
                <w:color w:val="000000"/>
                <w:sz w:val="18"/>
                <w:szCs w:val="18"/>
                <w:u w:val="none"/>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56A2">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D4784">
            <w:pPr>
              <w:jc w:val="center"/>
              <w:rPr>
                <w:rFonts w:hint="eastAsia" w:ascii="微软雅黑" w:hAnsi="微软雅黑" w:eastAsia="微软雅黑" w:cs="微软雅黑"/>
                <w:i/>
                <w:iCs/>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368A">
            <w:pPr>
              <w:jc w:val="center"/>
              <w:rPr>
                <w:rFonts w:hint="eastAsia" w:ascii="宋体" w:hAnsi="宋体" w:eastAsia="宋体" w:cs="宋体"/>
                <w:i w:val="0"/>
                <w:iCs w:val="0"/>
                <w:color w:val="000000"/>
                <w:sz w:val="18"/>
                <w:szCs w:val="18"/>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48FD">
            <w:pPr>
              <w:jc w:val="center"/>
              <w:rPr>
                <w:rFonts w:hint="eastAsia" w:ascii="宋体" w:hAnsi="宋体" w:eastAsia="宋体" w:cs="宋体"/>
                <w:i w:val="0"/>
                <w:iCs w:val="0"/>
                <w:color w:val="000000"/>
                <w:sz w:val="18"/>
                <w:szCs w:val="18"/>
                <w:u w:val="none"/>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9899">
            <w:pPr>
              <w:jc w:val="center"/>
              <w:rPr>
                <w:rFonts w:hint="eastAsia" w:ascii="微软雅黑" w:hAnsi="微软雅黑" w:eastAsia="微软雅黑" w:cs="微软雅黑"/>
                <w:i/>
                <w:iCs/>
                <w:color w:val="000000"/>
                <w:sz w:val="16"/>
                <w:szCs w:val="16"/>
                <w:u w:val="none"/>
              </w:rPr>
            </w:pPr>
          </w:p>
        </w:tc>
      </w:tr>
      <w:tr w14:paraId="737E0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2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B9A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BD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8476">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024D">
            <w:pPr>
              <w:rPr>
                <w:rFonts w:hint="eastAsia" w:ascii="宋体" w:hAnsi="宋体" w:eastAsia="宋体" w:cs="宋体"/>
                <w:i w:val="0"/>
                <w:iCs w:val="0"/>
                <w:color w:val="000000"/>
                <w:sz w:val="18"/>
                <w:szCs w:val="18"/>
                <w:u w:val="none"/>
              </w:rPr>
            </w:pPr>
          </w:p>
        </w:tc>
      </w:tr>
      <w:tr w14:paraId="3A5F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59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0BE51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严格执行相关政策，足额按时支付、预算编制科学合理，年末无结余资金。</w:t>
            </w:r>
          </w:p>
        </w:tc>
      </w:tr>
      <w:tr w14:paraId="63D9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D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EB9F7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BDE5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67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9996E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9A09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3A67EA">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项目负责人：向双玉</w:t>
            </w:r>
          </w:p>
        </w:tc>
        <w:tc>
          <w:tcPr>
            <w:tcW w:w="257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5DDEA3">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财务负责人：李琴</w:t>
            </w:r>
          </w:p>
        </w:tc>
      </w:tr>
      <w:tr w14:paraId="331AD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 w:type="pct"/>
            <w:tcBorders>
              <w:top w:val="nil"/>
              <w:left w:val="nil"/>
              <w:bottom w:val="nil"/>
              <w:right w:val="nil"/>
            </w:tcBorders>
            <w:shd w:val="clear" w:color="auto" w:fill="auto"/>
            <w:vAlign w:val="center"/>
          </w:tcPr>
          <w:p w14:paraId="2E5452A5">
            <w:pPr>
              <w:rPr>
                <w:rFonts w:hint="eastAsia" w:ascii="宋体" w:hAnsi="宋体" w:eastAsia="宋体" w:cs="宋体"/>
                <w:i w:val="0"/>
                <w:iCs w:val="0"/>
                <w:color w:val="000000"/>
                <w:sz w:val="18"/>
                <w:szCs w:val="18"/>
                <w:u w:val="none"/>
              </w:rPr>
            </w:pPr>
          </w:p>
        </w:tc>
        <w:tc>
          <w:tcPr>
            <w:tcW w:w="611" w:type="pct"/>
            <w:tcBorders>
              <w:top w:val="nil"/>
              <w:left w:val="nil"/>
              <w:bottom w:val="nil"/>
              <w:right w:val="nil"/>
            </w:tcBorders>
            <w:shd w:val="clear" w:color="auto" w:fill="auto"/>
            <w:vAlign w:val="center"/>
          </w:tcPr>
          <w:p w14:paraId="72FCF0C5">
            <w:pPr>
              <w:rPr>
                <w:rFonts w:hint="eastAsia" w:ascii="宋体" w:hAnsi="宋体" w:eastAsia="宋体" w:cs="宋体"/>
                <w:i w:val="0"/>
                <w:iCs w:val="0"/>
                <w:color w:val="000000"/>
                <w:sz w:val="18"/>
                <w:szCs w:val="18"/>
                <w:u w:val="none"/>
              </w:rPr>
            </w:pPr>
          </w:p>
        </w:tc>
        <w:tc>
          <w:tcPr>
            <w:tcW w:w="511" w:type="pct"/>
            <w:tcBorders>
              <w:top w:val="nil"/>
              <w:left w:val="nil"/>
              <w:bottom w:val="nil"/>
              <w:right w:val="nil"/>
            </w:tcBorders>
            <w:shd w:val="clear" w:color="auto" w:fill="auto"/>
            <w:vAlign w:val="center"/>
          </w:tcPr>
          <w:p w14:paraId="727D1573">
            <w:pPr>
              <w:rPr>
                <w:rFonts w:hint="eastAsia" w:ascii="宋体" w:hAnsi="宋体" w:eastAsia="宋体" w:cs="宋体"/>
                <w:i w:val="0"/>
                <w:iCs w:val="0"/>
                <w:color w:val="000000"/>
                <w:sz w:val="18"/>
                <w:szCs w:val="18"/>
                <w:u w:val="none"/>
              </w:rPr>
            </w:pPr>
          </w:p>
        </w:tc>
        <w:tc>
          <w:tcPr>
            <w:tcW w:w="711" w:type="pct"/>
            <w:tcBorders>
              <w:top w:val="nil"/>
              <w:left w:val="nil"/>
              <w:bottom w:val="nil"/>
              <w:right w:val="nil"/>
            </w:tcBorders>
            <w:shd w:val="clear" w:color="auto" w:fill="auto"/>
            <w:vAlign w:val="center"/>
          </w:tcPr>
          <w:p w14:paraId="415CB81F">
            <w:pPr>
              <w:rPr>
                <w:rFonts w:hint="eastAsia" w:ascii="宋体" w:hAnsi="宋体" w:eastAsia="宋体" w:cs="宋体"/>
                <w:i w:val="0"/>
                <w:iCs w:val="0"/>
                <w:color w:val="000000"/>
                <w:sz w:val="18"/>
                <w:szCs w:val="18"/>
                <w:u w:val="none"/>
              </w:rPr>
            </w:pPr>
          </w:p>
        </w:tc>
        <w:tc>
          <w:tcPr>
            <w:tcW w:w="248" w:type="pct"/>
            <w:tcBorders>
              <w:top w:val="nil"/>
              <w:left w:val="nil"/>
              <w:bottom w:val="nil"/>
              <w:right w:val="nil"/>
            </w:tcBorders>
            <w:shd w:val="clear" w:color="auto" w:fill="auto"/>
            <w:vAlign w:val="center"/>
          </w:tcPr>
          <w:p w14:paraId="4F57B140">
            <w:pPr>
              <w:rPr>
                <w:rFonts w:hint="eastAsia" w:ascii="宋体" w:hAnsi="宋体" w:eastAsia="宋体" w:cs="宋体"/>
                <w:i w:val="0"/>
                <w:iCs w:val="0"/>
                <w:color w:val="000000"/>
                <w:sz w:val="18"/>
                <w:szCs w:val="18"/>
                <w:u w:val="none"/>
              </w:rPr>
            </w:pPr>
          </w:p>
        </w:tc>
        <w:tc>
          <w:tcPr>
            <w:tcW w:w="464" w:type="pct"/>
            <w:tcBorders>
              <w:top w:val="nil"/>
              <w:left w:val="nil"/>
              <w:bottom w:val="nil"/>
              <w:right w:val="nil"/>
            </w:tcBorders>
            <w:shd w:val="clear" w:color="auto" w:fill="auto"/>
            <w:vAlign w:val="center"/>
          </w:tcPr>
          <w:p w14:paraId="5C038597">
            <w:pPr>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7A4FB84F">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1E1BB6C8">
            <w:pPr>
              <w:rPr>
                <w:rFonts w:hint="eastAsia" w:ascii="宋体" w:hAnsi="宋体" w:eastAsia="宋体" w:cs="宋体"/>
                <w:i w:val="0"/>
                <w:iCs w:val="0"/>
                <w:color w:val="000000"/>
                <w:sz w:val="18"/>
                <w:szCs w:val="18"/>
                <w:u w:val="none"/>
              </w:rPr>
            </w:pPr>
          </w:p>
        </w:tc>
        <w:tc>
          <w:tcPr>
            <w:tcW w:w="287" w:type="pct"/>
            <w:tcBorders>
              <w:top w:val="nil"/>
              <w:left w:val="nil"/>
              <w:bottom w:val="nil"/>
              <w:right w:val="nil"/>
            </w:tcBorders>
            <w:shd w:val="clear" w:color="auto" w:fill="auto"/>
            <w:vAlign w:val="center"/>
          </w:tcPr>
          <w:p w14:paraId="23D26491">
            <w:pPr>
              <w:rPr>
                <w:rFonts w:hint="eastAsia" w:ascii="宋体" w:hAnsi="宋体" w:eastAsia="宋体" w:cs="宋体"/>
                <w:i w:val="0"/>
                <w:iCs w:val="0"/>
                <w:color w:val="000000"/>
                <w:sz w:val="18"/>
                <w:szCs w:val="18"/>
                <w:u w:val="none"/>
              </w:rPr>
            </w:pPr>
          </w:p>
        </w:tc>
        <w:tc>
          <w:tcPr>
            <w:tcW w:w="287" w:type="pct"/>
            <w:tcBorders>
              <w:top w:val="nil"/>
              <w:left w:val="nil"/>
              <w:bottom w:val="nil"/>
              <w:right w:val="nil"/>
            </w:tcBorders>
            <w:shd w:val="clear" w:color="auto" w:fill="auto"/>
            <w:vAlign w:val="center"/>
          </w:tcPr>
          <w:p w14:paraId="0A157F0D">
            <w:pPr>
              <w:rPr>
                <w:rFonts w:hint="eastAsia" w:ascii="宋体" w:hAnsi="宋体" w:eastAsia="宋体" w:cs="宋体"/>
                <w:i w:val="0"/>
                <w:iCs w:val="0"/>
                <w:color w:val="000000"/>
                <w:sz w:val="18"/>
                <w:szCs w:val="18"/>
                <w:u w:val="none"/>
              </w:rPr>
            </w:pPr>
          </w:p>
        </w:tc>
        <w:tc>
          <w:tcPr>
            <w:tcW w:w="803" w:type="pct"/>
            <w:tcBorders>
              <w:top w:val="nil"/>
              <w:left w:val="nil"/>
              <w:bottom w:val="nil"/>
              <w:right w:val="nil"/>
            </w:tcBorders>
            <w:shd w:val="clear" w:color="auto" w:fill="auto"/>
            <w:vAlign w:val="center"/>
          </w:tcPr>
          <w:p w14:paraId="3B983FDF">
            <w:pPr>
              <w:rPr>
                <w:rFonts w:hint="eastAsia" w:ascii="宋体" w:hAnsi="宋体" w:eastAsia="宋体" w:cs="宋体"/>
                <w:i w:val="0"/>
                <w:iCs w:val="0"/>
                <w:color w:val="000000"/>
                <w:sz w:val="18"/>
                <w:szCs w:val="18"/>
                <w:u w:val="none"/>
              </w:rPr>
            </w:pPr>
          </w:p>
        </w:tc>
      </w:tr>
      <w:tr w14:paraId="2339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0" w:type="pct"/>
            <w:tcBorders>
              <w:top w:val="nil"/>
              <w:left w:val="nil"/>
              <w:bottom w:val="nil"/>
              <w:right w:val="nil"/>
            </w:tcBorders>
            <w:shd w:val="clear" w:color="auto" w:fill="auto"/>
            <w:vAlign w:val="center"/>
          </w:tcPr>
          <w:p w14:paraId="5C392650">
            <w:pPr>
              <w:rPr>
                <w:rFonts w:hint="eastAsia" w:ascii="宋体" w:hAnsi="宋体" w:eastAsia="宋体" w:cs="宋体"/>
                <w:i w:val="0"/>
                <w:iCs w:val="0"/>
                <w:color w:val="000000"/>
                <w:sz w:val="18"/>
                <w:szCs w:val="18"/>
                <w:u w:val="none"/>
              </w:rPr>
            </w:pPr>
          </w:p>
        </w:tc>
        <w:tc>
          <w:tcPr>
            <w:tcW w:w="611" w:type="pct"/>
            <w:tcBorders>
              <w:top w:val="nil"/>
              <w:left w:val="nil"/>
              <w:bottom w:val="nil"/>
              <w:right w:val="nil"/>
            </w:tcBorders>
            <w:shd w:val="clear" w:color="auto" w:fill="auto"/>
            <w:vAlign w:val="center"/>
          </w:tcPr>
          <w:p w14:paraId="380D06B2">
            <w:pPr>
              <w:rPr>
                <w:rFonts w:hint="eastAsia" w:ascii="宋体" w:hAnsi="宋体" w:eastAsia="宋体" w:cs="宋体"/>
                <w:i w:val="0"/>
                <w:iCs w:val="0"/>
                <w:color w:val="000000"/>
                <w:sz w:val="18"/>
                <w:szCs w:val="18"/>
                <w:u w:val="none"/>
              </w:rPr>
            </w:pPr>
          </w:p>
        </w:tc>
        <w:tc>
          <w:tcPr>
            <w:tcW w:w="511" w:type="pct"/>
            <w:tcBorders>
              <w:top w:val="nil"/>
              <w:left w:val="nil"/>
              <w:bottom w:val="nil"/>
              <w:right w:val="nil"/>
            </w:tcBorders>
            <w:shd w:val="clear" w:color="auto" w:fill="auto"/>
            <w:vAlign w:val="center"/>
          </w:tcPr>
          <w:p w14:paraId="173D1669">
            <w:pPr>
              <w:rPr>
                <w:rFonts w:hint="eastAsia" w:ascii="宋体" w:hAnsi="宋体" w:eastAsia="宋体" w:cs="宋体"/>
                <w:i w:val="0"/>
                <w:iCs w:val="0"/>
                <w:color w:val="000000"/>
                <w:sz w:val="18"/>
                <w:szCs w:val="18"/>
                <w:u w:val="none"/>
              </w:rPr>
            </w:pPr>
          </w:p>
        </w:tc>
        <w:tc>
          <w:tcPr>
            <w:tcW w:w="711" w:type="pct"/>
            <w:tcBorders>
              <w:top w:val="nil"/>
              <w:left w:val="nil"/>
              <w:bottom w:val="nil"/>
              <w:right w:val="nil"/>
            </w:tcBorders>
            <w:shd w:val="clear" w:color="auto" w:fill="auto"/>
            <w:vAlign w:val="center"/>
          </w:tcPr>
          <w:p w14:paraId="67BD4BED">
            <w:pPr>
              <w:rPr>
                <w:rFonts w:hint="eastAsia" w:ascii="宋体" w:hAnsi="宋体" w:eastAsia="宋体" w:cs="宋体"/>
                <w:i w:val="0"/>
                <w:iCs w:val="0"/>
                <w:color w:val="000000"/>
                <w:sz w:val="18"/>
                <w:szCs w:val="18"/>
                <w:u w:val="none"/>
              </w:rPr>
            </w:pPr>
          </w:p>
        </w:tc>
        <w:tc>
          <w:tcPr>
            <w:tcW w:w="248" w:type="pct"/>
            <w:tcBorders>
              <w:top w:val="nil"/>
              <w:left w:val="nil"/>
              <w:bottom w:val="nil"/>
              <w:right w:val="nil"/>
            </w:tcBorders>
            <w:shd w:val="clear" w:color="auto" w:fill="auto"/>
            <w:vAlign w:val="center"/>
          </w:tcPr>
          <w:p w14:paraId="6BA349C9">
            <w:pPr>
              <w:rPr>
                <w:rFonts w:hint="eastAsia" w:ascii="宋体" w:hAnsi="宋体" w:eastAsia="宋体" w:cs="宋体"/>
                <w:i w:val="0"/>
                <w:iCs w:val="0"/>
                <w:color w:val="000000"/>
                <w:sz w:val="18"/>
                <w:szCs w:val="18"/>
                <w:u w:val="none"/>
              </w:rPr>
            </w:pPr>
          </w:p>
        </w:tc>
        <w:tc>
          <w:tcPr>
            <w:tcW w:w="464" w:type="pct"/>
            <w:tcBorders>
              <w:top w:val="nil"/>
              <w:left w:val="nil"/>
              <w:bottom w:val="nil"/>
              <w:right w:val="nil"/>
            </w:tcBorders>
            <w:shd w:val="clear" w:color="auto" w:fill="auto"/>
            <w:vAlign w:val="center"/>
          </w:tcPr>
          <w:p w14:paraId="7F546614">
            <w:pPr>
              <w:rPr>
                <w:rFonts w:hint="eastAsia" w:ascii="宋体" w:hAnsi="宋体" w:eastAsia="宋体" w:cs="宋体"/>
                <w:i w:val="0"/>
                <w:iCs w:val="0"/>
                <w:color w:val="000000"/>
                <w:sz w:val="18"/>
                <w:szCs w:val="18"/>
                <w:u w:val="none"/>
              </w:rPr>
            </w:pPr>
          </w:p>
        </w:tc>
        <w:tc>
          <w:tcPr>
            <w:tcW w:w="234" w:type="pct"/>
            <w:tcBorders>
              <w:top w:val="nil"/>
              <w:left w:val="nil"/>
              <w:bottom w:val="nil"/>
              <w:right w:val="nil"/>
            </w:tcBorders>
            <w:shd w:val="clear" w:color="auto" w:fill="auto"/>
            <w:vAlign w:val="center"/>
          </w:tcPr>
          <w:p w14:paraId="03795419">
            <w:pPr>
              <w:rPr>
                <w:rFonts w:hint="eastAsia" w:ascii="宋体" w:hAnsi="宋体" w:eastAsia="宋体" w:cs="宋体"/>
                <w:i w:val="0"/>
                <w:iCs w:val="0"/>
                <w:color w:val="000000"/>
                <w:sz w:val="18"/>
                <w:szCs w:val="18"/>
                <w:u w:val="none"/>
              </w:rPr>
            </w:pPr>
          </w:p>
        </w:tc>
        <w:tc>
          <w:tcPr>
            <w:tcW w:w="501" w:type="pct"/>
            <w:tcBorders>
              <w:top w:val="nil"/>
              <w:left w:val="nil"/>
              <w:bottom w:val="nil"/>
              <w:right w:val="nil"/>
            </w:tcBorders>
            <w:shd w:val="clear" w:color="auto" w:fill="auto"/>
            <w:vAlign w:val="center"/>
          </w:tcPr>
          <w:p w14:paraId="050E5C3F">
            <w:pPr>
              <w:rPr>
                <w:rFonts w:hint="eastAsia" w:ascii="宋体" w:hAnsi="宋体" w:eastAsia="宋体" w:cs="宋体"/>
                <w:i w:val="0"/>
                <w:iCs w:val="0"/>
                <w:color w:val="000000"/>
                <w:sz w:val="18"/>
                <w:szCs w:val="18"/>
                <w:u w:val="none"/>
              </w:rPr>
            </w:pPr>
          </w:p>
        </w:tc>
        <w:tc>
          <w:tcPr>
            <w:tcW w:w="287" w:type="pct"/>
            <w:tcBorders>
              <w:top w:val="nil"/>
              <w:left w:val="nil"/>
              <w:bottom w:val="nil"/>
              <w:right w:val="nil"/>
            </w:tcBorders>
            <w:shd w:val="clear" w:color="auto" w:fill="auto"/>
            <w:vAlign w:val="center"/>
          </w:tcPr>
          <w:p w14:paraId="4F6A382B">
            <w:pPr>
              <w:rPr>
                <w:rFonts w:hint="eastAsia" w:ascii="宋体" w:hAnsi="宋体" w:eastAsia="宋体" w:cs="宋体"/>
                <w:i w:val="0"/>
                <w:iCs w:val="0"/>
                <w:color w:val="000000"/>
                <w:sz w:val="18"/>
                <w:szCs w:val="18"/>
                <w:u w:val="none"/>
              </w:rPr>
            </w:pPr>
          </w:p>
        </w:tc>
        <w:tc>
          <w:tcPr>
            <w:tcW w:w="287" w:type="pct"/>
            <w:tcBorders>
              <w:top w:val="nil"/>
              <w:left w:val="nil"/>
              <w:bottom w:val="nil"/>
              <w:right w:val="nil"/>
            </w:tcBorders>
            <w:shd w:val="clear" w:color="auto" w:fill="auto"/>
            <w:vAlign w:val="center"/>
          </w:tcPr>
          <w:p w14:paraId="42F0A281">
            <w:pPr>
              <w:rPr>
                <w:rFonts w:hint="eastAsia" w:ascii="宋体" w:hAnsi="宋体" w:eastAsia="宋体" w:cs="宋体"/>
                <w:i w:val="0"/>
                <w:iCs w:val="0"/>
                <w:color w:val="000000"/>
                <w:sz w:val="18"/>
                <w:szCs w:val="18"/>
                <w:u w:val="none"/>
              </w:rPr>
            </w:pPr>
          </w:p>
        </w:tc>
        <w:tc>
          <w:tcPr>
            <w:tcW w:w="803" w:type="pct"/>
            <w:tcBorders>
              <w:top w:val="nil"/>
              <w:left w:val="nil"/>
              <w:bottom w:val="nil"/>
              <w:right w:val="nil"/>
            </w:tcBorders>
            <w:shd w:val="clear" w:color="auto" w:fill="auto"/>
            <w:vAlign w:val="center"/>
          </w:tcPr>
          <w:p w14:paraId="10A2BB88">
            <w:pPr>
              <w:rPr>
                <w:rFonts w:hint="eastAsia" w:ascii="宋体" w:hAnsi="宋体" w:eastAsia="宋体" w:cs="宋体"/>
                <w:i w:val="0"/>
                <w:iCs w:val="0"/>
                <w:color w:val="000000"/>
                <w:sz w:val="18"/>
                <w:szCs w:val="18"/>
                <w:u w:val="none"/>
              </w:rPr>
            </w:pPr>
          </w:p>
        </w:tc>
      </w:tr>
    </w:tbl>
    <w:p w14:paraId="1590BD46">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b w:val="0"/>
          <w:bCs w:val="0"/>
          <w:i w:val="0"/>
          <w:iCs w:val="0"/>
          <w:sz w:val="32"/>
          <w:szCs w:val="32"/>
          <w:highlight w:val="yellow"/>
          <w:lang w:val="zh-CN" w:eastAsia="zh-CN"/>
        </w:rPr>
      </w:pPr>
    </w:p>
    <w:p w14:paraId="2E8E5A38">
      <w:pPr>
        <w:pStyle w:val="11"/>
        <w:rPr>
          <w:rFonts w:hint="default" w:ascii="Times New Roman" w:hAnsi="Times New Roman" w:cs="Times New Roman"/>
          <w:b w:val="0"/>
          <w:bCs w:val="0"/>
          <w:i w:val="0"/>
          <w:iCs w:val="0"/>
          <w:color w:val="FF0000"/>
          <w:kern w:val="0"/>
          <w:sz w:val="32"/>
          <w:szCs w:val="32"/>
          <w:highlight w:val="yellow"/>
          <w:shd w:val="clear" w:color="auto" w:fill="FFFFFF"/>
          <w:lang w:val="zh-CN"/>
        </w:rPr>
      </w:pPr>
    </w:p>
    <w:p w14:paraId="677C6C24">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r>
        <w:rPr>
          <w:rFonts w:hint="default" w:ascii="Times New Roman" w:hAnsi="Times New Roman" w:eastAsia="黑体" w:cs="Times New Roman"/>
          <w:b w:val="0"/>
          <w:bCs w:val="0"/>
          <w:i w:val="0"/>
          <w:iCs w:val="0"/>
          <w:color w:val="auto"/>
          <w:kern w:val="0"/>
          <w:sz w:val="32"/>
          <w:szCs w:val="32"/>
          <w:highlight w:val="none"/>
          <w:shd w:val="clear" w:color="auto" w:fill="FFFFFF"/>
          <w:lang w:val="zh-CN"/>
        </w:rPr>
        <w:br w:type="page"/>
      </w:r>
    </w:p>
    <w:p w14:paraId="1538A24F">
      <w:pPr>
        <w:rPr>
          <w:rFonts w:hint="default" w:ascii="Times New Roman" w:hAnsi="Times New Roman" w:eastAsia="黑体" w:cs="Times New Roman"/>
          <w:b w:val="0"/>
          <w:bCs w:val="0"/>
          <w:i w:val="0"/>
          <w:iCs w:val="0"/>
          <w:color w:val="auto"/>
          <w:sz w:val="32"/>
          <w:szCs w:val="32"/>
          <w:highlight w:val="none"/>
          <w:lang w:val="en-US" w:eastAsia="zh-CN"/>
        </w:rPr>
      </w:pPr>
      <w:r>
        <w:rPr>
          <w:rFonts w:hint="default" w:ascii="Times New Roman" w:hAnsi="Times New Roman" w:eastAsia="黑体" w:cs="Times New Roman"/>
          <w:b w:val="0"/>
          <w:bCs w:val="0"/>
          <w:i w:val="0"/>
          <w:iCs w:val="0"/>
          <w:color w:val="auto"/>
          <w:kern w:val="0"/>
          <w:sz w:val="32"/>
          <w:szCs w:val="32"/>
          <w:highlight w:val="none"/>
          <w:shd w:val="clear" w:color="auto" w:fill="FFFFFF"/>
          <w:lang w:val="zh-CN"/>
        </w:rPr>
        <w:t>附件</w:t>
      </w:r>
      <w:r>
        <w:rPr>
          <w:rFonts w:hint="default" w:ascii="Times New Roman" w:hAnsi="Times New Roman" w:eastAsia="黑体" w:cs="Times New Roman"/>
          <w:b w:val="0"/>
          <w:bCs w:val="0"/>
          <w:i w:val="0"/>
          <w:iCs w:val="0"/>
          <w:color w:val="auto"/>
          <w:kern w:val="0"/>
          <w:sz w:val="32"/>
          <w:szCs w:val="32"/>
          <w:highlight w:val="none"/>
          <w:shd w:val="clear" w:color="auto" w:fill="FFFFFF"/>
          <w:lang w:val="en-US" w:eastAsia="zh-CN"/>
        </w:rPr>
        <w:t>2</w:t>
      </w:r>
    </w:p>
    <w:p w14:paraId="3BABB959">
      <w:pPr>
        <w:pStyle w:val="4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仿宋_GB2312" w:hAnsi="仿宋_GB2312" w:eastAsia="仿宋_GB2312" w:cs="仿宋_GB2312"/>
          <w:b/>
          <w:bCs/>
          <w:i w:val="0"/>
          <w:iCs w:val="0"/>
          <w:color w:val="auto"/>
          <w:kern w:val="2"/>
          <w:sz w:val="44"/>
          <w:szCs w:val="44"/>
          <w:highlight w:val="none"/>
          <w:lang w:val="en-US" w:eastAsia="zh-CN"/>
        </w:rPr>
      </w:pPr>
      <w:r>
        <w:rPr>
          <w:rFonts w:hint="eastAsia" w:ascii="仿宋_GB2312" w:hAnsi="仿宋_GB2312" w:eastAsia="仿宋_GB2312" w:cs="仿宋_GB2312"/>
          <w:b/>
          <w:bCs/>
          <w:i w:val="0"/>
          <w:iCs w:val="0"/>
          <w:color w:val="auto"/>
          <w:kern w:val="2"/>
          <w:sz w:val="44"/>
          <w:szCs w:val="44"/>
          <w:highlight w:val="none"/>
          <w:lang w:val="en-US" w:eastAsia="zh-CN"/>
        </w:rPr>
        <w:t>专项预算项目绩效评价报告</w:t>
      </w:r>
    </w:p>
    <w:p w14:paraId="629D71C5">
      <w:pPr>
        <w:keepNext w:val="0"/>
        <w:keepLines w:val="0"/>
        <w:pageBreakBefore w:val="0"/>
        <w:widowControl w:val="0"/>
        <w:kinsoku/>
        <w:wordWrap/>
        <w:overflowPunct/>
        <w:topLinePunct w:val="0"/>
        <w:autoSpaceDE/>
        <w:autoSpaceDN/>
        <w:bidi w:val="0"/>
        <w:adjustRightInd/>
        <w:snapToGrid/>
        <w:spacing w:before="292" w:beforeLines="50"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就业创业服务经费项目</w:t>
      </w:r>
      <w:r>
        <w:rPr>
          <w:rFonts w:hint="eastAsia" w:ascii="仿宋_GB2312" w:hAnsi="仿宋_GB2312" w:eastAsia="仿宋_GB2312" w:cs="仿宋_GB2312"/>
          <w:b/>
          <w:bCs/>
          <w:sz w:val="30"/>
          <w:szCs w:val="30"/>
        </w:rPr>
        <w:t>）</w:t>
      </w:r>
    </w:p>
    <w:p w14:paraId="51D62D67">
      <w:pPr>
        <w:pStyle w:val="44"/>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default" w:ascii="Times New Roman" w:hAnsi="Times New Roman" w:cs="Times New Roman"/>
          <w:b w:val="0"/>
          <w:bCs w:val="0"/>
          <w:i w:val="0"/>
          <w:iCs w:val="0"/>
          <w:color w:val="auto"/>
          <w:kern w:val="2"/>
          <w:sz w:val="30"/>
          <w:szCs w:val="30"/>
          <w:highlight w:val="none"/>
        </w:rPr>
      </w:pPr>
    </w:p>
    <w:p w14:paraId="14B903A2">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i w:val="0"/>
          <w:iCs w:val="0"/>
          <w:color w:val="auto"/>
          <w:sz w:val="32"/>
          <w:szCs w:val="32"/>
          <w:highlight w:val="none"/>
          <w:lang w:val="zh-CN"/>
        </w:rPr>
      </w:pPr>
      <w:r>
        <w:rPr>
          <w:rFonts w:hint="default" w:ascii="Times New Roman" w:hAnsi="Times New Roman" w:eastAsia="黑体" w:cs="Times New Roman"/>
          <w:b w:val="0"/>
          <w:bCs w:val="0"/>
          <w:i w:val="0"/>
          <w:iCs w:val="0"/>
          <w:color w:val="auto"/>
          <w:sz w:val="32"/>
          <w:szCs w:val="32"/>
          <w:highlight w:val="none"/>
          <w:lang w:val="zh-CN"/>
        </w:rPr>
        <w:t>项目概况</w:t>
      </w:r>
    </w:p>
    <w:p w14:paraId="5D73AE78">
      <w:pPr>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textAlignment w:val="auto"/>
        <w:rPr>
          <w:rFonts w:hint="eastAsia" w:ascii="仿宋_GB2312" w:hAnsi="仿宋_GB2312" w:eastAsia="仿宋_GB2312" w:cs="仿宋_GB2312"/>
          <w:b w:val="0"/>
          <w:bCs w:val="0"/>
          <w:i w:val="0"/>
          <w:iCs w:val="0"/>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仿宋_GB2312" w:hAnsi="仿宋_GB2312" w:eastAsia="仿宋_GB2312" w:cs="仿宋_GB2312"/>
          <w:b w:val="0"/>
          <w:bCs w:val="0"/>
          <w:i w:val="0"/>
          <w:iCs w:val="0"/>
          <w:color w:val="auto"/>
          <w:sz w:val="32"/>
          <w:szCs w:val="32"/>
          <w:highlight w:val="none"/>
          <w:u w:val="none"/>
          <w:lang w:val="zh-CN"/>
        </w:rPr>
        <w:t>一）设立背景及基本情况。</w:t>
      </w:r>
      <w:r>
        <w:rPr>
          <w:rFonts w:hint="eastAsia" w:ascii="仿宋_GB2312" w:hAnsi="仿宋_GB2312" w:eastAsia="仿宋_GB2312" w:cs="仿宋_GB2312"/>
          <w:color w:val="auto"/>
          <w:sz w:val="32"/>
          <w:szCs w:val="32"/>
          <w:highlight w:val="none"/>
        </w:rPr>
        <w:t>为贯彻落实</w:t>
      </w:r>
      <w:r>
        <w:rPr>
          <w:rFonts w:hint="eastAsia" w:ascii="仿宋_GB2312" w:hAnsi="仿宋_GB2312" w:eastAsia="仿宋_GB2312" w:cs="仿宋_GB2312"/>
          <w:color w:val="auto"/>
          <w:sz w:val="32"/>
          <w:szCs w:val="32"/>
          <w:highlight w:val="none"/>
          <w:lang w:eastAsia="zh-CN"/>
        </w:rPr>
        <w:t>各项</w:t>
      </w:r>
      <w:r>
        <w:rPr>
          <w:rFonts w:hint="eastAsia" w:ascii="仿宋_GB2312" w:hAnsi="仿宋_GB2312" w:eastAsia="仿宋_GB2312" w:cs="仿宋_GB2312"/>
          <w:color w:val="auto"/>
          <w:sz w:val="32"/>
          <w:szCs w:val="32"/>
          <w:highlight w:val="none"/>
        </w:rPr>
        <w:t>就业</w:t>
      </w:r>
      <w:r>
        <w:rPr>
          <w:rFonts w:hint="eastAsia" w:ascii="仿宋_GB2312" w:hAnsi="仿宋_GB2312" w:eastAsia="仿宋_GB2312" w:cs="仿宋_GB2312"/>
          <w:color w:val="auto"/>
          <w:sz w:val="32"/>
          <w:szCs w:val="32"/>
          <w:highlight w:val="none"/>
          <w:lang w:eastAsia="zh-CN"/>
        </w:rPr>
        <w:t>创业</w:t>
      </w:r>
      <w:r>
        <w:rPr>
          <w:rFonts w:hint="eastAsia" w:ascii="仿宋_GB2312" w:hAnsi="仿宋_GB2312" w:eastAsia="仿宋_GB2312" w:cs="仿宋_GB2312"/>
          <w:color w:val="auto"/>
          <w:sz w:val="32"/>
          <w:szCs w:val="32"/>
          <w:highlight w:val="none"/>
        </w:rPr>
        <w:t>政策，根据《中华人民共和国就业促进法》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关于印发〈2023年全市就业创业服务工作要点〉的通知</w:t>
      </w:r>
      <w:r>
        <w:rPr>
          <w:rFonts w:hint="eastAsia" w:ascii="仿宋_GB2312" w:hAnsi="仿宋_GB2312" w:eastAsia="仿宋_GB2312" w:cs="仿宋_GB2312"/>
          <w:color w:val="auto"/>
          <w:sz w:val="32"/>
          <w:szCs w:val="32"/>
          <w:highlight w:val="none"/>
          <w:lang w:eastAsia="zh-CN"/>
        </w:rPr>
        <w:t>》（遂就发〔202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13 </w:t>
      </w:r>
      <w:r>
        <w:rPr>
          <w:rFonts w:hint="eastAsia" w:ascii="仿宋_GB2312" w:hAnsi="仿宋_GB2312" w:eastAsia="仿宋_GB2312" w:cs="仿宋_GB2312"/>
          <w:color w:val="auto"/>
          <w:sz w:val="32"/>
          <w:szCs w:val="32"/>
          <w:highlight w:val="none"/>
          <w:lang w:eastAsia="zh-CN"/>
        </w:rPr>
        <w:t>号）《</w:t>
      </w:r>
      <w:r>
        <w:rPr>
          <w:rFonts w:hint="eastAsia" w:ascii="仿宋_GB2312" w:hAnsi="仿宋_GB2312" w:eastAsia="仿宋_GB2312" w:cs="仿宋_GB2312"/>
          <w:color w:val="auto"/>
          <w:sz w:val="32"/>
          <w:szCs w:val="32"/>
          <w:highlight w:val="none"/>
          <w:lang w:val="en-US" w:eastAsia="zh-CN"/>
        </w:rPr>
        <w:t>遂宁市人力资源和社会保障局等5部门关于加强就业帮扶巩固拓展脱贫攻坚成果推进乡村振兴的实施意见</w:t>
      </w:r>
      <w:r>
        <w:rPr>
          <w:rFonts w:hint="eastAsia" w:ascii="仿宋_GB2312" w:hAnsi="仿宋_GB2312" w:eastAsia="仿宋_GB2312" w:cs="仿宋_GB2312"/>
          <w:color w:val="auto"/>
          <w:sz w:val="32"/>
          <w:szCs w:val="32"/>
          <w:highlight w:val="none"/>
          <w:lang w:eastAsia="zh-CN"/>
        </w:rPr>
        <w:t>》（遂人社发〔2021〕23号）等文件要求，</w:t>
      </w:r>
      <w:r>
        <w:rPr>
          <w:rFonts w:hint="eastAsia" w:ascii="仿宋_GB2312" w:hAnsi="仿宋_GB2312" w:eastAsia="仿宋_GB2312" w:cs="仿宋_GB2312"/>
          <w:color w:val="auto"/>
          <w:sz w:val="32"/>
          <w:szCs w:val="32"/>
          <w:highlight w:val="none"/>
          <w:lang w:val="zh-CN"/>
        </w:rPr>
        <w:t>大力实施就业普惠政策，</w:t>
      </w:r>
      <w:r>
        <w:rPr>
          <w:rFonts w:hint="eastAsia" w:ascii="仿宋_GB2312" w:hAnsi="仿宋_GB2312" w:eastAsia="仿宋_GB2312" w:cs="仿宋_GB2312"/>
          <w:color w:val="auto"/>
          <w:sz w:val="32"/>
          <w:szCs w:val="32"/>
          <w:highlight w:val="none"/>
          <w:lang w:val="en-US" w:eastAsia="zh-CN"/>
        </w:rPr>
        <w:t>完善公共服务举措，着力促进重点群体就业，推动创业带动就业，</w:t>
      </w:r>
      <w:r>
        <w:rPr>
          <w:rFonts w:hint="eastAsia" w:ascii="仿宋_GB2312" w:hAnsi="仿宋_GB2312" w:eastAsia="仿宋_GB2312" w:cs="仿宋_GB2312"/>
          <w:color w:val="auto"/>
          <w:sz w:val="32"/>
          <w:szCs w:val="32"/>
          <w:highlight w:val="none"/>
        </w:rPr>
        <w:t>确保全区就业形势总体稳定</w:t>
      </w:r>
      <w:r>
        <w:rPr>
          <w:rFonts w:hint="eastAsia" w:ascii="仿宋_GB2312" w:hAnsi="仿宋_GB2312" w:eastAsia="仿宋_GB2312" w:cs="仿宋_GB2312"/>
          <w:color w:val="auto"/>
          <w:sz w:val="32"/>
          <w:szCs w:val="32"/>
          <w:highlight w:val="none"/>
          <w:lang w:eastAsia="zh-CN"/>
        </w:rPr>
        <w:t>。</w:t>
      </w:r>
    </w:p>
    <w:p w14:paraId="48D19C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val="0"/>
          <w:bCs w:val="0"/>
          <w:i w:val="0"/>
          <w:iCs w:val="0"/>
          <w:color w:val="auto"/>
          <w:sz w:val="32"/>
          <w:szCs w:val="32"/>
          <w:highlight w:val="none"/>
          <w:u w:val="none"/>
          <w:lang w:val="zh-CN"/>
        </w:rPr>
        <w:t>（二）</w:t>
      </w:r>
      <w:r>
        <w:rPr>
          <w:rFonts w:hint="eastAsia" w:ascii="仿宋_GB2312" w:hAnsi="仿宋_GB2312" w:eastAsia="仿宋_GB2312" w:cs="仿宋_GB2312"/>
          <w:b w:val="0"/>
          <w:bCs w:val="0"/>
          <w:i w:val="0"/>
          <w:iCs w:val="0"/>
          <w:color w:val="auto"/>
          <w:sz w:val="32"/>
          <w:szCs w:val="32"/>
          <w:highlight w:val="none"/>
          <w:u w:val="none"/>
          <w:lang w:val="en-US" w:eastAsia="zh-CN"/>
        </w:rPr>
        <w:t>实施目的及支持方向。</w:t>
      </w:r>
      <w:r>
        <w:rPr>
          <w:rFonts w:hint="eastAsia" w:ascii="仿宋_GB2312" w:hAnsi="仿宋_GB2312" w:eastAsia="仿宋_GB2312" w:cs="仿宋_GB2312"/>
          <w:color w:val="auto"/>
          <w:sz w:val="32"/>
          <w:szCs w:val="32"/>
          <w:lang w:val="zh-CN" w:eastAsia="zh-CN"/>
        </w:rPr>
        <w:t>该项目资金严格遂宁市财政局、遂宁市人社局关于转发《四川省财政厅、四川人力资源和社会保障厅关于进一步加强就业专项资金管理有关问题的通知》（遂市财社</w:t>
      </w: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zh-CN" w:eastAsia="zh-CN"/>
        </w:rPr>
        <w:t>10号）文件要求使用。资金开支范围、标准及支付进度、支付依据都是合规合法，资金支付与预算相符。</w:t>
      </w:r>
    </w:p>
    <w:p w14:paraId="342FE84C">
      <w:pPr>
        <w:pStyle w:val="18"/>
        <w:keepNext w:val="0"/>
        <w:keepLines w:val="0"/>
        <w:pageBreakBefore w:val="0"/>
        <w:widowControl w:val="0"/>
        <w:kinsoku/>
        <w:wordWrap/>
        <w:overflowPunct/>
        <w:topLinePunct w:val="0"/>
        <w:autoSpaceDE/>
        <w:autoSpaceDN/>
        <w:bidi w:val="0"/>
        <w:spacing w:before="0" w:beforeAutospacing="0" w:after="0" w:line="58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val="0"/>
          <w:bCs w:val="0"/>
          <w:i w:val="0"/>
          <w:iCs w:val="0"/>
          <w:color w:val="auto"/>
          <w:sz w:val="32"/>
          <w:szCs w:val="32"/>
          <w:highlight w:val="none"/>
          <w:u w:val="none"/>
          <w:lang w:val="zh-CN" w:eastAsia="zh-CN"/>
        </w:rPr>
        <w:t>（三）</w:t>
      </w:r>
      <w:r>
        <w:rPr>
          <w:rFonts w:hint="eastAsia" w:ascii="仿宋_GB2312" w:hAnsi="仿宋_GB2312" w:eastAsia="仿宋_GB2312" w:cs="仿宋_GB2312"/>
          <w:b w:val="0"/>
          <w:bCs w:val="0"/>
          <w:i w:val="0"/>
          <w:iCs w:val="0"/>
          <w:color w:val="auto"/>
          <w:sz w:val="32"/>
          <w:szCs w:val="32"/>
          <w:highlight w:val="none"/>
          <w:u w:val="none"/>
          <w:lang w:val="en-US" w:eastAsia="zh-CN"/>
        </w:rPr>
        <w:t>预算安排及分配管理</w:t>
      </w:r>
      <w:r>
        <w:rPr>
          <w:rFonts w:hint="eastAsia" w:ascii="仿宋_GB2312" w:hAnsi="仿宋_GB2312" w:eastAsia="仿宋_GB2312" w:cs="仿宋_GB2312"/>
          <w:b w:val="0"/>
          <w:bCs w:val="0"/>
          <w:i w:val="0"/>
          <w:iCs w:val="0"/>
          <w:color w:val="auto"/>
          <w:sz w:val="32"/>
          <w:szCs w:val="32"/>
          <w:highlight w:val="none"/>
          <w:u w:val="none"/>
          <w:lang w:val="zh-CN" w:eastAsia="zh-CN"/>
        </w:rPr>
        <w:t>。</w:t>
      </w:r>
      <w:r>
        <w:rPr>
          <w:rFonts w:hint="eastAsia" w:ascii="仿宋_GB2312" w:hAnsi="仿宋_GB2312" w:eastAsia="仿宋_GB2312" w:cs="仿宋_GB2312"/>
          <w:color w:val="auto"/>
          <w:sz w:val="32"/>
          <w:szCs w:val="32"/>
          <w:shd w:val="clear" w:color="auto" w:fill="FFFFFF"/>
        </w:rPr>
        <w:t>资金的支付符合国家财经法规和财务管理制度规定，以及有关专项资金管理办法的规定；资金拨付有完整的审批程序和手续；经费支出符合部门预算批复的用途；资金使用除部门支出预算不足有调剂使用外，无截留、挪用、虚列支出等情况。</w:t>
      </w:r>
    </w:p>
    <w:p w14:paraId="4C11425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w:t>
      </w:r>
      <w:r>
        <w:rPr>
          <w:rFonts w:hint="eastAsia" w:ascii="仿宋_GB2312" w:hAnsi="仿宋_GB2312" w:eastAsia="仿宋_GB2312" w:cs="仿宋_GB2312"/>
          <w:b w:val="0"/>
          <w:bCs w:val="0"/>
          <w:i w:val="0"/>
          <w:iCs w:val="0"/>
          <w:color w:val="auto"/>
          <w:sz w:val="32"/>
          <w:szCs w:val="32"/>
          <w:highlight w:val="none"/>
          <w:u w:val="none"/>
          <w:lang w:val="zh-CN" w:eastAsia="zh-CN"/>
        </w:rPr>
        <w:t>四）项目绩效目标设置。</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项目</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实施在一定时期内所要达到的总体产出和效果，确定项目的总体绩效目标等、随着年度目标的实现，长期目标逐步实现</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整体设置情况</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和</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工作开展情况。</w:t>
      </w:r>
    </w:p>
    <w:p w14:paraId="653A8B3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b w:val="0"/>
          <w:bCs w:val="0"/>
          <w:i w:val="0"/>
          <w:iCs w:val="0"/>
          <w:color w:val="auto"/>
          <w:sz w:val="32"/>
          <w:szCs w:val="32"/>
          <w:highlight w:val="none"/>
          <w:lang w:eastAsia="zh-CN"/>
        </w:rPr>
      </w:pPr>
      <w:r>
        <w:rPr>
          <w:rFonts w:hint="default" w:ascii="Times New Roman" w:hAnsi="Times New Roman" w:eastAsia="黑体" w:cs="Times New Roman"/>
          <w:b w:val="0"/>
          <w:bCs w:val="0"/>
          <w:i w:val="0"/>
          <w:iCs w:val="0"/>
          <w:color w:val="auto"/>
          <w:sz w:val="32"/>
          <w:szCs w:val="32"/>
          <w:highlight w:val="none"/>
        </w:rPr>
        <w:t>二、</w:t>
      </w:r>
      <w:r>
        <w:rPr>
          <w:rFonts w:hint="default" w:ascii="Times New Roman" w:hAnsi="Times New Roman" w:eastAsia="黑体" w:cs="Times New Roman"/>
          <w:b w:val="0"/>
          <w:bCs w:val="0"/>
          <w:i w:val="0"/>
          <w:iCs w:val="0"/>
          <w:color w:val="auto"/>
          <w:sz w:val="32"/>
          <w:szCs w:val="32"/>
          <w:highlight w:val="none"/>
          <w:lang w:eastAsia="zh-CN"/>
        </w:rPr>
        <w:t>评价实施</w:t>
      </w:r>
    </w:p>
    <w:p w14:paraId="69366A0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r>
        <w:rPr>
          <w:rFonts w:hint="eastAsia" w:ascii="仿宋_GB2312" w:hAnsi="仿宋_GB2312" w:eastAsia="仿宋_GB2312" w:cs="仿宋_GB2312"/>
          <w:b w:val="0"/>
          <w:bCs w:val="0"/>
          <w:i w:val="0"/>
          <w:iCs w:val="0"/>
          <w:color w:val="auto"/>
          <w:sz w:val="32"/>
          <w:szCs w:val="32"/>
          <w:highlight w:val="none"/>
          <w:u w:val="none"/>
          <w:lang w:val="zh-CN"/>
        </w:rPr>
        <w:t>（一）评价目的。</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区</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就业局</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分别对该项目实施前、中、后进行绩效自评，通过项目绩效自评提高财政资源配置效率和使用效益，建立科学、合理的项目支出绩效评价管理体系，为全面实施预算绩效管理。</w:t>
      </w:r>
    </w:p>
    <w:p w14:paraId="01F425E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r>
        <w:rPr>
          <w:rFonts w:hint="eastAsia" w:ascii="仿宋_GB2312" w:hAnsi="仿宋_GB2312" w:eastAsia="仿宋_GB2312" w:cs="仿宋_GB2312"/>
          <w:b w:val="0"/>
          <w:bCs w:val="0"/>
          <w:i w:val="0"/>
          <w:iCs w:val="0"/>
          <w:color w:val="auto"/>
          <w:sz w:val="32"/>
          <w:szCs w:val="32"/>
          <w:highlight w:val="none"/>
          <w:u w:val="none"/>
          <w:lang w:val="zh-CN"/>
        </w:rPr>
        <w:t>（二）预设问题及评价重点。</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按照绩效评价指标体系，资金支出使用全过程均紧扣项目实施进度进行资金结算支付，并严格按照专款专用的原则进行，不存在挪用、截留等违反财经纪律现象。</w:t>
      </w:r>
    </w:p>
    <w:p w14:paraId="4931358F">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r>
        <w:rPr>
          <w:rFonts w:hint="eastAsia" w:ascii="仿宋_GB2312" w:hAnsi="仿宋_GB2312" w:eastAsia="仿宋_GB2312" w:cs="仿宋_GB2312"/>
          <w:b w:val="0"/>
          <w:bCs w:val="0"/>
          <w:i w:val="0"/>
          <w:iCs w:val="0"/>
          <w:color w:val="auto"/>
          <w:sz w:val="32"/>
          <w:szCs w:val="32"/>
          <w:highlight w:val="none"/>
          <w:u w:val="none"/>
          <w:lang w:val="zh-CN"/>
        </w:rPr>
        <w:t>（三）评价选点。</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项目绩效自评主要通过资金使用进度及适用范围进行了抽样，发现均不存在违规违纪现象，较好保障了项目实施。</w:t>
      </w:r>
    </w:p>
    <w:p w14:paraId="5BFB0CD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pPr>
      <w:r>
        <w:rPr>
          <w:rFonts w:hint="eastAsia" w:ascii="仿宋_GB2312" w:hAnsi="仿宋_GB2312" w:eastAsia="仿宋_GB2312" w:cs="仿宋_GB2312"/>
          <w:b w:val="0"/>
          <w:bCs w:val="0"/>
          <w:i w:val="0"/>
          <w:iCs w:val="0"/>
          <w:color w:val="auto"/>
          <w:sz w:val="32"/>
          <w:szCs w:val="32"/>
          <w:highlight w:val="none"/>
          <w:u w:val="none"/>
          <w:lang w:val="zh-CN"/>
        </w:rPr>
        <w:t>（四）评价方法。</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一是认真开展前期工作</w:t>
      </w:r>
      <w:bookmarkStart w:id="190" w:name="_GoBack"/>
      <w:bookmarkEnd w:id="190"/>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。根据下发的有关文件要求，我局迅速向主要负责人报告有关情况。按照主要领导的指示意见，组建了绩效评价管理工作领导小组，迅速开展前期各项准备工作。</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二是有序开展绩效评价。为确保绩效评价工作落到实处，取得成效，我局召开了专题工作部署会，对组织开展绩效考评明确了具体要求，对绩效评价指标进行了详细解读，并对可能出现的问题准备了各种预案，为组织开展好绩效考评工作奠定了基础。根据实施方案要求，我局组织力量进行了逐一梳理，并进行了数据分析，形成了绩效评价报告。</w:t>
      </w:r>
    </w:p>
    <w:p w14:paraId="0A8F11E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b w:val="0"/>
          <w:bCs w:val="0"/>
          <w:i w:val="0"/>
          <w:iCs w:val="0"/>
          <w:color w:val="auto"/>
          <w:lang w:eastAsia="zh-CN"/>
        </w:rPr>
      </w:pPr>
      <w:r>
        <w:rPr>
          <w:rFonts w:hint="eastAsia" w:ascii="仿宋_GB2312" w:hAnsi="仿宋_GB2312" w:eastAsia="仿宋_GB2312" w:cs="仿宋_GB2312"/>
          <w:b w:val="0"/>
          <w:bCs w:val="0"/>
          <w:i w:val="0"/>
          <w:iCs w:val="0"/>
          <w:color w:val="auto"/>
          <w:sz w:val="32"/>
          <w:szCs w:val="32"/>
          <w:highlight w:val="none"/>
          <w:u w:val="none"/>
          <w:lang w:val="zh-CN"/>
        </w:rPr>
        <w:t>（五）评价组织。</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为提高财政资金使用效益，区</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就业局</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成立了局长为组长、班子成员为副组长，各股室负责人为成员的绩效评价小组。分别对项目实施绩效进行评价。</w:t>
      </w:r>
    </w:p>
    <w:p w14:paraId="65C3E4D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cs="Times New Roman"/>
          <w:b w:val="0"/>
          <w:bCs w:val="0"/>
          <w:i w:val="0"/>
          <w:iCs w:val="0"/>
          <w:color w:val="auto"/>
          <w:sz w:val="32"/>
          <w:szCs w:val="32"/>
          <w:highlight w:val="none"/>
          <w:lang w:val="zh-CN"/>
        </w:rPr>
      </w:pPr>
      <w:r>
        <w:rPr>
          <w:rFonts w:hint="eastAsia" w:ascii="Times New Roman" w:hAnsi="Times New Roman" w:eastAsia="黑体" w:cs="Times New Roman"/>
          <w:b w:val="0"/>
          <w:bCs w:val="0"/>
          <w:i w:val="0"/>
          <w:iCs w:val="0"/>
          <w:color w:val="auto"/>
          <w:sz w:val="32"/>
          <w:szCs w:val="32"/>
          <w:highlight w:val="none"/>
        </w:rPr>
        <w:t>三、</w:t>
      </w:r>
      <w:r>
        <w:rPr>
          <w:rFonts w:hint="eastAsia" w:ascii="Times New Roman" w:hAnsi="Times New Roman" w:eastAsia="黑体" w:cs="Times New Roman"/>
          <w:b w:val="0"/>
          <w:bCs w:val="0"/>
          <w:i w:val="0"/>
          <w:iCs w:val="0"/>
          <w:color w:val="auto"/>
          <w:sz w:val="32"/>
          <w:szCs w:val="32"/>
          <w:highlight w:val="none"/>
          <w:lang w:eastAsia="zh-CN"/>
        </w:rPr>
        <w:t>绩效分析</w:t>
      </w:r>
      <w:r>
        <w:rPr>
          <w:rFonts w:hint="eastAsia" w:ascii="Times New Roman" w:hAnsi="Times New Roman" w:eastAsia="黑体" w:cs="Times New Roman"/>
          <w:b w:val="0"/>
          <w:bCs w:val="0"/>
          <w:i w:val="0"/>
          <w:iCs w:val="0"/>
          <w:color w:val="auto"/>
          <w:sz w:val="32"/>
          <w:szCs w:val="32"/>
          <w:highlight w:val="none"/>
          <w:lang w:val="zh-CN"/>
        </w:rPr>
        <w:tab/>
      </w:r>
    </w:p>
    <w:p w14:paraId="0BB51FB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仿宋_GB2312" w:cs="Times New Roman"/>
          <w:b w:val="0"/>
          <w:bCs w:val="0"/>
          <w:i w:val="0"/>
          <w:iCs w:val="0"/>
          <w:sz w:val="32"/>
          <w:szCs w:val="32"/>
          <w:lang w:val="zh-CN" w:eastAsia="zh-CN"/>
        </w:rPr>
        <w:t>根据部门预算绩效评价指标体系“项目绩效”涉及二、三级指标进行逐项绩效分析并评分，依次包括项目</w:t>
      </w:r>
      <w:r>
        <w:rPr>
          <w:rFonts w:hint="default" w:ascii="Times New Roman" w:hAnsi="Times New Roman" w:eastAsia="仿宋_GB2312" w:cs="Times New Roman"/>
          <w:b w:val="0"/>
          <w:bCs w:val="0"/>
          <w:i w:val="0"/>
          <w:iCs w:val="0"/>
          <w:sz w:val="32"/>
          <w:szCs w:val="32"/>
          <w:lang w:val="en-US" w:eastAsia="zh-CN"/>
        </w:rPr>
        <w:t>决策、项目执行、目标实现等情况。</w:t>
      </w:r>
    </w:p>
    <w:p w14:paraId="76E7E173">
      <w:pPr>
        <w:spacing w:line="600" w:lineRule="exact"/>
        <w:ind w:firstLine="640" w:firstLineChars="200"/>
        <w:outlineLvl w:val="2"/>
        <w:rPr>
          <w:rFonts w:hint="default" w:ascii="Times New Roman" w:hAnsi="Times New Roman" w:eastAsia="楷体_GB2312" w:cs="Times New Roman"/>
          <w:b w:val="0"/>
          <w:bCs w:val="0"/>
          <w:i w:val="0"/>
          <w:iCs w:val="0"/>
          <w:color w:val="auto"/>
          <w:sz w:val="32"/>
          <w:szCs w:val="32"/>
          <w:highlight w:val="none"/>
          <w:lang w:val="en-US" w:eastAsia="zh-CN"/>
        </w:rPr>
      </w:pPr>
      <w:r>
        <w:rPr>
          <w:rFonts w:hint="eastAsia" w:ascii="仿宋_GB2312" w:hAnsi="仿宋_GB2312" w:eastAsia="仿宋_GB2312" w:cs="仿宋_GB2312"/>
          <w:b w:val="0"/>
          <w:bCs w:val="0"/>
          <w:i w:val="0"/>
          <w:iCs w:val="0"/>
          <w:color w:val="auto"/>
          <w:sz w:val="32"/>
          <w:szCs w:val="32"/>
          <w:highlight w:val="none"/>
          <w:lang w:val="zh-CN"/>
        </w:rPr>
        <w:t>（一）</w:t>
      </w:r>
      <w:r>
        <w:rPr>
          <w:rFonts w:hint="eastAsia" w:ascii="仿宋_GB2312" w:hAnsi="仿宋_GB2312" w:eastAsia="仿宋_GB2312" w:cs="仿宋_GB2312"/>
          <w:b w:val="0"/>
          <w:bCs w:val="0"/>
          <w:i w:val="0"/>
          <w:iCs w:val="0"/>
          <w:color w:val="auto"/>
          <w:sz w:val="32"/>
          <w:szCs w:val="32"/>
          <w:highlight w:val="none"/>
          <w:lang w:val="en-US" w:eastAsia="zh-CN"/>
        </w:rPr>
        <w:t>通用指标</w:t>
      </w:r>
      <w:r>
        <w:rPr>
          <w:rFonts w:hint="eastAsia" w:ascii="仿宋_GB2312" w:hAnsi="仿宋_GB2312" w:eastAsia="仿宋_GB2312" w:cs="仿宋_GB2312"/>
          <w:b w:val="0"/>
          <w:bCs w:val="0"/>
          <w:i w:val="0"/>
          <w:iCs w:val="0"/>
          <w:color w:val="auto"/>
          <w:sz w:val="32"/>
          <w:szCs w:val="32"/>
          <w:highlight w:val="none"/>
          <w:lang w:val="zh-CN"/>
        </w:rPr>
        <w:t>绩效分析。</w:t>
      </w:r>
    </w:p>
    <w:p w14:paraId="2D3444F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i w:val="0"/>
          <w:iCs w:val="0"/>
          <w:color w:val="000000"/>
          <w:kern w:val="0"/>
          <w:sz w:val="32"/>
          <w:szCs w:val="32"/>
          <w:highlight w:val="none"/>
          <w:shd w:val="clear" w:color="auto" w:fill="FFFFFF"/>
          <w:lang w:val="zh-CN"/>
        </w:rPr>
      </w:pPr>
      <w:r>
        <w:rPr>
          <w:rFonts w:hint="eastAsia" w:ascii="仿宋_GB2312" w:hAnsi="仿宋_GB2312" w:eastAsia="仿宋_GB2312" w:cs="仿宋_GB2312"/>
          <w:b w:val="0"/>
          <w:bCs w:val="0"/>
          <w:i w:val="0"/>
          <w:iCs w:val="0"/>
          <w:color w:val="auto"/>
          <w:sz w:val="32"/>
          <w:szCs w:val="32"/>
          <w:lang w:val="en-US" w:eastAsia="zh-CN"/>
        </w:rPr>
        <w:t>1.</w:t>
      </w:r>
      <w:r>
        <w:rPr>
          <w:rFonts w:hint="eastAsia" w:ascii="仿宋_GB2312" w:hAnsi="仿宋_GB2312" w:eastAsia="仿宋_GB2312" w:cs="仿宋_GB2312"/>
          <w:b w:val="0"/>
          <w:bCs w:val="0"/>
          <w:i w:val="0"/>
          <w:iCs w:val="0"/>
          <w:color w:val="auto"/>
          <w:sz w:val="32"/>
          <w:szCs w:val="32"/>
          <w:lang w:eastAsia="zh-CN"/>
        </w:rPr>
        <w:t>项目决策。</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从综合评价来看，区</w:t>
      </w:r>
      <w:r>
        <w:rPr>
          <w:rFonts w:hint="eastAsia" w:ascii="仿宋_GB2312" w:hAnsi="仿宋_GB2312" w:eastAsia="仿宋_GB2312" w:cs="仿宋_GB2312"/>
          <w:b w:val="0"/>
          <w:bCs w:val="0"/>
          <w:i w:val="0"/>
          <w:iCs w:val="0"/>
          <w:color w:val="000000" w:themeColor="text1"/>
          <w:kern w:val="0"/>
          <w:position w:val="0"/>
          <w:sz w:val="32"/>
          <w:szCs w:val="32"/>
          <w:highlight w:val="none"/>
          <w:lang w:val="en-US" w:eastAsia="zh-CN" w:bidi="ar-SA"/>
          <w14:textFill>
            <w14:solidFill>
              <w14:schemeClr w14:val="tx1"/>
            </w14:solidFill>
          </w14:textFill>
        </w:rPr>
        <w:t>就业局</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各预算项目设立依据基本充分，均设定了各项目绩效目标，对资金配置方面均有明确的测算依据，整体情况良好。</w:t>
      </w:r>
    </w:p>
    <w:p w14:paraId="1AFE260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r>
        <w:rPr>
          <w:rFonts w:hint="eastAsia" w:ascii="仿宋_GB2312" w:hAnsi="仿宋_GB2312" w:eastAsia="仿宋_GB2312" w:cs="仿宋_GB2312"/>
          <w:b w:val="0"/>
          <w:bCs w:val="0"/>
          <w:i w:val="0"/>
          <w:iCs w:val="0"/>
          <w:color w:val="auto"/>
          <w:sz w:val="32"/>
          <w:szCs w:val="32"/>
          <w:lang w:val="en-US" w:eastAsia="zh-CN"/>
        </w:rPr>
        <w:t>2.</w:t>
      </w:r>
      <w:r>
        <w:rPr>
          <w:rFonts w:hint="eastAsia" w:ascii="仿宋_GB2312" w:hAnsi="仿宋_GB2312" w:eastAsia="仿宋_GB2312" w:cs="仿宋_GB2312"/>
          <w:b w:val="0"/>
          <w:bCs w:val="0"/>
          <w:i w:val="0"/>
          <w:iCs w:val="0"/>
          <w:color w:val="auto"/>
          <w:sz w:val="32"/>
          <w:szCs w:val="32"/>
          <w:lang w:eastAsia="zh-CN"/>
        </w:rPr>
        <w:t>项目管理。</w:t>
      </w:r>
      <w:r>
        <w:rPr>
          <w:rFonts w:hint="eastAsia" w:ascii="仿宋_GB2312" w:hAnsi="仿宋_GB2312" w:eastAsia="仿宋_GB2312" w:cs="仿宋_GB2312"/>
          <w:sz w:val="32"/>
          <w:szCs w:val="32"/>
        </w:rPr>
        <w:t>从整体评价来看，区</w:t>
      </w:r>
      <w:r>
        <w:rPr>
          <w:rFonts w:hint="eastAsia" w:ascii="仿宋_GB2312" w:hAnsi="仿宋_GB2312" w:eastAsia="仿宋_GB2312" w:cs="仿宋_GB2312"/>
          <w:sz w:val="32"/>
          <w:szCs w:val="32"/>
          <w:lang w:val="en-US" w:eastAsia="zh-CN"/>
        </w:rPr>
        <w:t>就业局</w:t>
      </w:r>
      <w:r>
        <w:rPr>
          <w:rFonts w:hint="eastAsia" w:ascii="仿宋_GB2312" w:hAnsi="仿宋_GB2312" w:eastAsia="仿宋_GB2312" w:cs="仿宋_GB2312"/>
          <w:sz w:val="32"/>
          <w:szCs w:val="32"/>
        </w:rPr>
        <w:t>建立了基本能全面覆盖的管理制度，各项目按照财政局相关要求稳步推进，并根据年度工作计划做好各项目工作</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项目管理中正确做</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绩效监管进行绩效分析。</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同时</w:t>
      </w:r>
      <w:r>
        <w:rPr>
          <w:rFonts w:hint="eastAsia" w:ascii="仿宋_GB2312" w:hAnsi="仿宋_GB2312" w:eastAsia="仿宋_GB2312" w:cs="仿宋_GB2312"/>
          <w:b w:val="0"/>
          <w:bCs w:val="0"/>
          <w:i w:val="0"/>
          <w:iCs w:val="0"/>
          <w:sz w:val="32"/>
          <w:szCs w:val="32"/>
          <w:lang w:val="zh-CN" w:eastAsia="zh-CN"/>
        </w:rPr>
        <w:t>加强财务管理和内部控制监督制度。</w:t>
      </w:r>
    </w:p>
    <w:p w14:paraId="209AA91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3.项目实施。在超额完成年度目标任务的基础上，兜底安置乡村公益性岗位1957人次，扶贫公益性岗位263人次，城镇公益性岗位188人次；按照</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巩固拓展脱贫攻坚成果同乡村振兴有效衔接相关要求，</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动态安置临时性工作岗位2235人次。鼓励企业、农村专业合作社等吸纳高校毕业生和建档立卡脱贫户就业38人，发放一次性吸纳奖补资金4.8万元。积极招募参加就业见习人员79人（其中2023年高校毕业生16人）</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w:t>
      </w:r>
    </w:p>
    <w:p w14:paraId="1EF12FD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4.项目结果。</w:t>
      </w:r>
      <w:r>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t>基本完成年初指标值，通过项目实施</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全区脱贫劳动力转移就业达2.52万人，完成目标任务的102.72%。</w:t>
      </w:r>
    </w:p>
    <w:p w14:paraId="5AC557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（二）</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专用指标</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绩效分析。根据</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专项预算项目资金支持对象选择所属指标进行绩效分析。支持对象</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包括产业发展、民生保障、基础设施、行政运转等方面。</w:t>
      </w:r>
    </w:p>
    <w:p w14:paraId="133C88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1.产业发展。</w:t>
      </w:r>
      <w:r>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t>无</w:t>
      </w:r>
    </w:p>
    <w:p w14:paraId="059467D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2.</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民生保障。</w:t>
      </w:r>
      <w:r>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t>无</w:t>
      </w:r>
    </w:p>
    <w:p w14:paraId="428A32D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3.基础设施。</w:t>
      </w:r>
      <w:r>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t>无</w:t>
      </w:r>
    </w:p>
    <w:p w14:paraId="7F515FC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4.</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行政运转。</w:t>
      </w:r>
      <w:r>
        <w:rPr>
          <w:rFonts w:hint="eastAsia" w:ascii="Times New Roman" w:hAnsi="Times New Roman" w:eastAsia="仿宋_GB2312" w:cs="Times New Roman"/>
          <w:b w:val="0"/>
          <w:bCs w:val="0"/>
          <w:i w:val="0"/>
          <w:iCs w:val="0"/>
          <w:color w:val="auto"/>
          <w:kern w:val="0"/>
          <w:position w:val="0"/>
          <w:sz w:val="32"/>
          <w:szCs w:val="32"/>
          <w:highlight w:val="none"/>
          <w:lang w:val="zh-CN" w:eastAsia="zh-CN" w:bidi="ar-SA"/>
        </w:rPr>
        <w:t>无</w:t>
      </w:r>
    </w:p>
    <w:p w14:paraId="0BBF0D1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（三）</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个性指标</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绩效分析。</w:t>
      </w:r>
      <w:r>
        <w:rPr>
          <w:rFonts w:hint="eastAsia" w:ascii="Times New Roman" w:hAnsi="Times New Roman" w:eastAsia="仿宋_GB2312" w:cs="Times New Roman"/>
          <w:b w:val="0"/>
          <w:bCs w:val="0"/>
          <w:i w:val="0"/>
          <w:iCs w:val="0"/>
          <w:color w:val="auto"/>
          <w:kern w:val="0"/>
          <w:position w:val="0"/>
          <w:sz w:val="32"/>
          <w:szCs w:val="32"/>
          <w:highlight w:val="none"/>
          <w:lang w:val="zh-CN" w:eastAsia="zh-CN" w:bidi="ar-SA"/>
        </w:rPr>
        <w:t>无</w:t>
      </w:r>
    </w:p>
    <w:p w14:paraId="55483A5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四、评价结论</w:t>
      </w:r>
    </w:p>
    <w:p w14:paraId="067687B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我局财务管理制度健全规范，无违规违纪现象，2023年</w:t>
      </w:r>
      <w:r>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t>就业创业服务经费项目</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自评得分8</w:t>
      </w:r>
      <w:r>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t>9</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分</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w:t>
      </w:r>
    </w:p>
    <w:p w14:paraId="04E723A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五、存在主要问题</w:t>
      </w:r>
    </w:p>
    <w:p w14:paraId="7DD9FB5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b w:val="0"/>
          <w:bCs w:val="0"/>
          <w:i w:val="0"/>
          <w:iCs w:val="0"/>
          <w:color w:val="auto"/>
          <w:kern w:val="0"/>
          <w:position w:val="0"/>
          <w:sz w:val="32"/>
          <w:szCs w:val="32"/>
          <w:highlight w:val="none"/>
          <w:lang w:val="zh-CN" w:eastAsia="zh-CN" w:bidi="ar-SA"/>
        </w:rPr>
      </w:pPr>
      <w:r>
        <w:rPr>
          <w:rFonts w:hint="eastAsia" w:ascii="Times New Roman" w:hAnsi="Times New Roman" w:eastAsia="仿宋_GB2312" w:cs="Times New Roman"/>
          <w:b w:val="0"/>
          <w:bCs w:val="0"/>
          <w:i w:val="0"/>
          <w:iCs w:val="0"/>
          <w:color w:val="auto"/>
          <w:kern w:val="0"/>
          <w:position w:val="0"/>
          <w:sz w:val="32"/>
          <w:szCs w:val="32"/>
          <w:highlight w:val="none"/>
          <w:lang w:val="zh-CN" w:eastAsia="zh-CN" w:bidi="ar-SA"/>
        </w:rPr>
        <w:t>1、内控制度、财务制度还可进一步完善。</w:t>
      </w:r>
    </w:p>
    <w:p w14:paraId="4396FCF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pPr>
      <w:r>
        <w:rPr>
          <w:rFonts w:hint="eastAsia" w:ascii="Times New Roman" w:hAnsi="Times New Roman" w:eastAsia="仿宋_GB2312" w:cs="Times New Roman"/>
          <w:b w:val="0"/>
          <w:bCs w:val="0"/>
          <w:i w:val="0"/>
          <w:iCs w:val="0"/>
          <w:color w:val="auto"/>
          <w:kern w:val="0"/>
          <w:position w:val="0"/>
          <w:sz w:val="32"/>
          <w:szCs w:val="32"/>
          <w:highlight w:val="none"/>
          <w:lang w:val="zh-CN" w:eastAsia="zh-CN" w:bidi="ar-SA"/>
        </w:rPr>
        <w:t>2、资金使用效益有待进一步提高</w:t>
      </w:r>
      <w:r>
        <w:rPr>
          <w:rFonts w:hint="eastAsia" w:eastAsia="仿宋_GB2312" w:cs="Times New Roman"/>
          <w:b w:val="0"/>
          <w:bCs w:val="0"/>
          <w:i w:val="0"/>
          <w:iCs w:val="0"/>
          <w:color w:val="auto"/>
          <w:kern w:val="0"/>
          <w:position w:val="0"/>
          <w:sz w:val="32"/>
          <w:szCs w:val="32"/>
          <w:highlight w:val="none"/>
          <w:lang w:val="zh-CN" w:eastAsia="zh-CN" w:bidi="ar-SA"/>
        </w:rPr>
        <w:t>。</w:t>
      </w:r>
    </w:p>
    <w:p w14:paraId="2A0C5C6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六、改进建议</w:t>
      </w:r>
    </w:p>
    <w:p w14:paraId="0A6AC3BC">
      <w:pPr>
        <w:pStyle w:val="2"/>
        <w:rPr>
          <w:rFonts w:hint="default"/>
          <w:lang w:val="zh-CN" w:eastAsia="zh-CN"/>
        </w:rPr>
      </w:pPr>
    </w:p>
    <w:p w14:paraId="14BE1B0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FF000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FF0000"/>
          <w:kern w:val="0"/>
          <w:position w:val="0"/>
          <w:sz w:val="32"/>
          <w:szCs w:val="32"/>
          <w:highlight w:val="none"/>
          <w:lang w:val="zh-CN" w:eastAsia="zh-CN" w:bidi="ar-SA"/>
        </w:rPr>
        <w:t xml:space="preserve"> </w:t>
      </w:r>
      <w:r>
        <w:rPr>
          <w:rFonts w:hint="eastAsia" w:eastAsia="仿宋_GB2312" w:cs="Times New Roman"/>
          <w:b w:val="0"/>
          <w:bCs w:val="0"/>
          <w:i w:val="0"/>
          <w:iCs w:val="0"/>
          <w:color w:val="FF0000"/>
          <w:kern w:val="0"/>
          <w:position w:val="0"/>
          <w:sz w:val="32"/>
          <w:szCs w:val="32"/>
          <w:highlight w:val="none"/>
          <w:lang w:val="en-US" w:eastAsia="zh-CN" w:bidi="ar-SA"/>
        </w:rPr>
        <w:t xml:space="preserve">  </w:t>
      </w:r>
      <w:r>
        <w:rPr>
          <w:rFonts w:hint="eastAsia" w:ascii="Times New Roman" w:hAnsi="Times New Roman" w:eastAsia="仿宋_GB2312" w:cs="Times New Roman"/>
          <w:b w:val="0"/>
          <w:bCs w:val="0"/>
          <w:i w:val="0"/>
          <w:iCs w:val="0"/>
          <w:color w:val="auto"/>
          <w:kern w:val="0"/>
          <w:position w:val="0"/>
          <w:sz w:val="32"/>
          <w:szCs w:val="32"/>
          <w:highlight w:val="none"/>
          <w:lang w:val="zh-CN" w:eastAsia="zh-CN" w:bidi="ar-SA"/>
        </w:rPr>
        <w:t>进一步完善内控制度、财务制度，提高资金使用效益</w:t>
      </w:r>
      <w:r>
        <w:rPr>
          <w:rFonts w:hint="eastAsia" w:eastAsia="仿宋_GB2312" w:cs="Times New Roman"/>
          <w:b w:val="0"/>
          <w:bCs w:val="0"/>
          <w:i w:val="0"/>
          <w:iCs w:val="0"/>
          <w:color w:val="auto"/>
          <w:kern w:val="0"/>
          <w:position w:val="0"/>
          <w:sz w:val="32"/>
          <w:szCs w:val="32"/>
          <w:highlight w:val="none"/>
          <w:lang w:val="zh-CN" w:eastAsia="zh-CN" w:bidi="ar-SA"/>
        </w:rPr>
        <w:t>。</w:t>
      </w:r>
    </w:p>
    <w:p w14:paraId="56A7D54E">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default" w:ascii="Times New Roman" w:hAnsi="Times New Roman" w:eastAsia="仿宋_GB2312" w:cs="Times New Roman"/>
          <w:b w:val="0"/>
          <w:bCs w:val="0"/>
          <w:i w:val="0"/>
          <w:iCs w:val="0"/>
          <w:color w:val="000000"/>
          <w:kern w:val="0"/>
          <w:szCs w:val="32"/>
          <w:highlight w:val="none"/>
          <w:shd w:val="clear" w:color="auto" w:fill="FFFFFF"/>
          <w:lang w:val="zh-CN" w:eastAsia="zh-CN"/>
        </w:rPr>
      </w:pPr>
    </w:p>
    <w:p w14:paraId="0240D03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 w:cs="Times New Roman"/>
          <w:b w:val="0"/>
          <w:bCs w:val="0"/>
          <w:i w:val="0"/>
          <w:iCs w:val="0"/>
          <w:color w:val="auto"/>
          <w:sz w:val="32"/>
          <w:szCs w:val="32"/>
          <w:highlight w:val="none"/>
        </w:rPr>
      </w:pPr>
    </w:p>
    <w:p w14:paraId="71F3EF34">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微软雅黑" w:cs="Times New Roman"/>
          <w:b w:val="0"/>
          <w:bCs w:val="0"/>
          <w:i w:val="0"/>
          <w:iCs w:val="0"/>
          <w:color w:val="auto"/>
          <w:kern w:val="2"/>
          <w:sz w:val="44"/>
          <w:szCs w:val="44"/>
          <w:highlight w:val="none"/>
          <w:lang w:val="en-US" w:eastAsia="zh-CN"/>
        </w:rPr>
      </w:pPr>
      <w:r>
        <w:rPr>
          <w:rFonts w:hint="default" w:ascii="Times New Roman" w:hAnsi="Times New Roman" w:eastAsia="微软雅黑" w:cs="Times New Roman"/>
          <w:b w:val="0"/>
          <w:bCs w:val="0"/>
          <w:i w:val="0"/>
          <w:iCs w:val="0"/>
          <w:color w:val="auto"/>
          <w:kern w:val="2"/>
          <w:sz w:val="44"/>
          <w:szCs w:val="44"/>
          <w:highlight w:val="none"/>
          <w:lang w:val="en-US" w:eastAsia="zh-CN"/>
        </w:rPr>
        <w:br w:type="page"/>
      </w:r>
    </w:p>
    <w:p w14:paraId="596E559B">
      <w:pPr>
        <w:pStyle w:val="4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仿宋_GB2312" w:hAnsi="仿宋_GB2312" w:eastAsia="仿宋_GB2312" w:cs="仿宋_GB2312"/>
          <w:b/>
          <w:bCs/>
          <w:i w:val="0"/>
          <w:iCs w:val="0"/>
          <w:color w:val="auto"/>
          <w:kern w:val="2"/>
          <w:sz w:val="44"/>
          <w:szCs w:val="44"/>
          <w:highlight w:val="none"/>
          <w:lang w:val="en-US" w:eastAsia="zh-CN"/>
        </w:rPr>
      </w:pPr>
      <w:r>
        <w:rPr>
          <w:rFonts w:hint="eastAsia" w:ascii="仿宋_GB2312" w:hAnsi="仿宋_GB2312" w:eastAsia="仿宋_GB2312" w:cs="仿宋_GB2312"/>
          <w:b/>
          <w:bCs/>
          <w:i w:val="0"/>
          <w:iCs w:val="0"/>
          <w:color w:val="auto"/>
          <w:kern w:val="2"/>
          <w:sz w:val="44"/>
          <w:szCs w:val="44"/>
          <w:highlight w:val="none"/>
          <w:lang w:val="en-US" w:eastAsia="zh-CN"/>
        </w:rPr>
        <w:t>专项预算项目绩效评价报告</w:t>
      </w:r>
    </w:p>
    <w:p w14:paraId="1BF7A3EB">
      <w:pPr>
        <w:keepNext w:val="0"/>
        <w:keepLines w:val="0"/>
        <w:pageBreakBefore w:val="0"/>
        <w:widowControl w:val="0"/>
        <w:kinsoku/>
        <w:wordWrap/>
        <w:overflowPunct/>
        <w:topLinePunct w:val="0"/>
        <w:autoSpaceDE/>
        <w:autoSpaceDN/>
        <w:bidi w:val="0"/>
        <w:adjustRightInd/>
        <w:snapToGrid/>
        <w:spacing w:before="292" w:beforeLines="50"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就业创业补助资金</w:t>
      </w:r>
      <w:r>
        <w:rPr>
          <w:rFonts w:hint="eastAsia" w:ascii="仿宋_GB2312" w:hAnsi="仿宋_GB2312" w:eastAsia="仿宋_GB2312" w:cs="仿宋_GB2312"/>
          <w:b/>
          <w:bCs/>
          <w:sz w:val="30"/>
          <w:szCs w:val="30"/>
        </w:rPr>
        <w:t>）</w:t>
      </w:r>
    </w:p>
    <w:p w14:paraId="2420E581">
      <w:pPr>
        <w:pStyle w:val="44"/>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default" w:ascii="Times New Roman" w:hAnsi="Times New Roman" w:cs="Times New Roman"/>
          <w:b w:val="0"/>
          <w:bCs w:val="0"/>
          <w:i w:val="0"/>
          <w:iCs w:val="0"/>
          <w:color w:val="auto"/>
          <w:kern w:val="2"/>
          <w:sz w:val="30"/>
          <w:szCs w:val="30"/>
          <w:highlight w:val="none"/>
        </w:rPr>
      </w:pPr>
    </w:p>
    <w:p w14:paraId="51E0F07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i w:val="0"/>
          <w:iCs w:val="0"/>
          <w:color w:val="auto"/>
          <w:sz w:val="32"/>
          <w:szCs w:val="32"/>
          <w:highlight w:val="none"/>
          <w:lang w:val="zh-CN"/>
        </w:rPr>
      </w:pPr>
      <w:r>
        <w:rPr>
          <w:rFonts w:hint="default" w:ascii="Times New Roman" w:hAnsi="Times New Roman" w:eastAsia="黑体" w:cs="Times New Roman"/>
          <w:b w:val="0"/>
          <w:bCs w:val="0"/>
          <w:i w:val="0"/>
          <w:iCs w:val="0"/>
          <w:color w:val="auto"/>
          <w:sz w:val="32"/>
          <w:szCs w:val="32"/>
          <w:highlight w:val="none"/>
          <w:lang w:val="zh-CN"/>
        </w:rPr>
        <w:t>项目概况</w:t>
      </w:r>
    </w:p>
    <w:p w14:paraId="185D3118">
      <w:pPr>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textAlignment w:val="auto"/>
        <w:rPr>
          <w:rFonts w:hint="eastAsia" w:ascii="仿宋_GB2312" w:hAnsi="仿宋_GB2312" w:eastAsia="仿宋_GB2312" w:cs="仿宋_GB2312"/>
          <w:b w:val="0"/>
          <w:bCs w:val="0"/>
          <w:i w:val="0"/>
          <w:i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i w:val="0"/>
          <w:iCs w:val="0"/>
          <w:color w:val="auto"/>
          <w:sz w:val="32"/>
          <w:szCs w:val="32"/>
          <w:highlight w:val="none"/>
          <w:u w:val="none"/>
          <w:lang w:val="zh-CN"/>
        </w:rPr>
        <w:t>（一）设立背景及基本情况。</w:t>
      </w:r>
      <w:r>
        <w:rPr>
          <w:rFonts w:hint="eastAsia" w:ascii="仿宋_GB2312" w:hAnsi="仿宋_GB2312" w:eastAsia="仿宋_GB2312" w:cs="仿宋_GB2312"/>
          <w:color w:val="auto"/>
          <w:sz w:val="32"/>
          <w:szCs w:val="32"/>
          <w:highlight w:val="none"/>
        </w:rPr>
        <w:t>为贯彻落实</w:t>
      </w:r>
      <w:r>
        <w:rPr>
          <w:rFonts w:hint="eastAsia" w:ascii="仿宋_GB2312" w:hAnsi="仿宋_GB2312" w:eastAsia="仿宋_GB2312" w:cs="仿宋_GB2312"/>
          <w:color w:val="auto"/>
          <w:sz w:val="32"/>
          <w:szCs w:val="32"/>
          <w:highlight w:val="none"/>
          <w:lang w:eastAsia="zh-CN"/>
        </w:rPr>
        <w:t>各项</w:t>
      </w:r>
      <w:r>
        <w:rPr>
          <w:rFonts w:hint="eastAsia" w:ascii="仿宋_GB2312" w:hAnsi="仿宋_GB2312" w:eastAsia="仿宋_GB2312" w:cs="仿宋_GB2312"/>
          <w:color w:val="auto"/>
          <w:sz w:val="32"/>
          <w:szCs w:val="32"/>
          <w:highlight w:val="none"/>
        </w:rPr>
        <w:t>就业</w:t>
      </w:r>
      <w:r>
        <w:rPr>
          <w:rFonts w:hint="eastAsia" w:ascii="仿宋_GB2312" w:hAnsi="仿宋_GB2312" w:eastAsia="仿宋_GB2312" w:cs="仿宋_GB2312"/>
          <w:color w:val="auto"/>
          <w:sz w:val="32"/>
          <w:szCs w:val="32"/>
          <w:highlight w:val="none"/>
          <w:lang w:eastAsia="zh-CN"/>
        </w:rPr>
        <w:t>创业</w:t>
      </w:r>
      <w:r>
        <w:rPr>
          <w:rFonts w:hint="eastAsia" w:ascii="仿宋_GB2312" w:hAnsi="仿宋_GB2312" w:eastAsia="仿宋_GB2312" w:cs="仿宋_GB2312"/>
          <w:color w:val="auto"/>
          <w:sz w:val="32"/>
          <w:szCs w:val="32"/>
          <w:highlight w:val="none"/>
        </w:rPr>
        <w:t>政策，根据《中华人民共和国就业促进法》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关于印发〈2023年全市就业创业服务工作要点〉的通知</w:t>
      </w:r>
      <w:r>
        <w:rPr>
          <w:rFonts w:hint="eastAsia" w:ascii="仿宋_GB2312" w:hAnsi="仿宋_GB2312" w:eastAsia="仿宋_GB2312" w:cs="仿宋_GB2312"/>
          <w:color w:val="auto"/>
          <w:sz w:val="32"/>
          <w:szCs w:val="32"/>
          <w:highlight w:val="none"/>
          <w:lang w:eastAsia="zh-CN"/>
        </w:rPr>
        <w:t>》（遂就发〔202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13 </w:t>
      </w:r>
      <w:r>
        <w:rPr>
          <w:rFonts w:hint="eastAsia" w:ascii="仿宋_GB2312" w:hAnsi="仿宋_GB2312" w:eastAsia="仿宋_GB2312" w:cs="仿宋_GB2312"/>
          <w:color w:val="auto"/>
          <w:sz w:val="32"/>
          <w:szCs w:val="32"/>
          <w:highlight w:val="none"/>
          <w:lang w:eastAsia="zh-CN"/>
        </w:rPr>
        <w:t>号）《</w:t>
      </w:r>
      <w:r>
        <w:rPr>
          <w:rFonts w:hint="eastAsia" w:ascii="仿宋_GB2312" w:hAnsi="仿宋_GB2312" w:eastAsia="仿宋_GB2312" w:cs="仿宋_GB2312"/>
          <w:color w:val="auto"/>
          <w:sz w:val="32"/>
          <w:szCs w:val="32"/>
          <w:highlight w:val="none"/>
          <w:lang w:val="en-US" w:eastAsia="zh-CN"/>
        </w:rPr>
        <w:t>遂宁市人力资源和社会保障局等5部门关于加强就业帮扶巩固拓展脱贫攻坚成果推进乡村振兴的实施意见</w:t>
      </w:r>
      <w:r>
        <w:rPr>
          <w:rFonts w:hint="eastAsia" w:ascii="仿宋_GB2312" w:hAnsi="仿宋_GB2312" w:eastAsia="仿宋_GB2312" w:cs="仿宋_GB2312"/>
          <w:color w:val="auto"/>
          <w:sz w:val="32"/>
          <w:szCs w:val="32"/>
          <w:highlight w:val="none"/>
          <w:lang w:eastAsia="zh-CN"/>
        </w:rPr>
        <w:t>》（遂人社发〔2021〕23号）等文件要求，</w:t>
      </w:r>
      <w:r>
        <w:rPr>
          <w:rFonts w:hint="eastAsia" w:ascii="仿宋_GB2312" w:hAnsi="仿宋_GB2312" w:eastAsia="仿宋_GB2312" w:cs="仿宋_GB2312"/>
          <w:color w:val="auto"/>
          <w:sz w:val="32"/>
          <w:szCs w:val="32"/>
          <w:highlight w:val="none"/>
          <w:lang w:val="zh-CN"/>
        </w:rPr>
        <w:t>大力实施就业普惠政策，</w:t>
      </w:r>
      <w:r>
        <w:rPr>
          <w:rFonts w:hint="eastAsia" w:ascii="仿宋_GB2312" w:hAnsi="仿宋_GB2312" w:eastAsia="仿宋_GB2312" w:cs="仿宋_GB2312"/>
          <w:color w:val="auto"/>
          <w:sz w:val="32"/>
          <w:szCs w:val="32"/>
          <w:highlight w:val="none"/>
          <w:lang w:val="en-US" w:eastAsia="zh-CN"/>
        </w:rPr>
        <w:t>完善公共服务举措，着力促进重点群体就业，推动创业带动就业，</w:t>
      </w:r>
      <w:r>
        <w:rPr>
          <w:rFonts w:hint="eastAsia" w:ascii="仿宋_GB2312" w:hAnsi="仿宋_GB2312" w:eastAsia="仿宋_GB2312" w:cs="仿宋_GB2312"/>
          <w:color w:val="auto"/>
          <w:sz w:val="32"/>
          <w:szCs w:val="32"/>
          <w:highlight w:val="none"/>
        </w:rPr>
        <w:t>确保全区就业形势总体稳定</w:t>
      </w:r>
      <w:r>
        <w:rPr>
          <w:rFonts w:hint="eastAsia" w:ascii="仿宋_GB2312" w:hAnsi="仿宋_GB2312" w:eastAsia="仿宋_GB2312" w:cs="仿宋_GB2312"/>
          <w:color w:val="auto"/>
          <w:sz w:val="32"/>
          <w:szCs w:val="32"/>
          <w:highlight w:val="none"/>
          <w:lang w:eastAsia="zh-CN"/>
        </w:rPr>
        <w:t>。</w:t>
      </w:r>
    </w:p>
    <w:p w14:paraId="0F8B457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val="0"/>
          <w:bCs w:val="0"/>
          <w:i w:val="0"/>
          <w:iCs w:val="0"/>
          <w:color w:val="auto"/>
          <w:sz w:val="32"/>
          <w:szCs w:val="32"/>
          <w:highlight w:val="none"/>
          <w:u w:val="none"/>
          <w:lang w:val="zh-CN"/>
        </w:rPr>
        <w:t>（二）</w:t>
      </w:r>
      <w:r>
        <w:rPr>
          <w:rFonts w:hint="eastAsia" w:ascii="仿宋_GB2312" w:hAnsi="仿宋_GB2312" w:eastAsia="仿宋_GB2312" w:cs="仿宋_GB2312"/>
          <w:b w:val="0"/>
          <w:bCs w:val="0"/>
          <w:i w:val="0"/>
          <w:iCs w:val="0"/>
          <w:color w:val="auto"/>
          <w:sz w:val="32"/>
          <w:szCs w:val="32"/>
          <w:highlight w:val="none"/>
          <w:u w:val="none"/>
          <w:lang w:val="en-US" w:eastAsia="zh-CN"/>
        </w:rPr>
        <w:t>实施目的及支持方向</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该项目资金严格遂宁市财政局、遂宁市人社局关于转发《四川省财政厅、四川人力资源和社会保障厅关于进一步加强就业专项资金管理有关问题的通知》（遂市财社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zh-CN" w:eastAsia="zh-CN"/>
        </w:rPr>
        <w:t>2012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zh-CN" w:eastAsia="zh-CN"/>
        </w:rPr>
        <w:t>10号）文件要求使用。资金开支范围、标准及支付进度、支付依据都是合规合法，资金支付与预算相符。</w:t>
      </w:r>
    </w:p>
    <w:p w14:paraId="61C17EEB">
      <w:pPr>
        <w:pStyle w:val="18"/>
        <w:keepNext w:val="0"/>
        <w:keepLines w:val="0"/>
        <w:pageBreakBefore w:val="0"/>
        <w:widowControl w:val="0"/>
        <w:kinsoku/>
        <w:wordWrap/>
        <w:overflowPunct/>
        <w:topLinePunct w:val="0"/>
        <w:autoSpaceDE/>
        <w:autoSpaceDN/>
        <w:bidi w:val="0"/>
        <w:spacing w:before="0" w:beforeAutospacing="0" w:after="0" w:line="58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val="0"/>
          <w:bCs w:val="0"/>
          <w:i w:val="0"/>
          <w:iCs w:val="0"/>
          <w:color w:val="auto"/>
          <w:sz w:val="32"/>
          <w:szCs w:val="32"/>
          <w:highlight w:val="none"/>
          <w:u w:val="none"/>
          <w:lang w:val="zh-CN" w:eastAsia="zh-CN"/>
        </w:rPr>
        <w:t>（三）</w:t>
      </w:r>
      <w:r>
        <w:rPr>
          <w:rFonts w:hint="eastAsia" w:ascii="仿宋_GB2312" w:hAnsi="仿宋_GB2312" w:eastAsia="仿宋_GB2312" w:cs="仿宋_GB2312"/>
          <w:b w:val="0"/>
          <w:bCs w:val="0"/>
          <w:i w:val="0"/>
          <w:iCs w:val="0"/>
          <w:color w:val="auto"/>
          <w:sz w:val="32"/>
          <w:szCs w:val="32"/>
          <w:highlight w:val="none"/>
          <w:u w:val="none"/>
          <w:lang w:val="en-US" w:eastAsia="zh-CN"/>
        </w:rPr>
        <w:t>预算安排及分配管理</w:t>
      </w:r>
      <w:r>
        <w:rPr>
          <w:rFonts w:hint="eastAsia" w:ascii="仿宋_GB2312" w:hAnsi="仿宋_GB2312" w:eastAsia="仿宋_GB2312" w:cs="仿宋_GB2312"/>
          <w:b w:val="0"/>
          <w:bCs w:val="0"/>
          <w:i w:val="0"/>
          <w:iCs w:val="0"/>
          <w:color w:val="auto"/>
          <w:sz w:val="32"/>
          <w:szCs w:val="32"/>
          <w:highlight w:val="none"/>
          <w:u w:val="none"/>
          <w:lang w:val="zh-CN" w:eastAsia="zh-CN"/>
        </w:rPr>
        <w:t>。</w:t>
      </w:r>
      <w:r>
        <w:rPr>
          <w:rFonts w:hint="eastAsia" w:ascii="仿宋_GB2312" w:hAnsi="仿宋_GB2312" w:eastAsia="仿宋_GB2312" w:cs="仿宋_GB2312"/>
          <w:color w:val="auto"/>
          <w:sz w:val="32"/>
          <w:szCs w:val="32"/>
          <w:shd w:val="clear" w:color="auto" w:fill="FFFFFF"/>
        </w:rPr>
        <w:t>资金的支付符合国家财经法规和财务管理制度规定，以及有关专项资金管理办法的规定；资金拨付有完整的审批程序和手续；经费支出符合部门预算批复的用途；资金使用除部门支出预算不足有调剂使用外，无截留、挪用、虚列支出等情况。</w:t>
      </w:r>
    </w:p>
    <w:p w14:paraId="1DF1E95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r>
        <w:rPr>
          <w:rFonts w:hint="eastAsia" w:ascii="仿宋_GB2312" w:hAnsi="仿宋_GB2312" w:eastAsia="仿宋_GB2312" w:cs="仿宋_GB2312"/>
          <w:b w:val="0"/>
          <w:bCs w:val="0"/>
          <w:i w:val="0"/>
          <w:iCs w:val="0"/>
          <w:color w:val="auto"/>
          <w:sz w:val="32"/>
          <w:szCs w:val="32"/>
          <w:highlight w:val="none"/>
          <w:u w:val="none"/>
          <w:lang w:val="zh-CN" w:eastAsia="zh-CN"/>
        </w:rPr>
        <w:t>（四）项目绩效目标设置。</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项目</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实施在一定时期内所要达到的总体产出和效果，确定项目的总体绩效目标等、随着年度目标的实现，长期目标逐步实现</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整体设置情况</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和</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工作开展情况。</w:t>
      </w:r>
    </w:p>
    <w:p w14:paraId="30B1650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b w:val="0"/>
          <w:bCs w:val="0"/>
          <w:i w:val="0"/>
          <w:iCs w:val="0"/>
          <w:color w:val="auto"/>
          <w:sz w:val="32"/>
          <w:szCs w:val="32"/>
          <w:highlight w:val="none"/>
          <w:lang w:eastAsia="zh-CN"/>
        </w:rPr>
      </w:pPr>
      <w:r>
        <w:rPr>
          <w:rFonts w:hint="default" w:ascii="Times New Roman" w:hAnsi="Times New Roman" w:eastAsia="黑体" w:cs="Times New Roman"/>
          <w:b w:val="0"/>
          <w:bCs w:val="0"/>
          <w:i w:val="0"/>
          <w:iCs w:val="0"/>
          <w:color w:val="auto"/>
          <w:sz w:val="32"/>
          <w:szCs w:val="32"/>
          <w:highlight w:val="none"/>
        </w:rPr>
        <w:t>二、</w:t>
      </w:r>
      <w:r>
        <w:rPr>
          <w:rFonts w:hint="default" w:ascii="Times New Roman" w:hAnsi="Times New Roman" w:eastAsia="黑体" w:cs="Times New Roman"/>
          <w:b w:val="0"/>
          <w:bCs w:val="0"/>
          <w:i w:val="0"/>
          <w:iCs w:val="0"/>
          <w:color w:val="auto"/>
          <w:sz w:val="32"/>
          <w:szCs w:val="32"/>
          <w:highlight w:val="none"/>
          <w:lang w:eastAsia="zh-CN"/>
        </w:rPr>
        <w:t>评价实施</w:t>
      </w:r>
    </w:p>
    <w:p w14:paraId="3085334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r>
        <w:rPr>
          <w:rFonts w:hint="eastAsia" w:ascii="仿宋_GB2312" w:hAnsi="仿宋_GB2312" w:eastAsia="仿宋_GB2312" w:cs="仿宋_GB2312"/>
          <w:b w:val="0"/>
          <w:bCs w:val="0"/>
          <w:i w:val="0"/>
          <w:iCs w:val="0"/>
          <w:color w:val="auto"/>
          <w:sz w:val="32"/>
          <w:szCs w:val="32"/>
          <w:highlight w:val="none"/>
          <w:u w:val="none"/>
          <w:lang w:val="zh-CN"/>
        </w:rPr>
        <w:t>（一）评价目的。</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区</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就业局</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分别对该项目实施前、中、后进行绩效自评，通过项目绩效自评提高财政资源配置效率和使用效益，建立科学、合理的项目支出绩效评价管理体系，为全面实施预算绩效管理。</w:t>
      </w:r>
    </w:p>
    <w:p w14:paraId="3971B1A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r>
        <w:rPr>
          <w:rFonts w:hint="eastAsia" w:ascii="仿宋_GB2312" w:hAnsi="仿宋_GB2312" w:eastAsia="仿宋_GB2312" w:cs="仿宋_GB2312"/>
          <w:b w:val="0"/>
          <w:bCs w:val="0"/>
          <w:i w:val="0"/>
          <w:iCs w:val="0"/>
          <w:color w:val="auto"/>
          <w:sz w:val="32"/>
          <w:szCs w:val="32"/>
          <w:highlight w:val="none"/>
          <w:u w:val="none"/>
          <w:lang w:val="zh-CN"/>
        </w:rPr>
        <w:t>（二）预设问题及评价重点。</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按照绩效评价指标体系，资金支出使用全过程均紧扣项目实施进度进行资金结算支付，并严格按照专款专用的原则进行，不存在挪用、截留等违反财经纪律现象。</w:t>
      </w:r>
    </w:p>
    <w:p w14:paraId="5D1B591A">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r>
        <w:rPr>
          <w:rFonts w:hint="eastAsia" w:ascii="仿宋_GB2312" w:hAnsi="仿宋_GB2312" w:eastAsia="仿宋_GB2312" w:cs="仿宋_GB2312"/>
          <w:b w:val="0"/>
          <w:bCs w:val="0"/>
          <w:i w:val="0"/>
          <w:iCs w:val="0"/>
          <w:color w:val="auto"/>
          <w:sz w:val="32"/>
          <w:szCs w:val="32"/>
          <w:highlight w:val="none"/>
          <w:u w:val="none"/>
          <w:lang w:val="zh-CN"/>
        </w:rPr>
        <w:t>（三）评价选点。</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项目绩效自评主要通过资金使用进度及适用范围进行了抽样，发现均不存在违规违纪现象，较好保障了项目实施。</w:t>
      </w:r>
    </w:p>
    <w:p w14:paraId="337EA4A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r>
        <w:rPr>
          <w:rFonts w:hint="eastAsia" w:ascii="仿宋_GB2312" w:hAnsi="仿宋_GB2312" w:eastAsia="仿宋_GB2312" w:cs="仿宋_GB2312"/>
          <w:b w:val="0"/>
          <w:bCs w:val="0"/>
          <w:i w:val="0"/>
          <w:iCs w:val="0"/>
          <w:color w:val="auto"/>
          <w:sz w:val="32"/>
          <w:szCs w:val="32"/>
          <w:highlight w:val="none"/>
          <w:u w:val="none"/>
          <w:lang w:val="zh-CN"/>
        </w:rPr>
        <w:t>（四）评价方法。</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一是认真开展前期工作。根据下发的有关文件要求，我局迅速向主要负责人报告有关情况。按照主要领导的指示意见，组建了绩效评价管理工作领导小组，迅速开展前期各项准备工作。</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二是有序开展绩效评价。为确保绩效评价工作落到实处，取得成效，我局召开了专题工作部署会，对组织开展绩效考评明确了具体要求，对绩效评价指标进行了详细解读，并对可能出现的问题准备了各种预案，为组织开展好绩效考评工作奠定了基础。根据实施方案要求，我局组织力量进行了逐一梳理，并进行了数据分析，形成了绩效评价报告。</w:t>
      </w:r>
    </w:p>
    <w:p w14:paraId="6F4003B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lang w:eastAsia="zh-CN"/>
        </w:rPr>
      </w:pPr>
      <w:r>
        <w:rPr>
          <w:rFonts w:hint="eastAsia" w:ascii="仿宋_GB2312" w:hAnsi="仿宋_GB2312" w:eastAsia="仿宋_GB2312" w:cs="仿宋_GB2312"/>
          <w:b w:val="0"/>
          <w:bCs w:val="0"/>
          <w:i w:val="0"/>
          <w:iCs w:val="0"/>
          <w:color w:val="auto"/>
          <w:sz w:val="32"/>
          <w:szCs w:val="32"/>
          <w:highlight w:val="none"/>
          <w:u w:val="none"/>
          <w:lang w:val="zh-CN"/>
        </w:rPr>
        <w:t>（五）评价组织。</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为提高财政资金使用效益，区</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就业局</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成立了局长为组长、班子成员为副组长，各股室负责人为成员的绩效评价小组。分别对项目实施绩效进行评价。</w:t>
      </w:r>
    </w:p>
    <w:p w14:paraId="11E946C4">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b w:val="0"/>
          <w:bCs w:val="0"/>
          <w:i w:val="0"/>
          <w:iCs w:val="0"/>
          <w:color w:val="auto"/>
          <w:sz w:val="32"/>
          <w:szCs w:val="32"/>
          <w:highlight w:val="none"/>
          <w:u w:val="none"/>
          <w:lang w:val="zh-CN"/>
        </w:rPr>
      </w:pPr>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r>
        <w:rPr>
          <w:rFonts w:hint="default" w:ascii="Times New Roman" w:hAnsi="Times New Roman" w:cs="Times New Roman"/>
          <w:b w:val="0"/>
          <w:bCs w:val="0"/>
          <w:i w:val="0"/>
          <w:iCs w:val="0"/>
          <w:color w:val="auto"/>
          <w:sz w:val="32"/>
          <w:szCs w:val="32"/>
          <w:highlight w:val="none"/>
          <w:u w:val="none"/>
          <w:lang w:val="zh-CN"/>
        </w:rPr>
        <w:tab/>
      </w:r>
    </w:p>
    <w:p w14:paraId="249B1A7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pP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根据项目预算绩效评价指标体系“通用指标”“专用指标”“个性指标”涉及二、三级指标进行逐项绩效分析并评分</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w:t>
      </w:r>
    </w:p>
    <w:p w14:paraId="2420E5EC">
      <w:pPr>
        <w:spacing w:line="600" w:lineRule="exact"/>
        <w:ind w:firstLine="640" w:firstLineChars="200"/>
        <w:outlineLvl w:val="2"/>
        <w:rPr>
          <w:rFonts w:hint="eastAsia" w:ascii="仿宋_GB2312" w:hAnsi="仿宋_GB2312" w:eastAsia="仿宋_GB2312" w:cs="仿宋_GB2312"/>
          <w:b w:val="0"/>
          <w:bCs w:val="0"/>
          <w:i w:val="0"/>
          <w:iCs w:val="0"/>
          <w:color w:val="FF0000"/>
          <w:sz w:val="32"/>
          <w:szCs w:val="32"/>
          <w:highlight w:val="none"/>
          <w:lang w:val="en-US" w:eastAsia="zh-CN"/>
        </w:rPr>
      </w:pPr>
      <w:r>
        <w:rPr>
          <w:rFonts w:hint="eastAsia" w:ascii="仿宋_GB2312" w:hAnsi="仿宋_GB2312" w:eastAsia="仿宋_GB2312" w:cs="仿宋_GB2312"/>
          <w:b w:val="0"/>
          <w:bCs w:val="0"/>
          <w:i w:val="0"/>
          <w:iCs w:val="0"/>
          <w:color w:val="auto"/>
          <w:sz w:val="32"/>
          <w:szCs w:val="32"/>
          <w:highlight w:val="none"/>
          <w:lang w:val="zh-CN"/>
        </w:rPr>
        <w:t>（一）</w:t>
      </w:r>
      <w:r>
        <w:rPr>
          <w:rFonts w:hint="eastAsia" w:ascii="仿宋_GB2312" w:hAnsi="仿宋_GB2312" w:eastAsia="仿宋_GB2312" w:cs="仿宋_GB2312"/>
          <w:b w:val="0"/>
          <w:bCs w:val="0"/>
          <w:i w:val="0"/>
          <w:iCs w:val="0"/>
          <w:color w:val="auto"/>
          <w:sz w:val="32"/>
          <w:szCs w:val="32"/>
          <w:highlight w:val="none"/>
          <w:lang w:val="en-US" w:eastAsia="zh-CN"/>
        </w:rPr>
        <w:t>通用指标</w:t>
      </w:r>
      <w:r>
        <w:rPr>
          <w:rFonts w:hint="eastAsia" w:ascii="仿宋_GB2312" w:hAnsi="仿宋_GB2312" w:eastAsia="仿宋_GB2312" w:cs="仿宋_GB2312"/>
          <w:b w:val="0"/>
          <w:bCs w:val="0"/>
          <w:i w:val="0"/>
          <w:iCs w:val="0"/>
          <w:color w:val="auto"/>
          <w:sz w:val="32"/>
          <w:szCs w:val="32"/>
          <w:highlight w:val="none"/>
          <w:lang w:val="zh-CN"/>
        </w:rPr>
        <w:t>绩效分析。</w:t>
      </w:r>
    </w:p>
    <w:p w14:paraId="37EAE50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i w:val="0"/>
          <w:iCs w:val="0"/>
          <w:color w:val="000000"/>
          <w:kern w:val="0"/>
          <w:sz w:val="32"/>
          <w:szCs w:val="32"/>
          <w:highlight w:val="none"/>
          <w:shd w:val="clear" w:color="auto" w:fill="FFFFFF"/>
          <w:lang w:val="zh-CN"/>
        </w:rPr>
      </w:pPr>
      <w:r>
        <w:rPr>
          <w:rFonts w:hint="eastAsia" w:ascii="仿宋_GB2312" w:hAnsi="仿宋_GB2312" w:eastAsia="仿宋_GB2312" w:cs="仿宋_GB2312"/>
          <w:b w:val="0"/>
          <w:bCs w:val="0"/>
          <w:i w:val="0"/>
          <w:iCs w:val="0"/>
          <w:color w:val="auto"/>
          <w:sz w:val="32"/>
          <w:szCs w:val="32"/>
          <w:lang w:val="en-US" w:eastAsia="zh-CN"/>
        </w:rPr>
        <w:t>1.</w:t>
      </w:r>
      <w:r>
        <w:rPr>
          <w:rFonts w:hint="eastAsia" w:ascii="仿宋_GB2312" w:hAnsi="仿宋_GB2312" w:eastAsia="仿宋_GB2312" w:cs="仿宋_GB2312"/>
          <w:b w:val="0"/>
          <w:bCs w:val="0"/>
          <w:i w:val="0"/>
          <w:iCs w:val="0"/>
          <w:color w:val="auto"/>
          <w:sz w:val="32"/>
          <w:szCs w:val="32"/>
          <w:lang w:eastAsia="zh-CN"/>
        </w:rPr>
        <w:t>项目决策。</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从综合评价来看，区</w:t>
      </w:r>
      <w:r>
        <w:rPr>
          <w:rFonts w:hint="eastAsia" w:ascii="仿宋_GB2312" w:hAnsi="仿宋_GB2312" w:eastAsia="仿宋_GB2312" w:cs="仿宋_GB2312"/>
          <w:b w:val="0"/>
          <w:bCs w:val="0"/>
          <w:i w:val="0"/>
          <w:iCs w:val="0"/>
          <w:color w:val="000000" w:themeColor="text1"/>
          <w:kern w:val="0"/>
          <w:position w:val="0"/>
          <w:sz w:val="32"/>
          <w:szCs w:val="32"/>
          <w:highlight w:val="none"/>
          <w:lang w:val="en-US" w:eastAsia="zh-CN" w:bidi="ar-SA"/>
          <w14:textFill>
            <w14:solidFill>
              <w14:schemeClr w14:val="tx1"/>
            </w14:solidFill>
          </w14:textFill>
        </w:rPr>
        <w:t>就业局</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各预算项目设立依据基本充分，均设定了各项目绩效目标，对资金配置方面均有明确的测算依据，整体情况良好。</w:t>
      </w:r>
    </w:p>
    <w:p w14:paraId="53FB767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r>
        <w:rPr>
          <w:rFonts w:hint="eastAsia" w:ascii="仿宋_GB2312" w:hAnsi="仿宋_GB2312" w:eastAsia="仿宋_GB2312" w:cs="仿宋_GB2312"/>
          <w:b w:val="0"/>
          <w:bCs w:val="0"/>
          <w:i w:val="0"/>
          <w:iCs w:val="0"/>
          <w:color w:val="auto"/>
          <w:sz w:val="32"/>
          <w:szCs w:val="32"/>
          <w:lang w:val="en-US" w:eastAsia="zh-CN"/>
        </w:rPr>
        <w:t>2.</w:t>
      </w:r>
      <w:r>
        <w:rPr>
          <w:rFonts w:hint="eastAsia" w:ascii="仿宋_GB2312" w:hAnsi="仿宋_GB2312" w:eastAsia="仿宋_GB2312" w:cs="仿宋_GB2312"/>
          <w:b w:val="0"/>
          <w:bCs w:val="0"/>
          <w:i w:val="0"/>
          <w:iCs w:val="0"/>
          <w:color w:val="auto"/>
          <w:sz w:val="32"/>
          <w:szCs w:val="32"/>
          <w:lang w:eastAsia="zh-CN"/>
        </w:rPr>
        <w:t>项目管理。</w:t>
      </w:r>
      <w:r>
        <w:rPr>
          <w:rFonts w:hint="eastAsia" w:ascii="仿宋_GB2312" w:hAnsi="仿宋_GB2312" w:eastAsia="仿宋_GB2312" w:cs="仿宋_GB2312"/>
          <w:sz w:val="32"/>
          <w:szCs w:val="32"/>
        </w:rPr>
        <w:t>从整体评价来看，区</w:t>
      </w:r>
      <w:r>
        <w:rPr>
          <w:rFonts w:hint="eastAsia" w:ascii="仿宋_GB2312" w:hAnsi="仿宋_GB2312" w:eastAsia="仿宋_GB2312" w:cs="仿宋_GB2312"/>
          <w:sz w:val="32"/>
          <w:szCs w:val="32"/>
          <w:lang w:val="en-US" w:eastAsia="zh-CN"/>
        </w:rPr>
        <w:t>就业局</w:t>
      </w:r>
      <w:r>
        <w:rPr>
          <w:rFonts w:hint="eastAsia" w:ascii="仿宋_GB2312" w:hAnsi="仿宋_GB2312" w:eastAsia="仿宋_GB2312" w:cs="仿宋_GB2312"/>
          <w:sz w:val="32"/>
          <w:szCs w:val="32"/>
        </w:rPr>
        <w:t>建立了基本能全面覆盖的管理制度，各项目按照财政局相关要求稳步推进，并根据年度工作计划做好各项目工作</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项目管理中正确做</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绩效监管进行绩效分析。</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同时</w:t>
      </w:r>
      <w:r>
        <w:rPr>
          <w:rFonts w:hint="eastAsia" w:ascii="仿宋_GB2312" w:hAnsi="仿宋_GB2312" w:eastAsia="仿宋_GB2312" w:cs="仿宋_GB2312"/>
          <w:b w:val="0"/>
          <w:bCs w:val="0"/>
          <w:i w:val="0"/>
          <w:iCs w:val="0"/>
          <w:sz w:val="32"/>
          <w:szCs w:val="32"/>
          <w:lang w:val="zh-CN" w:eastAsia="zh-CN"/>
        </w:rPr>
        <w:t>加强财务管理和内部控制监督制度。</w:t>
      </w:r>
    </w:p>
    <w:p w14:paraId="588D267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3.项目实施。兜底安置乡村公益性岗位1957人次，扶贫公益性岗位263人次，城镇公益性岗位188人次；按照巩固拓展脱贫攻坚成果同乡村振兴有效衔接相关要求，动态安置临时性工作岗位2235人次。鼓励企业、农村专业合作社等吸纳高校毕业生和建档立卡脱贫户就业38人，发放一次性吸纳奖补资金4.8万元。积极招募参加就业见习人员79人（其中2023年高校毕业生16人），截至目前，发放就业见习补贴共计58.903万元。完成预算的100%。通过项目实施，鼓励企业吸纳高校毕业生和建档立卡脱贫户38人就业，发放一次性吸纳奖补贴资金4.8万元。积极招募参加就业见习人员79人（其中2023年高校毕业生16人）。扶持382人成功创业，带动各类人员就业1256人。发放创业补贴178万元，超额完成目标任务。着力提升公共就业服务水平促就业，组织100余家企业开展线上线下春风行动、遂企制造·职等你来等各类招聘会83次</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w:t>
      </w:r>
    </w:p>
    <w:p w14:paraId="0C9A1C5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pP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4.项目结果。基本完成年初指标值，通过项目实施2023年度补贴性职业技能培训任务指标1790人次。完成年度总任务的113.74%。</w:t>
      </w:r>
    </w:p>
    <w:p w14:paraId="37CBB01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（二）</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专用指标</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绩效分析。根据</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专项预算项目资金支持对象选择所属指标进行绩效分析。支持对象</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包括产业发展、民生保障、基础设施、行政运转等方面。</w:t>
      </w:r>
    </w:p>
    <w:p w14:paraId="77E19BE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pP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1.产业发展。无</w:t>
      </w:r>
    </w:p>
    <w:p w14:paraId="43AEF17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pP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2.</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民生保障。</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无</w:t>
      </w:r>
    </w:p>
    <w:p w14:paraId="196C451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pP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3.基础设施。无</w:t>
      </w:r>
    </w:p>
    <w:p w14:paraId="7CD5FC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pP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4.</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行政运转。无</w:t>
      </w:r>
    </w:p>
    <w:p w14:paraId="791FC98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pP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（三）</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个性指标</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绩效分析。无</w:t>
      </w:r>
    </w:p>
    <w:p w14:paraId="20AF2DC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pP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四、评价结论</w:t>
      </w:r>
    </w:p>
    <w:p w14:paraId="7BA48A6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pP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我局财务管理制度健全规范，无违规违纪现象，2023年本项目自评得分93分</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w:t>
      </w:r>
    </w:p>
    <w:p w14:paraId="3EFBEC6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pP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五、存在主要问题</w:t>
      </w:r>
    </w:p>
    <w:p w14:paraId="0E619A6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1、内控制度、财务制度还可进一步完善。</w:t>
      </w:r>
    </w:p>
    <w:p w14:paraId="01DE71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2、资金使用效益有待进一步提高。</w:t>
      </w:r>
    </w:p>
    <w:p w14:paraId="6E2B0D0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六、改进建议</w:t>
      </w:r>
    </w:p>
    <w:p w14:paraId="5AE23487">
      <w:pPr>
        <w:pStyle w:val="2"/>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p>
    <w:p w14:paraId="79B3AB4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FF0000"/>
          <w:kern w:val="0"/>
          <w:position w:val="0"/>
          <w:sz w:val="32"/>
          <w:szCs w:val="32"/>
          <w:highlight w:val="none"/>
          <w:lang w:val="en-US" w:eastAsia="zh-CN" w:bidi="ar-SA"/>
        </w:rPr>
      </w:pPr>
      <w:r>
        <w:rPr>
          <w:rFonts w:hint="eastAsia" w:ascii="仿宋_GB2312" w:hAnsi="仿宋_GB2312" w:eastAsia="仿宋_GB2312" w:cs="仿宋_GB2312"/>
          <w:b w:val="0"/>
          <w:bCs w:val="0"/>
          <w:i w:val="0"/>
          <w:iCs w:val="0"/>
          <w:color w:val="FF0000"/>
          <w:kern w:val="0"/>
          <w:position w:val="0"/>
          <w:sz w:val="32"/>
          <w:szCs w:val="32"/>
          <w:highlight w:val="none"/>
          <w:lang w:val="en-US" w:eastAsia="zh-CN" w:bidi="ar-SA"/>
        </w:rPr>
        <w:t xml:space="preserve"> </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进一步完善内控制度、财务制度，提高资金使用效益。</w:t>
      </w:r>
    </w:p>
    <w:p w14:paraId="53CA7189">
      <w:pPr>
        <w:rPr>
          <w:rFonts w:hint="default" w:ascii="Times New Roman" w:hAnsi="Times New Roman" w:eastAsia="微软雅黑" w:cs="Times New Roman"/>
          <w:b w:val="0"/>
          <w:bCs w:val="0"/>
          <w:i w:val="0"/>
          <w:iCs w:val="0"/>
          <w:color w:val="auto"/>
          <w:kern w:val="2"/>
          <w:sz w:val="44"/>
          <w:szCs w:val="44"/>
          <w:highlight w:val="none"/>
          <w:lang w:val="en-US" w:eastAsia="zh-CN"/>
        </w:rPr>
      </w:pPr>
      <w:r>
        <w:rPr>
          <w:rFonts w:hint="default" w:ascii="Times New Roman" w:hAnsi="Times New Roman" w:eastAsia="微软雅黑" w:cs="Times New Roman"/>
          <w:b w:val="0"/>
          <w:bCs w:val="0"/>
          <w:i w:val="0"/>
          <w:iCs w:val="0"/>
          <w:color w:val="auto"/>
          <w:kern w:val="2"/>
          <w:sz w:val="44"/>
          <w:szCs w:val="44"/>
          <w:highlight w:val="none"/>
          <w:lang w:val="en-US" w:eastAsia="zh-CN"/>
        </w:rPr>
        <w:br w:type="page"/>
      </w:r>
    </w:p>
    <w:p w14:paraId="6E889E55">
      <w:pPr>
        <w:pStyle w:val="4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仿宋_GB2312" w:hAnsi="仿宋_GB2312" w:eastAsia="仿宋_GB2312" w:cs="仿宋_GB2312"/>
          <w:b/>
          <w:bCs/>
          <w:i w:val="0"/>
          <w:iCs w:val="0"/>
          <w:color w:val="auto"/>
          <w:kern w:val="2"/>
          <w:sz w:val="44"/>
          <w:szCs w:val="44"/>
          <w:highlight w:val="none"/>
          <w:lang w:val="en-US" w:eastAsia="zh-CN"/>
        </w:rPr>
      </w:pPr>
      <w:r>
        <w:rPr>
          <w:rFonts w:hint="eastAsia" w:ascii="仿宋_GB2312" w:hAnsi="仿宋_GB2312" w:eastAsia="仿宋_GB2312" w:cs="仿宋_GB2312"/>
          <w:b/>
          <w:bCs/>
          <w:i w:val="0"/>
          <w:iCs w:val="0"/>
          <w:color w:val="auto"/>
          <w:kern w:val="2"/>
          <w:sz w:val="44"/>
          <w:szCs w:val="44"/>
          <w:highlight w:val="none"/>
          <w:lang w:val="en-US" w:eastAsia="zh-CN"/>
        </w:rPr>
        <w:t>专项预算项目绩效评价报告</w:t>
      </w:r>
    </w:p>
    <w:p w14:paraId="4E0A81CC">
      <w:pPr>
        <w:keepNext w:val="0"/>
        <w:keepLines w:val="0"/>
        <w:pageBreakBefore w:val="0"/>
        <w:widowControl w:val="0"/>
        <w:kinsoku/>
        <w:wordWrap/>
        <w:overflowPunct/>
        <w:topLinePunct w:val="0"/>
        <w:autoSpaceDE/>
        <w:autoSpaceDN/>
        <w:bidi w:val="0"/>
        <w:adjustRightInd/>
        <w:snapToGrid/>
        <w:spacing w:before="292" w:beforeLines="50" w:line="560" w:lineRule="exact"/>
        <w:jc w:val="center"/>
        <w:textAlignment w:val="auto"/>
        <w:rPr>
          <w:rFonts w:hint="eastAsia" w:ascii="仿宋" w:hAnsi="仿宋" w:eastAsia="仿宋" w:cs="仿宋"/>
          <w:sz w:val="30"/>
          <w:szCs w:val="30"/>
        </w:rPr>
      </w:pP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2023年中省财政衔接推进乡村振兴补助资金</w:t>
      </w:r>
      <w:r>
        <w:rPr>
          <w:rFonts w:hint="eastAsia" w:ascii="仿宋_GB2312" w:hAnsi="仿宋_GB2312" w:eastAsia="仿宋_GB2312" w:cs="仿宋_GB2312"/>
          <w:b/>
          <w:bCs/>
          <w:sz w:val="30"/>
          <w:szCs w:val="30"/>
        </w:rPr>
        <w:t>）</w:t>
      </w:r>
    </w:p>
    <w:p w14:paraId="1707146D">
      <w:pPr>
        <w:pStyle w:val="44"/>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default" w:ascii="Times New Roman" w:hAnsi="Times New Roman" w:cs="Times New Roman"/>
          <w:b w:val="0"/>
          <w:bCs w:val="0"/>
          <w:i w:val="0"/>
          <w:iCs w:val="0"/>
          <w:color w:val="auto"/>
          <w:kern w:val="2"/>
          <w:sz w:val="30"/>
          <w:szCs w:val="30"/>
          <w:highlight w:val="none"/>
        </w:rPr>
      </w:pPr>
    </w:p>
    <w:p w14:paraId="50A7C10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val="0"/>
          <w:i w:val="0"/>
          <w:iCs w:val="0"/>
          <w:color w:val="auto"/>
          <w:sz w:val="32"/>
          <w:szCs w:val="32"/>
          <w:highlight w:val="none"/>
          <w:lang w:val="zh-CN"/>
        </w:rPr>
      </w:pPr>
      <w:r>
        <w:rPr>
          <w:rFonts w:hint="default" w:ascii="Times New Roman" w:hAnsi="Times New Roman" w:eastAsia="黑体" w:cs="Times New Roman"/>
          <w:b w:val="0"/>
          <w:bCs w:val="0"/>
          <w:i w:val="0"/>
          <w:iCs w:val="0"/>
          <w:color w:val="auto"/>
          <w:sz w:val="32"/>
          <w:szCs w:val="32"/>
          <w:highlight w:val="none"/>
          <w:lang w:val="zh-CN"/>
        </w:rPr>
        <w:t>项目概况</w:t>
      </w:r>
    </w:p>
    <w:p w14:paraId="7EF07F69">
      <w:pPr>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textAlignment w:val="auto"/>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r>
        <w:rPr>
          <w:rFonts w:hint="default" w:ascii="Times New Roman" w:hAnsi="Times New Roman" w:eastAsia="仿宋_GB2312" w:cs="Times New Roman"/>
          <w:color w:val="auto"/>
          <w:sz w:val="32"/>
          <w:szCs w:val="32"/>
          <w:highlight w:val="none"/>
        </w:rPr>
        <w:t>为贯彻落实</w:t>
      </w:r>
      <w:r>
        <w:rPr>
          <w:rFonts w:hint="default" w:ascii="Times New Roman" w:hAnsi="Times New Roman" w:eastAsia="仿宋_GB2312" w:cs="Times New Roman"/>
          <w:color w:val="auto"/>
          <w:sz w:val="32"/>
          <w:szCs w:val="32"/>
          <w:highlight w:val="none"/>
          <w:lang w:eastAsia="zh-CN"/>
        </w:rPr>
        <w:t>各项</w:t>
      </w:r>
      <w:r>
        <w:rPr>
          <w:rFonts w:hint="default" w:ascii="Times New Roman" w:hAnsi="Times New Roman" w:eastAsia="仿宋_GB2312" w:cs="Times New Roman"/>
          <w:color w:val="auto"/>
          <w:sz w:val="32"/>
          <w:szCs w:val="32"/>
          <w:highlight w:val="none"/>
        </w:rPr>
        <w:t>就业</w:t>
      </w:r>
      <w:r>
        <w:rPr>
          <w:rFonts w:hint="default" w:ascii="Times New Roman" w:hAnsi="Times New Roman" w:eastAsia="仿宋_GB2312" w:cs="Times New Roman"/>
          <w:color w:val="auto"/>
          <w:sz w:val="32"/>
          <w:szCs w:val="32"/>
          <w:highlight w:val="none"/>
          <w:lang w:eastAsia="zh-CN"/>
        </w:rPr>
        <w:t>创业</w:t>
      </w:r>
      <w:r>
        <w:rPr>
          <w:rFonts w:hint="default" w:ascii="Times New Roman" w:hAnsi="Times New Roman" w:eastAsia="仿宋_GB2312" w:cs="Times New Roman"/>
          <w:color w:val="auto"/>
          <w:sz w:val="32"/>
          <w:szCs w:val="32"/>
          <w:highlight w:val="none"/>
        </w:rPr>
        <w:t>政策，根据《中华人民共和国就业促进法》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关于印发〈2023年全市就业创业服务工作要点〉的通知</w:t>
      </w:r>
      <w:r>
        <w:rPr>
          <w:rFonts w:hint="default" w:ascii="Times New Roman" w:hAnsi="Times New Roman" w:eastAsia="仿宋_GB2312" w:cs="Times New Roman"/>
          <w:color w:val="auto"/>
          <w:sz w:val="32"/>
          <w:szCs w:val="32"/>
          <w:highlight w:val="none"/>
          <w:lang w:eastAsia="zh-CN"/>
        </w:rPr>
        <w:t>》（遂就发〔202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 xml:space="preserve">13 </w:t>
      </w:r>
      <w:r>
        <w:rPr>
          <w:rFonts w:hint="default" w:ascii="Times New Roman" w:hAnsi="Times New Roman" w:eastAsia="仿宋_GB2312" w:cs="Times New Roman"/>
          <w:color w:val="auto"/>
          <w:sz w:val="32"/>
          <w:szCs w:val="32"/>
          <w:highlight w:val="none"/>
          <w:lang w:eastAsia="zh-CN"/>
        </w:rPr>
        <w:t>号）《</w:t>
      </w:r>
      <w:r>
        <w:rPr>
          <w:rFonts w:hint="default" w:ascii="Times New Roman" w:hAnsi="Times New Roman" w:eastAsia="仿宋_GB2312" w:cs="Times New Roman"/>
          <w:color w:val="auto"/>
          <w:sz w:val="32"/>
          <w:szCs w:val="32"/>
          <w:highlight w:val="none"/>
          <w:lang w:val="en-US" w:eastAsia="zh-CN"/>
        </w:rPr>
        <w:t>遂宁市人力资源和社会保障局等5部门关于加强就业帮扶巩固拓展脱贫攻坚</w:t>
      </w:r>
      <w:r>
        <w:rPr>
          <w:rFonts w:hint="eastAsia" w:eastAsia="仿宋_GB2312" w:cs="Times New Roman"/>
          <w:color w:val="auto"/>
          <w:sz w:val="32"/>
          <w:szCs w:val="32"/>
          <w:highlight w:val="none"/>
          <w:lang w:val="en-US" w:eastAsia="zh-CN"/>
        </w:rPr>
        <w:t>成</w:t>
      </w:r>
      <w:r>
        <w:rPr>
          <w:rFonts w:hint="default" w:ascii="Times New Roman" w:hAnsi="Times New Roman" w:eastAsia="仿宋_GB2312" w:cs="Times New Roman"/>
          <w:color w:val="auto"/>
          <w:sz w:val="32"/>
          <w:szCs w:val="32"/>
          <w:highlight w:val="none"/>
          <w:lang w:val="en-US" w:eastAsia="zh-CN"/>
        </w:rPr>
        <w:t>果推进乡村振兴的实施意见</w:t>
      </w:r>
      <w:r>
        <w:rPr>
          <w:rFonts w:hint="default" w:ascii="Times New Roman" w:hAnsi="Times New Roman" w:eastAsia="仿宋_GB2312" w:cs="Times New Roman"/>
          <w:color w:val="auto"/>
          <w:sz w:val="32"/>
          <w:szCs w:val="32"/>
          <w:highlight w:val="none"/>
          <w:lang w:eastAsia="zh-CN"/>
        </w:rPr>
        <w:t>》（遂人社发〔2021〕23号）等文件要求，</w:t>
      </w:r>
      <w:r>
        <w:rPr>
          <w:rFonts w:hint="default" w:ascii="Times New Roman" w:hAnsi="Times New Roman" w:eastAsia="仿宋_GB2312" w:cs="Times New Roman"/>
          <w:color w:val="auto"/>
          <w:sz w:val="32"/>
          <w:szCs w:val="32"/>
          <w:highlight w:val="none"/>
          <w:lang w:val="zh-CN"/>
        </w:rPr>
        <w:t>大力实施就业普惠政策，</w:t>
      </w:r>
      <w:r>
        <w:rPr>
          <w:rFonts w:hint="default" w:ascii="Times New Roman" w:hAnsi="Times New Roman" w:eastAsia="仿宋_GB2312" w:cs="Times New Roman"/>
          <w:color w:val="auto"/>
          <w:sz w:val="32"/>
          <w:szCs w:val="32"/>
          <w:highlight w:val="none"/>
          <w:lang w:val="en-US" w:eastAsia="zh-CN"/>
        </w:rPr>
        <w:t>完善公共服务举措，着力促进重点群体就业，推动创业带动就业，</w:t>
      </w:r>
      <w:r>
        <w:rPr>
          <w:rFonts w:hint="default" w:ascii="Times New Roman" w:hAnsi="Times New Roman" w:eastAsia="仿宋_GB2312" w:cs="Times New Roman"/>
          <w:color w:val="auto"/>
          <w:sz w:val="32"/>
          <w:szCs w:val="32"/>
          <w:highlight w:val="none"/>
        </w:rPr>
        <w:t>确保全区就业形势总体稳定</w:t>
      </w:r>
      <w:r>
        <w:rPr>
          <w:rFonts w:hint="eastAsia" w:eastAsia="仿宋_GB2312" w:cs="Times New Roman"/>
          <w:color w:val="auto"/>
          <w:sz w:val="32"/>
          <w:szCs w:val="32"/>
          <w:highlight w:val="none"/>
          <w:lang w:eastAsia="zh-CN"/>
        </w:rPr>
        <w:t>。</w:t>
      </w:r>
    </w:p>
    <w:p w14:paraId="28C689C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楷体_GB2312" w:cs="Times New Roman"/>
          <w:b w:val="0"/>
          <w:bCs w:val="0"/>
          <w:i w:val="0"/>
          <w:iCs w:val="0"/>
          <w:color w:val="auto"/>
          <w:sz w:val="32"/>
          <w:szCs w:val="32"/>
          <w:highlight w:val="none"/>
          <w:u w:val="none"/>
          <w:lang w:val="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r>
        <w:rPr>
          <w:rFonts w:hint="default" w:ascii="Times New Roman" w:hAnsi="Times New Roman" w:eastAsia="楷体_GB2312" w:cs="Times New Roman"/>
          <w:b w:val="0"/>
          <w:bCs w:val="0"/>
          <w:i w:val="0"/>
          <w:iCs w:val="0"/>
          <w:color w:val="FF0000"/>
          <w:sz w:val="32"/>
          <w:szCs w:val="32"/>
          <w:highlight w:val="none"/>
          <w:u w:val="none"/>
          <w:lang w:val="en-US" w:eastAsia="zh-CN"/>
        </w:rPr>
        <w:t>。</w:t>
      </w:r>
      <w:r>
        <w:rPr>
          <w:rFonts w:hint="default" w:ascii="Times New Roman" w:hAnsi="Times New Roman" w:eastAsia="仿宋_GB2312" w:cs="Times New Roman"/>
          <w:color w:val="auto"/>
          <w:sz w:val="32"/>
          <w:szCs w:val="32"/>
          <w:lang w:val="zh-CN" w:eastAsia="zh-CN"/>
        </w:rPr>
        <w:t>该项目资金严格遂宁市财政局、遂宁市人社局关于转发《四川省财政厅、四川</w:t>
      </w:r>
      <w:r>
        <w:rPr>
          <w:rFonts w:hint="eastAsia" w:eastAsia="仿宋_GB2312" w:cs="Times New Roman"/>
          <w:color w:val="auto"/>
          <w:sz w:val="32"/>
          <w:szCs w:val="32"/>
          <w:lang w:val="zh-CN" w:eastAsia="zh-CN"/>
        </w:rPr>
        <w:t>人力资源和社会保障厅</w:t>
      </w:r>
      <w:r>
        <w:rPr>
          <w:rFonts w:hint="default" w:ascii="Times New Roman" w:hAnsi="Times New Roman" w:eastAsia="仿宋_GB2312" w:cs="Times New Roman"/>
          <w:color w:val="auto"/>
          <w:sz w:val="32"/>
          <w:szCs w:val="32"/>
          <w:lang w:val="zh-CN" w:eastAsia="zh-CN"/>
        </w:rPr>
        <w:t>关于进一步加强就业专项资金管理有关问题的通知》（遂市财社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zh-CN" w:eastAsia="zh-CN"/>
        </w:rPr>
        <w:t>2012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val="zh-CN" w:eastAsia="zh-CN"/>
        </w:rPr>
        <w:t>10号）文件要求使用。资金开支范围、标准及支付进度、支付依据都是合规合法，资金支付与预算相符。</w:t>
      </w:r>
    </w:p>
    <w:p w14:paraId="403CDE77">
      <w:pPr>
        <w:pStyle w:val="18"/>
        <w:keepNext w:val="0"/>
        <w:keepLines w:val="0"/>
        <w:pageBreakBefore w:val="0"/>
        <w:widowControl w:val="0"/>
        <w:kinsoku/>
        <w:wordWrap/>
        <w:overflowPunct/>
        <w:topLinePunct w:val="0"/>
        <w:autoSpaceDE/>
        <w:autoSpaceDN/>
        <w:bidi w:val="0"/>
        <w:spacing w:before="0" w:beforeAutospacing="0" w:after="0" w:line="58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楷体_GB2312" w:cs="Times New Roman"/>
          <w:b w:val="0"/>
          <w:bCs w:val="0"/>
          <w:i w:val="0"/>
          <w:iCs w:val="0"/>
          <w:color w:val="auto"/>
          <w:sz w:val="32"/>
          <w:szCs w:val="32"/>
          <w:highlight w:val="none"/>
          <w:u w:val="none"/>
          <w:lang w:val="zh-CN"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i w:val="0"/>
          <w:iCs w:val="0"/>
          <w:color w:val="auto"/>
          <w:sz w:val="32"/>
          <w:szCs w:val="32"/>
          <w:highlight w:val="none"/>
          <w:u w:val="none"/>
          <w:lang w:val="zh-CN" w:eastAsia="zh-CN"/>
        </w:rPr>
        <w:t>。</w:t>
      </w:r>
      <w:r>
        <w:rPr>
          <w:rFonts w:hint="default" w:ascii="Times New Roman" w:hAnsi="Times New Roman" w:eastAsia="仿宋_GB2312" w:cs="Times New Roman"/>
          <w:color w:val="auto"/>
          <w:sz w:val="32"/>
          <w:szCs w:val="32"/>
          <w:shd w:val="clear" w:color="auto" w:fill="FFFFFF"/>
        </w:rPr>
        <w:t>资金的支付符合国家财经法规和财务管理制度规定，以及有关专项资金管理办法的规定；资金拨付有完整的审批程序和手续；经费支出符合部门预算批复的用途；资金使用除部门支出预算不足有调剂使用外，无截留、挪用、虚列支出等情况。</w:t>
      </w:r>
    </w:p>
    <w:p w14:paraId="5625952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（四）项目绩效目标设置。</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项目</w:t>
      </w:r>
      <w:r>
        <w:rPr>
          <w:rFonts w:hint="eastAsia" w:eastAsia="仿宋_GB2312" w:cs="Times New Roman"/>
          <w:b w:val="0"/>
          <w:bCs w:val="0"/>
          <w:i w:val="0"/>
          <w:iCs w:val="0"/>
          <w:color w:val="auto"/>
          <w:kern w:val="0"/>
          <w:position w:val="0"/>
          <w:sz w:val="32"/>
          <w:szCs w:val="32"/>
          <w:highlight w:val="none"/>
          <w:lang w:val="en-US" w:eastAsia="zh-CN" w:bidi="ar-SA"/>
        </w:rPr>
        <w:t>实施在一定时期内所要达到的总体产出和效果，确定项目的总体绩效目标等、随着年度目标的实现，长期目标逐步实现</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整体设置情况</w:t>
      </w:r>
      <w:r>
        <w:rPr>
          <w:rFonts w:hint="eastAsia" w:eastAsia="仿宋_GB2312" w:cs="Times New Roman"/>
          <w:b w:val="0"/>
          <w:bCs w:val="0"/>
          <w:i w:val="0"/>
          <w:iCs w:val="0"/>
          <w:color w:val="auto"/>
          <w:kern w:val="0"/>
          <w:position w:val="0"/>
          <w:sz w:val="32"/>
          <w:szCs w:val="32"/>
          <w:highlight w:val="none"/>
          <w:lang w:val="en-US" w:eastAsia="zh-CN" w:bidi="ar-SA"/>
        </w:rPr>
        <w:t>和</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工作开展情况。</w:t>
      </w:r>
    </w:p>
    <w:p w14:paraId="457B3D0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b w:val="0"/>
          <w:bCs w:val="0"/>
          <w:i w:val="0"/>
          <w:iCs w:val="0"/>
          <w:color w:val="auto"/>
          <w:sz w:val="32"/>
          <w:szCs w:val="32"/>
          <w:highlight w:val="none"/>
          <w:lang w:eastAsia="zh-CN"/>
        </w:rPr>
      </w:pPr>
      <w:r>
        <w:rPr>
          <w:rFonts w:hint="default" w:ascii="Times New Roman" w:hAnsi="Times New Roman" w:eastAsia="黑体" w:cs="Times New Roman"/>
          <w:b w:val="0"/>
          <w:bCs w:val="0"/>
          <w:i w:val="0"/>
          <w:iCs w:val="0"/>
          <w:color w:val="auto"/>
          <w:sz w:val="32"/>
          <w:szCs w:val="32"/>
          <w:highlight w:val="none"/>
        </w:rPr>
        <w:t>二、</w:t>
      </w:r>
      <w:r>
        <w:rPr>
          <w:rFonts w:hint="default" w:ascii="Times New Roman" w:hAnsi="Times New Roman" w:eastAsia="黑体" w:cs="Times New Roman"/>
          <w:b w:val="0"/>
          <w:bCs w:val="0"/>
          <w:i w:val="0"/>
          <w:iCs w:val="0"/>
          <w:color w:val="auto"/>
          <w:sz w:val="32"/>
          <w:szCs w:val="32"/>
          <w:highlight w:val="none"/>
          <w:lang w:eastAsia="zh-CN"/>
        </w:rPr>
        <w:t>评价实施</w:t>
      </w:r>
    </w:p>
    <w:p w14:paraId="1B39831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w:t>
      </w:r>
      <w:r>
        <w:rPr>
          <w:rFonts w:hint="eastAsia" w:ascii="仿宋_GB2312" w:hAnsi="仿宋_GB2312" w:eastAsia="仿宋_GB2312" w:cs="仿宋_GB2312"/>
          <w:b w:val="0"/>
          <w:bCs w:val="0"/>
          <w:i w:val="0"/>
          <w:iCs w:val="0"/>
          <w:color w:val="auto"/>
          <w:sz w:val="32"/>
          <w:szCs w:val="32"/>
          <w:highlight w:val="none"/>
          <w:u w:val="none"/>
          <w:lang w:val="zh-CN"/>
        </w:rPr>
        <w:t>（一）评价目的。</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区</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就业局</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分别对该项目实施前、中、后进行绩效自评，通过项目绩效自评提高财政资源配置效率和使用效益，建立科学、合理的项目支出绩效评价管理体系，为全面实施预算绩效管理。</w:t>
      </w:r>
    </w:p>
    <w:p w14:paraId="2AA47385">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r>
        <w:rPr>
          <w:rFonts w:hint="eastAsia" w:ascii="仿宋_GB2312" w:hAnsi="仿宋_GB2312" w:eastAsia="仿宋_GB2312" w:cs="仿宋_GB2312"/>
          <w:b w:val="0"/>
          <w:bCs w:val="0"/>
          <w:i w:val="0"/>
          <w:iCs w:val="0"/>
          <w:color w:val="auto"/>
          <w:sz w:val="32"/>
          <w:szCs w:val="32"/>
          <w:highlight w:val="none"/>
          <w:u w:val="none"/>
          <w:lang w:val="zh-CN"/>
        </w:rPr>
        <w:t>（二）预设问题及评价重点。</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按照绩效评价指标体系，资金支出使用全过程均紧扣项目实施进度进行资金结算支付，并严格按照专款专用的原则进行，不存在挪用、截留等违反财经纪律现象。</w:t>
      </w:r>
    </w:p>
    <w:p w14:paraId="2B7EB816">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r>
        <w:rPr>
          <w:rFonts w:hint="eastAsia" w:ascii="仿宋_GB2312" w:hAnsi="仿宋_GB2312" w:eastAsia="仿宋_GB2312" w:cs="仿宋_GB2312"/>
          <w:b w:val="0"/>
          <w:bCs w:val="0"/>
          <w:i w:val="0"/>
          <w:iCs w:val="0"/>
          <w:color w:val="auto"/>
          <w:sz w:val="32"/>
          <w:szCs w:val="32"/>
          <w:highlight w:val="none"/>
          <w:u w:val="none"/>
          <w:lang w:val="zh-CN"/>
        </w:rPr>
        <w:t>（三）评价选点。</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项目绩效自评主要通过资金使用进度及适用范围进行了抽样，发现均不存在违规违纪现象，较好保障了项目实施。</w:t>
      </w:r>
    </w:p>
    <w:p w14:paraId="1BB960F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pPr>
      <w:r>
        <w:rPr>
          <w:rFonts w:hint="eastAsia" w:ascii="仿宋_GB2312" w:hAnsi="仿宋_GB2312" w:eastAsia="仿宋_GB2312" w:cs="仿宋_GB2312"/>
          <w:b w:val="0"/>
          <w:bCs w:val="0"/>
          <w:i w:val="0"/>
          <w:iCs w:val="0"/>
          <w:color w:val="auto"/>
          <w:sz w:val="32"/>
          <w:szCs w:val="32"/>
          <w:highlight w:val="none"/>
          <w:u w:val="none"/>
          <w:lang w:val="zh-CN"/>
        </w:rPr>
        <w:t>（四）评价方法。</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一是认真开展前期工作。根据下发的有关文件要求，我局迅速向主要负责人报告有关情况。按照主要领导的指示意见，组建了绩效评价管理工作领导小组，迅速开展前期各项准备工作。</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二是有序开展绩效评价。为确保绩效评价工作落到实处，取得成效，我局召开了专题工作部署会，对组织开展绩效考评明确了具体要求，对绩效评价指标进行了详细解读，并对可能出现的问题准备了各种预案，为组织开展好绩效考评工作奠定了基础。根据实施方案要求，我局组织力量进行了逐一梳理，并进行了数据分析，形成了绩效评价报告。</w:t>
      </w:r>
    </w:p>
    <w:p w14:paraId="6175E57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lang w:eastAsia="zh-CN"/>
        </w:rPr>
      </w:pPr>
      <w:r>
        <w:rPr>
          <w:rFonts w:hint="eastAsia" w:ascii="仿宋_GB2312" w:hAnsi="仿宋_GB2312" w:eastAsia="仿宋_GB2312" w:cs="仿宋_GB2312"/>
          <w:b w:val="0"/>
          <w:bCs w:val="0"/>
          <w:i w:val="0"/>
          <w:iCs w:val="0"/>
          <w:color w:val="auto"/>
          <w:sz w:val="32"/>
          <w:szCs w:val="32"/>
          <w:highlight w:val="none"/>
          <w:u w:val="none"/>
          <w:lang w:val="zh-CN"/>
        </w:rPr>
        <w:t>（五）评价组织。</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为提高财政资金使用效益，区</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就业局</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成立了局长为组长、班子成员为副组长，各股室负责人为成员的绩效评价小组。分别对项目实施绩效进行评价。</w:t>
      </w:r>
    </w:p>
    <w:p w14:paraId="3FE3C54B">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b w:val="0"/>
          <w:bCs w:val="0"/>
          <w:i w:val="0"/>
          <w:iCs w:val="0"/>
          <w:color w:val="auto"/>
          <w:sz w:val="32"/>
          <w:szCs w:val="32"/>
          <w:highlight w:val="none"/>
          <w:u w:val="none"/>
          <w:lang w:val="zh-CN"/>
        </w:rPr>
      </w:pPr>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r>
        <w:rPr>
          <w:rFonts w:hint="default" w:ascii="Times New Roman" w:hAnsi="Times New Roman" w:cs="Times New Roman"/>
          <w:b w:val="0"/>
          <w:bCs w:val="0"/>
          <w:i w:val="0"/>
          <w:iCs w:val="0"/>
          <w:color w:val="auto"/>
          <w:sz w:val="32"/>
          <w:szCs w:val="32"/>
          <w:highlight w:val="none"/>
          <w:u w:val="none"/>
          <w:lang w:val="zh-CN"/>
        </w:rPr>
        <w:tab/>
      </w:r>
    </w:p>
    <w:p w14:paraId="36DEBE4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w:t>
      </w:r>
    </w:p>
    <w:p w14:paraId="2E6A911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i w:val="0"/>
          <w:iCs w:val="0"/>
          <w:color w:val="000000"/>
          <w:kern w:val="0"/>
          <w:sz w:val="32"/>
          <w:szCs w:val="32"/>
          <w:highlight w:val="none"/>
          <w:shd w:val="clear" w:color="auto" w:fill="FFFFFF"/>
          <w:lang w:val="zh-CN"/>
        </w:rPr>
      </w:pPr>
      <w:r>
        <w:rPr>
          <w:rFonts w:hint="eastAsia" w:ascii="仿宋_GB2312" w:hAnsi="仿宋_GB2312" w:eastAsia="仿宋_GB2312" w:cs="仿宋_GB2312"/>
          <w:b w:val="0"/>
          <w:bCs w:val="0"/>
          <w:i w:val="0"/>
          <w:iCs w:val="0"/>
          <w:color w:val="auto"/>
          <w:sz w:val="32"/>
          <w:szCs w:val="32"/>
          <w:lang w:val="en-US" w:eastAsia="zh-CN"/>
        </w:rPr>
        <w:t>1.</w:t>
      </w:r>
      <w:r>
        <w:rPr>
          <w:rFonts w:hint="eastAsia" w:ascii="仿宋_GB2312" w:hAnsi="仿宋_GB2312" w:eastAsia="仿宋_GB2312" w:cs="仿宋_GB2312"/>
          <w:b w:val="0"/>
          <w:bCs w:val="0"/>
          <w:i w:val="0"/>
          <w:iCs w:val="0"/>
          <w:color w:val="auto"/>
          <w:sz w:val="32"/>
          <w:szCs w:val="32"/>
          <w:lang w:eastAsia="zh-CN"/>
        </w:rPr>
        <w:t>项目决策。</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从综合评价来看，区</w:t>
      </w:r>
      <w:r>
        <w:rPr>
          <w:rFonts w:hint="eastAsia" w:ascii="仿宋_GB2312" w:hAnsi="仿宋_GB2312" w:eastAsia="仿宋_GB2312" w:cs="仿宋_GB2312"/>
          <w:b w:val="0"/>
          <w:bCs w:val="0"/>
          <w:i w:val="0"/>
          <w:iCs w:val="0"/>
          <w:color w:val="000000" w:themeColor="text1"/>
          <w:kern w:val="0"/>
          <w:position w:val="0"/>
          <w:sz w:val="32"/>
          <w:szCs w:val="32"/>
          <w:highlight w:val="none"/>
          <w:lang w:val="en-US" w:eastAsia="zh-CN" w:bidi="ar-SA"/>
          <w14:textFill>
            <w14:solidFill>
              <w14:schemeClr w14:val="tx1"/>
            </w14:solidFill>
          </w14:textFill>
        </w:rPr>
        <w:t>就业局</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各预算项目设立依据基本充分，均设定了各项目绩效目标，对资金配置方面均有明确的测算依据，整体情况良好。</w:t>
      </w:r>
    </w:p>
    <w:p w14:paraId="4D2E372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pPr>
      <w:r>
        <w:rPr>
          <w:rFonts w:hint="eastAsia" w:ascii="仿宋_GB2312" w:hAnsi="仿宋_GB2312" w:eastAsia="仿宋_GB2312" w:cs="仿宋_GB2312"/>
          <w:b w:val="0"/>
          <w:bCs w:val="0"/>
          <w:i w:val="0"/>
          <w:iCs w:val="0"/>
          <w:color w:val="auto"/>
          <w:sz w:val="32"/>
          <w:szCs w:val="32"/>
          <w:lang w:val="en-US" w:eastAsia="zh-CN"/>
        </w:rPr>
        <w:t>2.</w:t>
      </w:r>
      <w:r>
        <w:rPr>
          <w:rFonts w:hint="eastAsia" w:ascii="仿宋_GB2312" w:hAnsi="仿宋_GB2312" w:eastAsia="仿宋_GB2312" w:cs="仿宋_GB2312"/>
          <w:b w:val="0"/>
          <w:bCs w:val="0"/>
          <w:i w:val="0"/>
          <w:iCs w:val="0"/>
          <w:color w:val="auto"/>
          <w:sz w:val="32"/>
          <w:szCs w:val="32"/>
          <w:lang w:eastAsia="zh-CN"/>
        </w:rPr>
        <w:t>项目管理。</w:t>
      </w:r>
      <w:r>
        <w:rPr>
          <w:rFonts w:hint="eastAsia" w:ascii="仿宋_GB2312" w:hAnsi="仿宋_GB2312" w:eastAsia="仿宋_GB2312" w:cs="仿宋_GB2312"/>
          <w:sz w:val="32"/>
          <w:szCs w:val="32"/>
        </w:rPr>
        <w:t>从整体评价来看，区</w:t>
      </w:r>
      <w:r>
        <w:rPr>
          <w:rFonts w:hint="eastAsia" w:ascii="仿宋_GB2312" w:hAnsi="仿宋_GB2312" w:eastAsia="仿宋_GB2312" w:cs="仿宋_GB2312"/>
          <w:sz w:val="32"/>
          <w:szCs w:val="32"/>
          <w:lang w:val="en-US" w:eastAsia="zh-CN"/>
        </w:rPr>
        <w:t>就业局</w:t>
      </w:r>
      <w:r>
        <w:rPr>
          <w:rFonts w:hint="eastAsia" w:ascii="仿宋_GB2312" w:hAnsi="仿宋_GB2312" w:eastAsia="仿宋_GB2312" w:cs="仿宋_GB2312"/>
          <w:sz w:val="32"/>
          <w:szCs w:val="32"/>
        </w:rPr>
        <w:t>建立了基本能全面覆盖的管理制度，各项目按照财政局相关要求稳步推进，并根据年度工作计划做好各项目工作</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项目管理中正确做</w:t>
      </w:r>
      <w:r>
        <w:rPr>
          <w:rFonts w:hint="eastAsia" w:ascii="仿宋_GB2312" w:hAnsi="仿宋_GB2312" w:eastAsia="仿宋_GB2312" w:cs="仿宋_GB2312"/>
          <w:b w:val="0"/>
          <w:bCs w:val="0"/>
          <w:i w:val="0"/>
          <w:iCs w:val="0"/>
          <w:color w:val="auto"/>
          <w:kern w:val="0"/>
          <w:position w:val="0"/>
          <w:sz w:val="32"/>
          <w:szCs w:val="32"/>
          <w:highlight w:val="none"/>
          <w:lang w:val="zh-CN" w:eastAsia="zh-CN" w:bidi="ar-SA"/>
        </w:rPr>
        <w:t>绩效监管进行绩效分析。</w:t>
      </w:r>
      <w:r>
        <w:rPr>
          <w:rFonts w:hint="eastAsia" w:ascii="仿宋_GB2312" w:hAnsi="仿宋_GB2312" w:eastAsia="仿宋_GB2312" w:cs="仿宋_GB2312"/>
          <w:b w:val="0"/>
          <w:bCs w:val="0"/>
          <w:i w:val="0"/>
          <w:iCs w:val="0"/>
          <w:color w:val="auto"/>
          <w:kern w:val="0"/>
          <w:position w:val="0"/>
          <w:sz w:val="32"/>
          <w:szCs w:val="32"/>
          <w:highlight w:val="none"/>
          <w:lang w:val="en-US" w:eastAsia="zh-CN" w:bidi="ar-SA"/>
        </w:rPr>
        <w:t>同时</w:t>
      </w:r>
      <w:r>
        <w:rPr>
          <w:rFonts w:hint="eastAsia" w:ascii="仿宋_GB2312" w:hAnsi="仿宋_GB2312" w:eastAsia="仿宋_GB2312" w:cs="仿宋_GB2312"/>
          <w:b w:val="0"/>
          <w:bCs w:val="0"/>
          <w:i w:val="0"/>
          <w:iCs w:val="0"/>
          <w:sz w:val="32"/>
          <w:szCs w:val="32"/>
          <w:lang w:val="zh-CN" w:eastAsia="zh-CN"/>
        </w:rPr>
        <w:t>加强财务管理和内部控制监督制度。</w:t>
      </w:r>
    </w:p>
    <w:p w14:paraId="53AC94AB">
      <w:pPr>
        <w:numPr>
          <w:ilvl w:val="0"/>
          <w:numId w:val="0"/>
        </w:numPr>
        <w:ind w:firstLine="640" w:firstLineChars="200"/>
        <w:rPr>
          <w:rFonts w:hint="eastAsia" w:ascii="仿宋_GB2312" w:hAnsi="仿宋_GB2312" w:eastAsia="仿宋_GB2312" w:cs="仿宋_GB2312"/>
          <w:color w:val="FF0000"/>
          <w:sz w:val="32"/>
          <w:szCs w:val="32"/>
          <w:lang w:val="en-US" w:eastAsia="zh-CN"/>
        </w:rPr>
      </w:pP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3.项目实施。</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严格按照相关规定完成年度目标任务、大力开展就业创业政策宣传、就业招聘公共服务，着力促进重点群体就业稳就业、</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坚持与乡村振兴有效衔接，筑牢巩固脱贫成果底线。</w:t>
      </w:r>
      <w:r>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t>通过项目实施，开发临时性工作岗位2000余</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人，为脱贫户和边缘易致贫户提供就业扶持，增加收入。</w:t>
      </w:r>
    </w:p>
    <w:p w14:paraId="2B748F5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4.项目结果。</w:t>
      </w:r>
      <w:r>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t>基本完成年初指标值，通过项目实施</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2023年度补贴性职业技能培训任务指标1790人次。完成年度总任务的113.74%</w:t>
      </w:r>
      <w:r>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t>。</w:t>
      </w:r>
    </w:p>
    <w:p w14:paraId="637E6B8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（二）</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专用指标</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绩效分析。根据</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专项预算项目资金支持对象选择所属指标进行绩效分析。支持对象</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包括产业发展、民生保障、基础设施、行政运转等方面。</w:t>
      </w:r>
    </w:p>
    <w:p w14:paraId="0BA518D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1.产业发展。</w:t>
      </w:r>
      <w:r>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t>无</w:t>
      </w:r>
    </w:p>
    <w:p w14:paraId="560C54F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2.</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民生保障。</w:t>
      </w:r>
      <w:r>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t>无</w:t>
      </w:r>
    </w:p>
    <w:p w14:paraId="05D446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3.基础设施。</w:t>
      </w:r>
      <w:r>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t>无</w:t>
      </w:r>
    </w:p>
    <w:p w14:paraId="36C4824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4.</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行政运转。</w:t>
      </w:r>
      <w:r>
        <w:rPr>
          <w:rFonts w:hint="eastAsia" w:ascii="Times New Roman" w:hAnsi="Times New Roman" w:eastAsia="仿宋_GB2312" w:cs="Times New Roman"/>
          <w:b w:val="0"/>
          <w:bCs w:val="0"/>
          <w:i w:val="0"/>
          <w:iCs w:val="0"/>
          <w:color w:val="auto"/>
          <w:kern w:val="0"/>
          <w:position w:val="0"/>
          <w:sz w:val="32"/>
          <w:szCs w:val="32"/>
          <w:highlight w:val="none"/>
          <w:lang w:val="zh-CN" w:eastAsia="zh-CN" w:bidi="ar-SA"/>
        </w:rPr>
        <w:t>无</w:t>
      </w:r>
    </w:p>
    <w:p w14:paraId="7967EBE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（三）</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个性指标</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绩效分析。</w:t>
      </w:r>
      <w:r>
        <w:rPr>
          <w:rFonts w:hint="eastAsia" w:ascii="Times New Roman" w:hAnsi="Times New Roman" w:eastAsia="仿宋_GB2312" w:cs="Times New Roman"/>
          <w:b w:val="0"/>
          <w:bCs w:val="0"/>
          <w:i w:val="0"/>
          <w:iCs w:val="0"/>
          <w:color w:val="auto"/>
          <w:kern w:val="0"/>
          <w:position w:val="0"/>
          <w:sz w:val="32"/>
          <w:szCs w:val="32"/>
          <w:highlight w:val="none"/>
          <w:lang w:val="zh-CN" w:eastAsia="zh-CN" w:bidi="ar-SA"/>
        </w:rPr>
        <w:t>无</w:t>
      </w:r>
    </w:p>
    <w:p w14:paraId="41A7B2E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四、评价结论</w:t>
      </w:r>
    </w:p>
    <w:p w14:paraId="24087CF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我局财务管理制度健全规范，无违规违纪现象，2023年</w:t>
      </w:r>
      <w:r>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t>本项目</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自评得分</w:t>
      </w:r>
      <w:r>
        <w:rPr>
          <w:rFonts w:hint="eastAsia" w:ascii="Times New Roman" w:hAnsi="Times New Roman" w:eastAsia="仿宋_GB2312" w:cs="Times New Roman"/>
          <w:b w:val="0"/>
          <w:bCs w:val="0"/>
          <w:i w:val="0"/>
          <w:iCs w:val="0"/>
          <w:color w:val="auto"/>
          <w:kern w:val="0"/>
          <w:position w:val="0"/>
          <w:sz w:val="32"/>
          <w:szCs w:val="32"/>
          <w:highlight w:val="none"/>
          <w:lang w:val="en-US" w:eastAsia="zh-CN" w:bidi="ar-SA"/>
        </w:rPr>
        <w:t>92</w:t>
      </w: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分</w:t>
      </w: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w:t>
      </w:r>
    </w:p>
    <w:p w14:paraId="0D247A4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en-US" w:eastAsia="zh-CN" w:bidi="ar-SA"/>
        </w:rPr>
        <w:t>五、存在主要问题</w:t>
      </w:r>
    </w:p>
    <w:p w14:paraId="46FA34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b w:val="0"/>
          <w:bCs w:val="0"/>
          <w:i w:val="0"/>
          <w:iCs w:val="0"/>
          <w:color w:val="auto"/>
          <w:kern w:val="0"/>
          <w:position w:val="0"/>
          <w:sz w:val="32"/>
          <w:szCs w:val="32"/>
          <w:highlight w:val="none"/>
          <w:lang w:val="zh-CN" w:eastAsia="zh-CN" w:bidi="ar-SA"/>
        </w:rPr>
      </w:pPr>
      <w:r>
        <w:rPr>
          <w:rFonts w:hint="eastAsia" w:ascii="Times New Roman" w:hAnsi="Times New Roman" w:eastAsia="仿宋_GB2312" w:cs="Times New Roman"/>
          <w:b w:val="0"/>
          <w:bCs w:val="0"/>
          <w:i w:val="0"/>
          <w:iCs w:val="0"/>
          <w:color w:val="auto"/>
          <w:kern w:val="0"/>
          <w:position w:val="0"/>
          <w:sz w:val="32"/>
          <w:szCs w:val="32"/>
          <w:highlight w:val="none"/>
          <w:lang w:val="zh-CN" w:eastAsia="zh-CN" w:bidi="ar-SA"/>
        </w:rPr>
        <w:t>1、内控制度、财务制度还可进一步完善。</w:t>
      </w:r>
    </w:p>
    <w:p w14:paraId="669C80A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pPr>
      <w:r>
        <w:rPr>
          <w:rFonts w:hint="eastAsia" w:ascii="Times New Roman" w:hAnsi="Times New Roman" w:eastAsia="仿宋_GB2312" w:cs="Times New Roman"/>
          <w:b w:val="0"/>
          <w:bCs w:val="0"/>
          <w:i w:val="0"/>
          <w:iCs w:val="0"/>
          <w:color w:val="auto"/>
          <w:kern w:val="0"/>
          <w:position w:val="0"/>
          <w:sz w:val="32"/>
          <w:szCs w:val="32"/>
          <w:highlight w:val="none"/>
          <w:lang w:val="zh-CN" w:eastAsia="zh-CN" w:bidi="ar-SA"/>
        </w:rPr>
        <w:t>2、资金使用效益有待进一步提高</w:t>
      </w:r>
      <w:r>
        <w:rPr>
          <w:rFonts w:hint="eastAsia" w:eastAsia="仿宋_GB2312" w:cs="Times New Roman"/>
          <w:b w:val="0"/>
          <w:bCs w:val="0"/>
          <w:i w:val="0"/>
          <w:iCs w:val="0"/>
          <w:color w:val="auto"/>
          <w:kern w:val="0"/>
          <w:position w:val="0"/>
          <w:sz w:val="32"/>
          <w:szCs w:val="32"/>
          <w:highlight w:val="none"/>
          <w:lang w:val="zh-CN" w:eastAsia="zh-CN" w:bidi="ar-SA"/>
        </w:rPr>
        <w:t>。</w:t>
      </w:r>
    </w:p>
    <w:p w14:paraId="45D6A38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kern w:val="0"/>
          <w:position w:val="0"/>
          <w:sz w:val="32"/>
          <w:szCs w:val="32"/>
          <w:highlight w:val="none"/>
          <w:lang w:val="zh-CN" w:eastAsia="zh-CN" w:bidi="ar-SA"/>
        </w:rPr>
        <w:t>六、改进建议</w:t>
      </w:r>
    </w:p>
    <w:p w14:paraId="7916EE3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color w:val="FF0000"/>
          <w:kern w:val="0"/>
          <w:position w:val="0"/>
          <w:sz w:val="32"/>
          <w:szCs w:val="32"/>
          <w:highlight w:val="none"/>
          <w:lang w:val="en-US" w:eastAsia="zh-CN" w:bidi="ar-SA"/>
        </w:rPr>
      </w:pPr>
      <w:r>
        <w:rPr>
          <w:rFonts w:hint="eastAsia" w:eastAsia="仿宋_GB2312" w:cs="Times New Roman"/>
          <w:b w:val="0"/>
          <w:bCs w:val="0"/>
          <w:i w:val="0"/>
          <w:iCs w:val="0"/>
          <w:color w:val="FF0000"/>
          <w:kern w:val="0"/>
          <w:position w:val="0"/>
          <w:sz w:val="32"/>
          <w:szCs w:val="32"/>
          <w:highlight w:val="none"/>
          <w:lang w:val="en-US" w:eastAsia="zh-CN" w:bidi="ar-SA"/>
        </w:rPr>
        <w:t xml:space="preserve"> </w:t>
      </w:r>
      <w:r>
        <w:rPr>
          <w:rFonts w:hint="eastAsia" w:ascii="Times New Roman" w:hAnsi="Times New Roman" w:eastAsia="仿宋_GB2312" w:cs="Times New Roman"/>
          <w:b w:val="0"/>
          <w:bCs w:val="0"/>
          <w:i w:val="0"/>
          <w:iCs w:val="0"/>
          <w:color w:val="auto"/>
          <w:kern w:val="0"/>
          <w:position w:val="0"/>
          <w:sz w:val="32"/>
          <w:szCs w:val="32"/>
          <w:highlight w:val="none"/>
          <w:lang w:val="zh-CN" w:eastAsia="zh-CN" w:bidi="ar-SA"/>
        </w:rPr>
        <w:t>进一步完善内控制度、财务制度，提高资金使用效益</w:t>
      </w:r>
      <w:r>
        <w:rPr>
          <w:rFonts w:hint="eastAsia" w:eastAsia="仿宋_GB2312" w:cs="Times New Roman"/>
          <w:b w:val="0"/>
          <w:bCs w:val="0"/>
          <w:i w:val="0"/>
          <w:iCs w:val="0"/>
          <w:color w:val="auto"/>
          <w:kern w:val="0"/>
          <w:position w:val="0"/>
          <w:sz w:val="32"/>
          <w:szCs w:val="32"/>
          <w:highlight w:val="none"/>
          <w:lang w:val="zh-CN" w:eastAsia="zh-CN" w:bidi="ar-SA"/>
        </w:rPr>
        <w:t>。</w:t>
      </w:r>
    </w:p>
    <w:p w14:paraId="754A4282">
      <w:pPr>
        <w:pStyle w:val="3"/>
        <w:rPr>
          <w:rFonts w:hint="default"/>
          <w:lang w:val="zh-CN" w:eastAsia="zh-CN"/>
        </w:rPr>
      </w:pPr>
    </w:p>
    <w:p w14:paraId="2C1C9F7C">
      <w:pPr>
        <w:spacing w:line="580" w:lineRule="exact"/>
        <w:rPr>
          <w:rStyle w:val="33"/>
          <w:rFonts w:hint="default" w:ascii="Times New Roman" w:hAnsi="Times New Roman" w:eastAsia="黑体" w:cs="Times New Roman"/>
          <w:b w:val="0"/>
          <w:bCs w:val="0"/>
          <w:i w:val="0"/>
          <w:iCs w:val="0"/>
          <w:color w:val="auto"/>
          <w:highlight w:val="none"/>
        </w:rPr>
      </w:pPr>
    </w:p>
    <w:p w14:paraId="05E8494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微软雅黑" w:cs="Times New Roman"/>
          <w:b w:val="0"/>
          <w:bCs w:val="0"/>
          <w:i w:val="0"/>
          <w:iCs w:val="0"/>
          <w:color w:val="auto"/>
          <w:highlight w:val="none"/>
        </w:rPr>
      </w:pPr>
      <w:bookmarkStart w:id="162" w:name="_Toc15396618"/>
      <w:r>
        <w:rPr>
          <w:rFonts w:hint="default" w:ascii="Times New Roman" w:hAnsi="Times New Roman" w:eastAsia="黑体" w:cs="Times New Roman"/>
          <w:b w:val="0"/>
          <w:bCs w:val="0"/>
          <w:i w:val="0"/>
          <w:iCs w:val="0"/>
          <w:color w:val="auto"/>
          <w:sz w:val="44"/>
          <w:szCs w:val="44"/>
          <w:highlight w:val="none"/>
        </w:rPr>
        <w:br w:type="page"/>
      </w:r>
      <w:bookmarkStart w:id="163" w:name="_Toc30021"/>
      <w:r>
        <w:rPr>
          <w:rFonts w:hint="default" w:ascii="Times New Roman" w:hAnsi="Times New Roman" w:eastAsia="微软雅黑" w:cs="Times New Roman"/>
          <w:b w:val="0"/>
          <w:bCs w:val="0"/>
          <w:i w:val="0"/>
          <w:iCs w:val="0"/>
          <w:color w:val="auto"/>
          <w:sz w:val="44"/>
          <w:szCs w:val="44"/>
          <w:highlight w:val="none"/>
        </w:rPr>
        <w:t>第</w:t>
      </w:r>
      <w:r>
        <w:rPr>
          <w:rStyle w:val="33"/>
          <w:rFonts w:hint="default" w:ascii="Times New Roman" w:hAnsi="Times New Roman" w:eastAsia="微软雅黑" w:cs="Times New Roman"/>
          <w:b w:val="0"/>
          <w:bCs w:val="0"/>
          <w:i w:val="0"/>
          <w:iCs w:val="0"/>
          <w:color w:val="auto"/>
          <w:highlight w:val="none"/>
        </w:rPr>
        <w:t>五部分 附表</w:t>
      </w:r>
      <w:bookmarkEnd w:id="162"/>
      <w:bookmarkEnd w:id="163"/>
      <w:bookmarkStart w:id="164" w:name="_Toc15396619"/>
    </w:p>
    <w:p w14:paraId="46C66E8D">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outlineLvl w:val="9"/>
        <w:rPr>
          <w:rFonts w:hint="default" w:ascii="Times New Roman" w:hAnsi="Times New Roman" w:eastAsia="仿宋_GB2312" w:cs="Times New Roman"/>
          <w:b w:val="0"/>
          <w:bCs w:val="0"/>
          <w:i w:val="0"/>
          <w:iCs w:val="0"/>
          <w:color w:val="auto"/>
          <w:highlight w:val="none"/>
        </w:rPr>
      </w:pPr>
    </w:p>
    <w:p w14:paraId="6E7A9D5F">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65" w:name="_Toc12066"/>
      <w:r>
        <w:rPr>
          <w:rFonts w:hint="default" w:ascii="Times New Roman" w:hAnsi="Times New Roman" w:eastAsia="仿宋_GB2312" w:cs="Times New Roman"/>
          <w:b w:val="0"/>
          <w:bCs w:val="0"/>
          <w:i w:val="0"/>
          <w:iCs w:val="0"/>
          <w:color w:val="auto"/>
          <w:highlight w:val="none"/>
        </w:rPr>
        <w:t>一、收</w:t>
      </w:r>
      <w:r>
        <w:rPr>
          <w:rStyle w:val="34"/>
          <w:rFonts w:hint="default" w:ascii="Times New Roman" w:hAnsi="Times New Roman" w:eastAsia="仿宋_GB2312" w:cs="Times New Roman"/>
          <w:b w:val="0"/>
          <w:bCs w:val="0"/>
          <w:i w:val="0"/>
          <w:iCs w:val="0"/>
          <w:color w:val="auto"/>
          <w:highlight w:val="none"/>
        </w:rPr>
        <w:t>入支出决算总表</w:t>
      </w:r>
      <w:bookmarkEnd w:id="164"/>
      <w:bookmarkEnd w:id="165"/>
    </w:p>
    <w:p w14:paraId="26812CCB">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66" w:name="_Toc15396620"/>
      <w:bookmarkStart w:id="167" w:name="_Toc12001"/>
      <w:r>
        <w:rPr>
          <w:rFonts w:hint="default" w:ascii="Times New Roman" w:hAnsi="Times New Roman" w:eastAsia="仿宋_GB2312" w:cs="Times New Roman"/>
          <w:b w:val="0"/>
          <w:bCs w:val="0"/>
          <w:i w:val="0"/>
          <w:iCs w:val="0"/>
          <w:color w:val="auto"/>
          <w:highlight w:val="none"/>
        </w:rPr>
        <w:t>二、收</w:t>
      </w:r>
      <w:r>
        <w:rPr>
          <w:rStyle w:val="34"/>
          <w:rFonts w:hint="default" w:ascii="Times New Roman" w:hAnsi="Times New Roman" w:eastAsia="仿宋_GB2312" w:cs="Times New Roman"/>
          <w:b w:val="0"/>
          <w:bCs w:val="0"/>
          <w:i w:val="0"/>
          <w:iCs w:val="0"/>
          <w:color w:val="auto"/>
          <w:highlight w:val="none"/>
        </w:rPr>
        <w:t>入决算表</w:t>
      </w:r>
      <w:bookmarkEnd w:id="166"/>
      <w:bookmarkEnd w:id="167"/>
    </w:p>
    <w:p w14:paraId="4417B0F6">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68" w:name="_Toc15396621"/>
      <w:bookmarkStart w:id="169" w:name="_Toc10637"/>
      <w:r>
        <w:rPr>
          <w:rStyle w:val="34"/>
          <w:rFonts w:hint="default" w:ascii="Times New Roman" w:hAnsi="Times New Roman" w:eastAsia="仿宋_GB2312" w:cs="Times New Roman"/>
          <w:b w:val="0"/>
          <w:bCs w:val="0"/>
          <w:i w:val="0"/>
          <w:iCs w:val="0"/>
          <w:color w:val="auto"/>
          <w:highlight w:val="none"/>
        </w:rPr>
        <w:t>三、</w:t>
      </w:r>
      <w:r>
        <w:rPr>
          <w:rFonts w:hint="default" w:ascii="Times New Roman" w:hAnsi="Times New Roman" w:eastAsia="仿宋_GB2312" w:cs="Times New Roman"/>
          <w:b w:val="0"/>
          <w:bCs w:val="0"/>
          <w:i w:val="0"/>
          <w:iCs w:val="0"/>
          <w:color w:val="auto"/>
          <w:highlight w:val="none"/>
        </w:rPr>
        <w:t>支</w:t>
      </w:r>
      <w:r>
        <w:rPr>
          <w:rStyle w:val="34"/>
          <w:rFonts w:hint="default" w:ascii="Times New Roman" w:hAnsi="Times New Roman" w:eastAsia="仿宋_GB2312" w:cs="Times New Roman"/>
          <w:b w:val="0"/>
          <w:bCs w:val="0"/>
          <w:i w:val="0"/>
          <w:iCs w:val="0"/>
          <w:color w:val="auto"/>
          <w:highlight w:val="none"/>
        </w:rPr>
        <w:t>出决算表</w:t>
      </w:r>
      <w:bookmarkEnd w:id="168"/>
      <w:bookmarkEnd w:id="169"/>
    </w:p>
    <w:p w14:paraId="11F46ED5">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70" w:name="_Toc15396622"/>
      <w:bookmarkStart w:id="171" w:name="_Toc1535"/>
      <w:r>
        <w:rPr>
          <w:rStyle w:val="34"/>
          <w:rFonts w:hint="default" w:ascii="Times New Roman" w:hAnsi="Times New Roman" w:eastAsia="仿宋_GB2312" w:cs="Times New Roman"/>
          <w:b w:val="0"/>
          <w:bCs w:val="0"/>
          <w:i w:val="0"/>
          <w:iCs w:val="0"/>
          <w:color w:val="auto"/>
          <w:highlight w:val="none"/>
        </w:rPr>
        <w:t>四、</w:t>
      </w:r>
      <w:r>
        <w:rPr>
          <w:rFonts w:hint="default" w:ascii="Times New Roman" w:hAnsi="Times New Roman" w:eastAsia="仿宋_GB2312" w:cs="Times New Roman"/>
          <w:b w:val="0"/>
          <w:bCs w:val="0"/>
          <w:i w:val="0"/>
          <w:iCs w:val="0"/>
          <w:color w:val="auto"/>
          <w:highlight w:val="none"/>
        </w:rPr>
        <w:t>财</w:t>
      </w:r>
      <w:r>
        <w:rPr>
          <w:rStyle w:val="34"/>
          <w:rFonts w:hint="default" w:ascii="Times New Roman" w:hAnsi="Times New Roman" w:eastAsia="仿宋_GB2312" w:cs="Times New Roman"/>
          <w:b w:val="0"/>
          <w:bCs w:val="0"/>
          <w:i w:val="0"/>
          <w:iCs w:val="0"/>
          <w:color w:val="auto"/>
          <w:highlight w:val="none"/>
        </w:rPr>
        <w:t>政拨款收入支出决算总表</w:t>
      </w:r>
      <w:bookmarkEnd w:id="170"/>
      <w:bookmarkEnd w:id="171"/>
    </w:p>
    <w:p w14:paraId="6D1484AA">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Style w:val="34"/>
          <w:rFonts w:hint="default" w:ascii="Times New Roman" w:hAnsi="Times New Roman" w:eastAsia="仿宋_GB2312" w:cs="Times New Roman"/>
          <w:b w:val="0"/>
          <w:bCs w:val="0"/>
          <w:i w:val="0"/>
          <w:iCs w:val="0"/>
          <w:color w:val="auto"/>
          <w:highlight w:val="none"/>
        </w:rPr>
      </w:pPr>
      <w:bookmarkStart w:id="172" w:name="_Toc7353"/>
      <w:bookmarkStart w:id="173" w:name="_Toc15396623"/>
      <w:r>
        <w:rPr>
          <w:rStyle w:val="34"/>
          <w:rFonts w:hint="default" w:ascii="Times New Roman" w:hAnsi="Times New Roman" w:eastAsia="仿宋_GB2312" w:cs="Times New Roman"/>
          <w:b w:val="0"/>
          <w:bCs w:val="0"/>
          <w:i w:val="0"/>
          <w:iCs w:val="0"/>
          <w:color w:val="auto"/>
          <w:highlight w:val="none"/>
        </w:rPr>
        <w:t>五、</w:t>
      </w:r>
      <w:r>
        <w:rPr>
          <w:rFonts w:hint="default" w:ascii="Times New Roman" w:hAnsi="Times New Roman" w:eastAsia="仿宋_GB2312" w:cs="Times New Roman"/>
          <w:b w:val="0"/>
          <w:bCs w:val="0"/>
          <w:i w:val="0"/>
          <w:iCs w:val="0"/>
          <w:color w:val="auto"/>
          <w:highlight w:val="none"/>
        </w:rPr>
        <w:t>财</w:t>
      </w:r>
      <w:r>
        <w:rPr>
          <w:rStyle w:val="34"/>
          <w:rFonts w:hint="default" w:ascii="Times New Roman" w:hAnsi="Times New Roman" w:eastAsia="仿宋_GB2312" w:cs="Times New Roman"/>
          <w:b w:val="0"/>
          <w:bCs w:val="0"/>
          <w:i w:val="0"/>
          <w:iCs w:val="0"/>
          <w:color w:val="auto"/>
          <w:highlight w:val="none"/>
        </w:rPr>
        <w:t>政拨款支出决算明细表</w:t>
      </w:r>
      <w:bookmarkEnd w:id="172"/>
      <w:bookmarkEnd w:id="173"/>
      <w:bookmarkStart w:id="174" w:name="_Toc15396624"/>
    </w:p>
    <w:p w14:paraId="127CB834">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75" w:name="_Toc24588"/>
      <w:r>
        <w:rPr>
          <w:rStyle w:val="34"/>
          <w:rFonts w:hint="default" w:ascii="Times New Roman" w:hAnsi="Times New Roman" w:eastAsia="仿宋_GB2312" w:cs="Times New Roman"/>
          <w:b w:val="0"/>
          <w:bCs w:val="0"/>
          <w:i w:val="0"/>
          <w:iCs w:val="0"/>
          <w:color w:val="auto"/>
          <w:highlight w:val="none"/>
        </w:rPr>
        <w:t>六、</w:t>
      </w:r>
      <w:r>
        <w:rPr>
          <w:rFonts w:hint="default" w:ascii="Times New Roman" w:hAnsi="Times New Roman" w:eastAsia="仿宋_GB2312" w:cs="Times New Roman"/>
          <w:b w:val="0"/>
          <w:bCs w:val="0"/>
          <w:i w:val="0"/>
          <w:iCs w:val="0"/>
          <w:color w:val="auto"/>
          <w:highlight w:val="none"/>
        </w:rPr>
        <w:t>一</w:t>
      </w:r>
      <w:r>
        <w:rPr>
          <w:rStyle w:val="34"/>
          <w:rFonts w:hint="default" w:ascii="Times New Roman" w:hAnsi="Times New Roman" w:eastAsia="仿宋_GB2312" w:cs="Times New Roman"/>
          <w:b w:val="0"/>
          <w:bCs w:val="0"/>
          <w:i w:val="0"/>
          <w:iCs w:val="0"/>
          <w:color w:val="auto"/>
          <w:highlight w:val="none"/>
        </w:rPr>
        <w:t>般公共预算财政拨款支出决算表</w:t>
      </w:r>
      <w:bookmarkEnd w:id="174"/>
      <w:bookmarkEnd w:id="175"/>
    </w:p>
    <w:p w14:paraId="14594CE8">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76" w:name="_Toc15396625"/>
      <w:bookmarkStart w:id="177" w:name="_Toc7293"/>
      <w:r>
        <w:rPr>
          <w:rStyle w:val="34"/>
          <w:rFonts w:hint="default" w:ascii="Times New Roman" w:hAnsi="Times New Roman" w:eastAsia="仿宋_GB2312" w:cs="Times New Roman"/>
          <w:b w:val="0"/>
          <w:bCs w:val="0"/>
          <w:i w:val="0"/>
          <w:iCs w:val="0"/>
          <w:color w:val="auto"/>
          <w:highlight w:val="none"/>
        </w:rPr>
        <w:t>七、</w:t>
      </w:r>
      <w:r>
        <w:rPr>
          <w:rFonts w:hint="default" w:ascii="Times New Roman" w:hAnsi="Times New Roman" w:eastAsia="仿宋_GB2312" w:cs="Times New Roman"/>
          <w:b w:val="0"/>
          <w:bCs w:val="0"/>
          <w:i w:val="0"/>
          <w:iCs w:val="0"/>
          <w:color w:val="auto"/>
          <w:highlight w:val="none"/>
        </w:rPr>
        <w:t>一</w:t>
      </w:r>
      <w:r>
        <w:rPr>
          <w:rStyle w:val="34"/>
          <w:rFonts w:hint="default" w:ascii="Times New Roman" w:hAnsi="Times New Roman" w:eastAsia="仿宋_GB2312" w:cs="Times New Roman"/>
          <w:b w:val="0"/>
          <w:bCs w:val="0"/>
          <w:i w:val="0"/>
          <w:iCs w:val="0"/>
          <w:color w:val="auto"/>
          <w:highlight w:val="none"/>
        </w:rPr>
        <w:t>般公共预算财政拨款支出决算明细表</w:t>
      </w:r>
      <w:bookmarkEnd w:id="176"/>
      <w:bookmarkEnd w:id="177"/>
    </w:p>
    <w:p w14:paraId="73649260">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78" w:name="_Toc15648"/>
      <w:bookmarkStart w:id="179" w:name="_Toc15396626"/>
      <w:r>
        <w:rPr>
          <w:rStyle w:val="34"/>
          <w:rFonts w:hint="default" w:ascii="Times New Roman" w:hAnsi="Times New Roman" w:eastAsia="仿宋_GB2312" w:cs="Times New Roman"/>
          <w:b w:val="0"/>
          <w:bCs w:val="0"/>
          <w:i w:val="0"/>
          <w:iCs w:val="0"/>
          <w:color w:val="auto"/>
          <w:highlight w:val="none"/>
        </w:rPr>
        <w:t>八、</w:t>
      </w:r>
      <w:r>
        <w:rPr>
          <w:rFonts w:hint="default" w:ascii="Times New Roman" w:hAnsi="Times New Roman" w:eastAsia="仿宋_GB2312" w:cs="Times New Roman"/>
          <w:b w:val="0"/>
          <w:bCs w:val="0"/>
          <w:i w:val="0"/>
          <w:iCs w:val="0"/>
          <w:color w:val="auto"/>
          <w:highlight w:val="none"/>
        </w:rPr>
        <w:t>一</w:t>
      </w:r>
      <w:r>
        <w:rPr>
          <w:rStyle w:val="34"/>
          <w:rFonts w:hint="default" w:ascii="Times New Roman" w:hAnsi="Times New Roman" w:eastAsia="仿宋_GB2312" w:cs="Times New Roman"/>
          <w:b w:val="0"/>
          <w:bCs w:val="0"/>
          <w:i w:val="0"/>
          <w:iCs w:val="0"/>
          <w:color w:val="auto"/>
          <w:highlight w:val="none"/>
        </w:rPr>
        <w:t>般公共预算财政拨款基本支出决算表</w:t>
      </w:r>
      <w:bookmarkEnd w:id="178"/>
      <w:bookmarkEnd w:id="179"/>
    </w:p>
    <w:p w14:paraId="643E651B">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80" w:name="_Toc24003"/>
      <w:bookmarkStart w:id="181" w:name="_Toc15396627"/>
      <w:r>
        <w:rPr>
          <w:rStyle w:val="34"/>
          <w:rFonts w:hint="default" w:ascii="Times New Roman" w:hAnsi="Times New Roman" w:eastAsia="仿宋_GB2312" w:cs="Times New Roman"/>
          <w:b w:val="0"/>
          <w:bCs w:val="0"/>
          <w:i w:val="0"/>
          <w:iCs w:val="0"/>
          <w:color w:val="auto"/>
          <w:highlight w:val="none"/>
        </w:rPr>
        <w:t>九、</w:t>
      </w:r>
      <w:r>
        <w:rPr>
          <w:rFonts w:hint="default" w:ascii="Times New Roman" w:hAnsi="Times New Roman" w:eastAsia="仿宋_GB2312" w:cs="Times New Roman"/>
          <w:b w:val="0"/>
          <w:bCs w:val="0"/>
          <w:i w:val="0"/>
          <w:iCs w:val="0"/>
          <w:color w:val="auto"/>
          <w:highlight w:val="none"/>
        </w:rPr>
        <w:t>一</w:t>
      </w:r>
      <w:r>
        <w:rPr>
          <w:rStyle w:val="34"/>
          <w:rFonts w:hint="default" w:ascii="Times New Roman" w:hAnsi="Times New Roman" w:eastAsia="仿宋_GB2312" w:cs="Times New Roman"/>
          <w:b w:val="0"/>
          <w:bCs w:val="0"/>
          <w:i w:val="0"/>
          <w:iCs w:val="0"/>
          <w:color w:val="auto"/>
          <w:highlight w:val="none"/>
        </w:rPr>
        <w:t>般公共预算财政拨款项目支出决算表</w:t>
      </w:r>
      <w:bookmarkEnd w:id="180"/>
      <w:bookmarkEnd w:id="181"/>
    </w:p>
    <w:p w14:paraId="1989EBB3">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82" w:name="_Toc15396628"/>
      <w:bookmarkStart w:id="183" w:name="_Toc9957"/>
      <w:r>
        <w:rPr>
          <w:rStyle w:val="34"/>
          <w:rFonts w:hint="default" w:ascii="Times New Roman" w:hAnsi="Times New Roman" w:eastAsia="仿宋_GB2312" w:cs="Times New Roman"/>
          <w:b w:val="0"/>
          <w:bCs w:val="0"/>
          <w:i w:val="0"/>
          <w:iCs w:val="0"/>
          <w:color w:val="auto"/>
          <w:highlight w:val="none"/>
        </w:rPr>
        <w:t>十、</w:t>
      </w:r>
      <w:bookmarkEnd w:id="182"/>
      <w:r>
        <w:rPr>
          <w:rFonts w:hint="default" w:ascii="Times New Roman" w:hAnsi="Times New Roman" w:eastAsia="仿宋_GB2312" w:cs="Times New Roman"/>
          <w:b w:val="0"/>
          <w:bCs w:val="0"/>
          <w:i w:val="0"/>
          <w:iCs w:val="0"/>
          <w:color w:val="auto"/>
          <w:highlight w:val="none"/>
        </w:rPr>
        <w:t>政</w:t>
      </w:r>
      <w:r>
        <w:rPr>
          <w:rStyle w:val="34"/>
          <w:rFonts w:hint="default" w:ascii="Times New Roman" w:hAnsi="Times New Roman" w:eastAsia="仿宋_GB2312" w:cs="Times New Roman"/>
          <w:b w:val="0"/>
          <w:bCs w:val="0"/>
          <w:i w:val="0"/>
          <w:iCs w:val="0"/>
          <w:color w:val="auto"/>
          <w:highlight w:val="none"/>
        </w:rPr>
        <w:t>府性基金预算财政拨款收入支出决算表</w:t>
      </w:r>
      <w:bookmarkEnd w:id="183"/>
    </w:p>
    <w:p w14:paraId="3FCAB4A8">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84" w:name="_Toc15396629"/>
      <w:bookmarkStart w:id="185" w:name="_Toc29267"/>
      <w:r>
        <w:rPr>
          <w:rStyle w:val="34"/>
          <w:rFonts w:hint="default" w:ascii="Times New Roman" w:hAnsi="Times New Roman" w:eastAsia="仿宋_GB2312" w:cs="Times New Roman"/>
          <w:b w:val="0"/>
          <w:bCs w:val="0"/>
          <w:i w:val="0"/>
          <w:iCs w:val="0"/>
          <w:color w:val="auto"/>
          <w:highlight w:val="none"/>
        </w:rPr>
        <w:t>十一、</w:t>
      </w:r>
      <w:bookmarkEnd w:id="184"/>
      <w:r>
        <w:rPr>
          <w:rFonts w:hint="default" w:ascii="Times New Roman" w:hAnsi="Times New Roman" w:eastAsia="仿宋_GB2312" w:cs="Times New Roman"/>
          <w:b w:val="0"/>
          <w:bCs w:val="0"/>
          <w:i w:val="0"/>
          <w:iCs w:val="0"/>
          <w:color w:val="auto"/>
          <w:highlight w:val="none"/>
        </w:rPr>
        <w:t>国</w:t>
      </w:r>
      <w:r>
        <w:rPr>
          <w:rStyle w:val="34"/>
          <w:rFonts w:hint="default" w:ascii="Times New Roman" w:hAnsi="Times New Roman" w:eastAsia="仿宋_GB2312" w:cs="Times New Roman"/>
          <w:b w:val="0"/>
          <w:bCs w:val="0"/>
          <w:i w:val="0"/>
          <w:iCs w:val="0"/>
          <w:color w:val="auto"/>
          <w:highlight w:val="none"/>
        </w:rPr>
        <w:t>有资本经营预算</w:t>
      </w:r>
      <w:r>
        <w:rPr>
          <w:rStyle w:val="34"/>
          <w:rFonts w:hint="default" w:ascii="Times New Roman" w:hAnsi="Times New Roman" w:eastAsia="仿宋_GB2312" w:cs="Times New Roman"/>
          <w:b w:val="0"/>
          <w:bCs w:val="0"/>
          <w:i w:val="0"/>
          <w:iCs w:val="0"/>
          <w:color w:val="auto"/>
          <w:highlight w:val="none"/>
          <w:lang w:eastAsia="zh-CN"/>
        </w:rPr>
        <w:t>财政拨款收入</w:t>
      </w:r>
      <w:r>
        <w:rPr>
          <w:rStyle w:val="34"/>
          <w:rFonts w:hint="default" w:ascii="Times New Roman" w:hAnsi="Times New Roman" w:eastAsia="仿宋_GB2312" w:cs="Times New Roman"/>
          <w:b w:val="0"/>
          <w:bCs w:val="0"/>
          <w:i w:val="0"/>
          <w:iCs w:val="0"/>
          <w:color w:val="auto"/>
          <w:highlight w:val="none"/>
        </w:rPr>
        <w:t>支出决算表</w:t>
      </w:r>
      <w:bookmarkEnd w:id="185"/>
    </w:p>
    <w:p w14:paraId="74339BCE">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86" w:name="_Toc15396630"/>
      <w:bookmarkStart w:id="187" w:name="_Toc25532"/>
      <w:r>
        <w:rPr>
          <w:rStyle w:val="34"/>
          <w:rFonts w:hint="default" w:ascii="Times New Roman" w:hAnsi="Times New Roman" w:eastAsia="仿宋_GB2312" w:cs="Times New Roman"/>
          <w:b w:val="0"/>
          <w:bCs w:val="0"/>
          <w:i w:val="0"/>
          <w:iCs w:val="0"/>
          <w:color w:val="auto"/>
          <w:highlight w:val="none"/>
        </w:rPr>
        <w:t>十二、</w:t>
      </w:r>
      <w:bookmarkEnd w:id="186"/>
      <w:r>
        <w:rPr>
          <w:rStyle w:val="34"/>
          <w:rFonts w:hint="default" w:ascii="Times New Roman" w:hAnsi="Times New Roman" w:eastAsia="仿宋_GB2312" w:cs="Times New Roman"/>
          <w:b w:val="0"/>
          <w:bCs w:val="0"/>
          <w:i w:val="0"/>
          <w:iCs w:val="0"/>
          <w:color w:val="auto"/>
          <w:highlight w:val="none"/>
          <w:lang w:eastAsia="zh-CN"/>
        </w:rPr>
        <w:t>国有资本经营预算财政拨款支出决算表</w:t>
      </w:r>
      <w:bookmarkEnd w:id="187"/>
    </w:p>
    <w:p w14:paraId="6F529E82">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Style w:val="34"/>
          <w:rFonts w:hint="default" w:ascii="Times New Roman" w:hAnsi="Times New Roman" w:eastAsia="仿宋_GB2312" w:cs="Times New Roman"/>
          <w:b w:val="0"/>
          <w:bCs w:val="0"/>
          <w:i w:val="0"/>
          <w:iCs w:val="0"/>
          <w:color w:val="auto"/>
          <w:highlight w:val="none"/>
          <w:lang w:eastAsia="zh-CN"/>
        </w:rPr>
      </w:pPr>
      <w:bookmarkStart w:id="188" w:name="_Toc15396631"/>
      <w:bookmarkStart w:id="189" w:name="_Toc31701"/>
      <w:r>
        <w:rPr>
          <w:rStyle w:val="34"/>
          <w:rFonts w:hint="default" w:ascii="Times New Roman" w:hAnsi="Times New Roman" w:eastAsia="仿宋_GB2312" w:cs="Times New Roman"/>
          <w:b w:val="0"/>
          <w:bCs w:val="0"/>
          <w:i w:val="0"/>
          <w:iCs w:val="0"/>
          <w:color w:val="auto"/>
          <w:highlight w:val="none"/>
        </w:rPr>
        <w:t>十三、</w:t>
      </w:r>
      <w:bookmarkEnd w:id="188"/>
      <w:r>
        <w:rPr>
          <w:rStyle w:val="34"/>
          <w:rFonts w:hint="default" w:ascii="Times New Roman" w:hAnsi="Times New Roman" w:eastAsia="仿宋_GB2312" w:cs="Times New Roman"/>
          <w:b w:val="0"/>
          <w:bCs w:val="0"/>
          <w:i w:val="0"/>
          <w:iCs w:val="0"/>
          <w:color w:val="auto"/>
          <w:highlight w:val="none"/>
          <w:lang w:eastAsia="zh-CN"/>
        </w:rPr>
        <w:t>财政拨款“三公”经费支出决算表</w:t>
      </w:r>
      <w:bookmarkEnd w:id="189"/>
    </w:p>
    <w:p w14:paraId="1CAAD31A">
      <w:pPr>
        <w:pStyle w:val="6"/>
        <w:shd w:val="clear"/>
        <w:outlineLvl w:val="9"/>
        <w:rPr>
          <w:rFonts w:ascii="仿宋" w:hAnsi="仿宋" w:eastAsia="仿宋"/>
          <w:color w:val="000000" w:themeColor="text1"/>
          <w14:textFill>
            <w14:solidFill>
              <w14:schemeClr w14:val="tx1"/>
            </w14:solidFill>
          </w14:textFill>
        </w:rPr>
      </w:pPr>
    </w:p>
    <w:sectPr>
      <w:footerReference r:id="rId6" w:type="first"/>
      <w:footerReference r:id="rId5" w:type="default"/>
      <w:type w:val="continuous"/>
      <w:pgSz w:w="11906" w:h="16838"/>
      <w:pgMar w:top="1440" w:right="1803" w:bottom="1440" w:left="1860" w:header="851" w:footer="992" w:gutter="0"/>
      <w:pgBorders>
        <w:top w:val="none" w:sz="0" w:space="0"/>
        <w:left w:val="none" w:sz="0" w:space="0"/>
        <w:bottom w:val="none" w:sz="0" w:space="0"/>
        <w:right w:val="none" w:sz="0" w:space="0"/>
      </w:pgBorders>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D0AA4F-FF1B-4D20-A01B-D9D985B6556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embedRegular r:id="rId2" w:fontKey="{9F764EE6-E637-4F11-A231-0581ED573C13}"/>
  </w:font>
  <w:font w:name="仿宋_GB2312">
    <w:panose1 w:val="02010609030101010101"/>
    <w:charset w:val="86"/>
    <w:family w:val="modern"/>
    <w:pitch w:val="default"/>
    <w:sig w:usb0="00000001" w:usb1="080E0000" w:usb2="00000000" w:usb3="00000000" w:csb0="00040000" w:csb1="00000000"/>
    <w:embedRegular r:id="rId3" w:fontKey="{FC86DF22-4CD9-4836-9621-FE6370E3FC85}"/>
  </w:font>
  <w:font w:name="仿宋">
    <w:panose1 w:val="02010609060101010101"/>
    <w:charset w:val="86"/>
    <w:family w:val="auto"/>
    <w:pitch w:val="default"/>
    <w:sig w:usb0="800002BF" w:usb1="38CF7CFA" w:usb2="00000016" w:usb3="00000000" w:csb0="00040001" w:csb1="00000000"/>
    <w:embedRegular r:id="rId4" w:fontKey="{B5ABBA18-4947-4F06-A115-A2A4FF8CC4D7}"/>
  </w:font>
  <w:font w:name="方正仿宋简体">
    <w:altName w:val="微软雅黑"/>
    <w:panose1 w:val="03000509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embedRegular r:id="rId5" w:fontKey="{DE12A45D-D7A9-4D66-B2F0-6E1826809B57}"/>
  </w:font>
  <w:font w:name="楷体_GB2312">
    <w:panose1 w:val="02010609030101010101"/>
    <w:charset w:val="86"/>
    <w:family w:val="modern"/>
    <w:pitch w:val="default"/>
    <w:sig w:usb0="00000001" w:usb1="080E0000" w:usb2="00000000" w:usb3="00000000" w:csb0="00040000" w:csb1="00000000"/>
    <w:embedRegular r:id="rId6" w:fontKey="{676FB592-AB2B-4A7D-8885-2F6BF92B46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C510EFB">
        <w:pPr>
          <w:pStyle w:val="14"/>
          <w:jc w:val="center"/>
        </w:pPr>
        <w:r>
          <w:fldChar w:fldCharType="begin"/>
        </w:r>
        <w:r>
          <w:instrText xml:space="preserve">PAGE   \* MERGEFORMAT</w:instrText>
        </w:r>
        <w:r>
          <w:fldChar w:fldCharType="separate"/>
        </w:r>
        <w:r>
          <w:rPr>
            <w:lang w:val="zh-CN"/>
          </w:rPr>
          <w:t>24</w:t>
        </w:r>
        <w:r>
          <w:fldChar w:fldCharType="end"/>
        </w:r>
      </w:p>
    </w:sdtContent>
  </w:sdt>
  <w:p w14:paraId="0CD58C1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54C69">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4910"/>
                          </w:sdtPr>
                          <w:sdtContent>
                            <w:p w14:paraId="3E0B9243">
                              <w:pPr>
                                <w:pStyle w:val="14"/>
                                <w:jc w:val="center"/>
                              </w:pPr>
                              <w:r>
                                <w:fldChar w:fldCharType="begin"/>
                              </w:r>
                              <w:r>
                                <w:instrText xml:space="preserve">PAGE   \* MERGEFORMAT</w:instrText>
                              </w:r>
                              <w:r>
                                <w:fldChar w:fldCharType="separate"/>
                              </w:r>
                              <w:r>
                                <w:rPr>
                                  <w:lang w:val="zh-CN"/>
                                </w:rPr>
                                <w:t>24</w:t>
                              </w:r>
                              <w:r>
                                <w:fldChar w:fldCharType="end"/>
                              </w:r>
                            </w:p>
                          </w:sdtContent>
                        </w:sdt>
                        <w:p w14:paraId="2EAFEF4E">
                          <w:pPr>
                            <w:pStyle w:val="2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47474910"/>
                    </w:sdtPr>
                    <w:sdtContent>
                      <w:p w14:paraId="3E0B9243">
                        <w:pPr>
                          <w:pStyle w:val="14"/>
                          <w:jc w:val="center"/>
                        </w:pPr>
                        <w:r>
                          <w:fldChar w:fldCharType="begin"/>
                        </w:r>
                        <w:r>
                          <w:instrText xml:space="preserve">PAGE   \* MERGEFORMAT</w:instrText>
                        </w:r>
                        <w:r>
                          <w:fldChar w:fldCharType="separate"/>
                        </w:r>
                        <w:r>
                          <w:rPr>
                            <w:lang w:val="zh-CN"/>
                          </w:rPr>
                          <w:t>24</w:t>
                        </w:r>
                        <w:r>
                          <w:fldChar w:fldCharType="end"/>
                        </w:r>
                      </w:p>
                    </w:sdtContent>
                  </w:sdt>
                  <w:p w14:paraId="2EAFEF4E">
                    <w:pPr>
                      <w:pStyle w:val="24"/>
                    </w:pPr>
                  </w:p>
                </w:txbxContent>
              </v:textbox>
            </v:shape>
          </w:pict>
        </mc:Fallback>
      </mc:AlternateContent>
    </w:r>
  </w:p>
  <w:p w14:paraId="5F281BA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B6306">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A1CC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02A1CCA">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F7BA4">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1A1AB"/>
    <w:multiLevelType w:val="singleLevel"/>
    <w:tmpl w:val="8081A1AB"/>
    <w:lvl w:ilvl="0" w:tentative="0">
      <w:start w:val="3"/>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4C9E35C"/>
    <w:multiLevelType w:val="singleLevel"/>
    <w:tmpl w:val="64C9E35C"/>
    <w:lvl w:ilvl="0" w:tentative="0">
      <w:start w:val="1"/>
      <w:numFmt w:val="chineseCounting"/>
      <w:suff w:val="nothing"/>
      <w:lvlText w:val="%1、"/>
      <w:lvlJc w:val="left"/>
      <w:rPr>
        <w:rFonts w:hint="eastAsia"/>
      </w:rPr>
    </w:lvl>
  </w:abstractNum>
  <w:abstractNum w:abstractNumId="5">
    <w:nsid w:val="6FED4E07"/>
    <w:multiLevelType w:val="singleLevel"/>
    <w:tmpl w:val="6FED4E07"/>
    <w:lvl w:ilvl="0" w:tentative="0">
      <w:start w:val="4"/>
      <w:numFmt w:val="chineseCounting"/>
      <w:suff w:val="nothing"/>
      <w:lvlText w:val="（%1）"/>
      <w:lvlJc w:val="left"/>
      <w:rPr>
        <w:rFonts w:hint="eastAsia"/>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NjUzNDA1NDkyY2MxZmJmZThlN2U3ZTFkMjcwOG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404"/>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1931"/>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2B56"/>
    <w:rsid w:val="005C6BD0"/>
    <w:rsid w:val="005C6C4C"/>
    <w:rsid w:val="005D1C8B"/>
    <w:rsid w:val="005D468D"/>
    <w:rsid w:val="005D5CED"/>
    <w:rsid w:val="005F1A4C"/>
    <w:rsid w:val="00605688"/>
    <w:rsid w:val="006070AF"/>
    <w:rsid w:val="00607E6C"/>
    <w:rsid w:val="006101B1"/>
    <w:rsid w:val="0061443A"/>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6CB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0EA6"/>
    <w:rsid w:val="00FD3CC1"/>
    <w:rsid w:val="00FF1E02"/>
    <w:rsid w:val="00FF30B4"/>
    <w:rsid w:val="010D2127"/>
    <w:rsid w:val="0118386E"/>
    <w:rsid w:val="01C97FEE"/>
    <w:rsid w:val="01F30303"/>
    <w:rsid w:val="02056939"/>
    <w:rsid w:val="02562587"/>
    <w:rsid w:val="0294659D"/>
    <w:rsid w:val="03823E9A"/>
    <w:rsid w:val="03B448D7"/>
    <w:rsid w:val="0429608C"/>
    <w:rsid w:val="04413AE5"/>
    <w:rsid w:val="054621EA"/>
    <w:rsid w:val="055F5B8F"/>
    <w:rsid w:val="06295BA3"/>
    <w:rsid w:val="06407008"/>
    <w:rsid w:val="064F001D"/>
    <w:rsid w:val="06740817"/>
    <w:rsid w:val="06823625"/>
    <w:rsid w:val="06B1221D"/>
    <w:rsid w:val="06E723D6"/>
    <w:rsid w:val="07E22C48"/>
    <w:rsid w:val="080E47F5"/>
    <w:rsid w:val="087C7FA6"/>
    <w:rsid w:val="08916750"/>
    <w:rsid w:val="08D63970"/>
    <w:rsid w:val="095708CB"/>
    <w:rsid w:val="09EB6595"/>
    <w:rsid w:val="0A0F66D3"/>
    <w:rsid w:val="0A711684"/>
    <w:rsid w:val="0A78140E"/>
    <w:rsid w:val="0A9A4E64"/>
    <w:rsid w:val="0ADD2F10"/>
    <w:rsid w:val="0B153F39"/>
    <w:rsid w:val="0B90738E"/>
    <w:rsid w:val="0C2244CC"/>
    <w:rsid w:val="0C7602A8"/>
    <w:rsid w:val="0C8A5894"/>
    <w:rsid w:val="0CCB2D13"/>
    <w:rsid w:val="0D3277EB"/>
    <w:rsid w:val="0D654873"/>
    <w:rsid w:val="0E3C75DB"/>
    <w:rsid w:val="0E6F3E7F"/>
    <w:rsid w:val="0E876799"/>
    <w:rsid w:val="0E9C4B5B"/>
    <w:rsid w:val="0EA95031"/>
    <w:rsid w:val="0EB15A22"/>
    <w:rsid w:val="0F544ED9"/>
    <w:rsid w:val="0F6F1DA6"/>
    <w:rsid w:val="0FA37328"/>
    <w:rsid w:val="0FF43805"/>
    <w:rsid w:val="0FF8450A"/>
    <w:rsid w:val="106106C1"/>
    <w:rsid w:val="108A5D84"/>
    <w:rsid w:val="10A661A8"/>
    <w:rsid w:val="10AB02AB"/>
    <w:rsid w:val="10C055FF"/>
    <w:rsid w:val="1169222A"/>
    <w:rsid w:val="12045813"/>
    <w:rsid w:val="12123B80"/>
    <w:rsid w:val="12356D59"/>
    <w:rsid w:val="1239627B"/>
    <w:rsid w:val="126306DA"/>
    <w:rsid w:val="126D2DCB"/>
    <w:rsid w:val="12B66520"/>
    <w:rsid w:val="12CF1390"/>
    <w:rsid w:val="13365EE8"/>
    <w:rsid w:val="139A3A3A"/>
    <w:rsid w:val="13D86F0D"/>
    <w:rsid w:val="14193840"/>
    <w:rsid w:val="16534574"/>
    <w:rsid w:val="16A11B69"/>
    <w:rsid w:val="16BB723D"/>
    <w:rsid w:val="16BF368F"/>
    <w:rsid w:val="16ED255A"/>
    <w:rsid w:val="16FD138E"/>
    <w:rsid w:val="1739719D"/>
    <w:rsid w:val="179C1B06"/>
    <w:rsid w:val="17A56CD8"/>
    <w:rsid w:val="17A97927"/>
    <w:rsid w:val="18003020"/>
    <w:rsid w:val="185E6F19"/>
    <w:rsid w:val="18720B1B"/>
    <w:rsid w:val="18D04328"/>
    <w:rsid w:val="19481E9C"/>
    <w:rsid w:val="19CF72CF"/>
    <w:rsid w:val="19E42CEA"/>
    <w:rsid w:val="19F2584F"/>
    <w:rsid w:val="1A7678E1"/>
    <w:rsid w:val="1ABD5F72"/>
    <w:rsid w:val="1B3A3640"/>
    <w:rsid w:val="1BB55A1C"/>
    <w:rsid w:val="1BC712F3"/>
    <w:rsid w:val="1BF30FC4"/>
    <w:rsid w:val="1C9376C0"/>
    <w:rsid w:val="1D1505A1"/>
    <w:rsid w:val="1D655C57"/>
    <w:rsid w:val="1D6A4A40"/>
    <w:rsid w:val="1D8D0D60"/>
    <w:rsid w:val="1E2C707A"/>
    <w:rsid w:val="1ECF5DB1"/>
    <w:rsid w:val="1ED97B1D"/>
    <w:rsid w:val="1EF21E27"/>
    <w:rsid w:val="1F190675"/>
    <w:rsid w:val="1F1971AC"/>
    <w:rsid w:val="1F7B5619"/>
    <w:rsid w:val="1FC50573"/>
    <w:rsid w:val="1FD168E5"/>
    <w:rsid w:val="200D1749"/>
    <w:rsid w:val="207E0857"/>
    <w:rsid w:val="20A56101"/>
    <w:rsid w:val="20BC79CC"/>
    <w:rsid w:val="20EB1693"/>
    <w:rsid w:val="2161385F"/>
    <w:rsid w:val="21AE219D"/>
    <w:rsid w:val="21BD4815"/>
    <w:rsid w:val="222C5B8B"/>
    <w:rsid w:val="222E39E0"/>
    <w:rsid w:val="223E3466"/>
    <w:rsid w:val="225728BA"/>
    <w:rsid w:val="229D6DB5"/>
    <w:rsid w:val="230F5903"/>
    <w:rsid w:val="23126919"/>
    <w:rsid w:val="23683857"/>
    <w:rsid w:val="240371BF"/>
    <w:rsid w:val="24776312"/>
    <w:rsid w:val="24EA329B"/>
    <w:rsid w:val="250B40AC"/>
    <w:rsid w:val="253A17F7"/>
    <w:rsid w:val="25470855"/>
    <w:rsid w:val="26151221"/>
    <w:rsid w:val="26654ADA"/>
    <w:rsid w:val="266941A8"/>
    <w:rsid w:val="26955C53"/>
    <w:rsid w:val="26CA77CE"/>
    <w:rsid w:val="26FD2518"/>
    <w:rsid w:val="2753439D"/>
    <w:rsid w:val="27BE5276"/>
    <w:rsid w:val="27EB45E1"/>
    <w:rsid w:val="28235FAE"/>
    <w:rsid w:val="28517A62"/>
    <w:rsid w:val="28F00830"/>
    <w:rsid w:val="29FD04D3"/>
    <w:rsid w:val="2B4B71CE"/>
    <w:rsid w:val="2B50099D"/>
    <w:rsid w:val="2C11691D"/>
    <w:rsid w:val="2C7A00C8"/>
    <w:rsid w:val="2CBE6252"/>
    <w:rsid w:val="2CFB0E57"/>
    <w:rsid w:val="2CFB3D8F"/>
    <w:rsid w:val="2DD85145"/>
    <w:rsid w:val="2DEB6118"/>
    <w:rsid w:val="2E131C4F"/>
    <w:rsid w:val="2E22203B"/>
    <w:rsid w:val="2E2411F6"/>
    <w:rsid w:val="2E386AC1"/>
    <w:rsid w:val="2E4853C4"/>
    <w:rsid w:val="2E6B673A"/>
    <w:rsid w:val="2EA23990"/>
    <w:rsid w:val="2ED61261"/>
    <w:rsid w:val="2F4314EC"/>
    <w:rsid w:val="2F65764F"/>
    <w:rsid w:val="2FD011DB"/>
    <w:rsid w:val="30472DC1"/>
    <w:rsid w:val="310C4504"/>
    <w:rsid w:val="31630F89"/>
    <w:rsid w:val="319F7F4E"/>
    <w:rsid w:val="32043768"/>
    <w:rsid w:val="3205098F"/>
    <w:rsid w:val="321416F9"/>
    <w:rsid w:val="32144788"/>
    <w:rsid w:val="32BE13E5"/>
    <w:rsid w:val="32F67FA1"/>
    <w:rsid w:val="33D62126"/>
    <w:rsid w:val="34784F8C"/>
    <w:rsid w:val="34C25CAE"/>
    <w:rsid w:val="3538296D"/>
    <w:rsid w:val="35FF5A3E"/>
    <w:rsid w:val="36525DEA"/>
    <w:rsid w:val="36DC358E"/>
    <w:rsid w:val="37F62B24"/>
    <w:rsid w:val="382A0502"/>
    <w:rsid w:val="382A376D"/>
    <w:rsid w:val="384F5D26"/>
    <w:rsid w:val="38A700A4"/>
    <w:rsid w:val="38AA0DD4"/>
    <w:rsid w:val="38FA6D93"/>
    <w:rsid w:val="395603FC"/>
    <w:rsid w:val="39A66EC6"/>
    <w:rsid w:val="39F46651"/>
    <w:rsid w:val="3A414812"/>
    <w:rsid w:val="3A7960EA"/>
    <w:rsid w:val="3A947A52"/>
    <w:rsid w:val="3AE710BD"/>
    <w:rsid w:val="3AFA591B"/>
    <w:rsid w:val="3B755158"/>
    <w:rsid w:val="3B7C3176"/>
    <w:rsid w:val="3BBD27B9"/>
    <w:rsid w:val="3BF0121F"/>
    <w:rsid w:val="3C1F6CD3"/>
    <w:rsid w:val="3C482648"/>
    <w:rsid w:val="3C7B3963"/>
    <w:rsid w:val="3CDD2743"/>
    <w:rsid w:val="3D071350"/>
    <w:rsid w:val="3D756082"/>
    <w:rsid w:val="3D942619"/>
    <w:rsid w:val="3DB6288E"/>
    <w:rsid w:val="3E183A34"/>
    <w:rsid w:val="3E31659D"/>
    <w:rsid w:val="3FFD3C4C"/>
    <w:rsid w:val="40A43FF3"/>
    <w:rsid w:val="40A56329"/>
    <w:rsid w:val="411307C7"/>
    <w:rsid w:val="412118E5"/>
    <w:rsid w:val="41995060"/>
    <w:rsid w:val="419B7C81"/>
    <w:rsid w:val="42127E5B"/>
    <w:rsid w:val="421551BE"/>
    <w:rsid w:val="42273E97"/>
    <w:rsid w:val="428061C7"/>
    <w:rsid w:val="43047404"/>
    <w:rsid w:val="4311431C"/>
    <w:rsid w:val="439558B5"/>
    <w:rsid w:val="43CF013C"/>
    <w:rsid w:val="43D31542"/>
    <w:rsid w:val="442E0316"/>
    <w:rsid w:val="4557495D"/>
    <w:rsid w:val="4591185B"/>
    <w:rsid w:val="45A200B9"/>
    <w:rsid w:val="461B0566"/>
    <w:rsid w:val="466D4D18"/>
    <w:rsid w:val="467B019F"/>
    <w:rsid w:val="46A5369A"/>
    <w:rsid w:val="47001F63"/>
    <w:rsid w:val="47061E1B"/>
    <w:rsid w:val="470A54BB"/>
    <w:rsid w:val="470B04A5"/>
    <w:rsid w:val="471C3B6E"/>
    <w:rsid w:val="473674BC"/>
    <w:rsid w:val="47453B2A"/>
    <w:rsid w:val="474B33E9"/>
    <w:rsid w:val="47782A65"/>
    <w:rsid w:val="47A20030"/>
    <w:rsid w:val="47DB3D58"/>
    <w:rsid w:val="47DE5F27"/>
    <w:rsid w:val="482509FC"/>
    <w:rsid w:val="48355390"/>
    <w:rsid w:val="489A7F22"/>
    <w:rsid w:val="492B03C7"/>
    <w:rsid w:val="49474BDD"/>
    <w:rsid w:val="49735363"/>
    <w:rsid w:val="49DA3499"/>
    <w:rsid w:val="49FC5131"/>
    <w:rsid w:val="4A341F37"/>
    <w:rsid w:val="4AA35529"/>
    <w:rsid w:val="4AFD12D2"/>
    <w:rsid w:val="4B3814C1"/>
    <w:rsid w:val="4B723278"/>
    <w:rsid w:val="4B7E1155"/>
    <w:rsid w:val="4B9D30D2"/>
    <w:rsid w:val="4BB11B8C"/>
    <w:rsid w:val="4BCB57BA"/>
    <w:rsid w:val="4C8F6FF7"/>
    <w:rsid w:val="4D26428F"/>
    <w:rsid w:val="4D44407E"/>
    <w:rsid w:val="4D8333DF"/>
    <w:rsid w:val="4E3E345B"/>
    <w:rsid w:val="4E567D24"/>
    <w:rsid w:val="4ECA0FCE"/>
    <w:rsid w:val="4ECE2238"/>
    <w:rsid w:val="4ED16A9F"/>
    <w:rsid w:val="4EFF089D"/>
    <w:rsid w:val="4F3D08FF"/>
    <w:rsid w:val="4FA35613"/>
    <w:rsid w:val="4FD47FB7"/>
    <w:rsid w:val="4FDB2D9B"/>
    <w:rsid w:val="50095F89"/>
    <w:rsid w:val="50204253"/>
    <w:rsid w:val="509A55B8"/>
    <w:rsid w:val="50EF75F5"/>
    <w:rsid w:val="50FD007C"/>
    <w:rsid w:val="511206D0"/>
    <w:rsid w:val="519E55EC"/>
    <w:rsid w:val="51EE5332"/>
    <w:rsid w:val="522C1C32"/>
    <w:rsid w:val="524F3BAA"/>
    <w:rsid w:val="52A35472"/>
    <w:rsid w:val="52AD57D3"/>
    <w:rsid w:val="52D25854"/>
    <w:rsid w:val="52D96A11"/>
    <w:rsid w:val="53237C95"/>
    <w:rsid w:val="53987B5A"/>
    <w:rsid w:val="539A6CED"/>
    <w:rsid w:val="53A03DC5"/>
    <w:rsid w:val="53C0013B"/>
    <w:rsid w:val="53D33B35"/>
    <w:rsid w:val="540121C3"/>
    <w:rsid w:val="541D0303"/>
    <w:rsid w:val="544E2795"/>
    <w:rsid w:val="545913FB"/>
    <w:rsid w:val="545B5A77"/>
    <w:rsid w:val="5534250C"/>
    <w:rsid w:val="557B1606"/>
    <w:rsid w:val="55ED35BE"/>
    <w:rsid w:val="55FA7A9F"/>
    <w:rsid w:val="56061B18"/>
    <w:rsid w:val="561B4EE2"/>
    <w:rsid w:val="562F47FD"/>
    <w:rsid w:val="565749BD"/>
    <w:rsid w:val="56B469F9"/>
    <w:rsid w:val="57650234"/>
    <w:rsid w:val="582D32BD"/>
    <w:rsid w:val="584D6FF9"/>
    <w:rsid w:val="58E70921"/>
    <w:rsid w:val="58FC523B"/>
    <w:rsid w:val="5A612C6D"/>
    <w:rsid w:val="5AA72CDC"/>
    <w:rsid w:val="5AFA6B60"/>
    <w:rsid w:val="5BDD25CD"/>
    <w:rsid w:val="5BFB631F"/>
    <w:rsid w:val="5C055F96"/>
    <w:rsid w:val="5DC13B71"/>
    <w:rsid w:val="5E2D431D"/>
    <w:rsid w:val="5ED5391D"/>
    <w:rsid w:val="5F770F39"/>
    <w:rsid w:val="60043CF7"/>
    <w:rsid w:val="60394492"/>
    <w:rsid w:val="6063119D"/>
    <w:rsid w:val="606D14EF"/>
    <w:rsid w:val="60C7594D"/>
    <w:rsid w:val="617E5FEE"/>
    <w:rsid w:val="61895336"/>
    <w:rsid w:val="619A0207"/>
    <w:rsid w:val="61D76EE6"/>
    <w:rsid w:val="627C5F72"/>
    <w:rsid w:val="62D40C6B"/>
    <w:rsid w:val="62D66F7A"/>
    <w:rsid w:val="633609B5"/>
    <w:rsid w:val="635D1B2E"/>
    <w:rsid w:val="6473334D"/>
    <w:rsid w:val="64873140"/>
    <w:rsid w:val="64E5202E"/>
    <w:rsid w:val="65046DAA"/>
    <w:rsid w:val="652A557F"/>
    <w:rsid w:val="657B1045"/>
    <w:rsid w:val="65DA1B55"/>
    <w:rsid w:val="661E36E3"/>
    <w:rsid w:val="66534BD5"/>
    <w:rsid w:val="66B912B0"/>
    <w:rsid w:val="66D4093F"/>
    <w:rsid w:val="67155D2E"/>
    <w:rsid w:val="6729131B"/>
    <w:rsid w:val="67377350"/>
    <w:rsid w:val="67430B5A"/>
    <w:rsid w:val="67580B4D"/>
    <w:rsid w:val="683935E8"/>
    <w:rsid w:val="68565574"/>
    <w:rsid w:val="6877522F"/>
    <w:rsid w:val="691705DC"/>
    <w:rsid w:val="691A229A"/>
    <w:rsid w:val="696848C8"/>
    <w:rsid w:val="69851D1A"/>
    <w:rsid w:val="69AA450E"/>
    <w:rsid w:val="6A150C87"/>
    <w:rsid w:val="6A152E57"/>
    <w:rsid w:val="6A3A1C79"/>
    <w:rsid w:val="6A590377"/>
    <w:rsid w:val="6A7248E5"/>
    <w:rsid w:val="6A9D0DDA"/>
    <w:rsid w:val="6B2A76B1"/>
    <w:rsid w:val="6B4454AE"/>
    <w:rsid w:val="6C647959"/>
    <w:rsid w:val="6CAB57EE"/>
    <w:rsid w:val="6CBA368C"/>
    <w:rsid w:val="6CCF2527"/>
    <w:rsid w:val="6CE81198"/>
    <w:rsid w:val="6DC03147"/>
    <w:rsid w:val="6DDC199F"/>
    <w:rsid w:val="6DF07FA4"/>
    <w:rsid w:val="6E2D5DFF"/>
    <w:rsid w:val="6E4A5BEE"/>
    <w:rsid w:val="6F0F170F"/>
    <w:rsid w:val="6F0F55DA"/>
    <w:rsid w:val="6F1D3AA3"/>
    <w:rsid w:val="6F764283"/>
    <w:rsid w:val="700A5E68"/>
    <w:rsid w:val="701A0FAD"/>
    <w:rsid w:val="703A1840"/>
    <w:rsid w:val="706347FA"/>
    <w:rsid w:val="70FB6670"/>
    <w:rsid w:val="714F1478"/>
    <w:rsid w:val="72212D15"/>
    <w:rsid w:val="726D7D55"/>
    <w:rsid w:val="726F6720"/>
    <w:rsid w:val="72734D90"/>
    <w:rsid w:val="728A2D7D"/>
    <w:rsid w:val="72AB0BE8"/>
    <w:rsid w:val="730B3F0E"/>
    <w:rsid w:val="733A3015"/>
    <w:rsid w:val="7482713C"/>
    <w:rsid w:val="74F61A6A"/>
    <w:rsid w:val="761E1E54"/>
    <w:rsid w:val="765863F0"/>
    <w:rsid w:val="76886FB8"/>
    <w:rsid w:val="76A13826"/>
    <w:rsid w:val="779B1B8B"/>
    <w:rsid w:val="77D10DF8"/>
    <w:rsid w:val="77DF484A"/>
    <w:rsid w:val="780B4ECB"/>
    <w:rsid w:val="78112CFA"/>
    <w:rsid w:val="786641AA"/>
    <w:rsid w:val="78A97124"/>
    <w:rsid w:val="78D876FC"/>
    <w:rsid w:val="7918442B"/>
    <w:rsid w:val="7981041A"/>
    <w:rsid w:val="79BC7FBF"/>
    <w:rsid w:val="79DA4298"/>
    <w:rsid w:val="7A1837D8"/>
    <w:rsid w:val="7A2A15A2"/>
    <w:rsid w:val="7AA00AE6"/>
    <w:rsid w:val="7AA8721A"/>
    <w:rsid w:val="7AB410BC"/>
    <w:rsid w:val="7AB76A8C"/>
    <w:rsid w:val="7AD3062A"/>
    <w:rsid w:val="7B3F192C"/>
    <w:rsid w:val="7B596719"/>
    <w:rsid w:val="7B817D27"/>
    <w:rsid w:val="7BEE024D"/>
    <w:rsid w:val="7C0C3314"/>
    <w:rsid w:val="7C7E738E"/>
    <w:rsid w:val="7CCD30FD"/>
    <w:rsid w:val="7CDF7D43"/>
    <w:rsid w:val="7D107883"/>
    <w:rsid w:val="7D507B55"/>
    <w:rsid w:val="7D515864"/>
    <w:rsid w:val="7D6F1533"/>
    <w:rsid w:val="7DC75B0A"/>
    <w:rsid w:val="7E0D69F6"/>
    <w:rsid w:val="7E4A358E"/>
    <w:rsid w:val="7EB63E6B"/>
    <w:rsid w:val="7F3C39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7"/>
    <w:autoRedefine/>
    <w:unhideWhenUsed/>
    <w:qFormat/>
    <w:uiPriority w:val="9"/>
    <w:pPr>
      <w:keepNext/>
      <w:keepLines/>
      <w:spacing w:before="260" w:after="260" w:line="416" w:lineRule="auto"/>
      <w:outlineLvl w:val="2"/>
    </w:pPr>
    <w:rPr>
      <w:b/>
      <w:bCs/>
      <w:sz w:val="32"/>
      <w:szCs w:val="32"/>
    </w:rPr>
  </w:style>
  <w:style w:type="paragraph" w:styleId="8">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9">
    <w:name w:val="heading 5"/>
    <w:basedOn w:val="1"/>
    <w:next w:val="1"/>
    <w:autoRedefine/>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20">
    <w:name w:val="Default Paragraph Font"/>
    <w:autoRedefine/>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10">
    <w:name w:val="annotation text"/>
    <w:basedOn w:val="1"/>
    <w:semiHidden/>
    <w:unhideWhenUsed/>
    <w:qFormat/>
    <w:uiPriority w:val="99"/>
    <w:pPr>
      <w:jc w:val="left"/>
    </w:pPr>
  </w:style>
  <w:style w:type="paragraph" w:styleId="11">
    <w:name w:val="Body Text"/>
    <w:basedOn w:val="1"/>
    <w:link w:val="30"/>
    <w:qFormat/>
    <w:uiPriority w:val="99"/>
    <w:pPr>
      <w:spacing w:beforeLines="30"/>
    </w:pPr>
    <w:rPr>
      <w:rFonts w:ascii="仿宋_GB2312" w:eastAsia="仿宋_GB2312"/>
      <w:kern w:val="0"/>
      <w:sz w:val="30"/>
    </w:rPr>
  </w:style>
  <w:style w:type="paragraph" w:styleId="12">
    <w:name w:val="toc 3"/>
    <w:basedOn w:val="1"/>
    <w:next w:val="1"/>
    <w:unhideWhenUsed/>
    <w:qFormat/>
    <w:uiPriority w:val="39"/>
    <w:pPr>
      <w:tabs>
        <w:tab w:val="right" w:leader="dot" w:pos="8296"/>
      </w:tabs>
      <w:ind w:left="840" w:leftChars="400"/>
    </w:pPr>
  </w:style>
  <w:style w:type="paragraph" w:styleId="13">
    <w:name w:val="Balloon Text"/>
    <w:basedOn w:val="1"/>
    <w:link w:val="36"/>
    <w:semiHidden/>
    <w:unhideWhenUsed/>
    <w:qFormat/>
    <w:uiPriority w:val="99"/>
    <w:rPr>
      <w:sz w:val="18"/>
      <w:szCs w:val="18"/>
    </w:rPr>
  </w:style>
  <w:style w:type="paragraph" w:styleId="14">
    <w:name w:val="footer"/>
    <w:basedOn w:val="1"/>
    <w:next w:val="1"/>
    <w:link w:val="28"/>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qFormat/>
    <w:uiPriority w:val="99"/>
    <w:pPr>
      <w:widowControl/>
      <w:jc w:val="left"/>
    </w:pPr>
    <w:rPr>
      <w:rFonts w:ascii="宋体" w:hAnsi="宋体" w:cs="宋体"/>
      <w:kern w:val="0"/>
      <w:sz w:val="24"/>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paragraph" w:customStyle="1" w:styleId="23">
    <w:name w:val="常用样式（方正仿宋简）"/>
    <w:basedOn w:val="1"/>
    <w:next w:val="14"/>
    <w:qFormat/>
    <w:uiPriority w:val="99"/>
    <w:pPr>
      <w:spacing w:line="560" w:lineRule="exact"/>
      <w:ind w:firstLine="640" w:firstLineChars="200"/>
    </w:pPr>
    <w:rPr>
      <w:rFonts w:eastAsia="方正仿宋简体"/>
      <w:sz w:val="32"/>
      <w:szCs w:val="20"/>
    </w:rPr>
  </w:style>
  <w:style w:type="paragraph" w:customStyle="1" w:styleId="24">
    <w:name w:val="页脚1"/>
    <w:basedOn w:val="1"/>
    <w:qFormat/>
    <w:uiPriority w:val="99"/>
    <w:pPr>
      <w:snapToGrid w:val="0"/>
      <w:jc w:val="left"/>
    </w:pPr>
    <w:rPr>
      <w:sz w:val="18"/>
      <w:szCs w:val="18"/>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Char"/>
    <w:link w:val="15"/>
    <w:semiHidden/>
    <w:qFormat/>
    <w:locked/>
    <w:uiPriority w:val="99"/>
    <w:rPr>
      <w:sz w:val="18"/>
    </w:rPr>
  </w:style>
  <w:style w:type="character" w:customStyle="1" w:styleId="27">
    <w:name w:val="Footer Char"/>
    <w:basedOn w:val="20"/>
    <w:semiHidden/>
    <w:qFormat/>
    <w:uiPriority w:val="99"/>
    <w:rPr>
      <w:rFonts w:ascii="Times New Roman" w:hAnsi="Times New Roman"/>
      <w:sz w:val="18"/>
      <w:szCs w:val="18"/>
    </w:rPr>
  </w:style>
  <w:style w:type="character" w:customStyle="1" w:styleId="28">
    <w:name w:val="页脚 Char"/>
    <w:link w:val="14"/>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Char"/>
    <w:link w:val="11"/>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20"/>
    <w:link w:val="5"/>
    <w:qFormat/>
    <w:uiPriority w:val="9"/>
    <w:rPr>
      <w:rFonts w:ascii="Times New Roman" w:hAnsi="Times New Roman"/>
      <w:b/>
      <w:bCs/>
      <w:kern w:val="44"/>
      <w:sz w:val="44"/>
      <w:szCs w:val="44"/>
    </w:rPr>
  </w:style>
  <w:style w:type="character" w:customStyle="1" w:styleId="34">
    <w:name w:val="标题 2 Char"/>
    <w:basedOn w:val="20"/>
    <w:link w:val="6"/>
    <w:qFormat/>
    <w:uiPriority w:val="9"/>
    <w:rPr>
      <w:rFonts w:asciiTheme="majorHAnsi" w:hAnsiTheme="majorHAnsi" w:eastAsiaTheme="majorEastAsia" w:cstheme="majorBidi"/>
      <w:b/>
      <w:bCs/>
      <w:kern w:val="2"/>
      <w:sz w:val="32"/>
      <w:szCs w:val="32"/>
    </w:rPr>
  </w:style>
  <w:style w:type="paragraph" w:customStyle="1" w:styleId="35">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0"/>
    <w:link w:val="13"/>
    <w:semiHidden/>
    <w:qFormat/>
    <w:uiPriority w:val="99"/>
    <w:rPr>
      <w:rFonts w:ascii="Times New Roman" w:hAnsi="Times New Roman"/>
      <w:kern w:val="2"/>
      <w:sz w:val="18"/>
      <w:szCs w:val="18"/>
    </w:rPr>
  </w:style>
  <w:style w:type="character" w:customStyle="1" w:styleId="37">
    <w:name w:val="标题 3 Char"/>
    <w:basedOn w:val="20"/>
    <w:link w:val="7"/>
    <w:qFormat/>
    <w:uiPriority w:val="9"/>
    <w:rPr>
      <w:rFonts w:ascii="Times New Roman" w:hAnsi="Times New Roman"/>
      <w:b/>
      <w:bCs/>
      <w:kern w:val="2"/>
      <w:sz w:val="32"/>
      <w:szCs w:val="32"/>
    </w:rPr>
  </w:style>
  <w:style w:type="paragraph" w:customStyle="1" w:styleId="38">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 Char Char5"/>
    <w:basedOn w:val="20"/>
    <w:link w:val="6"/>
    <w:qFormat/>
    <w:locked/>
    <w:uiPriority w:val="9"/>
    <w:rPr>
      <w:rFonts w:ascii="Cambria" w:hAnsi="Cambria" w:eastAsia="宋体" w:cs="Times New Roman"/>
      <w:b/>
      <w:bCs/>
      <w:kern w:val="2"/>
      <w:sz w:val="32"/>
      <w:szCs w:val="32"/>
    </w:rPr>
  </w:style>
  <w:style w:type="paragraph" w:customStyle="1" w:styleId="40">
    <w:name w:val="WPSOffice手动目录 1"/>
    <w:qFormat/>
    <w:uiPriority w:val="0"/>
    <w:pPr>
      <w:ind w:leftChars="0"/>
    </w:pPr>
    <w:rPr>
      <w:rFonts w:ascii="Calibri" w:hAnsi="Calibri" w:eastAsia="宋体" w:cs="Times New Roman"/>
      <w:sz w:val="20"/>
      <w:szCs w:val="20"/>
    </w:rPr>
  </w:style>
  <w:style w:type="paragraph" w:customStyle="1" w:styleId="41">
    <w:name w:val="WPSOffice手动目录 2"/>
    <w:qFormat/>
    <w:uiPriority w:val="0"/>
    <w:pPr>
      <w:ind w:leftChars="200"/>
    </w:pPr>
    <w:rPr>
      <w:rFonts w:ascii="Calibri" w:hAnsi="Calibri" w:eastAsia="宋体" w:cs="Times New Roman"/>
      <w:sz w:val="20"/>
      <w:szCs w:val="20"/>
    </w:rPr>
  </w:style>
  <w:style w:type="character" w:customStyle="1" w:styleId="42">
    <w:name w:val="NormalCharacter"/>
    <w:semiHidden/>
    <w:qFormat/>
    <w:uiPriority w:val="0"/>
    <w:rPr>
      <w:kern w:val="2"/>
      <w:sz w:val="21"/>
      <w:szCs w:val="24"/>
      <w:lang w:val="en-US" w:eastAsia="zh-CN" w:bidi="ar-SA"/>
    </w:rPr>
  </w:style>
  <w:style w:type="paragraph" w:customStyle="1" w:styleId="43">
    <w:name w:val="WPSOffice手动目录 3"/>
    <w:qFormat/>
    <w:uiPriority w:val="0"/>
    <w:pPr>
      <w:ind w:leftChars="400"/>
    </w:pPr>
    <w:rPr>
      <w:rFonts w:asciiTheme="minorHAnsi" w:hAnsiTheme="minorHAnsi" w:eastAsiaTheme="minorEastAsia" w:cstheme="minorBidi"/>
      <w:sz w:val="20"/>
      <w:szCs w:val="20"/>
    </w:rPr>
  </w:style>
  <w:style w:type="paragraph" w:customStyle="1" w:styleId="4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收入（万元）</c:v>
                </c:pt>
                <c:pt idx="1">
                  <c:v>支出 （万元）</c:v>
                </c:pt>
              </c:strCache>
            </c:strRef>
          </c:cat>
          <c:val>
            <c:numRef>
              <c:f>Sheet1!$B$2:$B$3</c:f>
              <c:numCache>
                <c:formatCode>General</c:formatCode>
                <c:ptCount val="2"/>
                <c:pt idx="0">
                  <c:v>3674.8</c:v>
                </c:pt>
                <c:pt idx="1">
                  <c:v>3674.8</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收入（万元）</c:v>
                </c:pt>
                <c:pt idx="1">
                  <c:v>支出 （万元）</c:v>
                </c:pt>
              </c:strCache>
            </c:strRef>
          </c:cat>
          <c:val>
            <c:numRef>
              <c:f>Sheet1!$C$2:$C$3</c:f>
              <c:numCache>
                <c:formatCode>#,##0.00</c:formatCode>
                <c:ptCount val="2"/>
                <c:pt idx="0">
                  <c:v>3466.24</c:v>
                </c:pt>
                <c:pt idx="1">
                  <c:v>3466.24</c:v>
                </c:pt>
              </c:numCache>
            </c:numRef>
          </c:val>
        </c:ser>
        <c:dLbls>
          <c:showLegendKey val="0"/>
          <c:showVal val="1"/>
          <c:showCatName val="0"/>
          <c:showSerName val="0"/>
          <c:showPercent val="0"/>
          <c:showBubbleSize val="0"/>
        </c:dLbls>
        <c:gapWidth val="150"/>
        <c:axId val="50190592"/>
        <c:axId val="50327936"/>
      </c:barChart>
      <c:catAx>
        <c:axId val="5019059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327936"/>
        <c:crosses val="autoZero"/>
        <c:auto val="1"/>
        <c:lblAlgn val="ctr"/>
        <c:lblOffset val="100"/>
        <c:noMultiLvlLbl val="0"/>
      </c:catAx>
      <c:valAx>
        <c:axId val="503279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19059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239988146643"/>
          <c:y val="0.0905974558058294"/>
          <c:w val="0.323360638387944"/>
          <c:h val="0.558839291430035"/>
        </c:manualLayout>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Sheet1!$B$2:$B$8</c:f>
              <c:numCache>
                <c:formatCode>0.00%</c:formatCode>
                <c:ptCount val="7"/>
                <c:pt idx="0">
                  <c:v>1</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Lbls>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0.0361890694239291</c:v>
                </c:pt>
                <c:pt idx="1">
                  <c:v>0.963808045605613</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4004884004884"/>
          <c:y val="0.0594516594516594"/>
          <c:w val="0.760683760683761"/>
          <c:h val="0.784992784992785"/>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收入（万元）</c:v>
                </c:pt>
                <c:pt idx="1">
                  <c:v>支出（万元）</c:v>
                </c:pt>
              </c:strCache>
            </c:strRef>
          </c:cat>
          <c:val>
            <c:numRef>
              <c:f>Sheet1!$B$2:$B$3</c:f>
              <c:numCache>
                <c:formatCode>#,##0.00</c:formatCode>
                <c:ptCount val="2"/>
                <c:pt idx="0">
                  <c:v>3674.8</c:v>
                </c:pt>
                <c:pt idx="1">
                  <c:v>3674.8</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收入（万元）</c:v>
                </c:pt>
                <c:pt idx="1">
                  <c:v>支出（万元）</c:v>
                </c:pt>
              </c:strCache>
            </c:strRef>
          </c:cat>
          <c:val>
            <c:numRef>
              <c:f>Sheet1!$C$2:$C$3</c:f>
              <c:numCache>
                <c:formatCode>#,##0.00</c:formatCode>
                <c:ptCount val="2"/>
                <c:pt idx="0">
                  <c:v>3466.24</c:v>
                </c:pt>
                <c:pt idx="1">
                  <c:v>3466.24</c:v>
                </c:pt>
              </c:numCache>
            </c:numRef>
          </c:val>
        </c:ser>
        <c:dLbls>
          <c:showLegendKey val="0"/>
          <c:showVal val="1"/>
          <c:showCatName val="0"/>
          <c:showSerName val="0"/>
          <c:showPercent val="0"/>
          <c:showBubbleSize val="0"/>
        </c:dLbls>
        <c:gapWidth val="150"/>
        <c:axId val="50190592"/>
        <c:axId val="50327936"/>
      </c:barChart>
      <c:catAx>
        <c:axId val="5019059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327936"/>
        <c:crosses val="autoZero"/>
        <c:auto val="1"/>
        <c:lblAlgn val="ctr"/>
        <c:lblOffset val="100"/>
        <c:noMultiLvlLbl val="0"/>
      </c:catAx>
      <c:valAx>
        <c:axId val="50327936"/>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19059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a:t>
            </a:r>
            <a:endParaRPr lang="zh-CN" altLang="en-US"/>
          </a:p>
        </c:rich>
      </c:tx>
      <c:layout/>
      <c:overlay val="0"/>
    </c:title>
    <c:autoTitleDeleted val="0"/>
    <c:plotArea>
      <c:layout>
        <c:manualLayout>
          <c:layoutTarget val="inner"/>
          <c:xMode val="edge"/>
          <c:yMode val="edge"/>
          <c:x val="0.0876119402985075"/>
          <c:y val="0.239943342776204"/>
          <c:w val="0.87955223880597"/>
          <c:h val="0.536543909348442"/>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支出（万元）</c:v>
                </c:pt>
              </c:strCache>
            </c:strRef>
          </c:cat>
          <c:val>
            <c:numRef>
              <c:f>Sheet1!$B$2:$B$5</c:f>
              <c:numCache>
                <c:formatCode>#,##0.00</c:formatCode>
                <c:ptCount val="4"/>
                <c:pt idx="0">
                  <c:v>3674.8</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支出（万元）</c:v>
                </c:pt>
              </c:strCache>
            </c:strRef>
          </c:cat>
          <c:val>
            <c:numRef>
              <c:f>Sheet1!$C$2:$C$5</c:f>
              <c:numCache>
                <c:formatCode>#,##0.00</c:formatCode>
                <c:ptCount val="4"/>
                <c:pt idx="0">
                  <c:v>3466.24</c:v>
                </c:pt>
              </c:numCache>
            </c:numRef>
          </c:val>
        </c:ser>
        <c:dLbls>
          <c:showLegendKey val="0"/>
          <c:showVal val="1"/>
          <c:showCatName val="0"/>
          <c:showSerName val="0"/>
          <c:showPercent val="0"/>
          <c:showBubbleSize val="0"/>
        </c:dLbls>
        <c:gapWidth val="75"/>
        <c:overlap val="-25"/>
        <c:axId val="82744832"/>
        <c:axId val="82746368"/>
      </c:barChart>
      <c:catAx>
        <c:axId val="827448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6368"/>
        <c:crosses val="autoZero"/>
        <c:auto val="1"/>
        <c:lblAlgn val="ctr"/>
        <c:lblOffset val="100"/>
        <c:noMultiLvlLbl val="0"/>
      </c:catAx>
      <c:valAx>
        <c:axId val="82746368"/>
        <c:scaling>
          <c:orientation val="minMax"/>
        </c:scaling>
        <c:delete val="0"/>
        <c:axPos val="l"/>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483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dLbl>
              <c:idx val="0"/>
              <c:delete val="1"/>
            </c:dLbl>
            <c:dLbl>
              <c:idx val="1"/>
              <c:delete val="1"/>
            </c:dLbl>
            <c:dLbl>
              <c:idx val="2"/>
              <c:delete val="1"/>
            </c:dLbl>
            <c:dLbl>
              <c:idx val="3"/>
              <c:delete val="1"/>
            </c:dLbl>
            <c:dLbl>
              <c:idx val="5"/>
              <c:layout>
                <c:manualLayout>
                  <c:x val="-0.0339257370515408"/>
                  <c:y val="-0.048212590833934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234641531472096"/>
                  <c:y val="0.12326392971277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Sheet1!$A$2:$A$9</c:f>
              <c:strCache>
                <c:ptCount val="8"/>
                <c:pt idx="0">
                  <c:v>一般公共服务</c:v>
                </c:pt>
                <c:pt idx="1">
                  <c:v>教育支出</c:v>
                </c:pt>
                <c:pt idx="2">
                  <c:v>科学技术支出</c:v>
                </c:pt>
                <c:pt idx="3">
                  <c:v>文化旅游体育与传媒支出</c:v>
                </c:pt>
                <c:pt idx="4">
                  <c:v>社会保障和就业</c:v>
                </c:pt>
                <c:pt idx="5">
                  <c:v>卫生健康支出</c:v>
                </c:pt>
                <c:pt idx="6">
                  <c:v>住房保障支出</c:v>
                </c:pt>
                <c:pt idx="7">
                  <c:v>农林水支出</c:v>
                </c:pt>
              </c:strCache>
            </c:strRef>
          </c:cat>
          <c:val>
            <c:numRef>
              <c:f>Sheet1!$B$2:$B$9</c:f>
              <c:numCache>
                <c:formatCode>0.00%</c:formatCode>
                <c:ptCount val="8"/>
                <c:pt idx="0">
                  <c:v>0</c:v>
                </c:pt>
                <c:pt idx="1">
                  <c:v>0</c:v>
                </c:pt>
                <c:pt idx="2">
                  <c:v>0</c:v>
                </c:pt>
                <c:pt idx="3">
                  <c:v>0</c:v>
                </c:pt>
                <c:pt idx="4">
                  <c:v>0.6733</c:v>
                </c:pt>
                <c:pt idx="5">
                  <c:v>0.0014</c:v>
                </c:pt>
                <c:pt idx="6">
                  <c:v>0.0017</c:v>
                </c:pt>
                <c:pt idx="7">
                  <c:v>0.3236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2" c:formatCode="0.0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74220756189259"/>
          <c:y val="0.426806976230775"/>
          <c:w val="0.321274739306236"/>
          <c:h val="0.56384722937670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41</Pages>
  <Words>15209</Words>
  <Characters>16533</Characters>
  <Lines>7</Lines>
  <Paragraphs>17</Paragraphs>
  <TotalTime>5</TotalTime>
  <ScaleCrop>false</ScaleCrop>
  <LinksUpToDate>false</LinksUpToDate>
  <CharactersWithSpaces>16692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2024-08-27T07:00:00Z</cp:lastPrinted>
  <dcterms:modified xsi:type="dcterms:W3CDTF">2024-08-29T01:41:14Z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14DFEB8E04AE48BF8DF637569C4E89A0_13</vt:lpwstr>
  </property>
</Properties>
</file>