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B7A81">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bookmarkStart w:id="0" w:name="_Toc15396475"/>
      <w:bookmarkStart w:id="1" w:name="_Toc15396597"/>
      <w:bookmarkStart w:id="2" w:name="_Toc15377193"/>
      <w:bookmarkStart w:id="3" w:name="_Toc15378441"/>
      <w:bookmarkStart w:id="4" w:name="_Toc15377425"/>
    </w:p>
    <w:p w14:paraId="0EFCD7F0">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202</w:t>
      </w:r>
      <w:r>
        <w:rPr>
          <w:rFonts w:hint="eastAsia" w:ascii="方正小标宋简体" w:hAnsi="方正小标宋简体" w:eastAsia="方正小标宋简体" w:cs="方正小标宋简体"/>
          <w:b w:val="0"/>
          <w:bCs w:val="0"/>
          <w:sz w:val="52"/>
          <w:szCs w:val="52"/>
          <w:lang w:val="en-US" w:eastAsia="zh-CN"/>
        </w:rPr>
        <w:t>3</w:t>
      </w:r>
      <w:r>
        <w:rPr>
          <w:rFonts w:hint="eastAsia" w:ascii="方正小标宋简体" w:hAnsi="方正小标宋简体" w:eastAsia="方正小标宋简体" w:cs="方正小标宋简体"/>
          <w:b w:val="0"/>
          <w:bCs w:val="0"/>
          <w:sz w:val="52"/>
          <w:szCs w:val="52"/>
        </w:rPr>
        <w:t>年度</w:t>
      </w:r>
      <w:bookmarkEnd w:id="0"/>
      <w:bookmarkEnd w:id="1"/>
      <w:bookmarkEnd w:id="2"/>
      <w:bookmarkEnd w:id="3"/>
      <w:bookmarkEnd w:id="4"/>
    </w:p>
    <w:p w14:paraId="7D255943">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bookmarkStart w:id="5" w:name="_Toc15377426"/>
      <w:bookmarkStart w:id="6" w:name="_Toc15306268"/>
      <w:bookmarkStart w:id="7" w:name="_Toc15396476"/>
      <w:bookmarkStart w:id="8" w:name="_Toc15378442"/>
      <w:bookmarkStart w:id="9" w:name="_Toc15396598"/>
      <w:bookmarkStart w:id="10" w:name="_Toc15377194"/>
      <w:r>
        <w:rPr>
          <w:rFonts w:hint="eastAsia" w:ascii="方正小标宋简体" w:hAnsi="方正小标宋简体" w:eastAsia="方正小标宋简体" w:cs="方正小标宋简体"/>
          <w:b w:val="0"/>
          <w:bCs w:val="0"/>
          <w:sz w:val="52"/>
          <w:szCs w:val="52"/>
        </w:rPr>
        <w:t>四川省遂宁市西眉中学</w:t>
      </w:r>
    </w:p>
    <w:p w14:paraId="014D3DBD">
      <w:pPr>
        <w:adjustRightInd w:val="0"/>
        <w:snapToGrid w:val="0"/>
        <w:spacing w:line="360" w:lineRule="auto"/>
        <w:jc w:val="center"/>
        <w:outlineLvl w:val="0"/>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eastAsia="zh-CN"/>
        </w:rPr>
        <w:t>部门</w:t>
      </w:r>
      <w:r>
        <w:rPr>
          <w:rFonts w:hint="eastAsia" w:ascii="方正小标宋简体" w:hAnsi="方正小标宋简体" w:eastAsia="方正小标宋简体" w:cs="方正小标宋简体"/>
          <w:b w:val="0"/>
          <w:bCs w:val="0"/>
          <w:sz w:val="52"/>
          <w:szCs w:val="52"/>
        </w:rPr>
        <w:t>决算</w:t>
      </w:r>
      <w:bookmarkEnd w:id="5"/>
      <w:bookmarkEnd w:id="6"/>
      <w:bookmarkEnd w:id="7"/>
      <w:bookmarkEnd w:id="8"/>
      <w:bookmarkEnd w:id="9"/>
      <w:bookmarkEnd w:id="10"/>
    </w:p>
    <w:p w14:paraId="6F87DB48">
      <w:pPr>
        <w:widowControl/>
        <w:jc w:val="center"/>
        <w:rPr>
          <w:rFonts w:ascii="方正小标宋简体" w:hAnsi="宋体" w:eastAsia="方正小标宋简体"/>
          <w:sz w:val="52"/>
        </w:rPr>
      </w:pPr>
    </w:p>
    <w:p w14:paraId="0082F071">
      <w:pPr>
        <w:widowControl/>
        <w:jc w:val="center"/>
        <w:rPr>
          <w:rFonts w:ascii="黑体" w:hAnsi="黑体" w:eastAsia="黑体"/>
          <w:sz w:val="48"/>
        </w:rPr>
      </w:pPr>
      <w:r>
        <w:rPr>
          <w:rFonts w:ascii="方正小标宋简体" w:hAnsi="宋体" w:eastAsia="方正小标宋简体"/>
          <w:sz w:val="36"/>
        </w:rPr>
        <w:br w:type="page"/>
      </w:r>
      <w:r>
        <w:rPr>
          <w:rFonts w:hint="eastAsia" w:ascii="黑体" w:hAnsi="黑体" w:eastAsia="黑体"/>
          <w:sz w:val="48"/>
        </w:rPr>
        <w:t>目录</w:t>
      </w:r>
    </w:p>
    <w:p w14:paraId="38DF97BD">
      <w:pPr>
        <w:widowControl/>
        <w:jc w:val="center"/>
        <w:rPr>
          <w:rFonts w:ascii="黑体" w:hAnsi="黑体" w:eastAsia="黑体"/>
          <w:sz w:val="28"/>
        </w:rPr>
      </w:pPr>
      <w:commentRangeStart w:id="0"/>
      <w:r>
        <w:rPr>
          <w:rFonts w:ascii="黑体" w:hAnsi="黑体" w:eastAsia="黑体"/>
          <w:sz w:val="48"/>
        </w:rPr>
        <w:fldChar w:fldCharType="begin"/>
      </w:r>
      <w:r>
        <w:rPr>
          <w:rFonts w:ascii="黑体" w:hAnsi="黑体" w:eastAsia="黑体"/>
          <w:sz w:val="48"/>
        </w:rPr>
        <w:instrText xml:space="preserve"> TOC \o "1-2" \h \z \u </w:instrText>
      </w:r>
      <w:r>
        <w:rPr>
          <w:rFonts w:ascii="黑体" w:hAnsi="黑体" w:eastAsia="黑体"/>
          <w:sz w:val="48"/>
        </w:rPr>
        <w:fldChar w:fldCharType="separate"/>
      </w:r>
    </w:p>
    <w:p w14:paraId="4A9AD768">
      <w:pPr>
        <w:pStyle w:val="14"/>
      </w:pPr>
      <w:r>
        <w:rPr>
          <w:rFonts w:hint="eastAsia"/>
        </w:rPr>
        <w:t>公开时间：202</w:t>
      </w:r>
      <w:r>
        <w:rPr>
          <w:rFonts w:hint="eastAsia"/>
          <w:lang w:val="en-US" w:eastAsia="zh-CN"/>
        </w:rPr>
        <w:t>4</w:t>
      </w:r>
      <w:r>
        <w:rPr>
          <w:rFonts w:hint="eastAsia"/>
        </w:rPr>
        <w:t>年08月2</w:t>
      </w:r>
      <w:r>
        <w:rPr>
          <w:rFonts w:hint="eastAsia"/>
          <w:lang w:val="en-US" w:eastAsia="zh-CN"/>
        </w:rPr>
        <w:t>8</w:t>
      </w:r>
      <w:r>
        <w:rPr>
          <w:rFonts w:hint="eastAsia"/>
        </w:rPr>
        <w:t>日</w:t>
      </w:r>
    </w:p>
    <w:p w14:paraId="6EBD618C"/>
    <w:p w14:paraId="74705ADC">
      <w:pPr>
        <w:pStyle w:val="14"/>
      </w:pPr>
      <w:r>
        <w:fldChar w:fldCharType="begin"/>
      </w:r>
      <w:r>
        <w:instrText xml:space="preserve"> HYPERLINK \l "_Toc15396599" </w:instrText>
      </w:r>
      <w:r>
        <w:fldChar w:fldCharType="separate"/>
      </w:r>
      <w:r>
        <w:rPr>
          <w:rStyle w:val="21"/>
          <w:rFonts w:hint="eastAsia"/>
          <w:color w:val="auto"/>
        </w:rPr>
        <w:t>第一部分</w:t>
      </w:r>
      <w:r>
        <w:rPr>
          <w:rStyle w:val="21"/>
          <w:color w:val="auto"/>
        </w:rPr>
        <w:t xml:space="preserve"> </w:t>
      </w:r>
      <w:r>
        <w:rPr>
          <w:rStyle w:val="21"/>
          <w:rFonts w:hint="eastAsia"/>
          <w:color w:val="auto"/>
        </w:rPr>
        <w:t>部门概况</w:t>
      </w:r>
      <w:r>
        <w:tab/>
      </w:r>
      <w:r>
        <w:rPr>
          <w:rFonts w:hint="eastAsia"/>
        </w:rPr>
        <w:t>4</w:t>
      </w:r>
      <w:r>
        <w:rPr>
          <w:rFonts w:hint="eastAsia"/>
        </w:rPr>
        <w:fldChar w:fldCharType="end"/>
      </w:r>
    </w:p>
    <w:p w14:paraId="6638D7FC">
      <w:pPr>
        <w:pStyle w:val="16"/>
        <w:rPr>
          <w:rFonts w:hint="eastAsia" w:eastAsia="仿宋"/>
          <w:sz w:val="32"/>
        </w:rPr>
      </w:pPr>
      <w:r>
        <w:fldChar w:fldCharType="begin"/>
      </w:r>
      <w:r>
        <w:instrText xml:space="preserve"> HYPERLINK \l "_Toc15396600" </w:instrText>
      </w:r>
      <w:r>
        <w:fldChar w:fldCharType="separate"/>
      </w:r>
      <w:r>
        <w:rPr>
          <w:rStyle w:val="21"/>
          <w:rFonts w:hint="eastAsia" w:ascii="仿宋" w:hAnsi="仿宋" w:eastAsia="仿宋"/>
          <w:color w:val="auto"/>
          <w:sz w:val="28"/>
        </w:rPr>
        <w:t>一、基本职能及主要工作</w:t>
      </w:r>
      <w:r>
        <w:rPr>
          <w:rFonts w:ascii="仿宋" w:hAnsi="仿宋" w:eastAsia="仿宋"/>
          <w:sz w:val="28"/>
        </w:rPr>
        <w:tab/>
      </w:r>
      <w:r>
        <w:rPr>
          <w:rFonts w:ascii="仿宋" w:hAnsi="仿宋" w:eastAsia="仿宋"/>
          <w:sz w:val="28"/>
        </w:rPr>
        <w:fldChar w:fldCharType="end"/>
      </w:r>
      <w:r>
        <w:rPr>
          <w:rFonts w:hint="eastAsia" w:eastAsia="仿宋"/>
          <w:sz w:val="32"/>
        </w:rPr>
        <w:t>4</w:t>
      </w:r>
    </w:p>
    <w:p w14:paraId="5D62EE7C">
      <w:pPr>
        <w:rPr>
          <w:rFonts w:hint="eastAsia" w:eastAsia="仿宋"/>
          <w:lang w:val="en-US" w:eastAsia="zh-CN"/>
        </w:rPr>
      </w:pPr>
      <w:r>
        <w:rPr>
          <w:rFonts w:hint="eastAsia"/>
        </w:rPr>
        <w:t xml:space="preserve">     </w:t>
      </w:r>
      <w:r>
        <w:rPr>
          <w:rStyle w:val="21"/>
          <w:rFonts w:hint="eastAsia" w:ascii="仿宋" w:hAnsi="仿宋" w:eastAsia="仿宋"/>
          <w:color w:val="auto"/>
          <w:sz w:val="28"/>
          <w:u w:val="none"/>
        </w:rPr>
        <w:t>二、机构设置</w:t>
      </w:r>
      <w:r>
        <w:rPr>
          <w:rStyle w:val="21"/>
          <w:rFonts w:ascii="仿宋" w:hAnsi="仿宋" w:eastAsia="仿宋"/>
          <w:color w:val="auto"/>
          <w:sz w:val="28"/>
          <w:u w:val="none"/>
        </w:rPr>
        <w:t>...</w:t>
      </w:r>
      <w:r>
        <w:rPr>
          <w:rStyle w:val="21"/>
          <w:rFonts w:hint="eastAsia" w:ascii="仿宋" w:hAnsi="仿宋" w:eastAsia="仿宋"/>
          <w:color w:val="auto"/>
          <w:sz w:val="28"/>
          <w:u w:val="none"/>
        </w:rPr>
        <w:t xml:space="preserve"> </w:t>
      </w:r>
      <w:r>
        <w:rPr>
          <w:rStyle w:val="21"/>
          <w:rFonts w:ascii="仿宋" w:hAnsi="仿宋" w:eastAsia="仿宋"/>
          <w:color w:val="auto"/>
          <w:sz w:val="28"/>
          <w:u w:val="none"/>
        </w:rPr>
        <w:t>... ... ... ... ... .. ... ...</w:t>
      </w:r>
      <w:r>
        <w:rPr>
          <w:rStyle w:val="21"/>
          <w:rFonts w:hint="eastAsia" w:ascii="仿宋" w:hAnsi="仿宋" w:eastAsia="仿宋"/>
          <w:color w:val="auto"/>
          <w:sz w:val="28"/>
          <w:u w:val="none"/>
        </w:rPr>
        <w:t xml:space="preserve"> </w:t>
      </w:r>
      <w:r>
        <w:rPr>
          <w:rStyle w:val="21"/>
          <w:rFonts w:ascii="仿宋" w:hAnsi="仿宋" w:eastAsia="仿宋"/>
          <w:color w:val="auto"/>
          <w:sz w:val="28"/>
          <w:u w:val="none"/>
        </w:rPr>
        <w:t>... ...</w:t>
      </w:r>
      <w:r>
        <w:rPr>
          <w:rStyle w:val="21"/>
          <w:rFonts w:hint="eastAsia" w:ascii="仿宋" w:hAnsi="仿宋" w:eastAsia="仿宋"/>
          <w:color w:val="auto"/>
          <w:sz w:val="28"/>
          <w:u w:val="none"/>
          <w:lang w:val="en-US" w:eastAsia="zh-CN"/>
        </w:rPr>
        <w:t>4</w:t>
      </w:r>
      <w:r>
        <w:fldChar w:fldCharType="begin"/>
      </w:r>
      <w:r>
        <w:instrText xml:space="preserve"> HYPERLINK \l "_Toc15396602" </w:instrText>
      </w:r>
      <w:r>
        <w:fldChar w:fldCharType="separate"/>
      </w:r>
      <w:r>
        <w:rPr>
          <w:rStyle w:val="21"/>
          <w:rFonts w:hint="eastAsia"/>
          <w:color w:val="auto"/>
        </w:rPr>
        <w:t>第二部分</w:t>
      </w:r>
      <w:r>
        <w:rPr>
          <w:rStyle w:val="21"/>
          <w:color w:val="auto"/>
        </w:rPr>
        <w:t xml:space="preserve"> </w:t>
      </w:r>
      <w:r>
        <w:rPr>
          <w:rStyle w:val="21"/>
          <w:rFonts w:hint="eastAsia"/>
          <w:color w:val="auto"/>
          <w:lang w:eastAsia="zh-CN"/>
        </w:rPr>
        <w:t>2023年</w:t>
      </w:r>
      <w:r>
        <w:rPr>
          <w:rStyle w:val="21"/>
          <w:rFonts w:hint="eastAsia"/>
          <w:color w:val="auto"/>
        </w:rPr>
        <w:t>度部门决算情况说明</w:t>
      </w:r>
      <w:r>
        <w:tab/>
      </w:r>
      <w:r>
        <w:rPr>
          <w:rFonts w:hint="eastAsia"/>
        </w:rPr>
        <w:t>1</w:t>
      </w:r>
      <w:r>
        <w:rPr>
          <w:rFonts w:hint="eastAsia"/>
        </w:rPr>
        <w:fldChar w:fldCharType="end"/>
      </w:r>
      <w:r>
        <w:rPr>
          <w:rFonts w:hint="eastAsia"/>
          <w:lang w:val="en-US" w:eastAsia="zh-CN"/>
        </w:rPr>
        <w:t>3</w:t>
      </w:r>
    </w:p>
    <w:p w14:paraId="3D6759B7">
      <w:pPr>
        <w:pStyle w:val="16"/>
        <w:rPr>
          <w:rFonts w:hint="eastAsia" w:ascii="仿宋" w:hAnsi="仿宋" w:eastAsia="仿宋"/>
          <w:sz w:val="28"/>
          <w:lang w:val="en-US" w:eastAsia="zh-CN"/>
        </w:rPr>
      </w:pPr>
      <w:r>
        <w:fldChar w:fldCharType="begin"/>
      </w:r>
      <w:r>
        <w:instrText xml:space="preserve"> HYPERLINK \l "_Toc15396603" </w:instrText>
      </w:r>
      <w:r>
        <w:fldChar w:fldCharType="separate"/>
      </w:r>
      <w:r>
        <w:rPr>
          <w:rStyle w:val="21"/>
          <w:rFonts w:hint="eastAsia" w:ascii="仿宋" w:hAnsi="仿宋" w:eastAsia="仿宋"/>
          <w:color w:val="auto"/>
          <w:sz w:val="28"/>
        </w:rPr>
        <w:t>一、收入支出决算总体情况说明</w:t>
      </w:r>
      <w:r>
        <w:rPr>
          <w:rFonts w:ascii="仿宋" w:hAnsi="仿宋" w:eastAsia="仿宋"/>
          <w:sz w:val="28"/>
        </w:rPr>
        <w:tab/>
      </w:r>
      <w:r>
        <w:rPr>
          <w:rFonts w:hint="eastAsia" w:ascii="仿宋" w:hAnsi="仿宋" w:eastAsia="仿宋"/>
          <w:sz w:val="28"/>
          <w:lang w:val="en-US" w:eastAsia="zh-CN"/>
        </w:rPr>
        <w:t>5</w:t>
      </w:r>
      <w:r>
        <w:rPr>
          <w:rFonts w:hint="eastAsia" w:ascii="仿宋" w:hAnsi="仿宋" w:eastAsia="仿宋"/>
          <w:sz w:val="28"/>
        </w:rPr>
        <w:fldChar w:fldCharType="end"/>
      </w:r>
    </w:p>
    <w:p w14:paraId="5A794231">
      <w:pPr>
        <w:pStyle w:val="16"/>
        <w:rPr>
          <w:rFonts w:hint="eastAsia" w:ascii="仿宋" w:hAnsi="仿宋" w:eastAsia="仿宋"/>
          <w:sz w:val="28"/>
          <w:lang w:val="en-US" w:eastAsia="zh-CN"/>
        </w:rPr>
      </w:pPr>
      <w:r>
        <w:fldChar w:fldCharType="begin"/>
      </w:r>
      <w:r>
        <w:instrText xml:space="preserve"> HYPERLINK \l "_Toc15396604" </w:instrText>
      </w:r>
      <w:r>
        <w:fldChar w:fldCharType="separate"/>
      </w:r>
      <w:r>
        <w:rPr>
          <w:rStyle w:val="21"/>
          <w:rFonts w:hint="eastAsia" w:ascii="仿宋" w:hAnsi="仿宋" w:eastAsia="仿宋"/>
          <w:color w:val="auto"/>
          <w:sz w:val="28"/>
        </w:rPr>
        <w:t>二、收入决算情况说明</w:t>
      </w:r>
      <w:r>
        <w:rPr>
          <w:rFonts w:ascii="仿宋" w:hAnsi="仿宋" w:eastAsia="仿宋"/>
          <w:sz w:val="28"/>
        </w:rPr>
        <w:tab/>
      </w:r>
      <w:r>
        <w:rPr>
          <w:rFonts w:hint="eastAsia" w:ascii="仿宋" w:hAnsi="仿宋" w:eastAsia="仿宋"/>
          <w:sz w:val="28"/>
          <w:lang w:val="en-US" w:eastAsia="zh-CN"/>
        </w:rPr>
        <w:t>5</w:t>
      </w:r>
      <w:r>
        <w:rPr>
          <w:rFonts w:hint="eastAsia" w:ascii="仿宋" w:hAnsi="仿宋" w:eastAsia="仿宋"/>
          <w:sz w:val="28"/>
        </w:rPr>
        <w:fldChar w:fldCharType="end"/>
      </w:r>
    </w:p>
    <w:p w14:paraId="5BEE6A8F">
      <w:pPr>
        <w:pStyle w:val="16"/>
        <w:rPr>
          <w:rFonts w:hint="eastAsia" w:ascii="仿宋" w:hAnsi="仿宋" w:eastAsia="仿宋"/>
          <w:sz w:val="28"/>
          <w:lang w:val="en-US" w:eastAsia="zh-CN"/>
        </w:rPr>
      </w:pPr>
      <w:r>
        <w:fldChar w:fldCharType="begin"/>
      </w:r>
      <w:r>
        <w:instrText xml:space="preserve"> HYPERLINK \l "_Toc15396605" </w:instrText>
      </w:r>
      <w:r>
        <w:fldChar w:fldCharType="separate"/>
      </w:r>
      <w:r>
        <w:rPr>
          <w:rStyle w:val="21"/>
          <w:rFonts w:hint="eastAsia" w:ascii="仿宋" w:hAnsi="仿宋" w:eastAsia="仿宋"/>
          <w:color w:val="auto"/>
          <w:sz w:val="28"/>
        </w:rPr>
        <w:t>三、支出决算情况说明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6</w:t>
      </w:r>
    </w:p>
    <w:p w14:paraId="0AE3BCEC">
      <w:pPr>
        <w:pStyle w:val="16"/>
        <w:rPr>
          <w:rFonts w:hint="eastAsia" w:ascii="仿宋" w:hAnsi="仿宋" w:eastAsia="仿宋"/>
          <w:sz w:val="28"/>
          <w:lang w:val="en-US" w:eastAsia="zh-CN"/>
        </w:rPr>
      </w:pPr>
      <w:r>
        <w:fldChar w:fldCharType="begin"/>
      </w:r>
      <w:r>
        <w:instrText xml:space="preserve"> HYPERLINK \l "_Toc15396606" </w:instrText>
      </w:r>
      <w:r>
        <w:fldChar w:fldCharType="separate"/>
      </w:r>
      <w:r>
        <w:rPr>
          <w:rStyle w:val="21"/>
          <w:rFonts w:hint="eastAsia" w:ascii="仿宋" w:hAnsi="仿宋" w:eastAsia="仿宋"/>
          <w:color w:val="auto"/>
          <w:sz w:val="28"/>
        </w:rPr>
        <w:t>四、财政拨款收入支出决算总体情况说明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6</w:t>
      </w:r>
    </w:p>
    <w:p w14:paraId="0AA5DCCB">
      <w:pPr>
        <w:pStyle w:val="16"/>
        <w:rPr>
          <w:rFonts w:hint="eastAsia" w:ascii="仿宋" w:hAnsi="仿宋" w:eastAsia="仿宋"/>
          <w:sz w:val="28"/>
          <w:lang w:val="en-US" w:eastAsia="zh-CN"/>
        </w:rPr>
      </w:pPr>
      <w:r>
        <w:fldChar w:fldCharType="begin"/>
      </w:r>
      <w:r>
        <w:instrText xml:space="preserve"> HYPERLINK \l "_Toc15396607" </w:instrText>
      </w:r>
      <w:r>
        <w:fldChar w:fldCharType="separate"/>
      </w:r>
      <w:r>
        <w:rPr>
          <w:rStyle w:val="21"/>
          <w:rFonts w:hint="eastAsia" w:ascii="仿宋" w:hAnsi="仿宋" w:eastAsia="仿宋"/>
          <w:color w:val="auto"/>
          <w:sz w:val="28"/>
        </w:rPr>
        <w:t>五、一般公共预算财政拨款支出决算情况说明</w:t>
      </w:r>
      <w:r>
        <w:rPr>
          <w:rFonts w:ascii="仿宋" w:hAnsi="仿宋" w:eastAsia="仿宋"/>
          <w:sz w:val="28"/>
        </w:rPr>
        <w:tab/>
      </w:r>
      <w:r>
        <w:rPr>
          <w:rFonts w:hint="eastAsia" w:ascii="仿宋" w:hAnsi="仿宋" w:eastAsia="仿宋"/>
          <w:sz w:val="28"/>
        </w:rPr>
        <w:fldChar w:fldCharType="end"/>
      </w:r>
      <w:r>
        <w:rPr>
          <w:rFonts w:hint="eastAsia" w:ascii="仿宋" w:hAnsi="仿宋" w:eastAsia="仿宋"/>
          <w:sz w:val="28"/>
          <w:lang w:val="en-US" w:eastAsia="zh-CN"/>
        </w:rPr>
        <w:t>7</w:t>
      </w:r>
    </w:p>
    <w:p w14:paraId="7AAE4D71">
      <w:pPr>
        <w:pStyle w:val="16"/>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lang w:val="en-US" w:eastAsia="zh-CN"/>
        </w:rPr>
      </w:pPr>
      <w:r>
        <w:rPr>
          <w:rFonts w:hint="eastAsia" w:ascii="仿宋_GB2312" w:hAnsi="仿宋_GB2312"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14:paraId="30709C19">
      <w:pPr>
        <w:pStyle w:val="16"/>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rPr>
        <w:t>七、财政拨款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w:t>
      </w:r>
    </w:p>
    <w:p w14:paraId="4D5E96B9">
      <w:pPr>
        <w:pStyle w:val="16"/>
        <w:keepNext w:val="0"/>
        <w:keepLines w:val="0"/>
        <w:pageBreakBefore w:val="0"/>
        <w:kinsoku/>
        <w:wordWrap/>
        <w:overflowPunct/>
        <w:topLinePunct w:val="0"/>
        <w:autoSpaceDE/>
        <w:autoSpaceDN/>
        <w:bidi w:val="0"/>
        <w:adjustRightInd w:val="0"/>
        <w:snapToGrid w:val="0"/>
        <w:spacing w:line="560" w:lineRule="exact"/>
        <w:jc w:val="distribute"/>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九、国有资本经营预算支出决算情况说明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十、其他重要事项的情况说明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40A6D9CC">
      <w:pPr>
        <w:pStyle w:val="16"/>
        <w:rPr>
          <w:rFonts w:hint="default" w:eastAsia="仿宋"/>
          <w:lang w:val="en-US" w:eastAsia="zh-CN"/>
        </w:rPr>
      </w:pPr>
    </w:p>
    <w:p w14:paraId="725D946F">
      <w:pPr>
        <w:pStyle w:val="14"/>
        <w:rPr>
          <w:rFonts w:hint="default" w:eastAsia="仿宋"/>
          <w:lang w:val="en-US" w:eastAsia="zh-CN"/>
        </w:rPr>
      </w:pPr>
      <w:r>
        <w:fldChar w:fldCharType="begin"/>
      </w:r>
      <w:r>
        <w:instrText xml:space="preserve"> HYPERLINK \l "_Toc15396613" </w:instrText>
      </w:r>
      <w:r>
        <w:fldChar w:fldCharType="separate"/>
      </w:r>
      <w:r>
        <w:rPr>
          <w:rStyle w:val="21"/>
          <w:rFonts w:hint="eastAsia"/>
          <w:color w:val="auto"/>
          <w:kern w:val="44"/>
        </w:rPr>
        <w:t>第三部分</w:t>
      </w:r>
      <w:r>
        <w:rPr>
          <w:rStyle w:val="21"/>
          <w:rFonts w:hint="eastAsia"/>
          <w:color w:val="auto"/>
        </w:rPr>
        <w:t xml:space="preserve"> 名</w:t>
      </w:r>
      <w:r>
        <w:rPr>
          <w:rStyle w:val="21"/>
          <w:rFonts w:hint="eastAsia"/>
          <w:color w:val="auto"/>
          <w:kern w:val="44"/>
        </w:rPr>
        <w:t>词解释</w:t>
      </w:r>
      <w:r>
        <w:tab/>
      </w:r>
      <w:r>
        <w:rPr>
          <w:rFonts w:hint="eastAsia"/>
        </w:rPr>
        <w:fldChar w:fldCharType="end"/>
      </w:r>
      <w:r>
        <w:rPr>
          <w:rFonts w:hint="eastAsia"/>
          <w:lang w:val="en-US" w:eastAsia="zh-CN"/>
        </w:rPr>
        <w:t>13</w:t>
      </w:r>
    </w:p>
    <w:p w14:paraId="09497AFD">
      <w:pPr>
        <w:pStyle w:val="14"/>
        <w:rPr>
          <w:rFonts w:hint="default" w:eastAsia="仿宋"/>
          <w:lang w:val="en-US" w:eastAsia="zh-CN"/>
        </w:rPr>
      </w:pPr>
      <w:r>
        <w:rPr>
          <w:rFonts w:hint="eastAsia"/>
          <w:kern w:val="44"/>
        </w:rPr>
        <w:fldChar w:fldCharType="begin"/>
      </w:r>
      <w:r>
        <w:rPr>
          <w:rStyle w:val="21"/>
          <w:rFonts w:hint="eastAsia"/>
          <w:kern w:val="44"/>
        </w:rPr>
        <w:instrText xml:space="preserve"> HYPERLINK \l "_Toc15396613" </w:instrText>
      </w:r>
      <w:r>
        <w:rPr>
          <w:rFonts w:hint="eastAsia"/>
          <w:kern w:val="44"/>
        </w:rPr>
        <w:fldChar w:fldCharType="separate"/>
      </w:r>
      <w:r>
        <w:rPr>
          <w:rStyle w:val="21"/>
          <w:rFonts w:hint="eastAsia"/>
          <w:kern w:val="44"/>
        </w:rPr>
        <w:t>第四部分 附件</w:t>
      </w:r>
      <w:r>
        <w:rPr>
          <w:rStyle w:val="21"/>
          <w:rFonts w:hint="eastAsia"/>
          <w:kern w:val="44"/>
        </w:rPr>
        <w:tab/>
      </w:r>
      <w:r>
        <w:rPr>
          <w:rFonts w:hint="eastAsia"/>
          <w:kern w:val="44"/>
        </w:rPr>
        <w:fldChar w:fldCharType="end"/>
      </w:r>
      <w:r>
        <w:rPr>
          <w:rFonts w:hint="eastAsia"/>
          <w:kern w:val="44"/>
          <w:lang w:val="en-US" w:eastAsia="zh-CN"/>
        </w:rPr>
        <w:t>16</w:t>
      </w:r>
    </w:p>
    <w:p w14:paraId="49A02BE2">
      <w:pPr>
        <w:pStyle w:val="14"/>
        <w:rPr>
          <w:rFonts w:hint="default" w:eastAsia="仿宋"/>
          <w:lang w:val="en-US" w:eastAsia="zh-CN"/>
        </w:rPr>
      </w:pPr>
      <w:r>
        <w:fldChar w:fldCharType="begin"/>
      </w:r>
      <w:r>
        <w:instrText xml:space="preserve"> HYPERLINK \l "_Toc15396618" </w:instrText>
      </w:r>
      <w:r>
        <w:fldChar w:fldCharType="separate"/>
      </w:r>
      <w:r>
        <w:rPr>
          <w:rStyle w:val="21"/>
          <w:rFonts w:hint="eastAsia"/>
          <w:color w:val="auto"/>
        </w:rPr>
        <w:t>第</w:t>
      </w:r>
      <w:r>
        <w:rPr>
          <w:rStyle w:val="21"/>
          <w:rFonts w:hint="eastAsia"/>
          <w:color w:val="auto"/>
          <w:kern w:val="44"/>
        </w:rPr>
        <w:t>五部分</w:t>
      </w:r>
      <w:r>
        <w:rPr>
          <w:rStyle w:val="21"/>
          <w:color w:val="auto"/>
          <w:kern w:val="44"/>
        </w:rPr>
        <w:t xml:space="preserve"> </w:t>
      </w:r>
      <w:r>
        <w:rPr>
          <w:rStyle w:val="21"/>
          <w:rFonts w:hint="eastAsia"/>
          <w:color w:val="auto"/>
          <w:kern w:val="44"/>
        </w:rPr>
        <w:t>附表</w:t>
      </w:r>
      <w:r>
        <w:tab/>
      </w:r>
      <w:r>
        <w:rPr>
          <w:rFonts w:hint="eastAsia"/>
        </w:rPr>
        <w:fldChar w:fldCharType="end"/>
      </w:r>
      <w:r>
        <w:rPr>
          <w:rFonts w:hint="eastAsia"/>
          <w:lang w:val="en-US" w:eastAsia="zh-CN"/>
        </w:rPr>
        <w:t>39</w:t>
      </w:r>
    </w:p>
    <w:p w14:paraId="1AC77535">
      <w:pPr>
        <w:pStyle w:val="16"/>
        <w:rPr>
          <w:rFonts w:hint="default" w:ascii="仿宋" w:hAnsi="仿宋" w:eastAsia="仿宋"/>
          <w:sz w:val="28"/>
          <w:lang w:val="en-US" w:eastAsia="zh-CN"/>
        </w:rPr>
      </w:pPr>
      <w:r>
        <w:rPr>
          <w:rFonts w:hint="eastAsia" w:ascii="仿宋" w:hAnsi="仿宋" w:eastAsia="仿宋"/>
          <w:sz w:val="28"/>
        </w:rPr>
        <w:t>一、</w:t>
      </w:r>
      <w:r>
        <w:fldChar w:fldCharType="begin"/>
      </w:r>
      <w:r>
        <w:instrText xml:space="preserve"> HYPERLINK \l "_Toc15396619" </w:instrText>
      </w:r>
      <w:r>
        <w:fldChar w:fldCharType="separate"/>
      </w:r>
      <w:r>
        <w:rPr>
          <w:rStyle w:val="21"/>
          <w:rFonts w:hint="eastAsia" w:ascii="仿宋" w:hAnsi="仿宋" w:eastAsia="仿宋"/>
          <w:color w:val="auto"/>
          <w:sz w:val="28"/>
        </w:rPr>
        <w:t>收入支出决算总表</w:t>
      </w:r>
      <w:r>
        <w:rPr>
          <w:rFonts w:hint="eastAsia" w:ascii="仿宋" w:hAnsi="仿宋" w:eastAsia="仿宋"/>
          <w:sz w:val="28"/>
        </w:rPr>
        <w:fldChar w:fldCharType="end"/>
      </w:r>
    </w:p>
    <w:p w14:paraId="666BD724">
      <w:pPr>
        <w:pStyle w:val="16"/>
        <w:rPr>
          <w:rFonts w:hint="eastAsia" w:ascii="仿宋" w:hAnsi="仿宋" w:eastAsia="仿宋"/>
          <w:sz w:val="28"/>
        </w:rPr>
      </w:pPr>
      <w:r>
        <w:rPr>
          <w:rFonts w:hint="eastAsia" w:ascii="仿宋" w:hAnsi="仿宋" w:eastAsia="仿宋"/>
          <w:sz w:val="28"/>
        </w:rPr>
        <w:t>二、</w:t>
      </w:r>
      <w:r>
        <w:fldChar w:fldCharType="begin"/>
      </w:r>
      <w:r>
        <w:instrText xml:space="preserve"> HYPERLINK \l "_Toc15396620" </w:instrText>
      </w:r>
      <w:r>
        <w:fldChar w:fldCharType="separate"/>
      </w:r>
      <w:r>
        <w:rPr>
          <w:rStyle w:val="21"/>
          <w:rFonts w:hint="eastAsia" w:ascii="仿宋" w:hAnsi="仿宋" w:eastAsia="仿宋"/>
          <w:color w:val="auto"/>
          <w:sz w:val="28"/>
        </w:rPr>
        <w:t>收入决算表</w:t>
      </w:r>
      <w:r>
        <w:rPr>
          <w:rFonts w:hint="eastAsia" w:ascii="仿宋" w:hAnsi="仿宋" w:eastAsia="仿宋"/>
          <w:sz w:val="28"/>
        </w:rPr>
        <w:fldChar w:fldCharType="end"/>
      </w:r>
    </w:p>
    <w:p w14:paraId="2036500D">
      <w:pPr>
        <w:pStyle w:val="16"/>
        <w:rPr>
          <w:rFonts w:hint="eastAsia" w:ascii="仿宋" w:hAnsi="仿宋" w:eastAsia="仿宋"/>
          <w:sz w:val="28"/>
        </w:rPr>
      </w:pPr>
      <w:r>
        <w:rPr>
          <w:rFonts w:hint="eastAsia" w:ascii="仿宋" w:hAnsi="仿宋" w:eastAsia="仿宋"/>
          <w:sz w:val="28"/>
        </w:rPr>
        <w:t>三、</w:t>
      </w:r>
      <w:r>
        <w:fldChar w:fldCharType="begin"/>
      </w:r>
      <w:r>
        <w:instrText xml:space="preserve"> HYPERLINK \l "_Toc15396621" </w:instrText>
      </w:r>
      <w:r>
        <w:fldChar w:fldCharType="separate"/>
      </w:r>
      <w:r>
        <w:rPr>
          <w:rStyle w:val="21"/>
          <w:rFonts w:hint="eastAsia" w:ascii="仿宋" w:hAnsi="仿宋" w:eastAsia="仿宋"/>
          <w:color w:val="auto"/>
          <w:sz w:val="28"/>
        </w:rPr>
        <w:t>支出决算表</w:t>
      </w:r>
      <w:r>
        <w:rPr>
          <w:rFonts w:hint="eastAsia" w:ascii="仿宋" w:hAnsi="仿宋" w:eastAsia="仿宋"/>
          <w:sz w:val="28"/>
        </w:rPr>
        <w:fldChar w:fldCharType="end"/>
      </w:r>
    </w:p>
    <w:p w14:paraId="10FD1E89">
      <w:pPr>
        <w:pStyle w:val="16"/>
        <w:rPr>
          <w:rFonts w:hint="default" w:ascii="仿宋" w:hAnsi="仿宋" w:eastAsia="仿宋"/>
          <w:sz w:val="28"/>
          <w:lang w:val="en-US" w:eastAsia="zh-CN"/>
        </w:rPr>
      </w:pPr>
      <w:r>
        <w:rPr>
          <w:rFonts w:hint="eastAsia" w:ascii="仿宋" w:hAnsi="仿宋" w:eastAsia="仿宋"/>
          <w:sz w:val="28"/>
        </w:rPr>
        <w:t>四、</w:t>
      </w:r>
      <w:r>
        <w:fldChar w:fldCharType="begin"/>
      </w:r>
      <w:r>
        <w:instrText xml:space="preserve"> HYPERLINK \l "_Toc15396622" </w:instrText>
      </w:r>
      <w:r>
        <w:fldChar w:fldCharType="separate"/>
      </w:r>
      <w:r>
        <w:rPr>
          <w:rStyle w:val="21"/>
          <w:rFonts w:hint="eastAsia" w:ascii="仿宋" w:hAnsi="仿宋" w:eastAsia="仿宋"/>
          <w:color w:val="auto"/>
          <w:sz w:val="28"/>
        </w:rPr>
        <w:t>财政拨款收入支出决算总表</w:t>
      </w:r>
      <w:r>
        <w:rPr>
          <w:rFonts w:hint="eastAsia" w:ascii="仿宋" w:hAnsi="仿宋" w:eastAsia="仿宋"/>
          <w:sz w:val="28"/>
        </w:rPr>
        <w:fldChar w:fldCharType="end"/>
      </w:r>
    </w:p>
    <w:p w14:paraId="5EEEA448">
      <w:pPr>
        <w:pStyle w:val="16"/>
        <w:rPr>
          <w:rFonts w:hint="default" w:ascii="仿宋" w:hAnsi="仿宋" w:eastAsia="仿宋"/>
          <w:sz w:val="28"/>
          <w:lang w:val="en-US" w:eastAsia="zh-CN"/>
        </w:rPr>
      </w:pPr>
      <w:r>
        <w:rPr>
          <w:rFonts w:hint="eastAsia" w:ascii="仿宋" w:hAnsi="仿宋" w:eastAsia="仿宋"/>
          <w:sz w:val="28"/>
        </w:rPr>
        <w:t>五、财政拨款支出</w:t>
      </w:r>
      <w:r>
        <w:fldChar w:fldCharType="begin"/>
      </w:r>
      <w:r>
        <w:instrText xml:space="preserve"> HYPERLINK \l "_Toc15396624" </w:instrText>
      </w:r>
      <w:r>
        <w:fldChar w:fldCharType="separate"/>
      </w:r>
      <w:r>
        <w:rPr>
          <w:rStyle w:val="21"/>
          <w:rFonts w:hint="eastAsia" w:ascii="仿宋" w:hAnsi="仿宋" w:eastAsia="仿宋"/>
          <w:color w:val="auto"/>
          <w:sz w:val="28"/>
        </w:rPr>
        <w:t>决算明细表</w:t>
      </w:r>
      <w:r>
        <w:rPr>
          <w:rFonts w:hint="eastAsia" w:ascii="仿宋" w:hAnsi="仿宋" w:eastAsia="仿宋"/>
          <w:sz w:val="28"/>
        </w:rPr>
        <w:fldChar w:fldCharType="end"/>
      </w:r>
    </w:p>
    <w:p w14:paraId="09D3562C">
      <w:pPr>
        <w:pStyle w:val="16"/>
        <w:rPr>
          <w:rFonts w:hint="default" w:ascii="仿宋" w:hAnsi="仿宋" w:eastAsia="仿宋"/>
          <w:sz w:val="28"/>
          <w:lang w:val="en-US" w:eastAsia="zh-CN"/>
        </w:rPr>
      </w:pPr>
      <w:r>
        <w:rPr>
          <w:rFonts w:hint="eastAsia" w:ascii="仿宋" w:hAnsi="仿宋" w:eastAsia="仿宋"/>
          <w:sz w:val="28"/>
        </w:rPr>
        <w:t>六、</w:t>
      </w:r>
      <w:r>
        <w:fldChar w:fldCharType="begin"/>
      </w:r>
      <w:r>
        <w:instrText xml:space="preserve"> HYPERLINK \l "_Toc15396624" </w:instrText>
      </w:r>
      <w:r>
        <w:fldChar w:fldCharType="separate"/>
      </w:r>
      <w:r>
        <w:rPr>
          <w:rStyle w:val="21"/>
          <w:rFonts w:hint="eastAsia" w:ascii="仿宋" w:hAnsi="仿宋" w:eastAsia="仿宋"/>
          <w:color w:val="auto"/>
          <w:sz w:val="28"/>
        </w:rPr>
        <w:t>一般公共预算财政拨款支出决算表</w:t>
      </w:r>
      <w:r>
        <w:rPr>
          <w:rFonts w:hint="eastAsia" w:ascii="仿宋" w:hAnsi="仿宋" w:eastAsia="仿宋"/>
          <w:sz w:val="28"/>
        </w:rPr>
        <w:fldChar w:fldCharType="end"/>
      </w:r>
    </w:p>
    <w:p w14:paraId="7E4D7B6E">
      <w:pPr>
        <w:pStyle w:val="16"/>
        <w:rPr>
          <w:rFonts w:hint="eastAsia" w:ascii="仿宋" w:hAnsi="仿宋" w:eastAsia="仿宋"/>
          <w:sz w:val="28"/>
        </w:rPr>
      </w:pPr>
      <w:r>
        <w:rPr>
          <w:rFonts w:hint="eastAsia" w:ascii="仿宋" w:hAnsi="仿宋" w:eastAsia="仿宋"/>
          <w:sz w:val="28"/>
        </w:rPr>
        <w:t>七、</w:t>
      </w:r>
      <w:r>
        <w:fldChar w:fldCharType="begin"/>
      </w:r>
      <w:r>
        <w:instrText xml:space="preserve"> HYPERLINK \l "_Toc15396626" </w:instrText>
      </w:r>
      <w:r>
        <w:fldChar w:fldCharType="separate"/>
      </w:r>
      <w:r>
        <w:rPr>
          <w:rStyle w:val="21"/>
          <w:rFonts w:hint="eastAsia" w:ascii="仿宋" w:hAnsi="仿宋" w:eastAsia="仿宋"/>
          <w:color w:val="auto"/>
          <w:sz w:val="28"/>
        </w:rPr>
        <w:t>一般公共预算财政拨款支出决算明细表</w:t>
      </w:r>
      <w:r>
        <w:rPr>
          <w:rFonts w:hint="eastAsia" w:ascii="仿宋" w:hAnsi="仿宋" w:eastAsia="仿宋"/>
          <w:sz w:val="28"/>
        </w:rPr>
        <w:fldChar w:fldCharType="end"/>
      </w:r>
    </w:p>
    <w:p w14:paraId="363826F4">
      <w:pPr>
        <w:pStyle w:val="16"/>
        <w:rPr>
          <w:rFonts w:hint="eastAsia" w:ascii="仿宋" w:hAnsi="仿宋" w:eastAsia="仿宋"/>
          <w:sz w:val="28"/>
        </w:rPr>
      </w:pPr>
      <w:r>
        <w:rPr>
          <w:rFonts w:hint="eastAsia" w:ascii="仿宋" w:hAnsi="仿宋" w:eastAsia="仿宋"/>
          <w:sz w:val="28"/>
        </w:rPr>
        <w:t>八、</w:t>
      </w:r>
      <w:r>
        <w:fldChar w:fldCharType="begin"/>
      </w:r>
      <w:r>
        <w:instrText xml:space="preserve"> HYPERLINK \l "_Toc15396626" </w:instrText>
      </w:r>
      <w:r>
        <w:fldChar w:fldCharType="separate"/>
      </w:r>
      <w:r>
        <w:rPr>
          <w:rStyle w:val="21"/>
          <w:rFonts w:hint="eastAsia" w:ascii="仿宋" w:hAnsi="仿宋" w:eastAsia="仿宋"/>
          <w:color w:val="auto"/>
          <w:sz w:val="28"/>
        </w:rPr>
        <w:t>一般公共预算财政拨款基本支出决算表</w:t>
      </w:r>
      <w:r>
        <w:rPr>
          <w:rFonts w:hint="eastAsia" w:ascii="仿宋" w:hAnsi="仿宋" w:eastAsia="仿宋"/>
          <w:sz w:val="28"/>
        </w:rPr>
        <w:fldChar w:fldCharType="end"/>
      </w:r>
    </w:p>
    <w:p w14:paraId="1F058C90">
      <w:pPr>
        <w:pStyle w:val="16"/>
        <w:rPr>
          <w:rFonts w:hint="eastAsia" w:ascii="仿宋" w:hAnsi="仿宋" w:eastAsia="仿宋"/>
          <w:sz w:val="28"/>
        </w:rPr>
      </w:pPr>
      <w:r>
        <w:rPr>
          <w:rFonts w:hint="eastAsia" w:ascii="仿宋" w:hAnsi="仿宋" w:eastAsia="仿宋"/>
          <w:sz w:val="28"/>
        </w:rPr>
        <w:t>九、</w:t>
      </w:r>
      <w:r>
        <w:fldChar w:fldCharType="begin"/>
      </w:r>
      <w:r>
        <w:instrText xml:space="preserve"> HYPERLINK \l "_Toc15396626" </w:instrText>
      </w:r>
      <w:r>
        <w:fldChar w:fldCharType="separate"/>
      </w:r>
      <w:r>
        <w:rPr>
          <w:rStyle w:val="21"/>
          <w:rFonts w:hint="eastAsia" w:ascii="仿宋" w:hAnsi="仿宋" w:eastAsia="仿宋"/>
          <w:color w:val="auto"/>
          <w:sz w:val="28"/>
        </w:rPr>
        <w:t>一般公共预算财政拨款项目支出决算表</w:t>
      </w:r>
      <w:r>
        <w:rPr>
          <w:rFonts w:hint="eastAsia" w:ascii="仿宋" w:hAnsi="仿宋" w:eastAsia="仿宋"/>
          <w:sz w:val="28"/>
        </w:rPr>
        <w:fldChar w:fldCharType="end"/>
      </w:r>
    </w:p>
    <w:p w14:paraId="24232C9E">
      <w:pPr>
        <w:pStyle w:val="16"/>
        <w:rPr>
          <w:rFonts w:hint="eastAsia" w:ascii="仿宋" w:hAnsi="仿宋" w:eastAsia="仿宋"/>
          <w:sz w:val="28"/>
        </w:rPr>
      </w:pPr>
      <w:r>
        <w:rPr>
          <w:rFonts w:hint="eastAsia" w:ascii="仿宋" w:hAnsi="仿宋" w:eastAsia="仿宋"/>
          <w:sz w:val="28"/>
        </w:rPr>
        <w:t>十、</w:t>
      </w:r>
      <w:r>
        <w:fldChar w:fldCharType="begin"/>
      </w:r>
      <w:r>
        <w:instrText xml:space="preserve"> HYPERLINK \l "_Toc15396626" </w:instrText>
      </w:r>
      <w:r>
        <w:fldChar w:fldCharType="separate"/>
      </w:r>
      <w:r>
        <w:rPr>
          <w:rStyle w:val="21"/>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53D750DE">
      <w:pPr>
        <w:pStyle w:val="16"/>
        <w:rPr>
          <w:rFonts w:hint="eastAsia" w:ascii="仿宋" w:hAnsi="仿宋" w:eastAsia="仿宋"/>
          <w:sz w:val="28"/>
        </w:rPr>
      </w:pPr>
      <w:r>
        <w:rPr>
          <w:rFonts w:hint="eastAsia" w:ascii="仿宋" w:hAnsi="仿宋" w:eastAsia="仿宋"/>
          <w:sz w:val="28"/>
        </w:rPr>
        <w:t>十一、</w:t>
      </w:r>
      <w:r>
        <w:fldChar w:fldCharType="begin"/>
      </w:r>
      <w:r>
        <w:instrText xml:space="preserve"> HYPERLINK \l "_Toc15396626" </w:instrText>
      </w:r>
      <w:r>
        <w:fldChar w:fldCharType="separate"/>
      </w:r>
      <w:r>
        <w:rPr>
          <w:rStyle w:val="21"/>
          <w:rFonts w:hint="eastAsia" w:ascii="仿宋" w:hAnsi="仿宋" w:eastAsia="仿宋"/>
          <w:color w:val="auto"/>
          <w:sz w:val="28"/>
        </w:rPr>
        <w:t>政府性基金预算财政拨款收入支出决算表</w:t>
      </w:r>
      <w:r>
        <w:rPr>
          <w:rFonts w:hint="eastAsia" w:ascii="仿宋" w:hAnsi="仿宋" w:eastAsia="仿宋"/>
          <w:sz w:val="28"/>
        </w:rPr>
        <w:fldChar w:fldCharType="end"/>
      </w:r>
    </w:p>
    <w:p w14:paraId="455792FF">
      <w:pPr>
        <w:pStyle w:val="16"/>
        <w:rPr>
          <w:rFonts w:hint="eastAsia" w:ascii="仿宋" w:hAnsi="仿宋" w:eastAsia="仿宋"/>
          <w:sz w:val="28"/>
          <w:lang w:eastAsia="zh-CN"/>
        </w:rPr>
      </w:pPr>
      <w:r>
        <w:rPr>
          <w:rFonts w:hint="eastAsia" w:ascii="仿宋" w:hAnsi="仿宋" w:eastAsia="仿宋"/>
          <w:sz w:val="28"/>
        </w:rPr>
        <w:t>十二、国有资本经营</w:t>
      </w:r>
      <w:r>
        <w:rPr>
          <w:rFonts w:ascii="仿宋" w:hAnsi="仿宋" w:eastAsia="仿宋"/>
          <w:sz w:val="24"/>
        </w:rPr>
        <w:fldChar w:fldCharType="end"/>
      </w:r>
      <w:commentRangeEnd w:id="0"/>
      <w:r>
        <w:commentReference w:id="0"/>
      </w:r>
      <w:r>
        <w:rPr>
          <w:rFonts w:ascii="仿宋" w:hAnsi="仿宋" w:eastAsia="仿宋"/>
          <w:sz w:val="28"/>
        </w:rPr>
        <w:t>预算财政拨款收入支出决算表</w:t>
      </w:r>
    </w:p>
    <w:p w14:paraId="3B0E6DB2">
      <w:pPr>
        <w:numPr>
          <w:ilvl w:val="0"/>
          <w:numId w:val="1"/>
        </w:numPr>
        <w:ind w:left="420" w:leftChars="0" w:firstLine="0" w:firstLineChars="0"/>
        <w:rPr>
          <w:rFonts w:hint="eastAsia" w:ascii="仿宋" w:hAnsi="仿宋" w:eastAsia="仿宋"/>
          <w:sz w:val="28"/>
        </w:rPr>
      </w:pPr>
      <w:r>
        <w:rPr>
          <w:rFonts w:hint="eastAsia" w:ascii="仿宋" w:hAnsi="仿宋" w:eastAsia="仿宋"/>
          <w:sz w:val="28"/>
        </w:rPr>
        <w:t>财政拨款“三公”经费支出决算表</w:t>
      </w:r>
      <w:bookmarkStart w:id="11" w:name="_Toc15396599"/>
      <w:bookmarkStart w:id="12" w:name="_Toc15377196"/>
    </w:p>
    <w:p w14:paraId="10B2B035">
      <w:pPr>
        <w:pStyle w:val="4"/>
        <w:numPr>
          <w:ilvl w:val="0"/>
          <w:numId w:val="0"/>
        </w:numPr>
        <w:ind w:left="420" w:leftChars="0"/>
      </w:pPr>
    </w:p>
    <w:p w14:paraId="55DB4F0D"/>
    <w:p w14:paraId="1A0C2DAE">
      <w:pPr>
        <w:pStyle w:val="4"/>
      </w:pPr>
    </w:p>
    <w:p w14:paraId="58581FC5"/>
    <w:p w14:paraId="34E493AC">
      <w:pPr>
        <w:pStyle w:val="4"/>
      </w:pPr>
    </w:p>
    <w:p w14:paraId="6CEFE9D1"/>
    <w:p w14:paraId="2B14D9FB">
      <w:pPr>
        <w:pStyle w:val="4"/>
      </w:pPr>
    </w:p>
    <w:p w14:paraId="16AC33A0"/>
    <w:p w14:paraId="01F8213D">
      <w:pPr>
        <w:pStyle w:val="3"/>
        <w:jc w:val="center"/>
        <w:rPr>
          <w:rStyle w:val="51"/>
          <w:rFonts w:ascii="黑体" w:hAnsi="黑体" w:eastAsia="黑体"/>
          <w:b/>
        </w:rPr>
      </w:pPr>
      <w:r>
        <w:rPr>
          <w:rFonts w:hint="eastAsia" w:ascii="黑体" w:hAnsi="黑体" w:eastAsia="黑体"/>
          <w:b w:val="0"/>
        </w:rPr>
        <w:t xml:space="preserve">第一部分 </w:t>
      </w:r>
      <w:r>
        <w:rPr>
          <w:rStyle w:val="51"/>
          <w:rFonts w:hint="eastAsia" w:ascii="黑体" w:hAnsi="黑体" w:eastAsia="黑体"/>
          <w:b w:val="0"/>
        </w:rPr>
        <w:t>部门概况</w:t>
      </w:r>
      <w:bookmarkEnd w:id="11"/>
      <w:bookmarkEnd w:id="12"/>
    </w:p>
    <w:p w14:paraId="2B1F3F47">
      <w:pPr>
        <w:pStyle w:val="4"/>
        <w:ind w:firstLine="640" w:firstLineChars="200"/>
        <w:rPr>
          <w:rStyle w:val="52"/>
          <w:rFonts w:hint="eastAsia" w:ascii="仿宋" w:hAnsi="仿宋" w:eastAsia="黑体"/>
          <w:b w:val="0"/>
          <w:bCs w:val="0"/>
          <w:color w:val="auto"/>
          <w:highlight w:val="none"/>
          <w:lang w:eastAsia="zh-CN"/>
        </w:rPr>
      </w:pPr>
      <w:bookmarkStart w:id="13" w:name="_Toc15396600"/>
      <w:bookmarkStart w:id="14" w:name="_Toc15377197"/>
      <w:bookmarkStart w:id="15" w:name="_Toc15378446"/>
      <w:bookmarkStart w:id="16" w:name="_Toc15377199"/>
      <w:r>
        <w:rPr>
          <w:rFonts w:hint="eastAsia" w:ascii="黑体" w:hAnsi="黑体" w:eastAsia="黑体"/>
          <w:b w:val="0"/>
          <w:color w:val="auto"/>
          <w:highlight w:val="none"/>
        </w:rPr>
        <w:t>一、</w:t>
      </w:r>
      <w:bookmarkEnd w:id="13"/>
      <w:bookmarkEnd w:id="14"/>
      <w:r>
        <w:rPr>
          <w:rFonts w:hint="eastAsia" w:ascii="黑体" w:hAnsi="黑体" w:eastAsia="黑体"/>
          <w:b w:val="0"/>
          <w:color w:val="auto"/>
          <w:highlight w:val="none"/>
          <w:lang w:eastAsia="zh-CN"/>
        </w:rPr>
        <w:t>部门职责</w:t>
      </w:r>
    </w:p>
    <w:p w14:paraId="475AA324">
      <w:pPr>
        <w:snapToGrid w:val="0"/>
        <w:spacing w:line="520" w:lineRule="exact"/>
        <w:ind w:firstLine="640" w:firstLineChars="200"/>
        <w:rPr>
          <w:rFonts w:hint="eastAsia" w:ascii="仿宋" w:hAnsi="仿宋" w:eastAsia="仿宋"/>
          <w:sz w:val="32"/>
        </w:rPr>
      </w:pPr>
      <w:r>
        <w:rPr>
          <w:rFonts w:hint="eastAsia" w:ascii="仿宋" w:hAnsi="仿宋" w:eastAsia="仿宋"/>
          <w:sz w:val="32"/>
        </w:rPr>
        <w:t>贯彻执行国家、省、市、区有关教育工作方面的方针、政策和法律法规，实施高中教育和初中义务教育，促进基础教育发展，负责高中、初中学历教育和相关社会服务。承办主管局交办的其他事项。</w:t>
      </w:r>
    </w:p>
    <w:bookmarkEnd w:id="15"/>
    <w:bookmarkEnd w:id="16"/>
    <w:p w14:paraId="2754A851">
      <w:pPr>
        <w:pStyle w:val="4"/>
        <w:ind w:firstLine="640" w:firstLineChars="200"/>
        <w:rPr>
          <w:rStyle w:val="31"/>
          <w:b w:val="0"/>
          <w:bCs w:val="0"/>
        </w:rPr>
      </w:pPr>
      <w:bookmarkStart w:id="17" w:name="_Toc15377200"/>
      <w:bookmarkStart w:id="18" w:name="_Toc15396601"/>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7"/>
      <w:bookmarkEnd w:id="18"/>
    </w:p>
    <w:p w14:paraId="3A197155">
      <w:pPr>
        <w:ind w:firstLine="800" w:firstLineChars="250"/>
        <w:rPr>
          <w:rFonts w:ascii="仿宋" w:hAnsi="仿宋" w:eastAsia="仿宋"/>
          <w:sz w:val="32"/>
          <w:szCs w:val="32"/>
        </w:rPr>
      </w:pPr>
      <w:r>
        <w:rPr>
          <w:rFonts w:hint="eastAsia" w:ascii="仿宋" w:hAnsi="仿宋" w:eastAsia="仿宋"/>
          <w:sz w:val="32"/>
          <w:szCs w:val="32"/>
        </w:rPr>
        <w:t>四川省遂宁市西眉中学下属二级预算单位</w:t>
      </w:r>
      <w:r>
        <w:rPr>
          <w:sz w:val="32"/>
          <w:szCs w:val="32"/>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14:paraId="00C35AAE">
      <w:pPr>
        <w:pStyle w:val="7"/>
        <w:adjustRightInd w:val="0"/>
        <w:snapToGrid w:val="0"/>
        <w:spacing w:beforeLines="0" w:line="600" w:lineRule="exact"/>
        <w:ind w:firstLine="672" w:firstLineChars="210"/>
        <w:rPr>
          <w:rFonts w:ascii="仿宋" w:hAnsi="仿宋" w:eastAsia="仿宋"/>
          <w:kern w:val="0"/>
          <w:sz w:val="32"/>
          <w:szCs w:val="32"/>
        </w:rPr>
      </w:pPr>
      <w:r>
        <w:rPr>
          <w:rFonts w:hint="eastAsia" w:ascii="仿宋" w:hAnsi="仿宋" w:eastAsia="仿宋"/>
          <w:color w:val="000000"/>
          <w:sz w:val="32"/>
        </w:rPr>
        <w:t>本单位纳入</w:t>
      </w:r>
      <w:r>
        <w:rPr>
          <w:rFonts w:hint="eastAsia" w:ascii="仿宋" w:hAnsi="仿宋" w:eastAsia="仿宋"/>
          <w:color w:val="000000"/>
          <w:sz w:val="32"/>
          <w:lang w:eastAsia="zh-CN"/>
        </w:rPr>
        <w:t>2023年</w:t>
      </w:r>
      <w:r>
        <w:rPr>
          <w:rFonts w:hint="eastAsia" w:ascii="仿宋" w:hAnsi="仿宋" w:eastAsia="仿宋"/>
          <w:color w:val="000000"/>
          <w:sz w:val="32"/>
        </w:rPr>
        <w:t>度部门决算编制范围的二级预算单位</w:t>
      </w:r>
      <w:r>
        <w:rPr>
          <w:rFonts w:hint="eastAsia" w:ascii="仿宋" w:hAnsi="仿宋" w:eastAsia="仿宋"/>
          <w:color w:val="000000"/>
          <w:sz w:val="32"/>
          <w:lang w:val="en-US" w:eastAsia="zh-CN"/>
        </w:rPr>
        <w:t>。</w:t>
      </w:r>
      <w:r>
        <w:rPr>
          <w:rFonts w:ascii="仿宋" w:hAnsi="仿宋" w:eastAsia="仿宋"/>
          <w:sz w:val="32"/>
          <w:szCs w:val="32"/>
        </w:rPr>
        <w:br w:type="page"/>
      </w:r>
    </w:p>
    <w:p w14:paraId="3F22B758">
      <w:pPr>
        <w:pStyle w:val="3"/>
        <w:ind w:right="440"/>
        <w:jc w:val="center"/>
        <w:rPr>
          <w:rStyle w:val="30"/>
          <w:rFonts w:ascii="黑体" w:hAnsi="黑体" w:eastAsia="黑体"/>
          <w:b w:val="0"/>
          <w:bCs/>
        </w:rPr>
      </w:pPr>
      <w:bookmarkStart w:id="19" w:name="_Toc15377204"/>
      <w:bookmarkStart w:id="20" w:name="_Toc15396602"/>
      <w:r>
        <w:rPr>
          <w:rFonts w:hint="eastAsia" w:ascii="黑体" w:hAnsi="黑体" w:eastAsia="黑体"/>
          <w:b w:val="0"/>
        </w:rPr>
        <w:t>第二部分 2023年度</w:t>
      </w:r>
      <w:r>
        <w:rPr>
          <w:rStyle w:val="30"/>
          <w:rFonts w:hint="eastAsia" w:ascii="黑体" w:hAnsi="黑体" w:eastAsia="黑体"/>
          <w:b w:val="0"/>
          <w:bCs/>
          <w:lang w:eastAsia="zh-CN"/>
        </w:rPr>
        <w:t>部门</w:t>
      </w:r>
      <w:r>
        <w:rPr>
          <w:rStyle w:val="30"/>
          <w:rFonts w:hint="eastAsia" w:ascii="黑体" w:hAnsi="黑体" w:eastAsia="黑体"/>
          <w:b w:val="0"/>
          <w:bCs/>
        </w:rPr>
        <w:t>决算情况说明</w:t>
      </w:r>
      <w:bookmarkEnd w:id="19"/>
      <w:bookmarkEnd w:id="20"/>
    </w:p>
    <w:p w14:paraId="14AEE196"/>
    <w:p w14:paraId="23CFA1CC">
      <w:pPr>
        <w:pStyle w:val="29"/>
        <w:numPr>
          <w:ilvl w:val="0"/>
          <w:numId w:val="2"/>
        </w:numPr>
        <w:spacing w:line="600" w:lineRule="exact"/>
        <w:ind w:firstLineChars="0"/>
        <w:outlineLvl w:val="1"/>
        <w:rPr>
          <w:rStyle w:val="31"/>
          <w:rFonts w:ascii="黑体" w:hAnsi="黑体" w:eastAsia="黑体"/>
          <w:b w:val="0"/>
        </w:rPr>
      </w:pPr>
      <w:bookmarkStart w:id="21" w:name="_Toc15396603"/>
      <w:bookmarkStart w:id="22"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21"/>
      <w:bookmarkEnd w:id="22"/>
    </w:p>
    <w:p w14:paraId="5B5CD3F6">
      <w:pPr>
        <w:spacing w:line="600" w:lineRule="exact"/>
        <w:ind w:firstLine="640" w:firstLineChars="200"/>
        <w:rPr>
          <w:rFonts w:hint="eastAsia" w:ascii="仿宋" w:hAnsi="仿宋" w:eastAsia="仿宋" w:cs="Times New Roman"/>
          <w:sz w:val="32"/>
          <w:lang w:eastAsia="zh-CN"/>
        </w:rPr>
      </w:pPr>
      <w:r>
        <w:rPr>
          <w:rFonts w:hint="eastAsia" w:ascii="仿宋" w:hAnsi="仿宋" w:eastAsia="仿宋"/>
          <w:sz w:val="32"/>
          <w:lang w:eastAsia="zh-CN"/>
        </w:rPr>
        <w:t>2023年</w:t>
      </w:r>
      <w:r>
        <w:rPr>
          <w:rFonts w:hint="eastAsia" w:ascii="仿宋" w:hAnsi="仿宋" w:eastAsia="仿宋"/>
          <w:sz w:val="32"/>
          <w:szCs w:val="32"/>
        </w:rPr>
        <w:t>收、支</w:t>
      </w:r>
      <w:r>
        <w:rPr>
          <w:rFonts w:hint="eastAsia" w:ascii="仿宋" w:hAnsi="仿宋" w:eastAsia="仿宋" w:cs="Times New Roman"/>
          <w:sz w:val="32"/>
          <w:lang w:eastAsia="zh-CN"/>
        </w:rPr>
        <w:t>总计均为4809.69万元。与2022年度4323.41万元增加</w:t>
      </w:r>
      <w:r>
        <w:rPr>
          <w:rFonts w:hint="eastAsia" w:ascii="仿宋" w:hAnsi="仿宋" w:eastAsia="仿宋" w:cs="Times New Roman"/>
          <w:sz w:val="32"/>
          <w:lang w:val="en-US" w:eastAsia="zh-CN"/>
        </w:rPr>
        <w:t>486.28</w:t>
      </w:r>
      <w:r>
        <w:rPr>
          <w:rFonts w:hint="eastAsia" w:ascii="仿宋" w:hAnsi="仿宋" w:eastAsia="仿宋" w:cs="Times New Roman"/>
          <w:sz w:val="32"/>
          <w:lang w:eastAsia="zh-CN"/>
        </w:rPr>
        <w:t>万元，增长</w:t>
      </w:r>
      <w:r>
        <w:rPr>
          <w:rFonts w:hint="eastAsia" w:ascii="仿宋" w:hAnsi="仿宋" w:eastAsia="仿宋" w:cs="Times New Roman"/>
          <w:sz w:val="32"/>
          <w:lang w:val="en-US" w:eastAsia="zh-CN"/>
        </w:rPr>
        <w:t>11.25</w:t>
      </w:r>
      <w:r>
        <w:rPr>
          <w:rFonts w:hint="eastAsia" w:ascii="仿宋" w:hAnsi="仿宋" w:eastAsia="仿宋" w:cs="Times New Roman"/>
          <w:sz w:val="32"/>
          <w:lang w:eastAsia="zh-CN"/>
        </w:rPr>
        <w:t>%，主要变动原因是教育支出增加。</w:t>
      </w:r>
    </w:p>
    <w:p w14:paraId="09B9E435">
      <w:pPr>
        <w:pStyle w:val="7"/>
        <w:spacing w:before="93"/>
      </w:pPr>
      <w:r>
        <w:drawing>
          <wp:inline distT="0" distB="0" distL="0" distR="0">
            <wp:extent cx="5274310" cy="307657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FAE8F36">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31FA6B08">
      <w:pPr>
        <w:pStyle w:val="29"/>
        <w:numPr>
          <w:ilvl w:val="0"/>
          <w:numId w:val="2"/>
        </w:numPr>
        <w:spacing w:line="600" w:lineRule="exact"/>
        <w:ind w:firstLineChars="0"/>
        <w:outlineLvl w:val="1"/>
        <w:rPr>
          <w:rStyle w:val="31"/>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31"/>
          <w:rFonts w:hint="eastAsia" w:ascii="黑体" w:hAnsi="黑体" w:eastAsia="黑体"/>
          <w:b w:val="0"/>
        </w:rPr>
        <w:t>入决算情况说明</w:t>
      </w:r>
      <w:bookmarkEnd w:id="23"/>
      <w:bookmarkEnd w:id="24"/>
    </w:p>
    <w:p w14:paraId="53324745">
      <w:pPr>
        <w:spacing w:line="600" w:lineRule="exact"/>
        <w:ind w:firstLine="320" w:firstLineChars="100"/>
        <w:rPr>
          <w:rFonts w:hint="eastAsia" w:ascii="仿宋" w:hAnsi="仿宋" w:eastAsia="仿宋" w:cs="Times New Roman"/>
          <w:sz w:val="32"/>
          <w:szCs w:val="32"/>
        </w:rPr>
      </w:pPr>
      <w:r>
        <w:rPr>
          <w:rFonts w:hint="eastAsia" w:ascii="仿宋" w:hAnsi="仿宋" w:eastAsia="仿宋"/>
          <w:sz w:val="32"/>
          <w:szCs w:val="32"/>
        </w:rPr>
        <w:t>2023年度本年收</w:t>
      </w:r>
      <w:r>
        <w:rPr>
          <w:rFonts w:hint="eastAsia" w:ascii="仿宋" w:hAnsi="仿宋" w:eastAsia="仿宋" w:cs="Times New Roman"/>
          <w:sz w:val="32"/>
          <w:szCs w:val="32"/>
        </w:rPr>
        <w:t>入合计4809.69万元，其中：一般公共预算财政拨款收入4655.59万元，占96.79%；事业收入154.1万元，占3.2%</w:t>
      </w:r>
      <w:r>
        <w:rPr>
          <w:rFonts w:hint="eastAsia" w:ascii="仿宋" w:hAnsi="仿宋" w:eastAsia="仿宋" w:cs="Times New Roman"/>
          <w:sz w:val="32"/>
          <w:szCs w:val="32"/>
          <w:lang w:eastAsia="zh-CN"/>
        </w:rPr>
        <w:t>。</w:t>
      </w:r>
    </w:p>
    <w:p w14:paraId="2F1A3284">
      <w:pPr>
        <w:spacing w:line="600" w:lineRule="exact"/>
        <w:ind w:firstLine="320" w:firstLineChars="100"/>
        <w:rPr>
          <w:rFonts w:hint="eastAsia" w:ascii="仿宋" w:hAnsi="仿宋" w:eastAsia="仿宋" w:cs="Times New Roman"/>
          <w:sz w:val="32"/>
          <w:szCs w:val="32"/>
        </w:rPr>
      </w:pPr>
    </w:p>
    <w:p w14:paraId="5A25567E">
      <w:pPr>
        <w:spacing w:line="600" w:lineRule="exact"/>
        <w:ind w:firstLine="964" w:firstLineChars="300"/>
        <w:rPr>
          <w:rFonts w:ascii="仿宋" w:hAnsi="仿宋" w:eastAsia="仿宋"/>
          <w:sz w:val="32"/>
          <w:szCs w:val="32"/>
        </w:rPr>
      </w:pPr>
      <w:r>
        <w:rPr>
          <w:rFonts w:ascii="仿宋" w:hAnsi="仿宋" w:eastAsia="仿宋"/>
          <w:b/>
          <w:sz w:val="32"/>
          <w:szCs w:val="32"/>
        </w:rPr>
        <w:drawing>
          <wp:anchor distT="0" distB="0" distL="114300" distR="114300" simplePos="0" relativeHeight="251659264" behindDoc="0" locked="0" layoutInCell="1" allowOverlap="1">
            <wp:simplePos x="0" y="0"/>
            <wp:positionH relativeFrom="column">
              <wp:posOffset>46990</wp:posOffset>
            </wp:positionH>
            <wp:positionV relativeFrom="paragraph">
              <wp:posOffset>-7092315</wp:posOffset>
            </wp:positionV>
            <wp:extent cx="5274310" cy="3076575"/>
            <wp:effectExtent l="0" t="0" r="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（图2：收入决算结构图）</w:t>
      </w:r>
    </w:p>
    <w:p w14:paraId="3F6017CA">
      <w:pPr>
        <w:pStyle w:val="29"/>
        <w:numPr>
          <w:ilvl w:val="0"/>
          <w:numId w:val="2"/>
        </w:numPr>
        <w:spacing w:line="600" w:lineRule="exact"/>
        <w:ind w:firstLineChars="0"/>
        <w:outlineLvl w:val="1"/>
        <w:rPr>
          <w:rStyle w:val="31"/>
          <w:rFonts w:ascii="黑体" w:hAnsi="黑体" w:eastAsia="黑体"/>
          <w:b w:val="0"/>
        </w:rPr>
      </w:pPr>
      <w:bookmarkStart w:id="25" w:name="_Toc15377207"/>
      <w:bookmarkStart w:id="26" w:name="_Toc15396605"/>
      <w:r>
        <w:rPr>
          <w:rFonts w:hint="eastAsia" w:ascii="黑体" w:hAnsi="黑体" w:eastAsia="黑体"/>
          <w:sz w:val="32"/>
          <w:szCs w:val="32"/>
        </w:rPr>
        <w:t>支</w:t>
      </w:r>
      <w:r>
        <w:rPr>
          <w:rStyle w:val="31"/>
          <w:rFonts w:hint="eastAsia" w:ascii="黑体" w:hAnsi="黑体" w:eastAsia="黑体"/>
          <w:b w:val="0"/>
        </w:rPr>
        <w:t>出决算情况说明</w:t>
      </w:r>
      <w:bookmarkEnd w:id="25"/>
      <w:bookmarkEnd w:id="26"/>
    </w:p>
    <w:p w14:paraId="1E1EC4B8">
      <w:pPr>
        <w:pStyle w:val="7"/>
        <w:keepNext w:val="0"/>
        <w:keepLines w:val="0"/>
        <w:pageBreakBefore w:val="0"/>
        <w:widowControl w:val="0"/>
        <w:kinsoku/>
        <w:wordWrap/>
        <w:overflowPunct/>
        <w:topLinePunct w:val="0"/>
        <w:autoSpaceDE/>
        <w:autoSpaceDN/>
        <w:bidi w:val="0"/>
        <w:adjustRightInd/>
        <w:snapToGrid/>
        <w:spacing w:before="93"/>
        <w:ind w:firstLine="640" w:firstLineChars="200"/>
        <w:textAlignment w:val="auto"/>
      </w:pPr>
      <w:r>
        <w:rPr>
          <w:rFonts w:hint="eastAsia" w:ascii="仿宋" w:hAnsi="仿宋" w:eastAsia="仿宋"/>
          <w:sz w:val="32"/>
          <w:szCs w:val="32"/>
        </w:rPr>
        <w:t>2023年度本年支出合</w:t>
      </w:r>
      <w:r>
        <w:rPr>
          <w:rFonts w:hint="eastAsia" w:ascii="仿宋" w:hAnsi="仿宋" w:eastAsia="仿宋" w:cs="Times New Roman"/>
          <w:sz w:val="32"/>
          <w:szCs w:val="32"/>
        </w:rPr>
        <w:t>计4809.69万元，其中：基本支出4129.51万元，占85.85%；项目支出680.18万元，占14.1</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w:t>
      </w:r>
      <w:r>
        <w:drawing>
          <wp:inline distT="0" distB="0" distL="0" distR="0">
            <wp:extent cx="5171440" cy="2505075"/>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FA836C">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w:t>
      </w:r>
    </w:p>
    <w:p w14:paraId="6076E1CF">
      <w:pPr>
        <w:spacing w:line="600" w:lineRule="exact"/>
        <w:ind w:firstLine="640" w:firstLineChars="200"/>
        <w:outlineLvl w:val="1"/>
        <w:rPr>
          <w:rStyle w:val="31"/>
          <w:rFonts w:ascii="黑体" w:hAnsi="黑体" w:eastAsia="黑体"/>
          <w:b w:val="0"/>
        </w:rPr>
      </w:pPr>
      <w:bookmarkStart w:id="27" w:name="_Toc15396606"/>
      <w:bookmarkStart w:id="28"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7"/>
      <w:bookmarkEnd w:id="28"/>
    </w:p>
    <w:p w14:paraId="5AF4941B">
      <w:pPr>
        <w:spacing w:line="600" w:lineRule="exact"/>
        <w:ind w:firstLine="640" w:firstLineChars="200"/>
        <w:rPr>
          <w:rFonts w:hint="eastAsia" w:ascii="仿宋" w:hAnsi="仿宋" w:eastAsia="仿宋" w:cs="Times New Roman"/>
          <w:kern w:val="0"/>
          <w:sz w:val="32"/>
          <w:szCs w:val="32"/>
          <w:lang w:val="en-US" w:eastAsia="zh-CN" w:bidi="ar-SA"/>
        </w:rPr>
      </w:pPr>
      <w:r>
        <w:rPr>
          <w:rFonts w:hint="eastAsia" w:ascii="仿宋" w:hAnsi="仿宋" w:eastAsia="仿宋"/>
          <w:sz w:val="32"/>
          <w:szCs w:val="32"/>
        </w:rPr>
        <w:t>2023年度财政拨款收、支总计</w:t>
      </w:r>
      <w:r>
        <w:rPr>
          <w:rFonts w:hint="eastAsia" w:ascii="仿宋" w:hAnsi="仿宋" w:eastAsia="仿宋" w:cs="Times New Roman"/>
          <w:kern w:val="0"/>
          <w:sz w:val="32"/>
          <w:szCs w:val="32"/>
          <w:lang w:val="en-US" w:eastAsia="zh-CN" w:bidi="ar-SA"/>
        </w:rPr>
        <w:t>均为4655.59万元。与2022</w:t>
      </w:r>
      <w:r>
        <w:rPr>
          <w:rFonts w:hint="eastAsia" w:ascii="仿宋" w:hAnsi="仿宋" w:eastAsia="仿宋" w:cs="Times New Roman"/>
          <w:kern w:val="0"/>
          <w:sz w:val="32"/>
          <w:szCs w:val="32"/>
          <w:lang w:val="zh-CN" w:eastAsia="zh-CN" w:bidi="ar-SA"/>
        </w:rPr>
        <w:t>年的4,212.21万元相比，财政拨款收、支总计各增加</w:t>
      </w:r>
      <w:r>
        <w:rPr>
          <w:rFonts w:hint="eastAsia" w:ascii="仿宋" w:hAnsi="仿宋" w:eastAsia="仿宋" w:cs="Times New Roman"/>
          <w:kern w:val="0"/>
          <w:sz w:val="32"/>
          <w:szCs w:val="32"/>
          <w:lang w:val="en-US" w:eastAsia="zh-CN" w:bidi="ar-SA"/>
        </w:rPr>
        <w:t>443.38</w:t>
      </w:r>
      <w:r>
        <w:rPr>
          <w:rFonts w:hint="eastAsia" w:ascii="仿宋" w:hAnsi="仿宋" w:eastAsia="仿宋" w:cs="Times New Roman"/>
          <w:kern w:val="0"/>
          <w:sz w:val="32"/>
          <w:szCs w:val="32"/>
          <w:lang w:val="zh-CN" w:eastAsia="zh-CN" w:bidi="ar-SA"/>
        </w:rPr>
        <w:t>万元，增长</w:t>
      </w:r>
      <w:r>
        <w:rPr>
          <w:rFonts w:hint="eastAsia" w:ascii="仿宋" w:hAnsi="仿宋" w:eastAsia="仿宋" w:cs="Times New Roman"/>
          <w:kern w:val="0"/>
          <w:sz w:val="32"/>
          <w:szCs w:val="32"/>
          <w:lang w:val="en-US" w:eastAsia="zh-CN" w:bidi="ar-SA"/>
        </w:rPr>
        <w:t>10.53</w:t>
      </w:r>
      <w:r>
        <w:rPr>
          <w:rFonts w:hint="eastAsia" w:ascii="仿宋" w:hAnsi="仿宋" w:eastAsia="仿宋" w:cs="Times New Roman"/>
          <w:kern w:val="0"/>
          <w:sz w:val="32"/>
          <w:szCs w:val="32"/>
          <w:lang w:val="zh-CN" w:eastAsia="zh-CN" w:bidi="ar-SA"/>
        </w:rPr>
        <w:t>%。</w:t>
      </w:r>
      <w:r>
        <w:rPr>
          <w:rFonts w:hint="eastAsia" w:ascii="仿宋" w:hAnsi="仿宋" w:eastAsia="仿宋" w:cs="Times New Roman"/>
          <w:kern w:val="0"/>
          <w:sz w:val="32"/>
          <w:szCs w:val="32"/>
          <w:lang w:val="en-US" w:eastAsia="zh-CN" w:bidi="ar-SA"/>
        </w:rPr>
        <w:t>主要变动原因是：政策性调资，人员经费增加，教师退休等。</w:t>
      </w:r>
    </w:p>
    <w:p w14:paraId="1B6AD1AA">
      <w:pPr>
        <w:spacing w:line="600" w:lineRule="exact"/>
        <w:rPr>
          <w:rFonts w:ascii="仿宋" w:hAnsi="仿宋" w:eastAsia="仿宋"/>
          <w:sz w:val="32"/>
          <w:szCs w:val="32"/>
          <w:u w:val="single"/>
        </w:rPr>
      </w:pPr>
      <w:r>
        <w:rPr>
          <w:rFonts w:ascii="仿宋" w:hAnsi="仿宋" w:eastAsia="仿宋"/>
          <w:sz w:val="32"/>
          <w:szCs w:val="32"/>
          <w:u w:val="single"/>
        </w:rPr>
        <w:drawing>
          <wp:anchor distT="0" distB="0" distL="114300" distR="114300" simplePos="0" relativeHeight="251660288" behindDoc="0" locked="0" layoutInCell="1" allowOverlap="1">
            <wp:simplePos x="0" y="0"/>
            <wp:positionH relativeFrom="column">
              <wp:posOffset>-1270</wp:posOffset>
            </wp:positionH>
            <wp:positionV relativeFrom="paragraph">
              <wp:posOffset>156210</wp:posOffset>
            </wp:positionV>
            <wp:extent cx="5274310" cy="3076575"/>
            <wp:effectExtent l="0" t="0" r="0" b="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4620000">
      <w:pPr>
        <w:spacing w:line="600" w:lineRule="exact"/>
        <w:ind w:firstLine="480" w:firstLineChars="150"/>
        <w:rPr>
          <w:rFonts w:ascii="仿宋" w:hAnsi="仿宋" w:eastAsia="仿宋"/>
          <w:sz w:val="32"/>
          <w:szCs w:val="32"/>
        </w:rPr>
      </w:pPr>
      <w:r>
        <w:rPr>
          <w:rFonts w:hint="eastAsia" w:ascii="仿宋" w:hAnsi="仿宋" w:eastAsia="仿宋"/>
          <w:sz w:val="32"/>
          <w:szCs w:val="32"/>
        </w:rPr>
        <w:t>（图4：财政拨款收、支决算总计变动情况）</w:t>
      </w:r>
    </w:p>
    <w:p w14:paraId="0A772306">
      <w:pPr>
        <w:spacing w:line="600" w:lineRule="exact"/>
        <w:ind w:firstLine="160" w:firstLineChars="50"/>
        <w:outlineLvl w:val="1"/>
        <w:rPr>
          <w:rStyle w:val="31"/>
          <w:rFonts w:ascii="黑体" w:hAnsi="黑体" w:eastAsia="黑体"/>
          <w:b w:val="0"/>
        </w:rPr>
      </w:pPr>
      <w:bookmarkStart w:id="29" w:name="_Toc15396607"/>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9"/>
      <w:bookmarkEnd w:id="30"/>
    </w:p>
    <w:p w14:paraId="6730DE19">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14:paraId="1335972A">
      <w:pPr>
        <w:spacing w:line="600" w:lineRule="exact"/>
        <w:ind w:firstLine="640" w:firstLineChars="200"/>
        <w:outlineLvl w:val="2"/>
        <w:rPr>
          <w:rFonts w:hint="eastAsia" w:ascii="仿宋" w:hAnsi="仿宋" w:eastAsia="仿宋" w:cs="Times New Roman"/>
          <w:kern w:val="0"/>
          <w:sz w:val="32"/>
          <w:szCs w:val="32"/>
          <w:lang w:val="en-US" w:eastAsia="zh-CN" w:bidi="ar-SA"/>
        </w:rPr>
      </w:pPr>
      <w:r>
        <w:rPr>
          <w:rFonts w:hint="eastAsia" w:ascii="仿宋" w:hAnsi="仿宋" w:eastAsia="仿宋"/>
          <w:sz w:val="32"/>
          <w:szCs w:val="32"/>
        </w:rPr>
        <w:t>2023年</w:t>
      </w:r>
      <w:r>
        <w:rPr>
          <w:rFonts w:hint="eastAsia" w:ascii="仿宋" w:hAnsi="仿宋" w:eastAsia="仿宋" w:cs="Times New Roman"/>
          <w:kern w:val="0"/>
          <w:sz w:val="32"/>
          <w:szCs w:val="32"/>
          <w:lang w:val="en-US" w:eastAsia="zh-CN" w:bidi="ar-SA"/>
        </w:rPr>
        <w:t>度一般公共预算财政拨款支出4655.59万元，占本年支出合计的96.79%。</w:t>
      </w:r>
      <w:r>
        <w:rPr>
          <w:rFonts w:hint="eastAsia" w:ascii="仿宋" w:hAnsi="仿宋" w:eastAsia="仿宋" w:cs="Times New Roman"/>
          <w:kern w:val="0"/>
          <w:sz w:val="32"/>
          <w:szCs w:val="32"/>
          <w:lang w:val="zh-CN" w:eastAsia="zh-CN" w:bidi="ar-SA"/>
        </w:rPr>
        <w:t>与202</w:t>
      </w:r>
      <w:r>
        <w:rPr>
          <w:rFonts w:hint="eastAsia" w:ascii="仿宋" w:hAnsi="仿宋" w:eastAsia="仿宋" w:cs="Times New Roman"/>
          <w:kern w:val="0"/>
          <w:sz w:val="32"/>
          <w:szCs w:val="32"/>
          <w:lang w:val="en-US" w:eastAsia="zh-CN" w:bidi="ar-SA"/>
        </w:rPr>
        <w:t>2</w:t>
      </w:r>
      <w:r>
        <w:rPr>
          <w:rFonts w:hint="eastAsia" w:ascii="仿宋" w:hAnsi="仿宋" w:eastAsia="仿宋" w:cs="Times New Roman"/>
          <w:kern w:val="0"/>
          <w:sz w:val="32"/>
          <w:szCs w:val="32"/>
          <w:lang w:val="zh-CN" w:eastAsia="zh-CN" w:bidi="ar-SA"/>
        </w:rPr>
        <w:t>年的4,212.21万元相比，增加</w:t>
      </w:r>
      <w:r>
        <w:rPr>
          <w:rFonts w:hint="eastAsia" w:ascii="仿宋" w:hAnsi="仿宋" w:eastAsia="仿宋" w:cs="Times New Roman"/>
          <w:kern w:val="0"/>
          <w:sz w:val="32"/>
          <w:szCs w:val="32"/>
          <w:lang w:val="en-US" w:eastAsia="zh-CN" w:bidi="ar-SA"/>
        </w:rPr>
        <w:t>443.38</w:t>
      </w:r>
      <w:r>
        <w:rPr>
          <w:rFonts w:hint="eastAsia" w:ascii="仿宋" w:hAnsi="仿宋" w:eastAsia="仿宋" w:cs="Times New Roman"/>
          <w:kern w:val="0"/>
          <w:sz w:val="32"/>
          <w:szCs w:val="32"/>
          <w:lang w:val="zh-CN" w:eastAsia="zh-CN" w:bidi="ar-SA"/>
        </w:rPr>
        <w:t>万元，增长</w:t>
      </w:r>
      <w:r>
        <w:rPr>
          <w:rFonts w:hint="eastAsia" w:ascii="仿宋" w:hAnsi="仿宋" w:eastAsia="仿宋" w:cs="Times New Roman"/>
          <w:kern w:val="0"/>
          <w:sz w:val="32"/>
          <w:szCs w:val="32"/>
          <w:lang w:val="en-US" w:eastAsia="zh-CN" w:bidi="ar-SA"/>
        </w:rPr>
        <w:t>10.53</w:t>
      </w:r>
      <w:r>
        <w:rPr>
          <w:rFonts w:hint="eastAsia" w:ascii="仿宋" w:hAnsi="仿宋" w:eastAsia="仿宋" w:cs="Times New Roman"/>
          <w:kern w:val="0"/>
          <w:sz w:val="32"/>
          <w:szCs w:val="32"/>
          <w:lang w:val="zh-CN" w:eastAsia="zh-CN" w:bidi="ar-SA"/>
        </w:rPr>
        <w:t>%。</w:t>
      </w:r>
      <w:r>
        <w:rPr>
          <w:rFonts w:hint="eastAsia" w:ascii="仿宋" w:hAnsi="仿宋" w:eastAsia="仿宋" w:cs="Times New Roman"/>
          <w:kern w:val="0"/>
          <w:sz w:val="32"/>
          <w:szCs w:val="32"/>
          <w:lang w:val="en-US" w:eastAsia="zh-CN" w:bidi="ar-SA"/>
        </w:rPr>
        <w:drawing>
          <wp:anchor distT="0" distB="0" distL="114300" distR="114300" simplePos="0" relativeHeight="251661312" behindDoc="0" locked="0" layoutInCell="1" allowOverlap="1">
            <wp:simplePos x="0" y="0"/>
            <wp:positionH relativeFrom="column">
              <wp:posOffset>63500</wp:posOffset>
            </wp:positionH>
            <wp:positionV relativeFrom="paragraph">
              <wp:posOffset>1746250</wp:posOffset>
            </wp:positionV>
            <wp:extent cx="5274310" cy="3076575"/>
            <wp:effectExtent l="0" t="0" r="0" b="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s="Times New Roman"/>
          <w:kern w:val="0"/>
          <w:sz w:val="32"/>
          <w:szCs w:val="32"/>
          <w:lang w:val="en-US" w:eastAsia="zh-CN" w:bidi="ar-SA"/>
        </w:rPr>
        <w:t>主要变动原因是：政策性调资，人员经费增加，教师退休等。</w:t>
      </w:r>
    </w:p>
    <w:p w14:paraId="3BDFA8B6">
      <w:pPr>
        <w:spacing w:line="600" w:lineRule="exact"/>
        <w:ind w:firstLine="640" w:firstLineChars="200"/>
        <w:rPr>
          <w:rFonts w:ascii="仿宋" w:hAnsi="仿宋" w:eastAsia="仿宋"/>
          <w:sz w:val="32"/>
          <w:szCs w:val="32"/>
        </w:rPr>
      </w:pPr>
    </w:p>
    <w:p w14:paraId="339AC6EC">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14:paraId="46E613E2">
      <w:pPr>
        <w:spacing w:line="600" w:lineRule="exact"/>
        <w:ind w:firstLine="321" w:firstLineChars="1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14:paraId="69FB5C71">
      <w:pPr>
        <w:spacing w:line="600" w:lineRule="exact"/>
        <w:ind w:firstLine="640" w:firstLineChars="200"/>
        <w:outlineLvl w:val="1"/>
        <w:rPr>
          <w:rFonts w:hint="eastAsia" w:ascii="仿宋" w:hAnsi="仿宋" w:eastAsia="仿宋" w:cs="Times New Roman"/>
          <w:kern w:val="0"/>
          <w:sz w:val="32"/>
          <w:szCs w:val="32"/>
          <w:lang w:val="en-US" w:eastAsia="zh-CN" w:bidi="ar-SA"/>
        </w:rPr>
      </w:pPr>
      <w:r>
        <w:rPr>
          <w:rFonts w:hint="eastAsia" w:ascii="仿宋" w:hAnsi="仿宋" w:eastAsia="仿宋"/>
          <w:sz w:val="32"/>
          <w:szCs w:val="32"/>
        </w:rPr>
        <w:t>2023年度一般公</w:t>
      </w:r>
      <w:r>
        <w:rPr>
          <w:rFonts w:hint="eastAsia" w:ascii="仿宋" w:hAnsi="仿宋" w:eastAsia="仿宋" w:cs="Times New Roman"/>
          <w:kern w:val="0"/>
          <w:sz w:val="32"/>
          <w:szCs w:val="32"/>
          <w:lang w:val="en-US" w:eastAsia="zh-CN" w:bidi="ar-SA"/>
        </w:rPr>
        <w:t>共预算财政拨款支出4655.59万元，</w:t>
      </w:r>
      <w:r>
        <w:rPr>
          <w:rFonts w:hint="eastAsia" w:ascii="仿宋" w:hAnsi="仿宋" w:eastAsia="仿宋" w:cs="Times New Roman"/>
          <w:kern w:val="0"/>
          <w:sz w:val="32"/>
          <w:szCs w:val="32"/>
          <w:lang w:val="zh-CN" w:eastAsia="zh-CN" w:bidi="ar-SA"/>
        </w:rPr>
        <w:t>主要用于以下方面:教育支出</w:t>
      </w:r>
      <w:r>
        <w:rPr>
          <w:rFonts w:hint="eastAsia" w:ascii="仿宋" w:hAnsi="仿宋" w:eastAsia="仿宋" w:cs="Times New Roman"/>
          <w:kern w:val="0"/>
          <w:sz w:val="32"/>
          <w:szCs w:val="32"/>
          <w:lang w:val="en-US" w:eastAsia="zh-CN" w:bidi="ar-SA"/>
        </w:rPr>
        <w:t>3690.37</w:t>
      </w:r>
      <w:r>
        <w:rPr>
          <w:rFonts w:hint="eastAsia" w:ascii="仿宋" w:hAnsi="仿宋" w:eastAsia="仿宋" w:cs="Times New Roman"/>
          <w:kern w:val="0"/>
          <w:sz w:val="32"/>
          <w:szCs w:val="32"/>
          <w:lang w:val="zh-CN" w:eastAsia="zh-CN" w:bidi="ar-SA"/>
        </w:rPr>
        <w:t>万元，占</w:t>
      </w:r>
      <w:r>
        <w:rPr>
          <w:rFonts w:hint="eastAsia" w:ascii="仿宋" w:hAnsi="仿宋" w:eastAsia="仿宋" w:cs="Times New Roman"/>
          <w:kern w:val="0"/>
          <w:sz w:val="32"/>
          <w:szCs w:val="32"/>
          <w:lang w:val="en-US" w:eastAsia="zh-CN" w:bidi="ar-SA"/>
        </w:rPr>
        <w:t>79.27</w:t>
      </w:r>
      <w:r>
        <w:rPr>
          <w:rFonts w:hint="eastAsia" w:ascii="仿宋" w:hAnsi="仿宋" w:eastAsia="仿宋" w:cs="Times New Roman"/>
          <w:kern w:val="0"/>
          <w:sz w:val="32"/>
          <w:szCs w:val="32"/>
          <w:lang w:val="zh-CN" w:eastAsia="zh-CN" w:bidi="ar-SA"/>
        </w:rPr>
        <w:t>%；社会保障和就业支出</w:t>
      </w:r>
      <w:r>
        <w:rPr>
          <w:rFonts w:hint="eastAsia" w:ascii="仿宋" w:hAnsi="仿宋" w:eastAsia="仿宋" w:cs="Times New Roman"/>
          <w:kern w:val="0"/>
          <w:sz w:val="32"/>
          <w:szCs w:val="32"/>
          <w:lang w:val="en-US" w:eastAsia="zh-CN" w:bidi="ar-SA"/>
        </w:rPr>
        <w:t>448.35</w:t>
      </w:r>
      <w:r>
        <w:rPr>
          <w:rFonts w:hint="eastAsia" w:ascii="仿宋" w:hAnsi="仿宋" w:eastAsia="仿宋" w:cs="Times New Roman"/>
          <w:kern w:val="0"/>
          <w:sz w:val="32"/>
          <w:szCs w:val="32"/>
          <w:lang w:val="zh-CN" w:eastAsia="zh-CN" w:bidi="ar-SA"/>
        </w:rPr>
        <w:t>万元，占</w:t>
      </w:r>
      <w:r>
        <w:rPr>
          <w:rFonts w:hint="eastAsia" w:ascii="仿宋" w:hAnsi="仿宋" w:eastAsia="仿宋" w:cs="Times New Roman"/>
          <w:kern w:val="0"/>
          <w:sz w:val="32"/>
          <w:szCs w:val="32"/>
          <w:lang w:val="en-US" w:eastAsia="zh-CN" w:bidi="ar-SA"/>
        </w:rPr>
        <w:t>9.63</w:t>
      </w:r>
      <w:r>
        <w:rPr>
          <w:rFonts w:hint="eastAsia" w:ascii="仿宋" w:hAnsi="仿宋" w:eastAsia="仿宋" w:cs="Times New Roman"/>
          <w:kern w:val="0"/>
          <w:sz w:val="32"/>
          <w:szCs w:val="32"/>
          <w:lang w:val="zh-CN" w:eastAsia="zh-CN" w:bidi="ar-SA"/>
        </w:rPr>
        <w:t>%；卫生健康支出</w:t>
      </w:r>
      <w:r>
        <w:rPr>
          <w:rFonts w:hint="eastAsia" w:ascii="仿宋" w:hAnsi="仿宋" w:eastAsia="仿宋" w:cs="Times New Roman"/>
          <w:kern w:val="0"/>
          <w:sz w:val="32"/>
          <w:szCs w:val="32"/>
          <w:lang w:val="en-US" w:eastAsia="zh-CN" w:bidi="ar-SA"/>
        </w:rPr>
        <w:t>187.76</w:t>
      </w:r>
      <w:r>
        <w:rPr>
          <w:rFonts w:hint="eastAsia" w:ascii="仿宋" w:hAnsi="仿宋" w:eastAsia="仿宋" w:cs="Times New Roman"/>
          <w:kern w:val="0"/>
          <w:sz w:val="32"/>
          <w:szCs w:val="32"/>
          <w:lang w:val="zh-CN" w:eastAsia="zh-CN" w:bidi="ar-SA"/>
        </w:rPr>
        <w:t>万元，占</w:t>
      </w:r>
      <w:r>
        <w:rPr>
          <w:rFonts w:hint="eastAsia" w:ascii="仿宋" w:hAnsi="仿宋" w:eastAsia="仿宋" w:cs="Times New Roman"/>
          <w:kern w:val="0"/>
          <w:sz w:val="32"/>
          <w:szCs w:val="32"/>
          <w:lang w:val="en-US" w:eastAsia="zh-CN" w:bidi="ar-SA"/>
        </w:rPr>
        <w:t>4.03</w:t>
      </w:r>
      <w:r>
        <w:rPr>
          <w:rFonts w:hint="eastAsia" w:ascii="仿宋" w:hAnsi="仿宋" w:eastAsia="仿宋" w:cs="Times New Roman"/>
          <w:kern w:val="0"/>
          <w:sz w:val="32"/>
          <w:szCs w:val="32"/>
          <w:lang w:val="zh-CN" w:eastAsia="zh-CN" w:bidi="ar-SA"/>
        </w:rPr>
        <w:t>%；住房保障支出</w:t>
      </w:r>
      <w:r>
        <w:rPr>
          <w:rFonts w:hint="eastAsia" w:ascii="仿宋" w:hAnsi="仿宋" w:eastAsia="仿宋" w:cs="Times New Roman"/>
          <w:kern w:val="0"/>
          <w:sz w:val="32"/>
          <w:szCs w:val="32"/>
          <w:lang w:val="en-US" w:eastAsia="zh-CN" w:bidi="ar-SA"/>
        </w:rPr>
        <w:t>329.1</w:t>
      </w:r>
      <w:r>
        <w:rPr>
          <w:rFonts w:hint="eastAsia" w:ascii="仿宋" w:hAnsi="仿宋" w:eastAsia="仿宋" w:cs="Times New Roman"/>
          <w:kern w:val="0"/>
          <w:sz w:val="32"/>
          <w:szCs w:val="32"/>
          <w:lang w:val="zh-CN" w:eastAsia="zh-CN" w:bidi="ar-SA"/>
        </w:rPr>
        <w:t>万元，占7.</w:t>
      </w:r>
      <w:r>
        <w:rPr>
          <w:rFonts w:hint="eastAsia" w:ascii="仿宋" w:hAnsi="仿宋" w:eastAsia="仿宋" w:cs="Times New Roman"/>
          <w:kern w:val="0"/>
          <w:sz w:val="32"/>
          <w:szCs w:val="32"/>
          <w:lang w:val="en-US" w:eastAsia="zh-CN" w:bidi="ar-SA"/>
        </w:rPr>
        <w:t>07</w:t>
      </w:r>
      <w:r>
        <w:rPr>
          <w:rFonts w:hint="eastAsia" w:ascii="仿宋" w:hAnsi="仿宋" w:eastAsia="仿宋" w:cs="Times New Roman"/>
          <w:kern w:val="0"/>
          <w:sz w:val="32"/>
          <w:szCs w:val="32"/>
          <w:lang w:val="zh-CN" w:eastAsia="zh-CN" w:bidi="ar-SA"/>
        </w:rPr>
        <w:t>%。</w:t>
      </w:r>
    </w:p>
    <w:p w14:paraId="5E58756D">
      <w:pPr>
        <w:spacing w:line="600" w:lineRule="exact"/>
        <w:ind w:firstLine="640" w:firstLineChars="200"/>
        <w:outlineLvl w:val="1"/>
        <w:rPr>
          <w:rFonts w:hint="eastAsia" w:ascii="仿宋" w:hAnsi="仿宋" w:eastAsia="仿宋"/>
          <w:color w:val="000000"/>
          <w:sz w:val="32"/>
          <w:szCs w:val="32"/>
        </w:rPr>
      </w:pPr>
    </w:p>
    <w:p w14:paraId="30017D9D">
      <w:pPr>
        <w:spacing w:line="600" w:lineRule="exact"/>
        <w:rPr>
          <w:rFonts w:ascii="仿宋" w:hAnsi="仿宋" w:eastAsia="仿宋"/>
          <w:b/>
          <w:sz w:val="32"/>
          <w:szCs w:val="32"/>
        </w:rPr>
      </w:pPr>
      <w:r>
        <w:rPr>
          <w:rFonts w:hint="eastAsia" w:ascii="仿宋" w:hAnsi="仿宋" w:eastAsia="仿宋"/>
          <w:b/>
          <w:sz w:val="32"/>
          <w:szCs w:val="32"/>
        </w:rPr>
        <w:drawing>
          <wp:anchor distT="0" distB="0" distL="114300" distR="114300" simplePos="0" relativeHeight="251662336" behindDoc="0" locked="0" layoutInCell="1" allowOverlap="1">
            <wp:simplePos x="0" y="0"/>
            <wp:positionH relativeFrom="column">
              <wp:posOffset>-30480</wp:posOffset>
            </wp:positionH>
            <wp:positionV relativeFrom="paragraph">
              <wp:posOffset>65405</wp:posOffset>
            </wp:positionV>
            <wp:extent cx="5274310" cy="3076575"/>
            <wp:effectExtent l="0" t="0" r="0" b="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CF79B11">
      <w:pPr>
        <w:spacing w:line="600" w:lineRule="exact"/>
        <w:rPr>
          <w:rFonts w:ascii="仿宋" w:hAnsi="仿宋" w:eastAsia="仿宋"/>
          <w:sz w:val="32"/>
          <w:szCs w:val="32"/>
        </w:rPr>
      </w:pPr>
      <w:r>
        <w:rPr>
          <w:rFonts w:hint="eastAsia" w:ascii="仿宋" w:hAnsi="仿宋" w:eastAsia="仿宋"/>
          <w:sz w:val="32"/>
          <w:szCs w:val="32"/>
        </w:rPr>
        <w:t>（图6：一般公共预算财政拨款支出决算结构）</w:t>
      </w:r>
    </w:p>
    <w:p w14:paraId="4113AE38">
      <w:pPr>
        <w:spacing w:line="600" w:lineRule="exact"/>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14:paraId="43D4A14D">
      <w:pPr>
        <w:spacing w:line="600" w:lineRule="exact"/>
        <w:ind w:firstLine="643" w:firstLineChars="200"/>
        <w:outlineLvl w:val="2"/>
        <w:rPr>
          <w:rFonts w:ascii="仿宋" w:hAnsi="仿宋" w:eastAsia="仿宋"/>
          <w:color w:val="FF0000"/>
          <w:sz w:val="32"/>
        </w:rPr>
      </w:pPr>
      <w:bookmarkStart w:id="34" w:name="_Toc15396608"/>
      <w:bookmarkStart w:id="35" w:name="_Toc15377214"/>
      <w:r>
        <w:rPr>
          <w:rFonts w:hint="eastAsia" w:ascii="仿宋" w:hAnsi="仿宋" w:eastAsia="仿宋"/>
          <w:b/>
          <w:sz w:val="32"/>
          <w:szCs w:val="32"/>
        </w:rPr>
        <w:t>2023年度一般公共预算支出决算数为</w:t>
      </w:r>
      <w:r>
        <w:rPr>
          <w:rFonts w:ascii="仿宋" w:hAnsi="仿宋" w:eastAsia="仿宋"/>
          <w:b/>
          <w:sz w:val="32"/>
          <w:szCs w:val="32"/>
        </w:rPr>
        <w:t>4655.59</w:t>
      </w:r>
      <w:r>
        <w:rPr>
          <w:rFonts w:hint="eastAsia" w:ascii="仿宋_GB2312" w:hAnsi="仿宋_GB2312" w:eastAsia="仿宋_GB2312"/>
          <w:b/>
          <w:color w:val="000000"/>
          <w:sz w:val="32"/>
          <w:szCs w:val="24"/>
          <w:lang w:val="zh-CN"/>
        </w:rPr>
        <w:t>万元</w:t>
      </w:r>
      <w:r>
        <w:rPr>
          <w:rFonts w:hint="eastAsia" w:ascii="仿宋_GB2312" w:hAnsi="仿宋_GB2312" w:eastAsia="仿宋_GB2312"/>
          <w:color w:val="000000"/>
          <w:sz w:val="32"/>
          <w:szCs w:val="24"/>
          <w:lang w:val="zh-CN"/>
        </w:rPr>
        <w:t>，</w:t>
      </w:r>
      <w:r>
        <w:rPr>
          <w:rFonts w:hint="eastAsia" w:ascii="仿宋_GB2312" w:hAnsi="仿宋_GB2312" w:eastAsia="仿宋_GB2312"/>
          <w:b/>
          <w:color w:val="000000"/>
          <w:sz w:val="32"/>
          <w:szCs w:val="24"/>
          <w:lang w:val="zh-CN"/>
        </w:rPr>
        <w:t>完成预算100%。其中：</w:t>
      </w:r>
    </w:p>
    <w:p w14:paraId="72D3FB90">
      <w:pPr>
        <w:spacing w:line="600" w:lineRule="exact"/>
        <w:ind w:firstLine="643" w:firstLineChars="200"/>
        <w:rPr>
          <w:rStyle w:val="19"/>
          <w:rFonts w:ascii="仿宋" w:hAnsi="仿宋" w:eastAsia="仿宋"/>
          <w:b w:val="0"/>
          <w:bCs/>
          <w:sz w:val="32"/>
          <w:szCs w:val="32"/>
        </w:rPr>
      </w:pPr>
      <w:r>
        <w:rPr>
          <w:rStyle w:val="19"/>
          <w:rFonts w:ascii="仿宋" w:hAnsi="仿宋" w:eastAsia="仿宋"/>
          <w:color w:val="000000"/>
          <w:sz w:val="32"/>
        </w:rPr>
        <w:t>1.</w:t>
      </w:r>
      <w:r>
        <w:rPr>
          <w:rStyle w:val="19"/>
          <w:rFonts w:hint="eastAsia" w:ascii="仿宋" w:hAnsi="仿宋" w:eastAsia="仿宋"/>
          <w:bCs/>
          <w:sz w:val="32"/>
          <w:szCs w:val="32"/>
        </w:rPr>
        <w:t>教育（类）普通教育（款）初中教育（项）</w:t>
      </w:r>
      <w:r>
        <w:rPr>
          <w:rStyle w:val="19"/>
          <w:rFonts w:ascii="仿宋" w:hAnsi="仿宋" w:eastAsia="仿宋"/>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45.41</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636C06B8">
      <w:pPr>
        <w:spacing w:line="600" w:lineRule="exact"/>
        <w:ind w:firstLine="643" w:firstLineChars="200"/>
        <w:rPr>
          <w:rStyle w:val="19"/>
          <w:rFonts w:ascii="仿宋" w:hAnsi="仿宋" w:eastAsia="仿宋"/>
          <w:b w:val="0"/>
          <w:bCs/>
          <w:sz w:val="32"/>
          <w:szCs w:val="32"/>
        </w:rPr>
      </w:pPr>
      <w:r>
        <w:rPr>
          <w:rStyle w:val="19"/>
          <w:rFonts w:ascii="仿宋" w:hAnsi="仿宋" w:eastAsia="仿宋"/>
          <w:color w:val="000000"/>
          <w:sz w:val="32"/>
        </w:rPr>
        <w:t>2.</w:t>
      </w:r>
      <w:r>
        <w:rPr>
          <w:rStyle w:val="19"/>
          <w:rFonts w:hint="eastAsia" w:ascii="仿宋" w:hAnsi="仿宋" w:eastAsia="仿宋"/>
          <w:bCs/>
          <w:sz w:val="32"/>
          <w:szCs w:val="32"/>
        </w:rPr>
        <w:t>教育（类）普通教育（款）高中教育（项）</w:t>
      </w:r>
      <w:r>
        <w:rPr>
          <w:rStyle w:val="19"/>
          <w:rFonts w:ascii="仿宋" w:hAnsi="仿宋" w:eastAsia="仿宋"/>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3305.71</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10300CE4">
      <w:pPr>
        <w:spacing w:line="600" w:lineRule="exact"/>
        <w:ind w:firstLine="643" w:firstLineChars="200"/>
        <w:rPr>
          <w:rStyle w:val="19"/>
          <w:rFonts w:hint="eastAsia" w:ascii="仿宋" w:hAnsi="仿宋" w:eastAsia="仿宋"/>
          <w:b w:val="0"/>
          <w:color w:val="000000"/>
          <w:sz w:val="32"/>
        </w:rPr>
      </w:pPr>
      <w:r>
        <w:rPr>
          <w:rStyle w:val="19"/>
          <w:rFonts w:ascii="仿宋" w:hAnsi="仿宋" w:eastAsia="仿宋"/>
          <w:color w:val="000000"/>
          <w:sz w:val="32"/>
        </w:rPr>
        <w:t>3.</w:t>
      </w:r>
      <w:r>
        <w:rPr>
          <w:rStyle w:val="19"/>
          <w:rFonts w:hint="eastAsia" w:ascii="仿宋" w:hAnsi="仿宋" w:eastAsia="仿宋"/>
          <w:bCs/>
          <w:sz w:val="32"/>
          <w:szCs w:val="32"/>
        </w:rPr>
        <w:t>教育（类）普通教育（款）其他普通教育支出（项）</w:t>
      </w:r>
      <w:r>
        <w:rPr>
          <w:rStyle w:val="19"/>
          <w:rFonts w:ascii="仿宋" w:hAnsi="仿宋" w:eastAsia="仿宋"/>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277.81</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7CC8E5A8">
      <w:pPr>
        <w:spacing w:line="600" w:lineRule="exact"/>
        <w:ind w:firstLine="643" w:firstLineChars="200"/>
        <w:rPr>
          <w:rStyle w:val="19"/>
          <w:rFonts w:hint="eastAsia" w:ascii="仿宋" w:hAnsi="仿宋" w:eastAsia="仿宋"/>
          <w:b w:val="0"/>
          <w:bCs/>
          <w:sz w:val="32"/>
          <w:szCs w:val="32"/>
        </w:rPr>
      </w:pPr>
      <w:r>
        <w:rPr>
          <w:rStyle w:val="19"/>
          <w:rFonts w:ascii="仿宋" w:hAnsi="仿宋" w:eastAsia="仿宋"/>
          <w:color w:val="000000"/>
          <w:sz w:val="32"/>
        </w:rPr>
        <w:t>4.</w:t>
      </w:r>
      <w:r>
        <w:rPr>
          <w:rStyle w:val="19"/>
          <w:rFonts w:hint="eastAsia" w:ascii="仿宋" w:hAnsi="仿宋" w:eastAsia="仿宋"/>
          <w:bCs/>
          <w:sz w:val="32"/>
          <w:szCs w:val="32"/>
        </w:rPr>
        <w:t>教育（类）教育费附加安排的支出（款）其他教育费附加安排的支出（项）</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61.44</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7DD33C89">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color w:val="000000"/>
          <w:sz w:val="32"/>
          <w:lang w:val="en-US" w:eastAsia="zh-CN"/>
        </w:rPr>
        <w:t>5</w:t>
      </w:r>
      <w:r>
        <w:rPr>
          <w:rStyle w:val="19"/>
          <w:rFonts w:ascii="仿宋" w:hAnsi="仿宋" w:eastAsia="仿宋"/>
          <w:color w:val="000000"/>
          <w:sz w:val="32"/>
        </w:rPr>
        <w:t>.</w:t>
      </w:r>
      <w:r>
        <w:rPr>
          <w:rStyle w:val="19"/>
          <w:rFonts w:hint="eastAsia" w:ascii="仿宋" w:hAnsi="仿宋" w:eastAsia="仿宋"/>
          <w:bCs/>
          <w:sz w:val="32"/>
          <w:szCs w:val="32"/>
        </w:rPr>
        <w:t>社会保障和就业（类）行政事业单位养老（款）机关事业单位基本养老保险缴费（项）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413.91</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05F79BEF">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color w:val="000000"/>
          <w:sz w:val="32"/>
          <w:lang w:val="en-US" w:eastAsia="zh-CN"/>
        </w:rPr>
        <w:t>6</w:t>
      </w:r>
      <w:r>
        <w:rPr>
          <w:rStyle w:val="19"/>
          <w:rFonts w:ascii="仿宋" w:hAnsi="仿宋" w:eastAsia="仿宋"/>
          <w:color w:val="000000"/>
          <w:sz w:val="32"/>
        </w:rPr>
        <w:t>.</w:t>
      </w:r>
      <w:r>
        <w:rPr>
          <w:rStyle w:val="19"/>
          <w:rFonts w:hint="eastAsia" w:ascii="仿宋" w:hAnsi="仿宋" w:eastAsia="仿宋"/>
          <w:bCs/>
          <w:sz w:val="32"/>
          <w:szCs w:val="32"/>
        </w:rPr>
        <w:t>社会保障和就业（类）行政事业单位养老（款）其他行政事业单位养老支出（项）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16.16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03D0B2F2">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color w:val="000000"/>
          <w:sz w:val="32"/>
          <w:lang w:val="en-US" w:eastAsia="zh-CN"/>
        </w:rPr>
        <w:t>7</w:t>
      </w:r>
      <w:r>
        <w:rPr>
          <w:rStyle w:val="19"/>
          <w:rFonts w:ascii="仿宋" w:hAnsi="仿宋" w:eastAsia="仿宋"/>
          <w:color w:val="000000"/>
          <w:sz w:val="32"/>
        </w:rPr>
        <w:t>.</w:t>
      </w:r>
      <w:r>
        <w:rPr>
          <w:rStyle w:val="19"/>
          <w:rFonts w:hint="eastAsia" w:ascii="仿宋" w:hAnsi="仿宋" w:eastAsia="仿宋"/>
          <w:bCs/>
          <w:sz w:val="32"/>
          <w:szCs w:val="32"/>
        </w:rPr>
        <w:t>社会保障和就业（类）其他社会保障和就业（款）其他社会保障和就业支出（项）</w:t>
      </w:r>
      <w:r>
        <w:rPr>
          <w:rStyle w:val="19"/>
          <w:rFonts w:ascii="仿宋" w:hAnsi="仿宋" w:eastAsia="仿宋"/>
          <w:bCs/>
          <w:sz w:val="32"/>
          <w:szCs w:val="32"/>
        </w:rPr>
        <w:t>:</w:t>
      </w:r>
      <w:r>
        <w:rPr>
          <w:rStyle w:val="19"/>
          <w:rFonts w:ascii="仿宋_GB2312"/>
          <w:bCs/>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18.28</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60FE4C93">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color w:val="000000"/>
          <w:sz w:val="32"/>
          <w:lang w:val="en-US" w:eastAsia="zh-CN"/>
        </w:rPr>
        <w:t>8</w:t>
      </w:r>
      <w:r>
        <w:rPr>
          <w:rStyle w:val="19"/>
          <w:rFonts w:ascii="仿宋" w:hAnsi="仿宋" w:eastAsia="仿宋"/>
          <w:color w:val="000000"/>
          <w:sz w:val="32"/>
        </w:rPr>
        <w:t>.</w:t>
      </w:r>
      <w:r>
        <w:rPr>
          <w:rStyle w:val="19"/>
          <w:rFonts w:hint="eastAsia" w:ascii="仿宋" w:hAnsi="仿宋" w:eastAsia="仿宋"/>
          <w:bCs/>
          <w:sz w:val="32"/>
          <w:szCs w:val="32"/>
        </w:rPr>
        <w:t>卫生健康（类）行政事业单位医疗（款）事业单位医疗（项）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187.76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6D3EB728">
      <w:pPr>
        <w:spacing w:line="600" w:lineRule="exact"/>
        <w:ind w:firstLine="643" w:firstLineChars="200"/>
      </w:pPr>
      <w:r>
        <w:rPr>
          <w:rStyle w:val="19"/>
          <w:rFonts w:hint="eastAsia" w:ascii="仿宋" w:hAnsi="仿宋" w:eastAsia="仿宋"/>
          <w:color w:val="000000"/>
          <w:sz w:val="32"/>
          <w:lang w:val="en-US" w:eastAsia="zh-CN"/>
        </w:rPr>
        <w:t>9</w:t>
      </w:r>
      <w:r>
        <w:rPr>
          <w:rStyle w:val="19"/>
          <w:rFonts w:ascii="仿宋" w:hAnsi="仿宋" w:eastAsia="仿宋"/>
          <w:color w:val="000000"/>
          <w:sz w:val="32"/>
        </w:rPr>
        <w:t>.</w:t>
      </w:r>
      <w:r>
        <w:rPr>
          <w:rStyle w:val="19"/>
          <w:rFonts w:hint="eastAsia" w:ascii="仿宋" w:hAnsi="仿宋" w:eastAsia="仿宋"/>
          <w:bCs/>
          <w:sz w:val="32"/>
          <w:szCs w:val="32"/>
        </w:rPr>
        <w:t>住房保障（类）住房改革（款）住房公积金（项）</w:t>
      </w:r>
      <w:r>
        <w:rPr>
          <w:rStyle w:val="19"/>
          <w:rFonts w:ascii="仿宋" w:hAnsi="仿宋" w:eastAsia="仿宋"/>
          <w:bCs/>
          <w:sz w:val="32"/>
          <w:szCs w:val="32"/>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329.1</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，决算数与预算数持平。</w:t>
      </w:r>
    </w:p>
    <w:p w14:paraId="0A978B21">
      <w:pPr>
        <w:tabs>
          <w:tab w:val="right" w:pos="8306"/>
        </w:tabs>
        <w:spacing w:line="600" w:lineRule="exact"/>
        <w:outlineLvl w:val="1"/>
        <w:rPr>
          <w:rStyle w:val="31"/>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14:paraId="20B8B279">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4129.51</w:t>
      </w:r>
      <w:r>
        <w:rPr>
          <w:rFonts w:hint="eastAsia" w:ascii="仿宋" w:hAnsi="仿宋" w:eastAsia="仿宋"/>
          <w:sz w:val="32"/>
          <w:szCs w:val="32"/>
        </w:rPr>
        <w:t>万元，其中：</w:t>
      </w:r>
    </w:p>
    <w:p w14:paraId="7A767AFA">
      <w:pPr>
        <w:spacing w:line="600" w:lineRule="exact"/>
        <w:ind w:firstLine="645"/>
        <w:rPr>
          <w:rFonts w:ascii="仿宋" w:hAnsi="仿宋" w:eastAsia="仿宋"/>
          <w:sz w:val="32"/>
          <w:szCs w:val="32"/>
        </w:rPr>
      </w:pPr>
      <w:r>
        <w:rPr>
          <w:rFonts w:hint="eastAsia" w:ascii="仿宋" w:hAnsi="仿宋" w:eastAsia="仿宋"/>
          <w:sz w:val="32"/>
          <w:szCs w:val="32"/>
        </w:rPr>
        <w:t>人员</w:t>
      </w:r>
      <w:r>
        <w:rPr>
          <w:rFonts w:hint="eastAsia" w:ascii="仿宋" w:hAnsi="仿宋" w:eastAsia="仿宋" w:cs="Times New Roman"/>
          <w:sz w:val="32"/>
          <w:szCs w:val="32"/>
        </w:rPr>
        <w:t>经费3924.56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 w:hAnsi="仿宋" w:eastAsia="仿宋" w:cs="Times New Roman"/>
          <w:sz w:val="32"/>
          <w:szCs w:val="32"/>
        </w:rPr>
        <w:br w:type="textWrapping"/>
      </w:r>
      <w:r>
        <w:rPr>
          <w:rFonts w:hint="eastAsia" w:ascii="仿宋" w:hAnsi="仿宋" w:eastAsia="仿宋" w:cs="Times New Roman"/>
          <w:sz w:val="32"/>
          <w:szCs w:val="32"/>
        </w:rPr>
        <w:t>　　公用经费204.95万元，主要包括：办公费、印刷费、咨询费、手续费、水费、电费、邮电费、取暖费、物业管理费、差旅费、因公出国（</w:t>
      </w:r>
      <w:r>
        <w:rPr>
          <w:rFonts w:hint="eastAsia" w:ascii="仿宋" w:hAnsi="仿宋" w:eastAsia="仿宋"/>
          <w:sz w:val="32"/>
          <w:szCs w:val="32"/>
        </w:rPr>
        <w:t>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47A11A7">
      <w:pPr>
        <w:spacing w:line="600" w:lineRule="exact"/>
        <w:outlineLvl w:val="1"/>
        <w:rPr>
          <w:rStyle w:val="52"/>
          <w:rFonts w:ascii="黑体" w:hAnsi="黑体" w:eastAsia="黑体"/>
          <w:b w:val="0"/>
        </w:rPr>
      </w:pPr>
      <w:bookmarkStart w:id="36" w:name="_Toc15396609"/>
      <w:bookmarkStart w:id="37" w:name="_Toc15377215"/>
      <w:r>
        <w:rPr>
          <w:rFonts w:hint="eastAsia" w:ascii="黑体" w:eastAsia="黑体"/>
          <w:sz w:val="32"/>
          <w:szCs w:val="32"/>
        </w:rPr>
        <w:t>七、</w:t>
      </w:r>
      <w:r>
        <w:rPr>
          <w:rStyle w:val="52"/>
          <w:rFonts w:hint="eastAsia" w:ascii="黑体" w:hAnsi="黑体" w:eastAsia="黑体"/>
          <w:b w:val="0"/>
        </w:rPr>
        <w:t>财政拨款</w:t>
      </w:r>
      <w:r>
        <w:rPr>
          <w:rStyle w:val="52"/>
          <w:rFonts w:hint="eastAsia" w:ascii="黑体" w:hAnsi="黑体" w:eastAsia="黑体"/>
        </w:rPr>
        <w:t>“</w:t>
      </w:r>
      <w:r>
        <w:rPr>
          <w:rStyle w:val="52"/>
          <w:rFonts w:hint="eastAsia" w:ascii="黑体" w:hAnsi="黑体" w:eastAsia="黑体"/>
          <w:b w:val="0"/>
        </w:rPr>
        <w:t>三公”经费支出决算情况说明</w:t>
      </w:r>
      <w:bookmarkEnd w:id="36"/>
      <w:bookmarkEnd w:id="37"/>
    </w:p>
    <w:p w14:paraId="59E1F579">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6830BBCC">
      <w:pPr>
        <w:spacing w:line="600" w:lineRule="exact"/>
        <w:ind w:firstLine="640"/>
        <w:outlineLvl w:val="2"/>
        <w:rPr>
          <w:rFonts w:hint="eastAsia" w:ascii="仿宋" w:hAnsi="仿宋" w:eastAsia="仿宋"/>
          <w:sz w:val="32"/>
          <w:szCs w:val="32"/>
          <w:lang w:val="en-US" w:eastAsia="zh-CN"/>
        </w:rPr>
      </w:pPr>
      <w:bookmarkStart w:id="39" w:name="_Toc15377217"/>
      <w:r>
        <w:rPr>
          <w:rFonts w:hint="eastAsia" w:ascii="仿宋" w:hAnsi="仿宋" w:eastAsia="仿宋"/>
          <w:sz w:val="32"/>
          <w:szCs w:val="32"/>
        </w:rPr>
        <w:t>2023年度“三公”经费财政拨款支出决算</w:t>
      </w:r>
      <w:r>
        <w:rPr>
          <w:rFonts w:hint="eastAsia" w:ascii="仿宋" w:hAnsi="仿宋" w:eastAsia="仿宋"/>
          <w:color w:val="auto"/>
          <w:sz w:val="32"/>
          <w:szCs w:val="32"/>
        </w:rPr>
        <w:t>为</w:t>
      </w:r>
      <w:r>
        <w:rPr>
          <w:color w:val="auto"/>
          <w:sz w:val="32"/>
          <w:szCs w:val="32"/>
        </w:rPr>
        <w:t>0</w:t>
      </w:r>
      <w:r>
        <w:rPr>
          <w:rFonts w:hint="eastAsia" w:ascii="仿宋" w:hAnsi="仿宋" w:eastAsia="仿宋"/>
          <w:color w:val="auto"/>
          <w:sz w:val="32"/>
          <w:szCs w:val="32"/>
        </w:rPr>
        <w:t>万元，完成预算1</w:t>
      </w:r>
      <w:r>
        <w:rPr>
          <w:rFonts w:ascii="仿宋" w:hAnsi="仿宋" w:eastAsia="仿宋"/>
          <w:color w:val="auto"/>
          <w:sz w:val="32"/>
          <w:szCs w:val="32"/>
        </w:rPr>
        <w:t>0</w:t>
      </w:r>
      <w:r>
        <w:rPr>
          <w:color w:val="auto"/>
          <w:sz w:val="32"/>
          <w:szCs w:val="32"/>
        </w:rPr>
        <w:t>0</w:t>
      </w:r>
      <w:r>
        <w:rPr>
          <w:rFonts w:hint="eastAsia" w:ascii="仿宋" w:hAnsi="仿宋" w:eastAsia="仿宋"/>
          <w:color w:val="auto"/>
          <w:sz w:val="32"/>
          <w:szCs w:val="32"/>
        </w:rPr>
        <w:t>%，</w:t>
      </w:r>
      <w:r>
        <w:rPr>
          <w:rFonts w:hint="eastAsia" w:ascii="仿宋" w:hAnsi="仿宋" w:eastAsia="仿宋"/>
          <w:sz w:val="32"/>
          <w:szCs w:val="32"/>
        </w:rPr>
        <w:t>与上年度持平</w:t>
      </w:r>
      <w:r>
        <w:rPr>
          <w:rFonts w:hint="eastAsia" w:ascii="仿宋" w:hAnsi="仿宋" w:eastAsia="仿宋"/>
          <w:sz w:val="32"/>
          <w:szCs w:val="32"/>
          <w:lang w:val="en-US" w:eastAsia="zh-CN"/>
        </w:rPr>
        <w:t>,</w:t>
      </w:r>
      <w:r>
        <w:rPr>
          <w:rFonts w:hint="eastAsia" w:ascii="仿宋" w:hAnsi="仿宋" w:eastAsia="仿宋"/>
          <w:sz w:val="32"/>
          <w:szCs w:val="32"/>
        </w:rPr>
        <w:t>决算数与预算数持平。</w:t>
      </w:r>
    </w:p>
    <w:p w14:paraId="343174DD">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39"/>
    </w:p>
    <w:p w14:paraId="1D1152E4">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eastAsia="宋体" w:cs="宋体"/>
          <w:sz w:val="24"/>
          <w:szCs w:val="24"/>
        </w:rPr>
        <w:t>具体情况如下：</w:t>
      </w:r>
    </w:p>
    <w:p w14:paraId="02CD225F">
      <w:pPr>
        <w:spacing w:line="600" w:lineRule="exact"/>
        <w:ind w:firstLine="640"/>
        <w:rPr>
          <w:rFonts w:ascii="仿宋_GB2312" w:eastAsia="仿宋_GB2312"/>
          <w:b/>
          <w:sz w:val="32"/>
          <w:szCs w:val="32"/>
        </w:rPr>
      </w:pPr>
      <w:r>
        <w:rPr>
          <w:rFonts w:hint="eastAsia" w:ascii="仿宋_GB2312" w:eastAsia="仿宋_GB2312"/>
          <w:b/>
          <w:sz w:val="32"/>
          <w:szCs w:val="32"/>
        </w:rPr>
        <w:t>1.因公出国（境）经费支出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1247F99">
      <w:pPr>
        <w:spacing w:line="600" w:lineRule="exact"/>
        <w:ind w:firstLine="640"/>
        <w:rPr>
          <w:rFonts w:hint="eastAsia" w:ascii="仿宋_GB2312" w:eastAsia="仿宋_GB2312"/>
          <w:b/>
          <w:sz w:val="32"/>
          <w:szCs w:val="32"/>
        </w:rPr>
      </w:pPr>
      <w:r>
        <w:rPr>
          <w:rFonts w:hint="eastAsia" w:ascii="仿宋_GB2312" w:eastAsia="仿宋_GB2312"/>
          <w:b/>
          <w:sz w:val="32"/>
          <w:szCs w:val="32"/>
        </w:rPr>
        <w:t>2.公务用车购置及运行维护费支出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w:t>
      </w:r>
      <w:r>
        <w:rPr>
          <w:sz w:val="32"/>
          <w:szCs w:val="32"/>
        </w:rPr>
        <w:t>0</w:t>
      </w:r>
      <w:r>
        <w:rPr>
          <w:rStyle w:val="19"/>
          <w:rFonts w:hint="eastAsia" w:ascii="仿宋" w:hAnsi="仿宋" w:eastAsia="仿宋"/>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4551B651">
      <w:pPr>
        <w:spacing w:line="600" w:lineRule="exact"/>
        <w:ind w:firstLine="640" w:firstLineChars="200"/>
        <w:rPr>
          <w:rFonts w:hint="eastAsia"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万元。截至2023年12月31日，单位共有公务用车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2B966F60">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03F72DBC">
      <w:pPr>
        <w:spacing w:line="600" w:lineRule="exact"/>
        <w:ind w:firstLine="643" w:firstLineChars="200"/>
        <w:rPr>
          <w:rFonts w:hint="eastAsia" w:ascii="仿宋_GB2312" w:hAnsi="Times New Roman" w:eastAsia="仿宋_GB2312" w:cs="Times New Roman"/>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Fonts w:hint="eastAsia" w:ascii="仿宋_GB2312" w:hAnsi="Times New Roman" w:eastAsia="仿宋_GB2312" w:cs="Times New Roman"/>
          <w:sz w:val="32"/>
          <w:szCs w:val="32"/>
        </w:rPr>
        <w:t>完成预算</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%。公务接待费支出决算与2022年度持平。其中：</w:t>
      </w:r>
    </w:p>
    <w:p w14:paraId="4A948C6F">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国内公务接待支出0万元。国内公务接待0批次，0人次（不包括陪同人员），共计支出0万元。</w:t>
      </w:r>
      <w:r>
        <w:rPr>
          <w:rFonts w:hint="eastAsia" w:ascii="仿宋_GB2312" w:hAnsi="Times New Roman" w:eastAsia="仿宋_GB2312" w:cs="Times New Roman"/>
          <w:sz w:val="32"/>
          <w:szCs w:val="32"/>
        </w:rPr>
        <w:br w:type="textWrapping"/>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外事接待支出0万元。外事接待0批次，0人次（不包括陪同人员），共计支出0万元。</w:t>
      </w:r>
    </w:p>
    <w:p w14:paraId="102DA8A5">
      <w:pPr>
        <w:spacing w:line="600" w:lineRule="exact"/>
        <w:ind w:firstLine="480" w:firstLineChars="150"/>
        <w:outlineLvl w:val="1"/>
        <w:rPr>
          <w:rStyle w:val="52"/>
          <w:rFonts w:ascii="黑体" w:hAnsi="黑体" w:eastAsia="黑体"/>
          <w:color w:val="auto"/>
        </w:rPr>
      </w:pPr>
      <w:bookmarkStart w:id="40" w:name="_Toc15396610"/>
      <w:bookmarkStart w:id="41" w:name="_Toc15377218"/>
      <w:r>
        <w:rPr>
          <w:rFonts w:hint="eastAsia" w:ascii="黑体" w:eastAsia="黑体"/>
          <w:color w:val="auto"/>
          <w:sz w:val="32"/>
          <w:szCs w:val="32"/>
        </w:rPr>
        <w:t>八、</w:t>
      </w:r>
      <w:r>
        <w:rPr>
          <w:rStyle w:val="52"/>
          <w:rFonts w:hint="eastAsia" w:ascii="黑体" w:hAnsi="黑体" w:eastAsia="黑体"/>
          <w:b w:val="0"/>
          <w:color w:val="auto"/>
        </w:rPr>
        <w:t>政府性基金预算支出决算情况说明</w:t>
      </w:r>
      <w:bookmarkEnd w:id="40"/>
      <w:bookmarkEnd w:id="41"/>
    </w:p>
    <w:p w14:paraId="689D8C8A">
      <w:pPr>
        <w:spacing w:line="600" w:lineRule="exact"/>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23年</w:t>
      </w:r>
      <w:r>
        <w:rPr>
          <w:rFonts w:hint="eastAsia" w:ascii="仿宋_GB2312" w:eastAsia="仿宋_GB2312"/>
          <w:color w:val="auto"/>
          <w:sz w:val="32"/>
          <w:szCs w:val="32"/>
          <w:lang w:eastAsia="zh-CN"/>
        </w:rPr>
        <w:t>度</w:t>
      </w:r>
      <w:r>
        <w:rPr>
          <w:rFonts w:hint="eastAsia" w:ascii="仿宋_GB2312" w:eastAsia="仿宋_GB2312"/>
          <w:color w:val="auto"/>
          <w:sz w:val="32"/>
          <w:szCs w:val="32"/>
        </w:rPr>
        <w:t>政府性基金预算财政拨款支出0万元</w:t>
      </w:r>
    </w:p>
    <w:p w14:paraId="2A0ECCAA">
      <w:pPr>
        <w:numPr>
          <w:ilvl w:val="0"/>
          <w:numId w:val="3"/>
        </w:numPr>
        <w:spacing w:line="600" w:lineRule="exact"/>
        <w:ind w:firstLine="640"/>
        <w:outlineLvl w:val="1"/>
        <w:rPr>
          <w:rStyle w:val="52"/>
          <w:rFonts w:ascii="黑体" w:hAnsi="黑体" w:eastAsia="黑体"/>
          <w:b w:val="0"/>
          <w:color w:val="auto"/>
        </w:rPr>
      </w:pPr>
      <w:bookmarkStart w:id="42" w:name="_Toc15396611"/>
      <w:bookmarkStart w:id="43" w:name="_Toc15377219"/>
      <w:r>
        <w:rPr>
          <w:rStyle w:val="52"/>
          <w:rFonts w:hint="eastAsia" w:ascii="黑体" w:hAnsi="黑体" w:eastAsia="黑体"/>
          <w:b w:val="0"/>
          <w:color w:val="auto"/>
        </w:rPr>
        <w:t>国有资本经营预算支出决算情况说明</w:t>
      </w:r>
      <w:bookmarkEnd w:id="42"/>
      <w:bookmarkEnd w:id="43"/>
    </w:p>
    <w:p w14:paraId="60842FAD">
      <w:pPr>
        <w:pStyle w:val="29"/>
        <w:spacing w:line="600" w:lineRule="exact"/>
        <w:ind w:left="360" w:firstLine="0" w:firstLineChars="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23年</w:t>
      </w:r>
      <w:r>
        <w:rPr>
          <w:rFonts w:hint="eastAsia" w:ascii="仿宋_GB2312" w:eastAsia="仿宋_GB2312"/>
          <w:color w:val="auto"/>
          <w:sz w:val="32"/>
          <w:szCs w:val="32"/>
          <w:lang w:eastAsia="zh-CN"/>
        </w:rPr>
        <w:t>度</w:t>
      </w:r>
      <w:r>
        <w:rPr>
          <w:rFonts w:hint="eastAsia" w:ascii="仿宋_GB2312" w:eastAsia="仿宋_GB2312"/>
          <w:color w:val="auto"/>
          <w:sz w:val="32"/>
          <w:szCs w:val="32"/>
        </w:rPr>
        <w:t>国有资本经营预算财政拨款支出0万元。</w:t>
      </w:r>
    </w:p>
    <w:p w14:paraId="5129F4FB">
      <w:pPr>
        <w:pStyle w:val="29"/>
        <w:spacing w:line="600" w:lineRule="exact"/>
        <w:ind w:left="360" w:firstLine="321" w:firstLineChars="100"/>
        <w:outlineLvl w:val="1"/>
        <w:rPr>
          <w:rStyle w:val="52"/>
          <w:rFonts w:ascii="黑体" w:hAnsi="黑体" w:eastAsia="黑体"/>
          <w:b w:val="0"/>
          <w:color w:val="auto"/>
        </w:rPr>
      </w:pPr>
      <w:bookmarkStart w:id="44" w:name="_Toc15377221"/>
      <w:bookmarkStart w:id="45" w:name="_Toc15396612"/>
      <w:r>
        <w:rPr>
          <w:rStyle w:val="52"/>
          <w:rFonts w:hint="eastAsia" w:ascii="黑体" w:hAnsi="黑体" w:eastAsia="黑体"/>
          <w:color w:val="auto"/>
        </w:rPr>
        <w:t>十</w:t>
      </w:r>
      <w:r>
        <w:rPr>
          <w:rStyle w:val="52"/>
          <w:rFonts w:ascii="黑体" w:hAnsi="黑体" w:eastAsia="黑体"/>
          <w:color w:val="auto"/>
        </w:rPr>
        <w:t>、</w:t>
      </w:r>
      <w:r>
        <w:rPr>
          <w:rStyle w:val="52"/>
          <w:rFonts w:hint="eastAsia" w:ascii="黑体" w:hAnsi="黑体" w:eastAsia="黑体"/>
          <w:b w:val="0"/>
          <w:color w:val="auto"/>
        </w:rPr>
        <w:t>其他重要事项的情况说明</w:t>
      </w:r>
      <w:bookmarkEnd w:id="44"/>
      <w:bookmarkEnd w:id="45"/>
    </w:p>
    <w:p w14:paraId="62312841">
      <w:pPr>
        <w:spacing w:line="600" w:lineRule="exact"/>
        <w:ind w:firstLine="643" w:firstLineChars="200"/>
        <w:outlineLvl w:val="2"/>
        <w:rPr>
          <w:rFonts w:ascii="仿宋" w:hAnsi="仿宋" w:eastAsia="仿宋"/>
          <w:color w:val="auto"/>
          <w:sz w:val="32"/>
          <w:szCs w:val="32"/>
        </w:rPr>
      </w:pPr>
      <w:bookmarkStart w:id="46" w:name="_Toc15377222"/>
      <w:r>
        <w:rPr>
          <w:rFonts w:hint="eastAsia" w:ascii="仿宋" w:hAnsi="仿宋" w:eastAsia="仿宋"/>
          <w:b/>
          <w:color w:val="auto"/>
          <w:sz w:val="32"/>
          <w:szCs w:val="32"/>
        </w:rPr>
        <w:t>（一）机关运行经费支出情况</w:t>
      </w:r>
      <w:bookmarkEnd w:id="46"/>
    </w:p>
    <w:p w14:paraId="1DA0C315">
      <w:pPr>
        <w:spacing w:line="60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23年</w:t>
      </w:r>
      <w:r>
        <w:rPr>
          <w:rFonts w:hint="eastAsia" w:ascii="仿宋_GB2312" w:eastAsia="仿宋_GB2312"/>
          <w:color w:val="auto"/>
          <w:sz w:val="32"/>
          <w:szCs w:val="32"/>
          <w:lang w:eastAsia="zh-CN"/>
        </w:rPr>
        <w:t>度</w:t>
      </w:r>
      <w:r>
        <w:rPr>
          <w:rFonts w:hint="eastAsia" w:ascii="仿宋_GB2312" w:eastAsia="仿宋_GB2312"/>
          <w:color w:val="auto"/>
          <w:sz w:val="32"/>
          <w:szCs w:val="32"/>
        </w:rPr>
        <w:t>，</w:t>
      </w:r>
      <w:r>
        <w:rPr>
          <w:rFonts w:hint="eastAsia" w:ascii="仿宋_GB2312" w:eastAsia="仿宋_GB2312"/>
          <w:color w:val="auto"/>
          <w:sz w:val="32"/>
          <w:szCs w:val="32"/>
          <w:lang w:eastAsia="zh-CN"/>
        </w:rPr>
        <w:t>四川省遂宁市西眉中学</w:t>
      </w:r>
      <w:r>
        <w:rPr>
          <w:rFonts w:hint="eastAsia" w:ascii="仿宋_GB2312" w:eastAsia="仿宋_GB2312"/>
          <w:color w:val="auto"/>
          <w:sz w:val="32"/>
          <w:szCs w:val="32"/>
        </w:rPr>
        <w:t>机关运行经费支出0万元。与2022年度决算数持平。</w:t>
      </w:r>
    </w:p>
    <w:p w14:paraId="1D655E79">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47" w:name="_Toc15377223"/>
      <w:r>
        <w:rPr>
          <w:rFonts w:hint="eastAsia" w:ascii="仿宋" w:hAnsi="仿宋" w:eastAsia="仿宋"/>
          <w:b/>
          <w:color w:val="auto"/>
          <w:sz w:val="32"/>
          <w:szCs w:val="32"/>
        </w:rPr>
        <w:t>（二）政府采购支出情况</w:t>
      </w:r>
      <w:bookmarkEnd w:id="47"/>
    </w:p>
    <w:p w14:paraId="21A46139">
      <w:pPr>
        <w:autoSpaceDE w:val="0"/>
        <w:autoSpaceDN w:val="0"/>
        <w:adjustRightInd w:val="0"/>
        <w:spacing w:line="600" w:lineRule="exact"/>
        <w:ind w:firstLine="640" w:firstLineChars="200"/>
        <w:jc w:val="left"/>
        <w:outlineLvl w:val="2"/>
        <w:rPr>
          <w:rFonts w:ascii="仿宋_GB2312" w:eastAsia="仿宋_GB2312"/>
          <w:color w:val="auto"/>
          <w:sz w:val="32"/>
          <w:szCs w:val="32"/>
        </w:rPr>
      </w:pPr>
      <w:bookmarkStart w:id="48" w:name="_Toc15377224"/>
      <w:r>
        <w:rPr>
          <w:rFonts w:hint="eastAsia" w:ascii="仿宋_GB2312" w:eastAsia="仿宋_GB2312"/>
          <w:color w:val="auto"/>
          <w:sz w:val="32"/>
          <w:szCs w:val="32"/>
        </w:rPr>
        <w:t>2023年度，</w:t>
      </w:r>
      <w:r>
        <w:rPr>
          <w:rFonts w:hint="eastAsia" w:ascii="仿宋_GB2312" w:eastAsia="仿宋_GB2312"/>
          <w:color w:val="auto"/>
          <w:sz w:val="32"/>
          <w:szCs w:val="32"/>
          <w:lang w:eastAsia="zh-CN"/>
        </w:rPr>
        <w:t>四川省遂宁市西眉中学</w:t>
      </w:r>
      <w:r>
        <w:rPr>
          <w:rFonts w:hint="eastAsia" w:ascii="仿宋_GB2312" w:eastAsia="仿宋_GB2312"/>
          <w:color w:val="auto"/>
          <w:sz w:val="32"/>
          <w:szCs w:val="32"/>
        </w:rPr>
        <w:t>政府采购支出总额</w:t>
      </w:r>
      <w:r>
        <w:rPr>
          <w:rFonts w:ascii="仿宋_GB2312" w:eastAsia="仿宋_GB2312"/>
          <w:color w:val="auto"/>
          <w:sz w:val="32"/>
          <w:szCs w:val="32"/>
        </w:rPr>
        <w:t>0</w:t>
      </w:r>
      <w:r>
        <w:rPr>
          <w:rFonts w:hint="eastAsia" w:ascii="仿宋_GB2312" w:eastAsia="仿宋_GB2312"/>
          <w:color w:val="auto"/>
          <w:sz w:val="32"/>
          <w:szCs w:val="32"/>
        </w:rPr>
        <w:t>万元，其中：政府采购货物支出</w:t>
      </w:r>
      <w:r>
        <w:rPr>
          <w:rFonts w:ascii="仿宋_GB2312" w:eastAsia="仿宋_GB2312"/>
          <w:color w:val="auto"/>
          <w:sz w:val="32"/>
          <w:szCs w:val="32"/>
        </w:rPr>
        <w:t>0</w:t>
      </w:r>
      <w:r>
        <w:rPr>
          <w:rFonts w:hint="eastAsia" w:ascii="仿宋_GB2312" w:eastAsia="仿宋_GB2312"/>
          <w:color w:val="auto"/>
          <w:sz w:val="32"/>
          <w:szCs w:val="32"/>
        </w:rPr>
        <w:t>万元、政府采购工程支出</w:t>
      </w:r>
      <w:r>
        <w:rPr>
          <w:rFonts w:ascii="仿宋_GB2312" w:eastAsia="仿宋_GB2312"/>
          <w:color w:val="auto"/>
          <w:sz w:val="32"/>
          <w:szCs w:val="32"/>
        </w:rPr>
        <w:t>0</w:t>
      </w:r>
      <w:r>
        <w:rPr>
          <w:rFonts w:hint="eastAsia" w:ascii="仿宋_GB2312" w:eastAsia="仿宋_GB2312"/>
          <w:color w:val="auto"/>
          <w:sz w:val="32"/>
          <w:szCs w:val="32"/>
        </w:rPr>
        <w:t>万元、政府采购服务支出</w:t>
      </w:r>
      <w:r>
        <w:rPr>
          <w:rFonts w:ascii="仿宋_GB2312" w:eastAsia="仿宋_GB2312"/>
          <w:color w:val="auto"/>
          <w:sz w:val="32"/>
          <w:szCs w:val="32"/>
        </w:rPr>
        <w:t>0</w:t>
      </w:r>
      <w:r>
        <w:rPr>
          <w:rFonts w:hint="eastAsia" w:ascii="仿宋_GB2312" w:eastAsia="仿宋_GB2312"/>
          <w:color w:val="auto"/>
          <w:sz w:val="32"/>
          <w:szCs w:val="32"/>
        </w:rPr>
        <w:t>万元。授予中小企业合同金额</w:t>
      </w:r>
      <w:r>
        <w:rPr>
          <w:rFonts w:ascii="仿宋_GB2312" w:eastAsia="仿宋_GB2312"/>
          <w:color w:val="auto"/>
          <w:sz w:val="32"/>
          <w:szCs w:val="32"/>
        </w:rPr>
        <w:t>0</w:t>
      </w:r>
      <w:r>
        <w:rPr>
          <w:rFonts w:hint="eastAsia" w:ascii="仿宋_GB2312" w:eastAsia="仿宋_GB2312"/>
          <w:color w:val="auto"/>
          <w:sz w:val="32"/>
          <w:szCs w:val="32"/>
        </w:rPr>
        <w:t>万元，占政府采购支出总额的</w:t>
      </w:r>
      <w:r>
        <w:rPr>
          <w:rFonts w:ascii="仿宋_GB2312" w:eastAsia="仿宋_GB2312"/>
          <w:color w:val="auto"/>
          <w:sz w:val="32"/>
          <w:szCs w:val="32"/>
        </w:rPr>
        <w:t>0</w:t>
      </w:r>
      <w:r>
        <w:rPr>
          <w:rFonts w:hint="eastAsia" w:ascii="仿宋_GB2312" w:eastAsia="仿宋_GB2312"/>
          <w:color w:val="auto"/>
          <w:sz w:val="32"/>
          <w:szCs w:val="32"/>
        </w:rPr>
        <w:t>%，其中：授予小微企业合同金额</w:t>
      </w:r>
      <w:r>
        <w:rPr>
          <w:rFonts w:ascii="仿宋_GB2312" w:eastAsia="仿宋_GB2312"/>
          <w:color w:val="auto"/>
          <w:sz w:val="32"/>
          <w:szCs w:val="32"/>
        </w:rPr>
        <w:t>0</w:t>
      </w:r>
      <w:r>
        <w:rPr>
          <w:rFonts w:hint="eastAsia" w:ascii="仿宋_GB2312" w:eastAsia="仿宋_GB2312"/>
          <w:color w:val="auto"/>
          <w:sz w:val="32"/>
          <w:szCs w:val="32"/>
        </w:rPr>
        <w:t>万元，占政府采购支出总额的</w:t>
      </w:r>
      <w:r>
        <w:rPr>
          <w:rFonts w:ascii="仿宋_GB2312" w:eastAsia="仿宋_GB2312"/>
          <w:color w:val="auto"/>
          <w:sz w:val="32"/>
          <w:szCs w:val="32"/>
        </w:rPr>
        <w:t>0</w:t>
      </w:r>
      <w:r>
        <w:rPr>
          <w:rFonts w:hint="eastAsia" w:ascii="仿宋_GB2312" w:eastAsia="仿宋_GB2312"/>
          <w:color w:val="auto"/>
          <w:sz w:val="32"/>
          <w:szCs w:val="32"/>
        </w:rPr>
        <w:t>%。</w:t>
      </w:r>
    </w:p>
    <w:bookmarkEnd w:id="48"/>
    <w:p w14:paraId="3A289D90">
      <w:pPr>
        <w:autoSpaceDE w:val="0"/>
        <w:autoSpaceDN w:val="0"/>
        <w:adjustRightInd w:val="0"/>
        <w:spacing w:line="600"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（三）国有资产占有使用情况</w:t>
      </w:r>
    </w:p>
    <w:p w14:paraId="1674305E">
      <w:pPr>
        <w:autoSpaceDE w:val="0"/>
        <w:autoSpaceDN w:val="0"/>
        <w:adjustRightInd w:val="0"/>
        <w:spacing w:line="60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截至2023年12月31日，</w:t>
      </w:r>
      <w:r>
        <w:rPr>
          <w:rFonts w:hint="eastAsia" w:ascii="仿宋_GB2312" w:eastAsia="仿宋_GB2312"/>
          <w:color w:val="auto"/>
          <w:sz w:val="32"/>
          <w:szCs w:val="32"/>
          <w:lang w:eastAsia="zh-CN"/>
        </w:rPr>
        <w:t>四川省遂宁市西眉中学</w:t>
      </w:r>
      <w:r>
        <w:rPr>
          <w:rFonts w:hint="eastAsia" w:ascii="仿宋_GB2312" w:eastAsia="仿宋_GB2312"/>
          <w:color w:val="auto"/>
          <w:sz w:val="32"/>
          <w:szCs w:val="32"/>
        </w:rPr>
        <w:t>共有车辆0辆，其中：主要领导干部用车</w:t>
      </w:r>
      <w:r>
        <w:rPr>
          <w:rFonts w:ascii="仿宋_GB2312" w:eastAsia="仿宋_GB2312"/>
          <w:color w:val="auto"/>
          <w:sz w:val="32"/>
          <w:szCs w:val="32"/>
        </w:rPr>
        <w:t>0</w:t>
      </w:r>
      <w:r>
        <w:rPr>
          <w:rFonts w:hint="eastAsia" w:ascii="仿宋_GB2312" w:eastAsia="仿宋_GB2312"/>
          <w:color w:val="auto"/>
          <w:sz w:val="32"/>
          <w:szCs w:val="32"/>
        </w:rPr>
        <w:t>辆、机要通信用车</w:t>
      </w:r>
      <w:r>
        <w:rPr>
          <w:rFonts w:ascii="仿宋_GB2312" w:eastAsia="仿宋_GB2312"/>
          <w:color w:val="auto"/>
          <w:sz w:val="32"/>
          <w:szCs w:val="32"/>
        </w:rPr>
        <w:t>0</w:t>
      </w:r>
      <w:r>
        <w:rPr>
          <w:rFonts w:hint="eastAsia" w:ascii="仿宋_GB2312" w:eastAsia="仿宋_GB2312"/>
          <w:color w:val="auto"/>
          <w:sz w:val="32"/>
          <w:szCs w:val="32"/>
        </w:rPr>
        <w:t>辆、应急保障用车</w:t>
      </w:r>
      <w:r>
        <w:rPr>
          <w:rFonts w:ascii="仿宋_GB2312" w:eastAsia="仿宋_GB2312"/>
          <w:color w:val="auto"/>
          <w:sz w:val="32"/>
          <w:szCs w:val="32"/>
        </w:rPr>
        <w:t>0</w:t>
      </w:r>
      <w:r>
        <w:rPr>
          <w:rFonts w:hint="eastAsia" w:ascii="仿宋_GB2312" w:eastAsia="仿宋_GB2312"/>
          <w:color w:val="auto"/>
          <w:sz w:val="32"/>
          <w:szCs w:val="32"/>
        </w:rPr>
        <w:t>辆、其他用车</w:t>
      </w:r>
      <w:r>
        <w:rPr>
          <w:rFonts w:ascii="仿宋_GB2312" w:eastAsia="仿宋_GB2312"/>
          <w:color w:val="auto"/>
          <w:sz w:val="32"/>
          <w:szCs w:val="32"/>
        </w:rPr>
        <w:t>0</w:t>
      </w:r>
      <w:r>
        <w:rPr>
          <w:rFonts w:hint="eastAsia" w:ascii="仿宋_GB2312" w:eastAsia="仿宋_GB2312"/>
          <w:color w:val="auto"/>
          <w:sz w:val="32"/>
          <w:szCs w:val="32"/>
        </w:rPr>
        <w:t>辆。单价100万元以上设备（不含车辆）</w:t>
      </w:r>
      <w:r>
        <w:rPr>
          <w:color w:val="auto"/>
          <w:sz w:val="32"/>
          <w:szCs w:val="32"/>
        </w:rPr>
        <w:t>0</w:t>
      </w:r>
      <w:r>
        <w:rPr>
          <w:rFonts w:hint="eastAsia" w:ascii="仿宋_GB2312" w:eastAsia="仿宋_GB2312"/>
          <w:color w:val="auto"/>
          <w:sz w:val="32"/>
          <w:szCs w:val="32"/>
        </w:rPr>
        <w:t>台（套）。</w:t>
      </w:r>
    </w:p>
    <w:p w14:paraId="2D79FB35">
      <w:pPr>
        <w:autoSpaceDE w:val="0"/>
        <w:autoSpaceDN w:val="0"/>
        <w:adjustRightInd w:val="0"/>
        <w:spacing w:line="600" w:lineRule="exact"/>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14:paraId="40F18759">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olor w:val="auto"/>
          <w:sz w:val="32"/>
          <w:szCs w:val="24"/>
        </w:rPr>
        <w:t>根据预算绩效管理要求，本单位在</w:t>
      </w:r>
      <w:r>
        <w:rPr>
          <w:rFonts w:hint="eastAsia" w:ascii="仿宋_GB2312" w:hAnsi="仿宋_GB2312" w:eastAsia="仿宋_GB2312"/>
          <w:color w:val="auto"/>
          <w:sz w:val="32"/>
          <w:szCs w:val="24"/>
          <w:lang w:eastAsia="zh-CN"/>
        </w:rPr>
        <w:t>2023年</w:t>
      </w:r>
      <w:r>
        <w:rPr>
          <w:rFonts w:hint="eastAsia" w:ascii="仿宋_GB2312" w:hAnsi="仿宋_GB2312" w:eastAsia="仿宋_GB2312"/>
          <w:color w:val="auto"/>
          <w:sz w:val="32"/>
          <w:szCs w:val="24"/>
        </w:rPr>
        <w:t>度预算编制阶段，组织对“</w:t>
      </w:r>
      <w:r>
        <w:rPr>
          <w:rFonts w:hint="eastAsia" w:ascii="仿宋_GB2312" w:hAnsi="仿宋_GB2312" w:eastAsia="仿宋_GB2312" w:cs="Times New Roman"/>
          <w:color w:val="auto"/>
          <w:sz w:val="32"/>
          <w:szCs w:val="24"/>
        </w:rPr>
        <w:t>51090422T000007141271-健康教室照明改造工程</w:t>
      </w:r>
      <w:r>
        <w:rPr>
          <w:rFonts w:hint="eastAsia" w:ascii="仿宋_GB2312" w:hAnsi="仿宋_GB2312" w:eastAsia="仿宋_GB2312"/>
          <w:color w:val="auto"/>
          <w:sz w:val="32"/>
          <w:szCs w:val="24"/>
        </w:rPr>
        <w:t>”等</w:t>
      </w:r>
      <w:r>
        <w:rPr>
          <w:rFonts w:hint="eastAsia" w:ascii="仿宋_GB2312" w:hAnsi="仿宋_GB2312" w:eastAsia="仿宋_GB2312"/>
          <w:color w:val="auto"/>
          <w:sz w:val="32"/>
          <w:szCs w:val="24"/>
          <w:lang w:val="en-US" w:eastAsia="zh-CN"/>
        </w:rPr>
        <w:t>5</w:t>
      </w:r>
      <w:r>
        <w:rPr>
          <w:rFonts w:hint="eastAsia" w:ascii="仿宋_GB2312" w:hAnsi="仿宋_GB2312" w:eastAsia="仿宋_GB2312"/>
          <w:color w:val="auto"/>
          <w:sz w:val="32"/>
          <w:szCs w:val="24"/>
        </w:rPr>
        <w:t>个项目开展了预算事前绩效评估，对</w:t>
      </w:r>
      <w:r>
        <w:rPr>
          <w:rFonts w:hint="eastAsia" w:ascii="仿宋_GB2312" w:hAnsi="仿宋_GB2312" w:eastAsia="仿宋_GB2312"/>
          <w:color w:val="auto"/>
          <w:sz w:val="32"/>
          <w:szCs w:val="24"/>
          <w:lang w:val="en-US" w:eastAsia="zh-CN"/>
        </w:rPr>
        <w:t>13</w:t>
      </w:r>
      <w:r>
        <w:rPr>
          <w:rFonts w:hint="eastAsia" w:ascii="仿宋_GB2312" w:hAnsi="仿宋_GB2312" w:eastAsia="仿宋_GB2312"/>
          <w:color w:val="auto"/>
          <w:sz w:val="32"/>
          <w:szCs w:val="24"/>
        </w:rPr>
        <w:t>个项目编制了绩效目标，预算执行过程中，选取</w:t>
      </w:r>
      <w:r>
        <w:rPr>
          <w:rFonts w:ascii="仿宋_GB2312" w:hAnsi="仿宋_GB2312" w:eastAsia="仿宋_GB2312"/>
          <w:color w:val="auto"/>
          <w:sz w:val="32"/>
          <w:szCs w:val="24"/>
        </w:rPr>
        <w:t>1</w:t>
      </w:r>
      <w:r>
        <w:rPr>
          <w:rFonts w:hint="eastAsia" w:ascii="仿宋_GB2312" w:hAnsi="仿宋_GB2312" w:eastAsia="仿宋_GB2312"/>
          <w:color w:val="auto"/>
          <w:sz w:val="32"/>
          <w:szCs w:val="24"/>
        </w:rPr>
        <w:t>个项目开展绩效监控，组织对</w:t>
      </w:r>
      <w:r>
        <w:rPr>
          <w:rFonts w:hint="eastAsia" w:ascii="仿宋_GB2312" w:hAnsi="仿宋_GB2312" w:eastAsia="仿宋_GB2312"/>
          <w:color w:val="auto"/>
          <w:sz w:val="32"/>
          <w:szCs w:val="24"/>
          <w:lang w:val="en-US" w:eastAsia="zh-CN"/>
        </w:rPr>
        <w:t>13</w:t>
      </w:r>
      <w:r>
        <w:rPr>
          <w:rFonts w:hint="eastAsia" w:ascii="仿宋_GB2312" w:hAnsi="仿宋_GB2312" w:eastAsia="仿宋_GB2312"/>
          <w:color w:val="auto"/>
          <w:sz w:val="32"/>
          <w:szCs w:val="24"/>
        </w:rPr>
        <w:t>个项目开展绩效自评，绩效自评表详见第四部分附件。</w:t>
      </w:r>
    </w:p>
    <w:p w14:paraId="7864F7DF">
      <w:pPr>
        <w:widowControl/>
        <w:jc w:val="left"/>
        <w:rPr>
          <w:rFonts w:ascii="仿宋_GB2312" w:eastAsia="仿宋_GB2312"/>
          <w:b/>
          <w:sz w:val="32"/>
          <w:szCs w:val="32"/>
        </w:rPr>
      </w:pPr>
      <w:r>
        <w:rPr>
          <w:rFonts w:ascii="仿宋_GB2312" w:eastAsia="仿宋_GB2312"/>
          <w:b/>
          <w:sz w:val="32"/>
          <w:szCs w:val="32"/>
        </w:rPr>
        <w:br w:type="page"/>
      </w:r>
    </w:p>
    <w:p w14:paraId="46388E11">
      <w:pPr>
        <w:numPr>
          <w:ilvl w:val="0"/>
          <w:numId w:val="4"/>
        </w:numPr>
        <w:spacing w:line="600" w:lineRule="exact"/>
        <w:ind w:firstLine="660" w:firstLineChars="150"/>
        <w:jc w:val="center"/>
        <w:outlineLvl w:val="0"/>
        <w:rPr>
          <w:rStyle w:val="30"/>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30"/>
          <w:rFonts w:hint="eastAsia" w:ascii="黑体" w:hAnsi="黑体" w:eastAsia="黑体"/>
          <w:b w:val="0"/>
        </w:rPr>
        <w:t>词解释</w:t>
      </w:r>
      <w:bookmarkEnd w:id="49"/>
      <w:bookmarkEnd w:id="50"/>
    </w:p>
    <w:p w14:paraId="4864D849">
      <w:pPr>
        <w:spacing w:line="600" w:lineRule="exact"/>
        <w:jc w:val="left"/>
        <w:rPr>
          <w:rFonts w:ascii="宋体"/>
          <w:b/>
          <w:sz w:val="44"/>
          <w:szCs w:val="44"/>
        </w:rPr>
      </w:pPr>
    </w:p>
    <w:p w14:paraId="24F1F327">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43013399">
      <w:pPr>
        <w:pStyle w:val="28"/>
        <w:spacing w:line="560" w:lineRule="exact"/>
        <w:ind w:firstLine="640" w:firstLineChars="200"/>
        <w:rPr>
          <w:rFonts w:hint="eastAsia" w:ascii="仿宋_GB2312" w:eastAsia="仿宋_GB2312"/>
          <w:color w:val="auto"/>
          <w:sz w:val="32"/>
          <w:szCs w:val="32"/>
          <w:lang w:eastAsia="zh-CN"/>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r>
        <w:rPr>
          <w:rFonts w:hint="eastAsia" w:ascii="仿宋_GB2312" w:eastAsia="仿宋_GB2312"/>
          <w:color w:val="auto"/>
          <w:sz w:val="32"/>
          <w:szCs w:val="32"/>
          <w:lang w:eastAsia="zh-CN"/>
        </w:rPr>
        <w:t>。</w:t>
      </w:r>
    </w:p>
    <w:p w14:paraId="5559E1D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教育（205类）普通教育（02款）初中教育（03项）</w:t>
      </w:r>
      <w:r>
        <w:rPr>
          <w:rFonts w:ascii="仿宋" w:hAnsi="仿宋" w:eastAsia="仿宋"/>
          <w:sz w:val="32"/>
          <w:szCs w:val="32"/>
        </w:rPr>
        <w:t xml:space="preserve">: </w:t>
      </w:r>
      <w:r>
        <w:rPr>
          <w:rFonts w:hint="eastAsia" w:ascii="仿宋" w:hAnsi="仿宋" w:eastAsia="仿宋"/>
          <w:sz w:val="32"/>
          <w:szCs w:val="32"/>
        </w:rPr>
        <w:t>反映各部门举办的初中教育支出。政府各部门对社会中介组织等举办的初中教育的资助，如各类捐赠、补贴等，也在本科目中反映。</w:t>
      </w:r>
    </w:p>
    <w:p w14:paraId="4CD9C36C">
      <w:pPr>
        <w:pStyle w:val="28"/>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4.</w:t>
      </w:r>
      <w:r>
        <w:rPr>
          <w:rFonts w:hint="eastAsia" w:hAnsi="仿宋"/>
          <w:color w:val="auto"/>
          <w:sz w:val="32"/>
          <w:szCs w:val="24"/>
        </w:rPr>
        <w:t>教育（类）普通教育（款）高中教育（项）：指各部门举办的高级中学教育支出。</w:t>
      </w:r>
    </w:p>
    <w:p w14:paraId="78D84518">
      <w:pPr>
        <w:pStyle w:val="28"/>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5.</w:t>
      </w:r>
      <w:r>
        <w:rPr>
          <w:rFonts w:hint="eastAsia" w:hAnsi="仿宋"/>
          <w:color w:val="auto"/>
          <w:sz w:val="32"/>
          <w:szCs w:val="24"/>
        </w:rPr>
        <w:t>教育（类）普通教育（款）其他普通教育支出（项）：指除上述项目以外其他用于普通教育方面的支出。</w:t>
      </w:r>
    </w:p>
    <w:p w14:paraId="1A4EB8E6">
      <w:pPr>
        <w:pStyle w:val="28"/>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6.</w:t>
      </w:r>
      <w:r>
        <w:rPr>
          <w:rFonts w:hint="eastAsia" w:hAnsi="仿宋"/>
          <w:color w:val="auto"/>
          <w:sz w:val="32"/>
          <w:szCs w:val="24"/>
        </w:rPr>
        <w:t>教育（类）教育费附加安排的支出（款）其他教育附加安排的支出（项）：指除上述项目以外其的教育附加支出。</w:t>
      </w:r>
    </w:p>
    <w:p w14:paraId="4AA9A522">
      <w:pPr>
        <w:pStyle w:val="28"/>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7.</w:t>
      </w:r>
      <w:r>
        <w:rPr>
          <w:rFonts w:hint="eastAsia" w:hAnsi="仿宋"/>
          <w:color w:val="auto"/>
          <w:sz w:val="32"/>
          <w:szCs w:val="24"/>
        </w:rPr>
        <w:t>社会保障和就业（类）行政事业单位养老（款）机关事业单位基本养老保险缴费支出（项）：指机关事业单位实施养老保险制度由单位缴纳的基本养老保险费支出。</w:t>
      </w:r>
    </w:p>
    <w:p w14:paraId="62EC19E3">
      <w:pPr>
        <w:pStyle w:val="28"/>
        <w:spacing w:line="560" w:lineRule="exact"/>
        <w:ind w:firstLine="640" w:firstLineChars="200"/>
        <w:rPr>
          <w:rFonts w:hint="eastAsia" w:hAnsi="仿宋"/>
          <w:color w:val="auto"/>
          <w:sz w:val="32"/>
          <w:szCs w:val="24"/>
        </w:rPr>
      </w:pPr>
      <w:r>
        <w:rPr>
          <w:rFonts w:hint="eastAsia" w:hAnsi="仿宋"/>
          <w:color w:val="auto"/>
          <w:sz w:val="32"/>
          <w:szCs w:val="24"/>
          <w:lang w:val="en-US" w:eastAsia="zh-CN"/>
        </w:rPr>
        <w:t>8</w:t>
      </w:r>
      <w:r>
        <w:rPr>
          <w:rFonts w:hint="eastAsia" w:hAnsi="仿宋"/>
          <w:color w:val="auto"/>
          <w:sz w:val="32"/>
          <w:szCs w:val="24"/>
        </w:rPr>
        <w:t>.社会保障和就业（类）行政事业单位养老（款）其他行政事业单位养老支出（项）：指除上述项目以外其他用于行政事业单位养老方面的支出。</w:t>
      </w:r>
    </w:p>
    <w:p w14:paraId="0C047FF7">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9</w:t>
      </w:r>
      <w:r>
        <w:rPr>
          <w:rFonts w:ascii="仿宋" w:hAnsi="仿宋" w:eastAsia="仿宋"/>
          <w:sz w:val="32"/>
          <w:szCs w:val="32"/>
        </w:rPr>
        <w:t>.</w:t>
      </w:r>
      <w:r>
        <w:rPr>
          <w:rFonts w:hint="eastAsia" w:ascii="仿宋" w:hAnsi="仿宋" w:eastAsia="仿宋"/>
          <w:sz w:val="32"/>
          <w:szCs w:val="32"/>
        </w:rPr>
        <w:t>社会保障和就业（208类）其他社会保障和就业支出（99款）其他社会保障和就业支出（01项）</w:t>
      </w:r>
      <w:r>
        <w:rPr>
          <w:rFonts w:ascii="仿宋" w:hAnsi="仿宋" w:eastAsia="仿宋"/>
          <w:sz w:val="32"/>
          <w:szCs w:val="32"/>
        </w:rPr>
        <w:t xml:space="preserve">: </w:t>
      </w:r>
      <w:r>
        <w:rPr>
          <w:rFonts w:hint="eastAsia" w:ascii="仿宋" w:hAnsi="仿宋" w:eastAsia="仿宋"/>
          <w:sz w:val="32"/>
          <w:szCs w:val="32"/>
        </w:rPr>
        <w:t>反映上述项目以外其他用于社会保障和就业方面的支出。</w:t>
      </w:r>
    </w:p>
    <w:p w14:paraId="05718B89">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10</w:t>
      </w:r>
      <w:r>
        <w:rPr>
          <w:rFonts w:ascii="仿宋" w:hAnsi="仿宋" w:eastAsia="仿宋"/>
          <w:sz w:val="32"/>
          <w:szCs w:val="32"/>
        </w:rPr>
        <w:t>.</w:t>
      </w:r>
      <w:r>
        <w:rPr>
          <w:rFonts w:hint="eastAsia" w:ascii="仿宋" w:hAnsi="仿宋" w:eastAsia="仿宋"/>
          <w:sz w:val="32"/>
          <w:szCs w:val="32"/>
        </w:rPr>
        <w:t>医疗卫生与计划生育（210类）行政事业单位医疗（11款）行政单位医疗（01项）</w:t>
      </w:r>
      <w:r>
        <w:rPr>
          <w:rFonts w:ascii="仿宋" w:hAnsi="仿宋" w:eastAsia="仿宋"/>
          <w:sz w:val="32"/>
          <w:szCs w:val="32"/>
        </w:rPr>
        <w:t>:</w:t>
      </w:r>
      <w:r>
        <w:rPr>
          <w:rFonts w:hint="eastAsia" w:ascii="仿宋" w:hAnsi="仿宋" w:eastAsia="仿宋"/>
          <w:sz w:val="32"/>
          <w:szCs w:val="32"/>
        </w:rPr>
        <w:t>反映财政部门集中安排的行政单位基本医疗保险缴费经费，未参加医疗保险的行政单位的公费医疗经费，按国家规定享受离休人员、红军老战士待遇人员的医疗经费。</w:t>
      </w:r>
    </w:p>
    <w:p w14:paraId="7135D07C">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医疗卫生与计划生育（210类）行政事业单位医疗（11款）事业单位医疗（02项）</w:t>
      </w:r>
      <w:r>
        <w:rPr>
          <w:rFonts w:ascii="仿宋" w:hAnsi="仿宋" w:eastAsia="仿宋"/>
          <w:sz w:val="32"/>
          <w:szCs w:val="32"/>
        </w:rPr>
        <w:t>:</w:t>
      </w:r>
      <w:r>
        <w:rPr>
          <w:rFonts w:hint="eastAsia" w:ascii="仿宋" w:hAnsi="仿宋" w:eastAsia="仿宋"/>
          <w:sz w:val="32"/>
          <w:szCs w:val="32"/>
        </w:rPr>
        <w:t>反映财政部门集中安排的事业单位基本医疗保险缴费经费，未参加医疗保险的事业单位的公费医疗经费，按国家规定享受离休人员待遇的医疗经费。</w:t>
      </w:r>
    </w:p>
    <w:p w14:paraId="3C498C1D">
      <w:pPr>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12</w:t>
      </w:r>
      <w:r>
        <w:rPr>
          <w:rFonts w:ascii="仿宋" w:hAnsi="仿宋" w:eastAsia="仿宋"/>
          <w:sz w:val="32"/>
          <w:szCs w:val="32"/>
        </w:rPr>
        <w:t>.</w:t>
      </w:r>
      <w:r>
        <w:rPr>
          <w:rFonts w:hint="eastAsia" w:ascii="仿宋" w:hAnsi="仿宋" w:eastAsia="仿宋"/>
          <w:sz w:val="32"/>
          <w:szCs w:val="32"/>
        </w:rPr>
        <w:t>医疗卫生与计划生育（210类）行政事业单位医疗（11款）公务员医疗补助（03项）</w:t>
      </w:r>
      <w:r>
        <w:rPr>
          <w:rFonts w:ascii="仿宋" w:hAnsi="仿宋" w:eastAsia="仿宋"/>
          <w:sz w:val="32"/>
          <w:szCs w:val="32"/>
        </w:rPr>
        <w:t>:</w:t>
      </w:r>
      <w:r>
        <w:rPr>
          <w:rFonts w:hint="eastAsia" w:ascii="仿宋" w:hAnsi="仿宋" w:eastAsia="仿宋"/>
          <w:sz w:val="32"/>
          <w:szCs w:val="32"/>
        </w:rPr>
        <w:t>反映财政部门集中安排的公务员医疗补助经费。</w:t>
      </w:r>
    </w:p>
    <w:p w14:paraId="51A04E89">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住房保障支出（221类）住房改革支出（02款）住房公积金（01项）</w:t>
      </w:r>
      <w:r>
        <w:rPr>
          <w:rFonts w:ascii="仿宋" w:hAnsi="仿宋" w:eastAsia="仿宋"/>
          <w:sz w:val="32"/>
          <w:szCs w:val="32"/>
        </w:rPr>
        <w:t>:</w:t>
      </w:r>
      <w:r>
        <w:rPr>
          <w:rFonts w:hint="eastAsia" w:ascii="仿宋" w:hAnsi="仿宋" w:eastAsia="仿宋"/>
          <w:sz w:val="32"/>
          <w:szCs w:val="32"/>
        </w:rPr>
        <w:t>反映行政事业单位按人力资源和社会保障部、财政部规定的基本工资和津贴补贴以及规定比例为职工缴纳的住房公积金。</w:t>
      </w:r>
    </w:p>
    <w:p w14:paraId="089B5D86">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ascii="仿宋" w:hAnsi="仿宋" w:eastAsia="仿宋"/>
          <w:sz w:val="32"/>
          <w:szCs w:val="32"/>
        </w:rPr>
        <w:t>.</w:t>
      </w:r>
      <w:r>
        <w:rPr>
          <w:rFonts w:hint="eastAsia" w:ascii="仿宋" w:hAnsi="仿宋" w:eastAsia="仿宋"/>
          <w:sz w:val="32"/>
          <w:szCs w:val="32"/>
        </w:rPr>
        <w:t>基本支出：指为保障机构正常运转、完成日常工作任务而发生的人员支出和公用支出。</w:t>
      </w:r>
    </w:p>
    <w:p w14:paraId="384402E2">
      <w:pPr>
        <w:spacing w:line="560" w:lineRule="exact"/>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项目支出：指在基本支出之外为完成特定行政任务和事业发展目标所发生的支出。</w:t>
      </w:r>
    </w:p>
    <w:p w14:paraId="7B7218A2">
      <w:pPr>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1DE578">
      <w:pPr>
        <w:pStyle w:val="15"/>
        <w:rPr>
          <w:rFonts w:hint="eastAsia" w:ascii="仿宋" w:hAnsi="仿宋" w:eastAsia="仿宋"/>
          <w:sz w:val="32"/>
          <w:szCs w:val="32"/>
        </w:rPr>
      </w:pPr>
    </w:p>
    <w:p w14:paraId="6AAE4DFC">
      <w:pPr>
        <w:pStyle w:val="9"/>
        <w:rPr>
          <w:rFonts w:hint="eastAsia" w:ascii="仿宋" w:hAnsi="仿宋" w:eastAsia="仿宋"/>
          <w:sz w:val="32"/>
          <w:szCs w:val="32"/>
        </w:rPr>
      </w:pPr>
    </w:p>
    <w:p w14:paraId="0AE166B8">
      <w:pPr>
        <w:pStyle w:val="9"/>
        <w:rPr>
          <w:rFonts w:hint="eastAsia" w:ascii="仿宋" w:hAnsi="仿宋" w:eastAsia="仿宋"/>
          <w:sz w:val="32"/>
          <w:szCs w:val="32"/>
        </w:rPr>
      </w:pPr>
    </w:p>
    <w:p w14:paraId="495FB807">
      <w:pPr>
        <w:pStyle w:val="9"/>
        <w:rPr>
          <w:rFonts w:hint="eastAsia" w:ascii="仿宋" w:hAnsi="仿宋" w:eastAsia="仿宋"/>
          <w:sz w:val="32"/>
          <w:szCs w:val="32"/>
        </w:rPr>
      </w:pPr>
    </w:p>
    <w:p w14:paraId="00228D1D">
      <w:pPr>
        <w:pStyle w:val="9"/>
        <w:rPr>
          <w:rFonts w:hint="eastAsia" w:ascii="仿宋" w:hAnsi="仿宋" w:eastAsia="仿宋"/>
          <w:sz w:val="32"/>
          <w:szCs w:val="32"/>
        </w:rPr>
      </w:pPr>
    </w:p>
    <w:p w14:paraId="15D2DFF6">
      <w:pPr>
        <w:pStyle w:val="9"/>
        <w:rPr>
          <w:rFonts w:hint="eastAsia" w:ascii="仿宋" w:hAnsi="仿宋" w:eastAsia="仿宋"/>
          <w:sz w:val="32"/>
          <w:szCs w:val="32"/>
        </w:rPr>
      </w:pPr>
    </w:p>
    <w:p w14:paraId="680ADA87">
      <w:pPr>
        <w:pStyle w:val="9"/>
        <w:rPr>
          <w:rFonts w:hint="eastAsia" w:ascii="仿宋" w:hAnsi="仿宋" w:eastAsia="仿宋"/>
          <w:sz w:val="32"/>
          <w:szCs w:val="32"/>
        </w:rPr>
      </w:pPr>
    </w:p>
    <w:p w14:paraId="6FD85B49">
      <w:pPr>
        <w:pStyle w:val="9"/>
        <w:rPr>
          <w:rFonts w:hint="eastAsia" w:ascii="仿宋" w:hAnsi="仿宋" w:eastAsia="仿宋"/>
          <w:sz w:val="32"/>
          <w:szCs w:val="32"/>
        </w:rPr>
      </w:pPr>
    </w:p>
    <w:p w14:paraId="7889E76E">
      <w:pPr>
        <w:pStyle w:val="9"/>
        <w:rPr>
          <w:rFonts w:hint="eastAsia" w:ascii="仿宋" w:hAnsi="仿宋" w:eastAsia="仿宋"/>
          <w:sz w:val="32"/>
          <w:szCs w:val="32"/>
        </w:rPr>
      </w:pPr>
    </w:p>
    <w:p w14:paraId="7C901F3C">
      <w:pPr>
        <w:pStyle w:val="9"/>
        <w:rPr>
          <w:rFonts w:hint="eastAsia" w:ascii="仿宋" w:hAnsi="仿宋" w:eastAsia="仿宋"/>
          <w:sz w:val="32"/>
          <w:szCs w:val="32"/>
        </w:rPr>
      </w:pPr>
    </w:p>
    <w:p w14:paraId="01C0E2B5">
      <w:pPr>
        <w:pStyle w:val="9"/>
        <w:rPr>
          <w:rFonts w:hint="eastAsia" w:ascii="仿宋" w:hAnsi="仿宋" w:eastAsia="仿宋"/>
          <w:sz w:val="32"/>
          <w:szCs w:val="32"/>
        </w:rPr>
      </w:pPr>
    </w:p>
    <w:p w14:paraId="202DAD3F">
      <w:pPr>
        <w:pStyle w:val="9"/>
        <w:rPr>
          <w:rFonts w:hint="eastAsia" w:ascii="仿宋" w:hAnsi="仿宋" w:eastAsia="仿宋"/>
          <w:sz w:val="32"/>
          <w:szCs w:val="32"/>
        </w:rPr>
      </w:pPr>
    </w:p>
    <w:p w14:paraId="5E18BFD0">
      <w:pPr>
        <w:pStyle w:val="9"/>
        <w:rPr>
          <w:rFonts w:hint="eastAsia" w:ascii="仿宋" w:hAnsi="仿宋" w:eastAsia="仿宋"/>
          <w:sz w:val="32"/>
          <w:szCs w:val="32"/>
        </w:rPr>
      </w:pPr>
    </w:p>
    <w:p w14:paraId="4F14E9B6">
      <w:pPr>
        <w:pStyle w:val="9"/>
        <w:rPr>
          <w:rFonts w:hint="eastAsia" w:ascii="仿宋" w:hAnsi="仿宋" w:eastAsia="仿宋"/>
          <w:sz w:val="32"/>
          <w:szCs w:val="32"/>
        </w:rPr>
      </w:pPr>
    </w:p>
    <w:p w14:paraId="09998CB9">
      <w:pPr>
        <w:pStyle w:val="9"/>
        <w:rPr>
          <w:rFonts w:hint="eastAsia" w:ascii="仿宋" w:hAnsi="仿宋" w:eastAsia="仿宋"/>
          <w:sz w:val="32"/>
          <w:szCs w:val="32"/>
        </w:rPr>
      </w:pPr>
    </w:p>
    <w:p w14:paraId="4DED5E64">
      <w:pPr>
        <w:pStyle w:val="28"/>
        <w:spacing w:line="560" w:lineRule="exact"/>
        <w:ind w:firstLine="640" w:firstLineChars="200"/>
        <w:rPr>
          <w:rFonts w:ascii="仿宋_GB2312" w:eastAsia="仿宋_GB2312" w:cs="黑体"/>
          <w:color w:val="auto"/>
          <w:sz w:val="32"/>
          <w:szCs w:val="32"/>
        </w:rPr>
      </w:pPr>
    </w:p>
    <w:p w14:paraId="16C0AC5D">
      <w:pPr>
        <w:spacing w:line="600" w:lineRule="exact"/>
        <w:jc w:val="center"/>
        <w:outlineLvl w:val="0"/>
        <w:rPr>
          <w:rStyle w:val="30"/>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30"/>
          <w:rFonts w:hint="eastAsia" w:ascii="黑体" w:hAnsi="黑体" w:eastAsia="黑体"/>
          <w:b w:val="0"/>
        </w:rPr>
        <w:t>四部分 附件</w:t>
      </w:r>
      <w:bookmarkEnd w:id="51"/>
    </w:p>
    <w:p w14:paraId="0AAD6931">
      <w:pPr>
        <w:spacing w:line="600" w:lineRule="exact"/>
        <w:jc w:val="left"/>
        <w:outlineLvl w:val="0"/>
        <w:rPr>
          <w:rFonts w:ascii="方正小标宋简体" w:hAnsi="方正小标宋简体" w:eastAsia="方正小标宋简体" w:cs="方正小标宋简体"/>
          <w:sz w:val="32"/>
          <w:szCs w:val="32"/>
        </w:rPr>
      </w:pPr>
      <w:bookmarkStart w:id="53" w:name="_Toc15396618"/>
      <w:r>
        <w:rPr>
          <w:rFonts w:hint="eastAsia" w:ascii="黑体" w:hAnsi="黑体" w:eastAsia="黑体" w:cs="黑体"/>
          <w:sz w:val="32"/>
          <w:szCs w:val="32"/>
        </w:rPr>
        <w:t>附件</w:t>
      </w:r>
      <w:r>
        <w:rPr>
          <w:rFonts w:ascii="黑体" w:hAnsi="黑体" w:eastAsia="黑体" w:cs="黑体"/>
          <w:sz w:val="32"/>
          <w:szCs w:val="32"/>
        </w:rPr>
        <w:t>1</w:t>
      </w:r>
    </w:p>
    <w:p w14:paraId="76E3E40A">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w:t>
      </w:r>
      <w:r>
        <w:rPr>
          <w:rFonts w:hint="eastAsia" w:ascii="方正小标宋简体" w:hAnsi="宋体" w:eastAsia="方正小标宋简体"/>
          <w:color w:val="000000"/>
          <w:kern w:val="0"/>
          <w:sz w:val="40"/>
          <w:szCs w:val="44"/>
        </w:rPr>
        <w:t>23</w:t>
      </w:r>
      <w:r>
        <w:rPr>
          <w:rFonts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5C7E0468">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32E93F9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4B3FB64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5FFE6B3C">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125688B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6098559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3．教导处</w:t>
      </w:r>
    </w:p>
    <w:p w14:paraId="6A7D9DE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16FD7B9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6BC40EFF">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6．体艺部</w:t>
      </w:r>
    </w:p>
    <w:p w14:paraId="0623393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7．安全办</w:t>
      </w:r>
    </w:p>
    <w:p w14:paraId="536F2E3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四川省遂宁市西眉中学</w:t>
      </w:r>
      <w:r>
        <w:rPr>
          <w:rFonts w:hint="eastAsia" w:ascii="仿宋" w:hAnsi="仿宋" w:eastAsia="仿宋"/>
          <w:sz w:val="32"/>
          <w:szCs w:val="32"/>
        </w:rPr>
        <w:t>共设有7个内设部门。</w:t>
      </w:r>
    </w:p>
    <w:p w14:paraId="02DC076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4DCE2A35">
      <w:pPr>
        <w:jc w:val="center"/>
        <w:rPr>
          <w:rFonts w:ascii="仿宋" w:hAnsi="仿宋" w:eastAsia="仿宋"/>
          <w:sz w:val="32"/>
          <w:szCs w:val="32"/>
        </w:rPr>
      </w:pPr>
      <w:r>
        <w:rPr>
          <w:rFonts w:ascii="仿宋" w:hAnsi="仿宋" w:eastAsia="仿宋"/>
          <w:sz w:val="32"/>
          <w:szCs w:val="32"/>
        </w:rPr>
        <w:t>行政办公室工作职责</w:t>
      </w:r>
    </w:p>
    <w:p w14:paraId="23C029DE">
      <w:pPr>
        <w:ind w:firstLine="640" w:firstLineChars="200"/>
        <w:rPr>
          <w:rFonts w:ascii="仿宋" w:hAnsi="仿宋" w:eastAsia="仿宋"/>
          <w:sz w:val="32"/>
          <w:szCs w:val="32"/>
        </w:rPr>
      </w:pPr>
      <w:r>
        <w:rPr>
          <w:rFonts w:ascii="仿宋" w:hAnsi="仿宋" w:eastAsia="仿宋"/>
          <w:sz w:val="32"/>
          <w:szCs w:val="32"/>
        </w:rPr>
        <w:t>行政办公室是在校长的直接领导下做好学校日常工作的部门，协助校长制订、贯彻和落实学校改革方案、工作计划；经常检查执行情况，严格执行催办制度。其职责是：</w:t>
      </w:r>
    </w:p>
    <w:p w14:paraId="5DE86899">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6DCC1DC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负责召集学校行政会议，教工大会；督促、检查、执行会议决议。做好校内会议，特别是临时性会议的准备工作。负责学校各种会议的记录工作。</w:t>
      </w:r>
    </w:p>
    <w:p w14:paraId="7D6ACC3A">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10B76B5E">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492FBF06">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3A91B25A">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34F5A413">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14:paraId="3F5D89C9">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4AC3DD19">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14:paraId="7629149F">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0A88C11D">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5481E16C">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14FD7C14">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6FA19419">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0A0C7B90">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40D82E33">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44050008">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43C8CE53">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0CD36704">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38BD0322">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6C9A6F73">
      <w:pPr>
        <w:jc w:val="center"/>
        <w:rPr>
          <w:rFonts w:ascii="仿宋" w:hAnsi="仿宋" w:eastAsia="仿宋"/>
          <w:sz w:val="32"/>
          <w:szCs w:val="32"/>
        </w:rPr>
      </w:pPr>
      <w:r>
        <w:rPr>
          <w:rFonts w:ascii="仿宋" w:hAnsi="仿宋" w:eastAsia="仿宋"/>
          <w:sz w:val="32"/>
          <w:szCs w:val="32"/>
        </w:rPr>
        <w:t>财务室工作职责</w:t>
      </w:r>
    </w:p>
    <w:p w14:paraId="51EF16B9">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2A91E9FE">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305B0497">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2D76F369">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0C7E75EC">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5C52E5FA">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151E0BBC">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43C04A1D">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29A3660C">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281E92BB">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2823C6D3">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0828529D">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0E9B097F">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4A3D6F0D">
      <w:pPr>
        <w:jc w:val="center"/>
        <w:rPr>
          <w:rFonts w:ascii="仿宋" w:hAnsi="仿宋" w:eastAsia="仿宋"/>
          <w:sz w:val="32"/>
          <w:szCs w:val="32"/>
        </w:rPr>
      </w:pPr>
      <w:r>
        <w:rPr>
          <w:rFonts w:hint="eastAsia" w:ascii="仿宋" w:hAnsi="仿宋" w:eastAsia="仿宋"/>
          <w:sz w:val="32"/>
          <w:szCs w:val="32"/>
        </w:rPr>
        <w:t>教导处</w:t>
      </w:r>
      <w:r>
        <w:rPr>
          <w:rFonts w:ascii="仿宋" w:hAnsi="仿宋" w:eastAsia="仿宋"/>
          <w:sz w:val="32"/>
          <w:szCs w:val="32"/>
        </w:rPr>
        <w:t>工作职责</w:t>
      </w:r>
    </w:p>
    <w:p w14:paraId="49E7A710">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认真完成上级及校长下达的各项工作任务；根据学校工作计划制定教务工作计划并组织实施；提出各学科教学、教辅人员工作安排方案，经校长办公会议审定后具体组织落实。</w:t>
      </w:r>
    </w:p>
    <w:p w14:paraId="6CCD73D3">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0968ECBD">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1CCEC389">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28A2813F">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77E0DE44">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26ED9895">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w:t>
      </w:r>
      <w:r>
        <w:rPr>
          <w:rFonts w:hint="eastAsia" w:ascii="仿宋" w:hAnsi="仿宋" w:eastAsia="仿宋"/>
          <w:sz w:val="32"/>
          <w:szCs w:val="32"/>
          <w:lang w:eastAsia="zh-CN"/>
        </w:rPr>
        <w:t>的其他工作</w:t>
      </w:r>
      <w:r>
        <w:rPr>
          <w:rFonts w:ascii="仿宋" w:hAnsi="仿宋" w:eastAsia="仿宋"/>
          <w:sz w:val="32"/>
          <w:szCs w:val="32"/>
        </w:rPr>
        <w:t>。</w:t>
      </w:r>
    </w:p>
    <w:p w14:paraId="2AF1CF60">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49212EF0">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71EFF0A9">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3DED89FE">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6DB39CCD">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56717A70">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6A799CAE">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31C87593">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50D8064E">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20FC8701">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32B39579">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686AC0B0">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2D2FFD51">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5CA08275">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3D849EFA">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7B3A00E9">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39FE6B6E">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264B5706">
      <w:pPr>
        <w:ind w:firstLine="640" w:firstLineChars="200"/>
        <w:rPr>
          <w:rFonts w:ascii="仿宋" w:hAnsi="仿宋" w:eastAsia="仿宋"/>
          <w:sz w:val="32"/>
          <w:szCs w:val="32"/>
        </w:rPr>
      </w:pPr>
      <w:r>
        <w:rPr>
          <w:rFonts w:ascii="仿宋" w:hAnsi="仿宋" w:eastAsia="仿宋"/>
          <w:sz w:val="32"/>
          <w:szCs w:val="32"/>
        </w:rPr>
        <w:t>一、负责全校德育工作</w:t>
      </w:r>
    </w:p>
    <w:p w14:paraId="40456090">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47EE8F01">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19EDBA1C">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403EF578">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7A4FFD8D">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3F71397C">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2AB60DFB">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0825385F">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6984A813">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5A2799A4">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14:paraId="3AA9215A">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7ED6102B">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2D8C8426">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09AA4E50">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5C1C3E0D">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7F6AECB7">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22DCED67">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1535A52A">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14:paraId="1B5F2EC9">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14:paraId="6BEE5F35">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57ABFD57">
      <w:pPr>
        <w:spacing w:line="580" w:lineRule="exact"/>
        <w:jc w:val="center"/>
        <w:rPr>
          <w:rFonts w:ascii="仿宋" w:hAnsi="仿宋" w:eastAsia="仿宋"/>
          <w:sz w:val="32"/>
          <w:szCs w:val="32"/>
        </w:rPr>
      </w:pPr>
      <w:r>
        <w:rPr>
          <w:rFonts w:hint="eastAsia" w:ascii="仿宋" w:hAnsi="仿宋" w:eastAsia="仿宋"/>
          <w:sz w:val="32"/>
          <w:szCs w:val="32"/>
        </w:rPr>
        <w:t>艺体</w:t>
      </w:r>
      <w:r>
        <w:rPr>
          <w:rFonts w:ascii="仿宋" w:hAnsi="仿宋" w:eastAsia="仿宋"/>
          <w:sz w:val="32"/>
          <w:szCs w:val="32"/>
        </w:rPr>
        <w:t>部工作职责</w:t>
      </w:r>
    </w:p>
    <w:p w14:paraId="24C63AC0">
      <w:pPr>
        <w:spacing w:line="580" w:lineRule="exact"/>
        <w:ind w:firstLine="640" w:firstLineChars="200"/>
        <w:rPr>
          <w:rFonts w:ascii="仿宋" w:hAnsi="仿宋" w:eastAsia="仿宋"/>
          <w:sz w:val="32"/>
          <w:szCs w:val="32"/>
        </w:rPr>
      </w:pPr>
      <w:r>
        <w:rPr>
          <w:rFonts w:hint="eastAsia" w:ascii="仿宋" w:hAnsi="仿宋" w:eastAsia="仿宋"/>
          <w:sz w:val="32"/>
          <w:szCs w:val="32"/>
        </w:rPr>
        <w:t>艺体部</w:t>
      </w:r>
      <w:r>
        <w:rPr>
          <w:rFonts w:ascii="仿宋" w:hAnsi="仿宋" w:eastAsia="仿宋"/>
          <w:sz w:val="32"/>
          <w:szCs w:val="32"/>
        </w:rPr>
        <w:t>负责全校艺体和科创</w:t>
      </w:r>
      <w:r>
        <w:rPr>
          <w:rFonts w:hint="eastAsia" w:ascii="仿宋" w:hAnsi="仿宋" w:eastAsia="仿宋"/>
          <w:sz w:val="32"/>
          <w:szCs w:val="32"/>
        </w:rPr>
        <w:t>、</w:t>
      </w:r>
      <w:r>
        <w:rPr>
          <w:rFonts w:ascii="仿宋" w:hAnsi="仿宋" w:eastAsia="仿宋"/>
          <w:sz w:val="32"/>
          <w:szCs w:val="32"/>
        </w:rPr>
        <w:t>信息报道</w:t>
      </w:r>
      <w:r>
        <w:rPr>
          <w:rFonts w:hint="eastAsia" w:ascii="仿宋" w:hAnsi="仿宋" w:eastAsia="仿宋"/>
          <w:sz w:val="32"/>
          <w:szCs w:val="32"/>
        </w:rPr>
        <w:t>和</w:t>
      </w:r>
      <w:r>
        <w:rPr>
          <w:rFonts w:ascii="仿宋" w:hAnsi="仿宋" w:eastAsia="仿宋"/>
          <w:sz w:val="32"/>
          <w:szCs w:val="32"/>
        </w:rPr>
        <w:t>外宣</w:t>
      </w:r>
      <w:r>
        <w:rPr>
          <w:rFonts w:hint="eastAsia" w:ascii="仿宋" w:hAnsi="仿宋" w:eastAsia="仿宋"/>
          <w:sz w:val="32"/>
          <w:szCs w:val="32"/>
        </w:rPr>
        <w:t>、</w:t>
      </w:r>
      <w:r>
        <w:rPr>
          <w:rFonts w:ascii="仿宋" w:hAnsi="仿宋" w:eastAsia="仿宋"/>
          <w:sz w:val="32"/>
          <w:szCs w:val="32"/>
        </w:rPr>
        <w:t>现代信息技术教学与管理</w:t>
      </w:r>
      <w:r>
        <w:rPr>
          <w:rFonts w:hint="eastAsia" w:ascii="仿宋" w:hAnsi="仿宋" w:eastAsia="仿宋"/>
          <w:sz w:val="32"/>
          <w:szCs w:val="32"/>
        </w:rPr>
        <w:t>、</w:t>
      </w:r>
      <w:r>
        <w:rPr>
          <w:rFonts w:ascii="仿宋" w:hAnsi="仿宋" w:eastAsia="仿宋"/>
          <w:sz w:val="32"/>
          <w:szCs w:val="32"/>
        </w:rPr>
        <w:t>校园网站和微信平台管理建设</w:t>
      </w:r>
      <w:r>
        <w:rPr>
          <w:rFonts w:hint="eastAsia" w:ascii="仿宋" w:hAnsi="仿宋" w:eastAsia="仿宋"/>
          <w:sz w:val="32"/>
          <w:szCs w:val="32"/>
        </w:rPr>
        <w:t>、</w:t>
      </w:r>
      <w:r>
        <w:rPr>
          <w:rFonts w:ascii="仿宋" w:hAnsi="仿宋" w:eastAsia="仿宋"/>
          <w:sz w:val="32"/>
          <w:szCs w:val="32"/>
        </w:rPr>
        <w:t>智慧教育实践研究等：</w:t>
      </w:r>
    </w:p>
    <w:p w14:paraId="18DFDD60">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建立健全艺体工作管理制度。</w:t>
      </w:r>
    </w:p>
    <w:p w14:paraId="0A515CF0">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组织管理学校艺体教学和</w:t>
      </w:r>
      <w:r>
        <w:rPr>
          <w:rFonts w:hint="eastAsia" w:ascii="仿宋" w:hAnsi="仿宋" w:eastAsia="仿宋"/>
          <w:sz w:val="32"/>
          <w:szCs w:val="32"/>
        </w:rPr>
        <w:t>科创</w:t>
      </w:r>
      <w:r>
        <w:rPr>
          <w:rFonts w:ascii="仿宋" w:hAnsi="仿宋" w:eastAsia="仿宋"/>
          <w:sz w:val="32"/>
          <w:szCs w:val="32"/>
        </w:rPr>
        <w:t>教育。</w:t>
      </w:r>
    </w:p>
    <w:p w14:paraId="4967BDEF">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安排好学生的课外体育活动。</w:t>
      </w:r>
    </w:p>
    <w:p w14:paraId="63A8F375">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抓好艺体及科创</w:t>
      </w:r>
      <w:r>
        <w:rPr>
          <w:rFonts w:hint="eastAsia" w:ascii="仿宋" w:hAnsi="仿宋" w:eastAsia="仿宋"/>
          <w:sz w:val="32"/>
          <w:szCs w:val="32"/>
        </w:rPr>
        <w:t>活动</w:t>
      </w:r>
      <w:r>
        <w:rPr>
          <w:rFonts w:ascii="仿宋" w:hAnsi="仿宋" w:eastAsia="仿宋"/>
          <w:sz w:val="32"/>
          <w:szCs w:val="32"/>
        </w:rPr>
        <w:t>参赛工作，负责艺体特长生的人才培养与专业训练。</w:t>
      </w:r>
    </w:p>
    <w:p w14:paraId="5D548DBC">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.负责</w:t>
      </w:r>
      <w:r>
        <w:rPr>
          <w:rFonts w:ascii="仿宋" w:hAnsi="仿宋" w:eastAsia="仿宋"/>
          <w:sz w:val="32"/>
          <w:szCs w:val="32"/>
        </w:rPr>
        <w:t>利用学校网站及微信公众平台实时开展宣传报道等外宣工作。</w:t>
      </w:r>
    </w:p>
    <w:p w14:paraId="361E6870">
      <w:pPr>
        <w:spacing w:line="580" w:lineRule="exact"/>
        <w:ind w:firstLine="640" w:firstLineChars="200"/>
        <w:rPr>
          <w:rFonts w:ascii="仿宋" w:hAnsi="仿宋" w:eastAsia="仿宋"/>
          <w:sz w:val="32"/>
          <w:szCs w:val="32"/>
        </w:rPr>
      </w:pPr>
      <w:r>
        <w:rPr>
          <w:rFonts w:hint="eastAsia" w:ascii="仿宋" w:hAnsi="仿宋" w:eastAsia="仿宋"/>
          <w:sz w:val="32"/>
          <w:szCs w:val="32"/>
        </w:rPr>
        <w:t>6.加强对学校科创教学活动的指导和研究，开展智慧教育实践研究，做好过程管理及资料归档工作。</w:t>
      </w:r>
    </w:p>
    <w:p w14:paraId="7804DC45">
      <w:pPr>
        <w:spacing w:line="580" w:lineRule="exact"/>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抓好艺体教师的思想品德、文化修养和业务培训，提高专业素质。</w:t>
      </w:r>
    </w:p>
    <w:p w14:paraId="5746C278">
      <w:pPr>
        <w:spacing w:line="580" w:lineRule="exact"/>
        <w:jc w:val="center"/>
        <w:rPr>
          <w:rFonts w:ascii="仿宋" w:hAnsi="仿宋" w:eastAsia="仿宋"/>
          <w:sz w:val="32"/>
          <w:szCs w:val="32"/>
        </w:rPr>
      </w:pPr>
      <w:r>
        <w:rPr>
          <w:rFonts w:ascii="仿宋" w:hAnsi="仿宋" w:eastAsia="仿宋"/>
          <w:sz w:val="32"/>
          <w:szCs w:val="32"/>
        </w:rPr>
        <w:t>安全办工作职责</w:t>
      </w:r>
    </w:p>
    <w:p w14:paraId="7CEB2880">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5239493F">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06FBCDAE">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67126D90">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法治宣传教育</w:t>
      </w:r>
      <w:r>
        <w:rPr>
          <w:rFonts w:ascii="仿宋" w:hAnsi="仿宋" w:eastAsia="仿宋"/>
          <w:sz w:val="32"/>
          <w:szCs w:val="32"/>
        </w:rPr>
        <w:t>，增强师生员工</w:t>
      </w:r>
      <w:r>
        <w:rPr>
          <w:rFonts w:hint="eastAsia" w:ascii="仿宋" w:hAnsi="仿宋" w:eastAsia="仿宋"/>
          <w:sz w:val="32"/>
          <w:szCs w:val="32"/>
          <w:lang w:eastAsia="zh-CN"/>
        </w:rPr>
        <w:t>法治观念</w:t>
      </w:r>
      <w:r>
        <w:rPr>
          <w:rFonts w:ascii="仿宋" w:hAnsi="仿宋" w:eastAsia="仿宋"/>
          <w:sz w:val="32"/>
          <w:szCs w:val="32"/>
        </w:rPr>
        <w:t>，预防和减少违法犯罪行为。</w:t>
      </w:r>
    </w:p>
    <w:p w14:paraId="303C23ED">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62F466E3">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60A8F76E">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2408C725">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03EC75D8">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2D9740B4">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418DDAD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6355CF49">
      <w:pPr>
        <w:widowControl/>
        <w:adjustRightInd w:val="0"/>
        <w:snapToGrid w:val="0"/>
        <w:spacing w:line="560" w:lineRule="exact"/>
        <w:ind w:firstLine="640" w:firstLineChars="200"/>
        <w:contextualSpacing/>
        <w:jc w:val="left"/>
        <w:rPr>
          <w:rFonts w:ascii="仿宋" w:hAnsi="仿宋" w:eastAsia="仿宋"/>
          <w:color w:val="auto"/>
          <w:sz w:val="32"/>
          <w:szCs w:val="32"/>
        </w:rPr>
      </w:pPr>
      <w:r>
        <w:rPr>
          <w:rFonts w:hint="eastAsia" w:ascii="仿宋" w:hAnsi="仿宋" w:eastAsia="仿宋"/>
          <w:color w:val="auto"/>
          <w:sz w:val="32"/>
          <w:szCs w:val="32"/>
          <w:lang w:eastAsia="zh-CN"/>
        </w:rPr>
        <w:t>四川省遂宁市西眉中学年初在职教师244人，年末在职教师232人，退休7人，调出16人，辞职4人，调入11人，新聘4人。年初退休教师52人，死亡3人,新增退休7人，年末退休教师56人。</w:t>
      </w:r>
    </w:p>
    <w:p w14:paraId="32C350C9">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14:paraId="1432341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14:paraId="2A47AB86">
      <w:pPr>
        <w:widowControl/>
        <w:adjustRightInd w:val="0"/>
        <w:snapToGrid w:val="0"/>
        <w:spacing w:line="560" w:lineRule="exact"/>
        <w:ind w:firstLine="640" w:firstLineChars="200"/>
        <w:contextualSpacing/>
        <w:jc w:val="left"/>
        <w:rPr>
          <w:rFonts w:hint="eastAsia" w:ascii="仿宋" w:hAnsi="仿宋" w:eastAsia="仿宋" w:cs="Times New Roman"/>
          <w:color w:val="auto"/>
          <w:sz w:val="32"/>
          <w:szCs w:val="32"/>
          <w:lang w:eastAsia="zh-CN"/>
        </w:rPr>
      </w:pPr>
      <w:r>
        <w:rPr>
          <w:rFonts w:hint="eastAsia" w:ascii="仿宋" w:hAnsi="仿宋" w:eastAsia="仿宋"/>
          <w:sz w:val="32"/>
          <w:szCs w:val="32"/>
        </w:rPr>
        <w:t>2023年度本年</w:t>
      </w:r>
      <w:r>
        <w:rPr>
          <w:rFonts w:hint="eastAsia" w:ascii="仿宋" w:hAnsi="仿宋" w:eastAsia="仿宋" w:cs="Times New Roman"/>
          <w:color w:val="auto"/>
          <w:sz w:val="32"/>
          <w:szCs w:val="32"/>
          <w:lang w:eastAsia="zh-CN"/>
        </w:rPr>
        <w:t>收入合计4809.69万元，其中：一般公共预算财政拨款收入4655.59万元，占96.79%；事业收入154.1万元，占3.2%。</w:t>
      </w:r>
    </w:p>
    <w:p w14:paraId="18C006FD">
      <w:pPr>
        <w:widowControl/>
        <w:adjustRightInd w:val="0"/>
        <w:snapToGrid w:val="0"/>
        <w:spacing w:line="560" w:lineRule="exact"/>
        <w:ind w:firstLine="640" w:firstLineChars="200"/>
        <w:contextualSpacing/>
        <w:jc w:val="left"/>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部门财政资金支出情况。</w:t>
      </w:r>
    </w:p>
    <w:p w14:paraId="4633409C">
      <w:pPr>
        <w:widowControl/>
        <w:adjustRightInd w:val="0"/>
        <w:snapToGrid w:val="0"/>
        <w:spacing w:line="560" w:lineRule="exact"/>
        <w:ind w:firstLine="640" w:firstLineChars="200"/>
        <w:contextualSpacing/>
        <w:jc w:val="left"/>
        <w:rPr>
          <w:rFonts w:hint="eastAsia" w:ascii="仿宋" w:hAnsi="仿宋" w:eastAsia="仿宋" w:cs="Times New Roman"/>
          <w:color w:val="auto"/>
          <w:sz w:val="32"/>
          <w:szCs w:val="32"/>
          <w:lang w:eastAsia="zh-CN"/>
        </w:rPr>
      </w:pPr>
      <w:r>
        <w:rPr>
          <w:rFonts w:hint="eastAsia" w:ascii="仿宋" w:hAnsi="仿宋" w:eastAsia="仿宋" w:cs="Times New Roman"/>
          <w:color w:val="auto"/>
          <w:sz w:val="32"/>
          <w:szCs w:val="32"/>
          <w:lang w:eastAsia="zh-CN"/>
        </w:rPr>
        <w:t>2023年度本年支出合计4809.69万元，其中：基本支出4129.51万元，占85.85%；项目支出680.18万元，占14.1</w:t>
      </w:r>
      <w:r>
        <w:rPr>
          <w:rFonts w:hint="eastAsia" w:ascii="仿宋" w:hAnsi="仿宋" w:eastAsia="仿宋" w:cs="Times New Roman"/>
          <w:color w:val="auto"/>
          <w:sz w:val="32"/>
          <w:szCs w:val="32"/>
          <w:lang w:val="en-US" w:eastAsia="zh-CN"/>
        </w:rPr>
        <w:t>5</w:t>
      </w:r>
      <w:r>
        <w:rPr>
          <w:rFonts w:hint="eastAsia" w:ascii="仿宋" w:hAnsi="仿宋" w:eastAsia="仿宋" w:cs="Times New Roman"/>
          <w:color w:val="auto"/>
          <w:sz w:val="32"/>
          <w:szCs w:val="32"/>
          <w:lang w:eastAsia="zh-CN"/>
        </w:rPr>
        <w:t>%。三、部门整体预算绩效管理情况</w:t>
      </w:r>
    </w:p>
    <w:p w14:paraId="4928873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7FE6E3D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四川省遂宁市西眉中学</w:t>
      </w:r>
      <w:r>
        <w:rPr>
          <w:rFonts w:hint="eastAsia" w:ascii="仿宋" w:hAnsi="仿宋" w:eastAsia="仿宋"/>
          <w:sz w:val="32"/>
          <w:szCs w:val="32"/>
        </w:rPr>
        <w:t>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3BB18728">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30AC71B9">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lang w:eastAsia="zh-CN"/>
        </w:rPr>
        <w:t>四川省遂宁市西眉中学</w:t>
      </w:r>
      <w:r>
        <w:rPr>
          <w:rFonts w:hint="eastAsia" w:ascii="仿宋" w:hAnsi="仿宋" w:eastAsia="仿宋"/>
          <w:sz w:val="32"/>
          <w:szCs w:val="32"/>
        </w:rPr>
        <w:t>认真履职尽责，认真完成项目任务，所有项目均开展绩效评价，评价效果良好，对于财政预算资金多次接受省、市、区的检查，所有资金的支出，接受财政部门的监督管理，圆满完成2023年的目标任务。</w:t>
      </w:r>
    </w:p>
    <w:p w14:paraId="54DAA3B6">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四、评价结论及建议</w:t>
      </w:r>
    </w:p>
    <w:p w14:paraId="0CC5663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（一）评价结论。</w:t>
      </w:r>
    </w:p>
    <w:p w14:paraId="2BF0FD9D">
      <w:pPr>
        <w:widowControl/>
        <w:numPr>
          <w:ilvl w:val="0"/>
          <w:numId w:val="5"/>
        </w:numPr>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lang w:eastAsia="zh-CN"/>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100分 。</w:t>
      </w:r>
    </w:p>
    <w:p w14:paraId="5844A9C2">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（四）改进建议。</w:t>
      </w:r>
    </w:p>
    <w:p w14:paraId="0AE40970">
      <w:pPr>
        <w:spacing w:line="560" w:lineRule="exact"/>
        <w:ind w:firstLine="640" w:firstLineChars="200"/>
        <w:rPr>
          <w:rFonts w:ascii="仿宋" w:hAnsi="仿宋" w:eastAsia="仿宋"/>
          <w:sz w:val="32"/>
          <w:szCs w:val="32"/>
        </w:rPr>
      </w:pPr>
      <w:r>
        <w:rPr>
          <w:rFonts w:hint="eastAsia" w:ascii="仿宋" w:hAnsi="仿宋" w:eastAsia="仿宋"/>
          <w:sz w:val="32"/>
          <w:szCs w:val="32"/>
        </w:rPr>
        <w:t>向主管部门汇报情况，争取上级或本级资金，加快校园建设，完善教学基础设施，更新教学理念。提高学生的竞争能力，保住生源。</w:t>
      </w:r>
    </w:p>
    <w:tbl>
      <w:tblPr>
        <w:tblStyle w:val="17"/>
        <w:tblW w:w="90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24"/>
        <w:gridCol w:w="875"/>
        <w:gridCol w:w="936"/>
        <w:gridCol w:w="460"/>
        <w:gridCol w:w="516"/>
        <w:gridCol w:w="396"/>
        <w:gridCol w:w="912"/>
        <w:gridCol w:w="486"/>
        <w:gridCol w:w="486"/>
        <w:gridCol w:w="2033"/>
      </w:tblGrid>
      <w:tr w14:paraId="73CB5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EECB1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60E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B92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9FA2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51090421R000000042930-第一书记、驻村工作队补助</w:t>
            </w:r>
          </w:p>
        </w:tc>
      </w:tr>
      <w:tr w14:paraId="03E6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D71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ACC5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42BC672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FF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54FC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32A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069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DC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C160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4EF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B6BA9">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32F40">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65F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E02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320D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DB741">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0E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E270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w:t>
            </w:r>
            <w:r>
              <w:rPr>
                <w:rFonts w:hint="eastAsia" w:ascii="宋体" w:hAnsi="宋体" w:cs="宋体"/>
                <w:i w:val="0"/>
                <w:iCs w:val="0"/>
                <w:color w:val="000000"/>
                <w:kern w:val="0"/>
                <w:sz w:val="18"/>
                <w:szCs w:val="18"/>
                <w:u w:val="none"/>
                <w:lang w:val="en-US" w:eastAsia="zh-CN" w:bidi="ar"/>
              </w:rPr>
              <w:t>发放和社保</w:t>
            </w:r>
            <w:r>
              <w:rPr>
                <w:rFonts w:ascii="宋体" w:hAnsi="宋体" w:eastAsia="宋体" w:cs="宋体"/>
                <w:i w:val="0"/>
                <w:iCs w:val="0"/>
                <w:color w:val="000000"/>
                <w:kern w:val="0"/>
                <w:sz w:val="18"/>
                <w:szCs w:val="18"/>
                <w:u w:val="none"/>
                <w:lang w:val="en-US" w:eastAsia="zh-CN" w:bidi="ar"/>
              </w:rPr>
              <w:t>及时、足额缴纳，预算编制科学合理，减少结余资金。</w:t>
            </w:r>
          </w:p>
        </w:tc>
      </w:tr>
      <w:tr w14:paraId="6F5D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08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3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8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A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3B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4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0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D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5E6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0698">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E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1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A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64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A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6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9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74A5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99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9E521">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8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B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F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1B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C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8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0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5477">
            <w:pPr>
              <w:rPr>
                <w:rFonts w:hint="eastAsia" w:ascii="黑体" w:hAnsi="黑体" w:eastAsia="黑体" w:cs="黑体"/>
                <w:i/>
                <w:iCs/>
                <w:color w:val="000000"/>
                <w:sz w:val="18"/>
                <w:szCs w:val="18"/>
                <w:u w:val="none"/>
              </w:rPr>
            </w:pPr>
          </w:p>
        </w:tc>
      </w:tr>
      <w:tr w14:paraId="3CBA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58F2">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2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2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D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AD08F">
            <w:pPr>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67" w:name="_GoBack"/>
            <w:bookmarkEnd w:id="67"/>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1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6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D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D6CF">
            <w:pPr>
              <w:rPr>
                <w:rFonts w:hint="eastAsia" w:ascii="黑体" w:hAnsi="黑体" w:eastAsia="黑体" w:cs="黑体"/>
                <w:i/>
                <w:iCs/>
                <w:color w:val="000000"/>
                <w:sz w:val="18"/>
                <w:szCs w:val="18"/>
                <w:u w:val="none"/>
              </w:rPr>
            </w:pPr>
          </w:p>
        </w:tc>
      </w:tr>
      <w:tr w14:paraId="4F2B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FD90">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C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E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87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9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1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D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36277">
            <w:pPr>
              <w:rPr>
                <w:rFonts w:hint="eastAsia" w:ascii="黑体" w:hAnsi="黑体" w:eastAsia="黑体" w:cs="黑体"/>
                <w:i/>
                <w:iCs/>
                <w:color w:val="000000"/>
                <w:sz w:val="18"/>
                <w:szCs w:val="18"/>
                <w:u w:val="none"/>
              </w:rPr>
            </w:pPr>
          </w:p>
        </w:tc>
      </w:tr>
      <w:tr w14:paraId="67FA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FFB9">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0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C931">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89E3">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C3B26">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CDAE">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5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D9D4">
            <w:pPr>
              <w:rPr>
                <w:rFonts w:hint="eastAsia" w:ascii="黑体" w:hAnsi="黑体" w:eastAsia="黑体" w:cs="黑体"/>
                <w:i/>
                <w:iCs/>
                <w:color w:val="000000"/>
                <w:sz w:val="18"/>
                <w:szCs w:val="18"/>
                <w:u w:val="none"/>
              </w:rPr>
            </w:pPr>
          </w:p>
        </w:tc>
      </w:tr>
      <w:tr w14:paraId="72B2E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A5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5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1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C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0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3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2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2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0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C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AF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2024F">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6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0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8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0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4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A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C87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B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6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5B2E">
            <w:pPr>
              <w:jc w:val="center"/>
              <w:rPr>
                <w:rFonts w:hint="eastAsia" w:ascii="微软雅黑" w:hAnsi="微软雅黑" w:eastAsia="微软雅黑" w:cs="微软雅黑"/>
                <w:i/>
                <w:iCs/>
                <w:color w:val="000000"/>
                <w:sz w:val="16"/>
                <w:szCs w:val="16"/>
                <w:u w:val="none"/>
              </w:rPr>
            </w:pPr>
          </w:p>
        </w:tc>
      </w:tr>
      <w:tr w14:paraId="6E59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B6D16">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C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D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C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9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7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A15A">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7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E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9AD0">
            <w:pPr>
              <w:jc w:val="center"/>
              <w:rPr>
                <w:rFonts w:hint="eastAsia" w:ascii="微软雅黑" w:hAnsi="微软雅黑" w:eastAsia="微软雅黑" w:cs="微软雅黑"/>
                <w:i/>
                <w:iCs/>
                <w:color w:val="000000"/>
                <w:sz w:val="16"/>
                <w:szCs w:val="16"/>
                <w:u w:val="none"/>
              </w:rPr>
            </w:pPr>
          </w:p>
        </w:tc>
      </w:tr>
      <w:tr w14:paraId="7038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D13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F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D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907A">
            <w:pPr>
              <w:rPr>
                <w:rFonts w:hint="eastAsia" w:ascii="宋体" w:hAnsi="宋体" w:eastAsia="宋体" w:cs="宋体"/>
                <w:i w:val="0"/>
                <w:iCs w:val="0"/>
                <w:color w:val="000000"/>
                <w:sz w:val="18"/>
                <w:szCs w:val="18"/>
                <w:u w:val="none"/>
              </w:rPr>
            </w:pPr>
          </w:p>
        </w:tc>
      </w:tr>
      <w:tr w14:paraId="404F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0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B029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6FBC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4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52DB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BF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9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ACE7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6B1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861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915F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3302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78C964B">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30E811A4">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628B8971">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316B8AF9">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104EC19B">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69A0D62F">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504B356B">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045D4B7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446DB9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5158844">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0580AA28">
            <w:pPr>
              <w:rPr>
                <w:rFonts w:hint="eastAsia" w:ascii="宋体" w:hAnsi="宋体" w:eastAsia="宋体" w:cs="宋体"/>
                <w:i w:val="0"/>
                <w:iCs w:val="0"/>
                <w:color w:val="000000"/>
                <w:sz w:val="18"/>
                <w:szCs w:val="18"/>
                <w:u w:val="none"/>
              </w:rPr>
            </w:pPr>
          </w:p>
        </w:tc>
      </w:tr>
      <w:tr w14:paraId="6629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B3700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436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DD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7C2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51090422T000006718821-2012年义务教育校舍维修改造中央专项资金-新建学生宿舍</w:t>
            </w:r>
          </w:p>
        </w:tc>
      </w:tr>
      <w:tr w14:paraId="5EEA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3D1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5E7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59AED58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16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794A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8AF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5C3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AC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9F88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9C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9576">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4771C">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28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按时按质完成了2012年义务教育校舍维修改造中央专项资金-新建学生宿舍资金项目支出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B9F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5F98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FD73">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BC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169C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按时按质完成了2012年义务教育校舍维修改造中央专项资金-新建学生宿舍项目支出</w:t>
            </w:r>
          </w:p>
        </w:tc>
      </w:tr>
      <w:tr w14:paraId="4EBA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E8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9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6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6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F2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3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3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2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F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A3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65CD">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3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A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F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FE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C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1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0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57D4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2AE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C3A7B">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E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F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2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C7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F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9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2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21BA">
            <w:pPr>
              <w:rPr>
                <w:rFonts w:hint="eastAsia" w:ascii="黑体" w:hAnsi="黑体" w:eastAsia="黑体" w:cs="黑体"/>
                <w:i/>
                <w:iCs/>
                <w:color w:val="000000"/>
                <w:sz w:val="18"/>
                <w:szCs w:val="18"/>
                <w:u w:val="none"/>
              </w:rPr>
            </w:pPr>
          </w:p>
        </w:tc>
      </w:tr>
      <w:tr w14:paraId="23D7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5524">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4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F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0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30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D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B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B485F">
            <w:pPr>
              <w:rPr>
                <w:rFonts w:hint="eastAsia" w:ascii="黑体" w:hAnsi="黑体" w:eastAsia="黑体" w:cs="黑体"/>
                <w:i/>
                <w:iCs/>
                <w:color w:val="000000"/>
                <w:sz w:val="18"/>
                <w:szCs w:val="18"/>
                <w:u w:val="none"/>
              </w:rPr>
            </w:pPr>
          </w:p>
        </w:tc>
      </w:tr>
      <w:tr w14:paraId="42E5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CA14">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B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7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F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98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6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8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5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AEF1">
            <w:pPr>
              <w:rPr>
                <w:rFonts w:hint="eastAsia" w:ascii="黑体" w:hAnsi="黑体" w:eastAsia="黑体" w:cs="黑体"/>
                <w:i/>
                <w:iCs/>
                <w:color w:val="000000"/>
                <w:sz w:val="18"/>
                <w:szCs w:val="18"/>
                <w:u w:val="none"/>
              </w:rPr>
            </w:pPr>
          </w:p>
        </w:tc>
      </w:tr>
      <w:tr w14:paraId="2B10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C8395">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3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848B">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198D">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250E8">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015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6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2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C4C8">
            <w:pPr>
              <w:rPr>
                <w:rFonts w:hint="eastAsia" w:ascii="黑体" w:hAnsi="黑体" w:eastAsia="黑体" w:cs="黑体"/>
                <w:i/>
                <w:iCs/>
                <w:color w:val="000000"/>
                <w:sz w:val="18"/>
                <w:szCs w:val="18"/>
                <w:u w:val="none"/>
              </w:rPr>
            </w:pPr>
          </w:p>
        </w:tc>
      </w:tr>
      <w:tr w14:paraId="68EF0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F8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1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E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6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A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6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7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4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4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B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05D9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CDBD7">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97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63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EC7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D6D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0A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11C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6E5E">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D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094B">
            <w:pPr>
              <w:jc w:val="center"/>
              <w:rPr>
                <w:rFonts w:hint="eastAsia" w:ascii="微软雅黑" w:hAnsi="微软雅黑" w:eastAsia="微软雅黑" w:cs="微软雅黑"/>
                <w:i/>
                <w:iCs/>
                <w:color w:val="000000"/>
                <w:sz w:val="16"/>
                <w:szCs w:val="16"/>
                <w:u w:val="none"/>
              </w:rPr>
            </w:pPr>
          </w:p>
        </w:tc>
      </w:tr>
      <w:tr w14:paraId="57DB0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937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D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7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2289">
            <w:pPr>
              <w:rPr>
                <w:rFonts w:hint="eastAsia" w:ascii="宋体" w:hAnsi="宋体" w:eastAsia="宋体" w:cs="宋体"/>
                <w:i w:val="0"/>
                <w:iCs w:val="0"/>
                <w:color w:val="000000"/>
                <w:sz w:val="18"/>
                <w:szCs w:val="18"/>
                <w:u w:val="none"/>
              </w:rPr>
            </w:pPr>
          </w:p>
        </w:tc>
      </w:tr>
      <w:tr w14:paraId="40B3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5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6936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0696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A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A363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A7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A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893C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B3ED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63B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32C0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23239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1C0F580A">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727501B7">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58695EC4">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6F55AB3D">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77EBAA4D">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7F7B0D11">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69F03E4B">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366E42D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948DC5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3752241">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39C5911B">
            <w:pPr>
              <w:rPr>
                <w:rFonts w:hint="eastAsia" w:ascii="宋体" w:hAnsi="宋体" w:eastAsia="宋体" w:cs="宋体"/>
                <w:i w:val="0"/>
                <w:iCs w:val="0"/>
                <w:color w:val="000000"/>
                <w:sz w:val="18"/>
                <w:szCs w:val="18"/>
                <w:u w:val="none"/>
              </w:rPr>
            </w:pPr>
          </w:p>
        </w:tc>
      </w:tr>
      <w:tr w14:paraId="4D095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74122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7A0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682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E1DD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2A6CA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2F0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1C7F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6752A0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44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54A5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ED3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0A7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8C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0ED24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60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BE5B">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629BE">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24ED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按时按质完成了义务教育家庭经济困难学生生活补助项目支出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AFA29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635A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C9C7">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21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C178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按时按质完成了义务教育家庭经济困难学生生活补助项目支出</w:t>
            </w:r>
          </w:p>
        </w:tc>
      </w:tr>
      <w:tr w14:paraId="51F9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AC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6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1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E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8B1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B7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E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B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62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A1FE">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9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8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7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30.44</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C3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3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8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2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8D46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D9A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FCB8">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3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3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30.44</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43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1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5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D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189F">
            <w:pPr>
              <w:rPr>
                <w:rFonts w:hint="eastAsia" w:ascii="黑体" w:hAnsi="黑体" w:eastAsia="黑体" w:cs="黑体"/>
                <w:i/>
                <w:iCs/>
                <w:color w:val="000000"/>
                <w:sz w:val="18"/>
                <w:szCs w:val="18"/>
                <w:u w:val="none"/>
              </w:rPr>
            </w:pPr>
          </w:p>
        </w:tc>
      </w:tr>
      <w:tr w14:paraId="37513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0AEF">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6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1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D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F4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4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F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A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09F5">
            <w:pPr>
              <w:rPr>
                <w:rFonts w:hint="eastAsia" w:ascii="黑体" w:hAnsi="黑体" w:eastAsia="黑体" w:cs="黑体"/>
                <w:i/>
                <w:iCs/>
                <w:color w:val="000000"/>
                <w:sz w:val="18"/>
                <w:szCs w:val="18"/>
                <w:u w:val="none"/>
              </w:rPr>
            </w:pPr>
          </w:p>
        </w:tc>
      </w:tr>
      <w:tr w14:paraId="28D86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72AC">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4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1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1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28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6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2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8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AA7EB">
            <w:pPr>
              <w:rPr>
                <w:rFonts w:hint="eastAsia" w:ascii="黑体" w:hAnsi="黑体" w:eastAsia="黑体" w:cs="黑体"/>
                <w:i/>
                <w:iCs/>
                <w:color w:val="000000"/>
                <w:sz w:val="18"/>
                <w:szCs w:val="18"/>
                <w:u w:val="none"/>
              </w:rPr>
            </w:pPr>
          </w:p>
        </w:tc>
      </w:tr>
      <w:tr w14:paraId="7ED4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41E80">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A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3956">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A638">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0B646">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0C9E">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B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6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7513">
            <w:pPr>
              <w:rPr>
                <w:rFonts w:hint="eastAsia" w:ascii="黑体" w:hAnsi="黑体" w:eastAsia="黑体" w:cs="黑体"/>
                <w:i/>
                <w:iCs/>
                <w:color w:val="000000"/>
                <w:sz w:val="18"/>
                <w:szCs w:val="18"/>
                <w:u w:val="none"/>
              </w:rPr>
            </w:pPr>
          </w:p>
        </w:tc>
      </w:tr>
      <w:tr w14:paraId="5868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CF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6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8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A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1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4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1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A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E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E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0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99D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79B9">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1F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059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A3D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48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0B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14B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9CB">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1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B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F731">
            <w:pPr>
              <w:jc w:val="center"/>
              <w:rPr>
                <w:rFonts w:hint="eastAsia" w:ascii="微软雅黑" w:hAnsi="微软雅黑" w:eastAsia="微软雅黑" w:cs="微软雅黑"/>
                <w:i/>
                <w:iCs/>
                <w:color w:val="000000"/>
                <w:sz w:val="16"/>
                <w:szCs w:val="16"/>
                <w:u w:val="none"/>
              </w:rPr>
            </w:pPr>
          </w:p>
        </w:tc>
      </w:tr>
      <w:tr w14:paraId="0F586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3B2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E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1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B75E">
            <w:pPr>
              <w:rPr>
                <w:rFonts w:hint="eastAsia" w:ascii="宋体" w:hAnsi="宋体" w:eastAsia="宋体" w:cs="宋体"/>
                <w:i w:val="0"/>
                <w:iCs w:val="0"/>
                <w:color w:val="000000"/>
                <w:sz w:val="18"/>
                <w:szCs w:val="18"/>
                <w:u w:val="none"/>
              </w:rPr>
            </w:pPr>
          </w:p>
        </w:tc>
      </w:tr>
      <w:tr w14:paraId="2A8F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F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92B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2E5A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8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3B9C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DE9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7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C4BE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FAF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073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C8B1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4991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C5C9338">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39E78825">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5B1A8F8E">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3DE5FE15">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7E48A358">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77AF0543">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8CC1D9B">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40848CD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8EB136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9813553">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197A20D9">
            <w:pPr>
              <w:rPr>
                <w:rFonts w:hint="eastAsia" w:ascii="宋体" w:hAnsi="宋体" w:eastAsia="宋体" w:cs="宋体"/>
                <w:i w:val="0"/>
                <w:iCs w:val="0"/>
                <w:color w:val="000000"/>
                <w:sz w:val="18"/>
                <w:szCs w:val="18"/>
                <w:u w:val="none"/>
              </w:rPr>
            </w:pPr>
          </w:p>
        </w:tc>
      </w:tr>
      <w:tr w14:paraId="60FE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ADB80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6E6A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68F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86C1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51090422T000007141271-健康教室照明改造工程</w:t>
            </w:r>
          </w:p>
        </w:tc>
      </w:tr>
      <w:tr w14:paraId="0B6E1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5C8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CE9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0EFDDA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5F0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2B54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161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0EC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676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B95C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40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E98A">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9557A">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65A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按时按质完成了健康教室照明改造工程资金项目支出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819F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76F9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6D71">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73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2769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按时按质完成了健康教室照明改造工程项目支出</w:t>
            </w:r>
          </w:p>
        </w:tc>
      </w:tr>
      <w:tr w14:paraId="2327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0D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C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3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C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29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6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3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A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7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51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2F92">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1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C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D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6E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A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9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1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8F44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D3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3FAF">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5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D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5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E3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27.12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A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8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9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C756F">
            <w:pPr>
              <w:rPr>
                <w:rFonts w:hint="eastAsia" w:ascii="黑体" w:hAnsi="黑体" w:eastAsia="黑体" w:cs="黑体"/>
                <w:i/>
                <w:iCs/>
                <w:color w:val="000000"/>
                <w:sz w:val="18"/>
                <w:szCs w:val="18"/>
                <w:u w:val="none"/>
              </w:rPr>
            </w:pPr>
          </w:p>
        </w:tc>
      </w:tr>
      <w:tr w14:paraId="26C5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E983">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4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4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3A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6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C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5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FCE34">
            <w:pPr>
              <w:rPr>
                <w:rFonts w:hint="eastAsia" w:ascii="黑体" w:hAnsi="黑体" w:eastAsia="黑体" w:cs="黑体"/>
                <w:i/>
                <w:iCs/>
                <w:color w:val="000000"/>
                <w:sz w:val="18"/>
                <w:szCs w:val="18"/>
                <w:u w:val="none"/>
              </w:rPr>
            </w:pPr>
          </w:p>
        </w:tc>
      </w:tr>
      <w:tr w14:paraId="4C6C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5E64C">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4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2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091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4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C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9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196A">
            <w:pPr>
              <w:rPr>
                <w:rFonts w:hint="eastAsia" w:ascii="黑体" w:hAnsi="黑体" w:eastAsia="黑体" w:cs="黑体"/>
                <w:i/>
                <w:iCs/>
                <w:color w:val="000000"/>
                <w:sz w:val="18"/>
                <w:szCs w:val="18"/>
                <w:u w:val="none"/>
              </w:rPr>
            </w:pPr>
          </w:p>
        </w:tc>
      </w:tr>
      <w:tr w14:paraId="2953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1672">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F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605B">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18C">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5D726">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37A1">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D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5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CBE4">
            <w:pPr>
              <w:rPr>
                <w:rFonts w:hint="eastAsia" w:ascii="黑体" w:hAnsi="黑体" w:eastAsia="黑体" w:cs="黑体"/>
                <w:i/>
                <w:iCs/>
                <w:color w:val="000000"/>
                <w:sz w:val="18"/>
                <w:szCs w:val="18"/>
                <w:u w:val="none"/>
              </w:rPr>
            </w:pPr>
          </w:p>
        </w:tc>
      </w:tr>
      <w:tr w14:paraId="4E3E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EE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D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A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9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B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A4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8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7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D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7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F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D8A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7FF5">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058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519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E1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2BB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F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007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4866">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F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F1C4">
            <w:pPr>
              <w:jc w:val="center"/>
              <w:rPr>
                <w:rFonts w:hint="eastAsia" w:ascii="微软雅黑" w:hAnsi="微软雅黑" w:eastAsia="微软雅黑" w:cs="微软雅黑"/>
                <w:i/>
                <w:iCs/>
                <w:color w:val="000000"/>
                <w:sz w:val="16"/>
                <w:szCs w:val="16"/>
                <w:u w:val="none"/>
              </w:rPr>
            </w:pPr>
          </w:p>
        </w:tc>
      </w:tr>
      <w:tr w14:paraId="06EE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138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0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3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766D">
            <w:pPr>
              <w:rPr>
                <w:rFonts w:hint="eastAsia" w:ascii="宋体" w:hAnsi="宋体" w:eastAsia="宋体" w:cs="宋体"/>
                <w:i w:val="0"/>
                <w:iCs w:val="0"/>
                <w:color w:val="000000"/>
                <w:sz w:val="18"/>
                <w:szCs w:val="18"/>
                <w:u w:val="none"/>
              </w:rPr>
            </w:pPr>
          </w:p>
        </w:tc>
      </w:tr>
      <w:tr w14:paraId="0570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1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56C2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109B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8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7436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B9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0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4F9C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3C6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8CAB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F10F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45D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4A533D1">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008D6D81">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15BC9C8D">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29C60D73">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39C27FE9">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21C86FC2">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110FD16">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3165EA4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61FFD5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C9F653F">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02AA51E4">
            <w:pPr>
              <w:rPr>
                <w:rFonts w:hint="eastAsia" w:ascii="宋体" w:hAnsi="宋体" w:eastAsia="宋体" w:cs="宋体"/>
                <w:i w:val="0"/>
                <w:iCs w:val="0"/>
                <w:color w:val="000000"/>
                <w:sz w:val="18"/>
                <w:szCs w:val="18"/>
                <w:u w:val="none"/>
              </w:rPr>
            </w:pPr>
          </w:p>
        </w:tc>
      </w:tr>
      <w:tr w14:paraId="57C99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BDD99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827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C29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C0A0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51090423T000008951096-新建学生公寓楼项目1</w:t>
            </w:r>
          </w:p>
        </w:tc>
      </w:tr>
      <w:tr w14:paraId="2867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D03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3CE0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2923DE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1B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0FC2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277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667B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9A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2E1F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6E9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15159">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458C">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DBCC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按时按质完成了新建学生公寓楼项目1资金项目支出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5DAE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1213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0B997">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B1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49DE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按时按质完成了新建学生公寓楼项目1项目支出</w:t>
            </w:r>
          </w:p>
        </w:tc>
      </w:tr>
      <w:tr w14:paraId="544C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6D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4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A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9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1E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D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6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A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4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A08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5DC5">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F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9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8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F9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1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E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ACF3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83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773F">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B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D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C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3E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2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4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7DA5B">
            <w:pPr>
              <w:rPr>
                <w:rFonts w:hint="eastAsia" w:ascii="黑体" w:hAnsi="黑体" w:eastAsia="黑体" w:cs="黑体"/>
                <w:i/>
                <w:iCs/>
                <w:color w:val="000000"/>
                <w:sz w:val="18"/>
                <w:szCs w:val="18"/>
                <w:u w:val="none"/>
              </w:rPr>
            </w:pPr>
          </w:p>
        </w:tc>
      </w:tr>
      <w:tr w14:paraId="47B5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3001">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5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6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6F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9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08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7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D0AB">
            <w:pPr>
              <w:rPr>
                <w:rFonts w:hint="eastAsia" w:ascii="黑体" w:hAnsi="黑体" w:eastAsia="黑体" w:cs="黑体"/>
                <w:i/>
                <w:iCs/>
                <w:color w:val="000000"/>
                <w:sz w:val="18"/>
                <w:szCs w:val="18"/>
                <w:u w:val="none"/>
              </w:rPr>
            </w:pPr>
          </w:p>
        </w:tc>
      </w:tr>
      <w:tr w14:paraId="1381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5CB03">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2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8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53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4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B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78AB6">
            <w:pPr>
              <w:rPr>
                <w:rFonts w:hint="eastAsia" w:ascii="黑体" w:hAnsi="黑体" w:eastAsia="黑体" w:cs="黑体"/>
                <w:i/>
                <w:iCs/>
                <w:color w:val="000000"/>
                <w:sz w:val="18"/>
                <w:szCs w:val="18"/>
                <w:u w:val="none"/>
              </w:rPr>
            </w:pPr>
          </w:p>
        </w:tc>
      </w:tr>
      <w:tr w14:paraId="12A37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CFDCC">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D757">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BF74">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DF5CC">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72E7">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7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0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4D59">
            <w:pPr>
              <w:rPr>
                <w:rFonts w:hint="eastAsia" w:ascii="黑体" w:hAnsi="黑体" w:eastAsia="黑体" w:cs="黑体"/>
                <w:i/>
                <w:iCs/>
                <w:color w:val="000000"/>
                <w:sz w:val="18"/>
                <w:szCs w:val="18"/>
                <w:u w:val="none"/>
              </w:rPr>
            </w:pPr>
          </w:p>
        </w:tc>
      </w:tr>
      <w:tr w14:paraId="532C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68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3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F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6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8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D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9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2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2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7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B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14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5E2F">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0D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7C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4EF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11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F7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F72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8CB2">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0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C703">
            <w:pPr>
              <w:jc w:val="center"/>
              <w:rPr>
                <w:rFonts w:hint="eastAsia" w:ascii="微软雅黑" w:hAnsi="微软雅黑" w:eastAsia="微软雅黑" w:cs="微软雅黑"/>
                <w:i/>
                <w:iCs/>
                <w:color w:val="000000"/>
                <w:sz w:val="16"/>
                <w:szCs w:val="16"/>
                <w:u w:val="none"/>
              </w:rPr>
            </w:pPr>
          </w:p>
        </w:tc>
      </w:tr>
      <w:tr w14:paraId="2DD3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3E3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3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A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5DED">
            <w:pPr>
              <w:rPr>
                <w:rFonts w:hint="eastAsia" w:ascii="宋体" w:hAnsi="宋体" w:eastAsia="宋体" w:cs="宋体"/>
                <w:i w:val="0"/>
                <w:iCs w:val="0"/>
                <w:color w:val="000000"/>
                <w:sz w:val="18"/>
                <w:szCs w:val="18"/>
                <w:u w:val="none"/>
              </w:rPr>
            </w:pPr>
          </w:p>
        </w:tc>
      </w:tr>
      <w:tr w14:paraId="2E1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8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F9E4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2E9B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F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85CA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A8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2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5BAD6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99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52F0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EAFC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69C2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5AC0C11">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2C45F8DC">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2071DFB8">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0AC14D41">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1B6AD83A">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3B53D38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7993B3E9">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425F3A6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959BD0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7F7E51B">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11E2E2CA">
            <w:pPr>
              <w:rPr>
                <w:rFonts w:hint="eastAsia" w:ascii="宋体" w:hAnsi="宋体" w:eastAsia="宋体" w:cs="宋体"/>
                <w:i w:val="0"/>
                <w:iCs w:val="0"/>
                <w:color w:val="000000"/>
                <w:sz w:val="18"/>
                <w:szCs w:val="18"/>
                <w:u w:val="none"/>
              </w:rPr>
            </w:pPr>
          </w:p>
        </w:tc>
      </w:tr>
      <w:tr w14:paraId="0D85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D4B73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5DE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2C9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3EE7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51090423T000008951312-2021年区本级预算高考综合改革资金</w:t>
            </w:r>
          </w:p>
        </w:tc>
      </w:tr>
      <w:tr w14:paraId="7FF7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565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B8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648785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BD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68D91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569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3B6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17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E9820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CAF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E0377">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B7D9">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0FA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按时按质完成了2021年区本级预算高考综合改革资金资金项目支出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8E9C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3A93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FE5F">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5F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4234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按时按质完成了2021年区本级预算高考综合改革资金项目支出</w:t>
            </w:r>
          </w:p>
        </w:tc>
      </w:tr>
      <w:tr w14:paraId="5C3A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B3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7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0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A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C4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1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A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E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F2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32853">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2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A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19.03</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F6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5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A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5B7F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02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C5D46">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8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6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7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19.03</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71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19.03</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3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C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0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A76A6">
            <w:pPr>
              <w:rPr>
                <w:rFonts w:hint="eastAsia" w:ascii="黑体" w:hAnsi="黑体" w:eastAsia="黑体" w:cs="黑体"/>
                <w:i/>
                <w:iCs/>
                <w:color w:val="000000"/>
                <w:sz w:val="18"/>
                <w:szCs w:val="18"/>
                <w:u w:val="none"/>
              </w:rPr>
            </w:pPr>
          </w:p>
        </w:tc>
      </w:tr>
      <w:tr w14:paraId="3FB3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C609">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D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2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AF9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1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7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D3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3BBC7">
            <w:pPr>
              <w:rPr>
                <w:rFonts w:hint="eastAsia" w:ascii="黑体" w:hAnsi="黑体" w:eastAsia="黑体" w:cs="黑体"/>
                <w:i/>
                <w:iCs/>
                <w:color w:val="000000"/>
                <w:sz w:val="18"/>
                <w:szCs w:val="18"/>
                <w:u w:val="none"/>
              </w:rPr>
            </w:pPr>
          </w:p>
        </w:tc>
      </w:tr>
      <w:tr w14:paraId="5713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0ADF4">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6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7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2F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D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A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3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22D9">
            <w:pPr>
              <w:rPr>
                <w:rFonts w:hint="eastAsia" w:ascii="黑体" w:hAnsi="黑体" w:eastAsia="黑体" w:cs="黑体"/>
                <w:i/>
                <w:iCs/>
                <w:color w:val="000000"/>
                <w:sz w:val="18"/>
                <w:szCs w:val="18"/>
                <w:u w:val="none"/>
              </w:rPr>
            </w:pPr>
          </w:p>
        </w:tc>
      </w:tr>
      <w:tr w14:paraId="599A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CCE3">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CC6A">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70EE">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FCB5A">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C302">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7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5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E7382">
            <w:pPr>
              <w:rPr>
                <w:rFonts w:hint="eastAsia" w:ascii="黑体" w:hAnsi="黑体" w:eastAsia="黑体" w:cs="黑体"/>
                <w:i/>
                <w:iCs/>
                <w:color w:val="000000"/>
                <w:sz w:val="18"/>
                <w:szCs w:val="18"/>
                <w:u w:val="none"/>
              </w:rPr>
            </w:pPr>
          </w:p>
        </w:tc>
      </w:tr>
      <w:tr w14:paraId="0412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2A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8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A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4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2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A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C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2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2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F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4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B2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9A8F2">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197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3AA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9AA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3F0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7CF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28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B4EF">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0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1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45C2">
            <w:pPr>
              <w:jc w:val="center"/>
              <w:rPr>
                <w:rFonts w:hint="eastAsia" w:ascii="微软雅黑" w:hAnsi="微软雅黑" w:eastAsia="微软雅黑" w:cs="微软雅黑"/>
                <w:i/>
                <w:iCs/>
                <w:color w:val="000000"/>
                <w:sz w:val="16"/>
                <w:szCs w:val="16"/>
                <w:u w:val="none"/>
              </w:rPr>
            </w:pPr>
          </w:p>
        </w:tc>
      </w:tr>
      <w:tr w14:paraId="764F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254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8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F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F51E">
            <w:pPr>
              <w:rPr>
                <w:rFonts w:hint="eastAsia" w:ascii="宋体" w:hAnsi="宋体" w:eastAsia="宋体" w:cs="宋体"/>
                <w:i w:val="0"/>
                <w:iCs w:val="0"/>
                <w:color w:val="000000"/>
                <w:sz w:val="18"/>
                <w:szCs w:val="18"/>
                <w:u w:val="none"/>
              </w:rPr>
            </w:pPr>
          </w:p>
        </w:tc>
      </w:tr>
      <w:tr w14:paraId="4DFB9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6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634F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786F6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2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3A814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80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6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CC2DF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56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34D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7E17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66AC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C714382">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1CDF48AF">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76346B44">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638E9D4B">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68975DB7">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4124A90F">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0728EA4B">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14D05FF6">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58266E0">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2544813">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333B14CC">
            <w:pPr>
              <w:rPr>
                <w:rFonts w:hint="eastAsia" w:ascii="宋体" w:hAnsi="宋体" w:eastAsia="宋体" w:cs="宋体"/>
                <w:i w:val="0"/>
                <w:iCs w:val="0"/>
                <w:color w:val="000000"/>
                <w:sz w:val="18"/>
                <w:szCs w:val="18"/>
                <w:u w:val="none"/>
              </w:rPr>
            </w:pPr>
          </w:p>
        </w:tc>
      </w:tr>
      <w:tr w14:paraId="3947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A7BFB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BE4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617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5A32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51090423T000008951484-2021年市级教育发展专项资金(f教育综合评价奖补)</w:t>
            </w:r>
          </w:p>
        </w:tc>
      </w:tr>
      <w:tr w14:paraId="4BDA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3A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EAF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7B43E4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A4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1825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868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1EB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5D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E37C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1F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D46AD">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9253">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ACF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按时按质完成了2021年市级教育发展专项资金(f教育综合评价奖补)资金项目支出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7595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0287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B2112">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6A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10D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按时按质完成了2021年市级教育发展专项资金(f教育综合评价奖补)项目支出</w:t>
            </w:r>
          </w:p>
        </w:tc>
      </w:tr>
      <w:tr w14:paraId="23C3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75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9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B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A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A1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9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7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E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3FB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A6244">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7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C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5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97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B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7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EF02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BC6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2965">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23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1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5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71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1.65</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8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78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0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784F">
            <w:pPr>
              <w:rPr>
                <w:rFonts w:hint="eastAsia" w:ascii="黑体" w:hAnsi="黑体" w:eastAsia="黑体" w:cs="黑体"/>
                <w:i/>
                <w:iCs/>
                <w:color w:val="000000"/>
                <w:sz w:val="18"/>
                <w:szCs w:val="18"/>
                <w:u w:val="none"/>
              </w:rPr>
            </w:pPr>
          </w:p>
        </w:tc>
      </w:tr>
      <w:tr w14:paraId="31F4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692A">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3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8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6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DB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8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5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4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EA46">
            <w:pPr>
              <w:rPr>
                <w:rFonts w:hint="eastAsia" w:ascii="黑体" w:hAnsi="黑体" w:eastAsia="黑体" w:cs="黑体"/>
                <w:i/>
                <w:iCs/>
                <w:color w:val="000000"/>
                <w:sz w:val="18"/>
                <w:szCs w:val="18"/>
                <w:u w:val="none"/>
              </w:rPr>
            </w:pPr>
          </w:p>
        </w:tc>
      </w:tr>
      <w:tr w14:paraId="53AA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2BDA">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8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9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D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9D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4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8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5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22C0">
            <w:pPr>
              <w:rPr>
                <w:rFonts w:hint="eastAsia" w:ascii="黑体" w:hAnsi="黑体" w:eastAsia="黑体" w:cs="黑体"/>
                <w:i/>
                <w:iCs/>
                <w:color w:val="000000"/>
                <w:sz w:val="18"/>
                <w:szCs w:val="18"/>
                <w:u w:val="none"/>
              </w:rPr>
            </w:pPr>
          </w:p>
        </w:tc>
      </w:tr>
      <w:tr w14:paraId="52D5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427AC">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9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1F58">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0B5">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FD98C">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5F9A">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C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0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B11AA">
            <w:pPr>
              <w:rPr>
                <w:rFonts w:hint="eastAsia" w:ascii="黑体" w:hAnsi="黑体" w:eastAsia="黑体" w:cs="黑体"/>
                <w:i/>
                <w:iCs/>
                <w:color w:val="000000"/>
                <w:sz w:val="18"/>
                <w:szCs w:val="18"/>
                <w:u w:val="none"/>
              </w:rPr>
            </w:pPr>
          </w:p>
        </w:tc>
      </w:tr>
      <w:tr w14:paraId="23F8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4A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5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6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E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F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E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C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3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C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0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D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A8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1750B">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706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489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D81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C40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378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D1E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A3CA">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6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5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EE3A">
            <w:pPr>
              <w:jc w:val="center"/>
              <w:rPr>
                <w:rFonts w:hint="eastAsia" w:ascii="微软雅黑" w:hAnsi="微软雅黑" w:eastAsia="微软雅黑" w:cs="微软雅黑"/>
                <w:i/>
                <w:iCs/>
                <w:color w:val="000000"/>
                <w:sz w:val="16"/>
                <w:szCs w:val="16"/>
                <w:u w:val="none"/>
              </w:rPr>
            </w:pPr>
          </w:p>
        </w:tc>
      </w:tr>
      <w:tr w14:paraId="2048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CAD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5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E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A3A6">
            <w:pPr>
              <w:rPr>
                <w:rFonts w:hint="eastAsia" w:ascii="宋体" w:hAnsi="宋体" w:eastAsia="宋体" w:cs="宋体"/>
                <w:i w:val="0"/>
                <w:iCs w:val="0"/>
                <w:color w:val="000000"/>
                <w:sz w:val="18"/>
                <w:szCs w:val="18"/>
                <w:u w:val="none"/>
              </w:rPr>
            </w:pPr>
          </w:p>
        </w:tc>
      </w:tr>
      <w:tr w14:paraId="11A9E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7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2C02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41A5F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4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9892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C7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F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3E7D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C7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0CF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9376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7D0CC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F414BE3">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0646A558">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4E7A1153">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5A83F227">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0393E1A3">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77907AB5">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11C3619F">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100078BD">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73B33E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7F460F4">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79B38458">
            <w:pPr>
              <w:rPr>
                <w:rFonts w:hint="eastAsia" w:ascii="宋体" w:hAnsi="宋体" w:eastAsia="宋体" w:cs="宋体"/>
                <w:i w:val="0"/>
                <w:iCs w:val="0"/>
                <w:color w:val="000000"/>
                <w:sz w:val="18"/>
                <w:szCs w:val="18"/>
                <w:u w:val="none"/>
              </w:rPr>
            </w:pPr>
          </w:p>
        </w:tc>
      </w:tr>
      <w:tr w14:paraId="5E1BC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C7036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D4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9E6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BDD1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51090423T000008951522-2019年城乡义务教育校舍维修改造省级资金</w:t>
            </w:r>
          </w:p>
        </w:tc>
      </w:tr>
      <w:tr w14:paraId="28FA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31C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77C8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0FE852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73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45F9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836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247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27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06BC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91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48172">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8E288">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69B7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按时按质完成了2019年城乡义务教育校舍维修改造省级资金项目支出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02D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4B21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814D">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F3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D21D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按时按质完成了2019年城乡义务教育校舍维修改造省级资金项目支出</w:t>
            </w:r>
          </w:p>
        </w:tc>
      </w:tr>
      <w:tr w14:paraId="6F8B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89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C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3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5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1D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0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0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2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1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9F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C3A3">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0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4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C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CE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4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C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1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465D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736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F155">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B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7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3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8B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0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9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6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8740">
            <w:pPr>
              <w:rPr>
                <w:rFonts w:hint="eastAsia" w:ascii="黑体" w:hAnsi="黑体" w:eastAsia="黑体" w:cs="黑体"/>
                <w:i/>
                <w:iCs/>
                <w:color w:val="000000"/>
                <w:sz w:val="18"/>
                <w:szCs w:val="18"/>
                <w:u w:val="none"/>
              </w:rPr>
            </w:pPr>
          </w:p>
        </w:tc>
      </w:tr>
      <w:tr w14:paraId="3635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686D8">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7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2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4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09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3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F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5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4712">
            <w:pPr>
              <w:rPr>
                <w:rFonts w:hint="eastAsia" w:ascii="黑体" w:hAnsi="黑体" w:eastAsia="黑体" w:cs="黑体"/>
                <w:i/>
                <w:iCs/>
                <w:color w:val="000000"/>
                <w:sz w:val="18"/>
                <w:szCs w:val="18"/>
                <w:u w:val="none"/>
              </w:rPr>
            </w:pPr>
          </w:p>
        </w:tc>
      </w:tr>
      <w:tr w14:paraId="324A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9485D">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2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0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4D7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3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6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0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B774">
            <w:pPr>
              <w:rPr>
                <w:rFonts w:hint="eastAsia" w:ascii="黑体" w:hAnsi="黑体" w:eastAsia="黑体" w:cs="黑体"/>
                <w:i/>
                <w:iCs/>
                <w:color w:val="000000"/>
                <w:sz w:val="18"/>
                <w:szCs w:val="18"/>
                <w:u w:val="none"/>
              </w:rPr>
            </w:pPr>
          </w:p>
        </w:tc>
      </w:tr>
      <w:tr w14:paraId="15BD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3CCA">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5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C474">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9B64">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DF89A">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5021">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8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69AF">
            <w:pPr>
              <w:rPr>
                <w:rFonts w:hint="eastAsia" w:ascii="黑体" w:hAnsi="黑体" w:eastAsia="黑体" w:cs="黑体"/>
                <w:i/>
                <w:iCs/>
                <w:color w:val="000000"/>
                <w:sz w:val="18"/>
                <w:szCs w:val="18"/>
                <w:u w:val="none"/>
              </w:rPr>
            </w:pPr>
          </w:p>
        </w:tc>
      </w:tr>
      <w:tr w14:paraId="3243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62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3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F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7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8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E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8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E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B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8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54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5D78">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CAA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F7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B3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776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BA1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8D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0B9B">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A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2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48C">
            <w:pPr>
              <w:jc w:val="center"/>
              <w:rPr>
                <w:rFonts w:hint="eastAsia" w:ascii="微软雅黑" w:hAnsi="微软雅黑" w:eastAsia="微软雅黑" w:cs="微软雅黑"/>
                <w:i/>
                <w:iCs/>
                <w:color w:val="000000"/>
                <w:sz w:val="16"/>
                <w:szCs w:val="16"/>
                <w:u w:val="none"/>
              </w:rPr>
            </w:pPr>
          </w:p>
        </w:tc>
      </w:tr>
      <w:tr w14:paraId="7B90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469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3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2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5E43">
            <w:pPr>
              <w:rPr>
                <w:rFonts w:hint="eastAsia" w:ascii="宋体" w:hAnsi="宋体" w:eastAsia="宋体" w:cs="宋体"/>
                <w:i w:val="0"/>
                <w:iCs w:val="0"/>
                <w:color w:val="000000"/>
                <w:sz w:val="18"/>
                <w:szCs w:val="18"/>
                <w:u w:val="none"/>
              </w:rPr>
            </w:pPr>
          </w:p>
        </w:tc>
      </w:tr>
      <w:tr w14:paraId="2867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A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EBE1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385E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B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C0DA1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DA6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0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A5F0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175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85B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EDA0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1DF7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606FA46">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0B2B109C">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779D5359">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6383760C">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36942AFA">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6F9515E1">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0044AAEB">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194E3F5C">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7CC0DE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DEF74C2">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5C56BC3B">
            <w:pPr>
              <w:rPr>
                <w:rFonts w:hint="eastAsia" w:ascii="宋体" w:hAnsi="宋体" w:eastAsia="宋体" w:cs="宋体"/>
                <w:i w:val="0"/>
                <w:iCs w:val="0"/>
                <w:color w:val="000000"/>
                <w:sz w:val="18"/>
                <w:szCs w:val="18"/>
                <w:u w:val="none"/>
              </w:rPr>
            </w:pPr>
          </w:p>
        </w:tc>
      </w:tr>
      <w:tr w14:paraId="3FB5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4FA5C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C48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ED3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7CC8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51090423T000009404312-城乡义务教育-免作业本费</w:t>
            </w:r>
          </w:p>
        </w:tc>
      </w:tr>
      <w:tr w14:paraId="12FF9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DC2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12DD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4A8008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E1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270D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E04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322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CC2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1C4D0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AC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9F5A">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B557">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736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按时按质完成了免作业本费资金项目支出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248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476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C51B">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57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2BE0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按时按质完成了免作业本费资金项目支出</w:t>
            </w:r>
          </w:p>
        </w:tc>
      </w:tr>
      <w:tr w14:paraId="712C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49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1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6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8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50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C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3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A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325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B2381">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1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C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E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BA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8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4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F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01F6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BE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C043A">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2D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B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B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3C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4.44</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A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E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3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97D7E">
            <w:pPr>
              <w:rPr>
                <w:rFonts w:hint="eastAsia" w:ascii="黑体" w:hAnsi="黑体" w:eastAsia="黑体" w:cs="黑体"/>
                <w:i/>
                <w:iCs/>
                <w:color w:val="000000"/>
                <w:sz w:val="18"/>
                <w:szCs w:val="18"/>
                <w:u w:val="none"/>
              </w:rPr>
            </w:pPr>
          </w:p>
        </w:tc>
      </w:tr>
      <w:tr w14:paraId="25A5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E835B">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5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6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D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B7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7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F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B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E1FCA">
            <w:pPr>
              <w:rPr>
                <w:rFonts w:hint="eastAsia" w:ascii="黑体" w:hAnsi="黑体" w:eastAsia="黑体" w:cs="黑体"/>
                <w:i/>
                <w:iCs/>
                <w:color w:val="000000"/>
                <w:sz w:val="18"/>
                <w:szCs w:val="18"/>
                <w:u w:val="none"/>
              </w:rPr>
            </w:pPr>
          </w:p>
        </w:tc>
      </w:tr>
      <w:tr w14:paraId="6C17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CABE">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A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7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D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87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C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E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EF320">
            <w:pPr>
              <w:rPr>
                <w:rFonts w:hint="eastAsia" w:ascii="黑体" w:hAnsi="黑体" w:eastAsia="黑体" w:cs="黑体"/>
                <w:i/>
                <w:iCs/>
                <w:color w:val="000000"/>
                <w:sz w:val="18"/>
                <w:szCs w:val="18"/>
                <w:u w:val="none"/>
              </w:rPr>
            </w:pPr>
          </w:p>
        </w:tc>
      </w:tr>
      <w:tr w14:paraId="4C29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ADD3">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3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78E9">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8932">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D12F4">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2CC4">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A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3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7309">
            <w:pPr>
              <w:rPr>
                <w:rFonts w:hint="eastAsia" w:ascii="黑体" w:hAnsi="黑体" w:eastAsia="黑体" w:cs="黑体"/>
                <w:i/>
                <w:iCs/>
                <w:color w:val="000000"/>
                <w:sz w:val="18"/>
                <w:szCs w:val="18"/>
                <w:u w:val="none"/>
              </w:rPr>
            </w:pPr>
          </w:p>
        </w:tc>
      </w:tr>
      <w:tr w14:paraId="710E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91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E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9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1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E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2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B9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4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0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6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D44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9C2D">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BA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C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DEE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85F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8B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53B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0237">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3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6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EF7D">
            <w:pPr>
              <w:jc w:val="center"/>
              <w:rPr>
                <w:rFonts w:hint="eastAsia" w:ascii="微软雅黑" w:hAnsi="微软雅黑" w:eastAsia="微软雅黑" w:cs="微软雅黑"/>
                <w:i/>
                <w:iCs/>
                <w:color w:val="000000"/>
                <w:sz w:val="16"/>
                <w:szCs w:val="16"/>
                <w:u w:val="none"/>
              </w:rPr>
            </w:pPr>
          </w:p>
        </w:tc>
      </w:tr>
      <w:tr w14:paraId="44F33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632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4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4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A6C1">
            <w:pPr>
              <w:rPr>
                <w:rFonts w:hint="eastAsia" w:ascii="宋体" w:hAnsi="宋体" w:eastAsia="宋体" w:cs="宋体"/>
                <w:i w:val="0"/>
                <w:iCs w:val="0"/>
                <w:color w:val="000000"/>
                <w:sz w:val="18"/>
                <w:szCs w:val="18"/>
                <w:u w:val="none"/>
              </w:rPr>
            </w:pPr>
          </w:p>
        </w:tc>
      </w:tr>
      <w:tr w14:paraId="4162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3E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D848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34BC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0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F758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96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E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2FDE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BB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974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B9F6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39464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2EF1A1BA">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1D78DFB3">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1542E028">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0068B7F0">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29FB818A">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32F50CE4">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2700AFE0">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1AD76944">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FEE28B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A9E52D7">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36A1581B">
            <w:pPr>
              <w:rPr>
                <w:rFonts w:hint="eastAsia" w:ascii="宋体" w:hAnsi="宋体" w:eastAsia="宋体" w:cs="宋体"/>
                <w:i w:val="0"/>
                <w:iCs w:val="0"/>
                <w:color w:val="000000"/>
                <w:sz w:val="18"/>
                <w:szCs w:val="18"/>
                <w:u w:val="none"/>
              </w:rPr>
            </w:pPr>
          </w:p>
        </w:tc>
      </w:tr>
      <w:tr w14:paraId="75C4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E09BC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A4B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E24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0F50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51090423T000009602399-普通高中助学金</w:t>
            </w:r>
          </w:p>
        </w:tc>
      </w:tr>
      <w:tr w14:paraId="410B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88E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EF74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511E66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1B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0F51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82F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5A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39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B5D96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7C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02157">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D77F">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848C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按时按质完成了普通高中助学金资金项目支出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349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202F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3C47">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F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CAA1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按时按质完成了普通高中助学金资金项目支出</w:t>
            </w:r>
          </w:p>
        </w:tc>
      </w:tr>
      <w:tr w14:paraId="0136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C1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F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2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A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2F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4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3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4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8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62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1C9E8">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6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B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102.72</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9D0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E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5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3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E24F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63F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A25F3">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2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4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A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102.72</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9A1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102.72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6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B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3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BB11">
            <w:pPr>
              <w:rPr>
                <w:rFonts w:hint="eastAsia" w:ascii="黑体" w:hAnsi="黑体" w:eastAsia="黑体" w:cs="黑体"/>
                <w:i/>
                <w:iCs/>
                <w:color w:val="000000"/>
                <w:sz w:val="18"/>
                <w:szCs w:val="18"/>
                <w:u w:val="none"/>
              </w:rPr>
            </w:pPr>
          </w:p>
        </w:tc>
      </w:tr>
      <w:tr w14:paraId="48CB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1E97">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5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9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E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96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5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A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3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EBB9">
            <w:pPr>
              <w:rPr>
                <w:rFonts w:hint="eastAsia" w:ascii="黑体" w:hAnsi="黑体" w:eastAsia="黑体" w:cs="黑体"/>
                <w:i/>
                <w:iCs/>
                <w:color w:val="000000"/>
                <w:sz w:val="18"/>
                <w:szCs w:val="18"/>
                <w:u w:val="none"/>
              </w:rPr>
            </w:pPr>
          </w:p>
        </w:tc>
      </w:tr>
      <w:tr w14:paraId="4C3C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8ABF">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A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E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8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BE2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F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1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8B09">
            <w:pPr>
              <w:rPr>
                <w:rFonts w:hint="eastAsia" w:ascii="黑体" w:hAnsi="黑体" w:eastAsia="黑体" w:cs="黑体"/>
                <w:i/>
                <w:iCs/>
                <w:color w:val="000000"/>
                <w:sz w:val="18"/>
                <w:szCs w:val="18"/>
                <w:u w:val="none"/>
              </w:rPr>
            </w:pPr>
          </w:p>
        </w:tc>
      </w:tr>
      <w:tr w14:paraId="1029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3AE56">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9B8">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FB3D">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0BBF4">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1825">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2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6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E5429">
            <w:pPr>
              <w:rPr>
                <w:rFonts w:hint="eastAsia" w:ascii="黑体" w:hAnsi="黑体" w:eastAsia="黑体" w:cs="黑体"/>
                <w:i/>
                <w:iCs/>
                <w:color w:val="000000"/>
                <w:sz w:val="18"/>
                <w:szCs w:val="18"/>
                <w:u w:val="none"/>
              </w:rPr>
            </w:pPr>
          </w:p>
        </w:tc>
      </w:tr>
      <w:tr w14:paraId="3A1F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F7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1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4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2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0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6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0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E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7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7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15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0B1D">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8F6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6A4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91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6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425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F3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216A">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C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5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316B">
            <w:pPr>
              <w:jc w:val="center"/>
              <w:rPr>
                <w:rFonts w:hint="eastAsia" w:ascii="微软雅黑" w:hAnsi="微软雅黑" w:eastAsia="微软雅黑" w:cs="微软雅黑"/>
                <w:i/>
                <w:iCs/>
                <w:color w:val="000000"/>
                <w:sz w:val="16"/>
                <w:szCs w:val="16"/>
                <w:u w:val="none"/>
              </w:rPr>
            </w:pPr>
          </w:p>
        </w:tc>
      </w:tr>
      <w:tr w14:paraId="35B1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6C99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1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8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5A5D">
            <w:pPr>
              <w:rPr>
                <w:rFonts w:hint="eastAsia" w:ascii="宋体" w:hAnsi="宋体" w:eastAsia="宋体" w:cs="宋体"/>
                <w:i w:val="0"/>
                <w:iCs w:val="0"/>
                <w:color w:val="000000"/>
                <w:sz w:val="18"/>
                <w:szCs w:val="18"/>
                <w:u w:val="none"/>
              </w:rPr>
            </w:pPr>
          </w:p>
        </w:tc>
      </w:tr>
      <w:tr w14:paraId="371B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7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8704D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5E96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3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2F33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10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3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37E4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2D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FC2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81D5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5EF9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31F5667">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2C2C2893">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144D563E">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3A28CE14">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7B5BA90B">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55011C79">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F61248B">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6D472999">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D67885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904BAE4">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5C984ADF">
            <w:pPr>
              <w:rPr>
                <w:rFonts w:hint="eastAsia" w:ascii="宋体" w:hAnsi="宋体" w:eastAsia="宋体" w:cs="宋体"/>
                <w:i w:val="0"/>
                <w:iCs w:val="0"/>
                <w:color w:val="000000"/>
                <w:sz w:val="18"/>
                <w:szCs w:val="18"/>
                <w:u w:val="none"/>
              </w:rPr>
            </w:pPr>
          </w:p>
        </w:tc>
      </w:tr>
      <w:tr w14:paraId="05E7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B5775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791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A00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1C4A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51090423T000009639720-义务教育薄弱环节改善与能力提升建设项目资金</w:t>
            </w:r>
          </w:p>
        </w:tc>
      </w:tr>
      <w:tr w14:paraId="1014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E2B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3DB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02322D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DE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6FF0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3EB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7F5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BD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67C9E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BCF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F81E">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72D4">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8D3F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按时按质完成了义务教育薄弱环节改善与能力提升建设项目资金项目支出</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F5B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6679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34DD">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31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15CE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按时按质完成了义务教育薄弱环节改善与能力提升建设项目资金项目支出</w:t>
            </w:r>
          </w:p>
        </w:tc>
      </w:tr>
      <w:tr w14:paraId="44F5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02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0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3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E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E7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8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C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7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6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D3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C20B">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0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7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0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1,048.42</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DB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A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5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F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0382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67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B121D">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D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5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2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1,048.42</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3E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109.59</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F1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8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3D88">
            <w:pPr>
              <w:rPr>
                <w:rFonts w:hint="eastAsia" w:ascii="黑体" w:hAnsi="黑体" w:eastAsia="黑体" w:cs="黑体"/>
                <w:i/>
                <w:iCs/>
                <w:color w:val="000000"/>
                <w:sz w:val="18"/>
                <w:szCs w:val="18"/>
                <w:u w:val="none"/>
              </w:rPr>
            </w:pPr>
          </w:p>
        </w:tc>
      </w:tr>
      <w:tr w14:paraId="6C2C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6D1A">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D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64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9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E2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2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3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9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C0685">
            <w:pPr>
              <w:rPr>
                <w:rFonts w:hint="eastAsia" w:ascii="黑体" w:hAnsi="黑体" w:eastAsia="黑体" w:cs="黑体"/>
                <w:i/>
                <w:iCs/>
                <w:color w:val="000000"/>
                <w:sz w:val="18"/>
                <w:szCs w:val="18"/>
                <w:u w:val="none"/>
              </w:rPr>
            </w:pPr>
          </w:p>
        </w:tc>
      </w:tr>
      <w:tr w14:paraId="1153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776CB">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8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B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B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4E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8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F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4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3FC75">
            <w:pPr>
              <w:rPr>
                <w:rFonts w:hint="eastAsia" w:ascii="黑体" w:hAnsi="黑体" w:eastAsia="黑体" w:cs="黑体"/>
                <w:i/>
                <w:iCs/>
                <w:color w:val="000000"/>
                <w:sz w:val="18"/>
                <w:szCs w:val="18"/>
                <w:u w:val="none"/>
              </w:rPr>
            </w:pPr>
          </w:p>
        </w:tc>
      </w:tr>
      <w:tr w14:paraId="3B19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8B3C">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E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101A">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DA8F">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DE740">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95C2">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B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C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879E">
            <w:pPr>
              <w:rPr>
                <w:rFonts w:hint="eastAsia" w:ascii="黑体" w:hAnsi="黑体" w:eastAsia="黑体" w:cs="黑体"/>
                <w:i/>
                <w:iCs/>
                <w:color w:val="000000"/>
                <w:sz w:val="18"/>
                <w:szCs w:val="18"/>
                <w:u w:val="none"/>
              </w:rPr>
            </w:pPr>
          </w:p>
        </w:tc>
      </w:tr>
      <w:tr w14:paraId="583A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8C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A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2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B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A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E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3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6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B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A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38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D257">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47D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511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DF1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525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3A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3FF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867E">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6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5B5C">
            <w:pPr>
              <w:jc w:val="center"/>
              <w:rPr>
                <w:rFonts w:hint="eastAsia" w:ascii="微软雅黑" w:hAnsi="微软雅黑" w:eastAsia="微软雅黑" w:cs="微软雅黑"/>
                <w:i/>
                <w:iCs/>
                <w:color w:val="000000"/>
                <w:sz w:val="16"/>
                <w:szCs w:val="16"/>
                <w:u w:val="none"/>
              </w:rPr>
            </w:pPr>
          </w:p>
        </w:tc>
      </w:tr>
      <w:tr w14:paraId="253E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D9C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6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4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37B0">
            <w:pPr>
              <w:rPr>
                <w:rFonts w:hint="eastAsia" w:ascii="宋体" w:hAnsi="宋体" w:eastAsia="宋体" w:cs="宋体"/>
                <w:i w:val="0"/>
                <w:iCs w:val="0"/>
                <w:color w:val="000000"/>
                <w:sz w:val="18"/>
                <w:szCs w:val="18"/>
                <w:u w:val="none"/>
              </w:rPr>
            </w:pPr>
          </w:p>
        </w:tc>
      </w:tr>
      <w:tr w14:paraId="7D25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8B863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5452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1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14BCA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AC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7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2E61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40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C9A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FCD7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5F4C7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1EB2153">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4E36815B">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6FE2DF2E">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76D6AD6F">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26A31A7A">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13BAEE88">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4BD940C8">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28EEDD6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9FA42B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4582595">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4C49A5E0">
            <w:pPr>
              <w:rPr>
                <w:rFonts w:hint="eastAsia" w:ascii="宋体" w:hAnsi="宋体" w:eastAsia="宋体" w:cs="宋体"/>
                <w:i w:val="0"/>
                <w:iCs w:val="0"/>
                <w:color w:val="000000"/>
                <w:sz w:val="18"/>
                <w:szCs w:val="18"/>
                <w:u w:val="none"/>
              </w:rPr>
            </w:pPr>
          </w:p>
        </w:tc>
      </w:tr>
      <w:tr w14:paraId="38BD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AEEB91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20F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65B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D872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51090423T000009655849-区级名师工程建设</w:t>
            </w:r>
          </w:p>
        </w:tc>
      </w:tr>
      <w:tr w14:paraId="0F17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AF0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085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4C057A5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CD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5F24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DCD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D5D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06B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9891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976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19CA0">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2F33C">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00FE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按时按质完成了高中教育质量奖励资金项目</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E87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0629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7CE11">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0C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5731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按时按质完成了高中教育质量奖励资金项目</w:t>
            </w:r>
          </w:p>
        </w:tc>
      </w:tr>
      <w:tr w14:paraId="7EE2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F1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7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A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D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B9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3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0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C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9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7C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9C2D5">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9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1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6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25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D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B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F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83C1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296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0189">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0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1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B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6B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5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8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E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B270">
            <w:pPr>
              <w:rPr>
                <w:rFonts w:hint="eastAsia" w:ascii="黑体" w:hAnsi="黑体" w:eastAsia="黑体" w:cs="黑体"/>
                <w:i/>
                <w:iCs/>
                <w:color w:val="000000"/>
                <w:sz w:val="18"/>
                <w:szCs w:val="18"/>
                <w:u w:val="none"/>
              </w:rPr>
            </w:pPr>
          </w:p>
        </w:tc>
      </w:tr>
      <w:tr w14:paraId="022C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3D59">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E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0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1F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6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6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82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FCEA0">
            <w:pPr>
              <w:rPr>
                <w:rFonts w:hint="eastAsia" w:ascii="黑体" w:hAnsi="黑体" w:eastAsia="黑体" w:cs="黑体"/>
                <w:i/>
                <w:iCs/>
                <w:color w:val="000000"/>
                <w:sz w:val="18"/>
                <w:szCs w:val="18"/>
                <w:u w:val="none"/>
              </w:rPr>
            </w:pPr>
          </w:p>
        </w:tc>
      </w:tr>
      <w:tr w14:paraId="3BD7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EA4B7">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4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46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C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0F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5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2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5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FC12">
            <w:pPr>
              <w:rPr>
                <w:rFonts w:hint="eastAsia" w:ascii="黑体" w:hAnsi="黑体" w:eastAsia="黑体" w:cs="黑体"/>
                <w:i/>
                <w:iCs/>
                <w:color w:val="000000"/>
                <w:sz w:val="18"/>
                <w:szCs w:val="18"/>
                <w:u w:val="none"/>
              </w:rPr>
            </w:pPr>
          </w:p>
        </w:tc>
      </w:tr>
      <w:tr w14:paraId="6876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D487">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C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C4DD">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9C1">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7A374">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6CBE">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6F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0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F555">
            <w:pPr>
              <w:rPr>
                <w:rFonts w:hint="eastAsia" w:ascii="黑体" w:hAnsi="黑体" w:eastAsia="黑体" w:cs="黑体"/>
                <w:i/>
                <w:iCs/>
                <w:color w:val="000000"/>
                <w:sz w:val="18"/>
                <w:szCs w:val="18"/>
                <w:u w:val="none"/>
              </w:rPr>
            </w:pPr>
          </w:p>
        </w:tc>
      </w:tr>
      <w:tr w14:paraId="735F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F6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E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8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9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9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0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5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B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4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C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1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C6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F1E7">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981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B3F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526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BBA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61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E43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D858">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0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6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BBF8">
            <w:pPr>
              <w:jc w:val="center"/>
              <w:rPr>
                <w:rFonts w:hint="eastAsia" w:ascii="微软雅黑" w:hAnsi="微软雅黑" w:eastAsia="微软雅黑" w:cs="微软雅黑"/>
                <w:i/>
                <w:iCs/>
                <w:color w:val="000000"/>
                <w:sz w:val="16"/>
                <w:szCs w:val="16"/>
                <w:u w:val="none"/>
              </w:rPr>
            </w:pPr>
          </w:p>
        </w:tc>
      </w:tr>
      <w:tr w14:paraId="02B3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C67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2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2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7310">
            <w:pPr>
              <w:rPr>
                <w:rFonts w:hint="eastAsia" w:ascii="宋体" w:hAnsi="宋体" w:eastAsia="宋体" w:cs="宋体"/>
                <w:i w:val="0"/>
                <w:iCs w:val="0"/>
                <w:color w:val="000000"/>
                <w:sz w:val="18"/>
                <w:szCs w:val="18"/>
                <w:u w:val="none"/>
              </w:rPr>
            </w:pPr>
          </w:p>
        </w:tc>
      </w:tr>
      <w:tr w14:paraId="6A8F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F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BE4E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5481D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0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6008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88A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0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022C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BAAC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0C5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8D97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2C7C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2C362C7">
            <w:pPr>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vAlign w:val="center"/>
          </w:tcPr>
          <w:p w14:paraId="72DE9742">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14:paraId="3F75A6B4">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14:paraId="479F9F4D">
            <w:pPr>
              <w:rPr>
                <w:rFonts w:hint="eastAsia" w:ascii="宋体" w:hAnsi="宋体" w:eastAsia="宋体" w:cs="宋体"/>
                <w:i w:val="0"/>
                <w:iCs w:val="0"/>
                <w:color w:val="000000"/>
                <w:sz w:val="18"/>
                <w:szCs w:val="18"/>
                <w:u w:val="none"/>
              </w:rPr>
            </w:pPr>
          </w:p>
        </w:tc>
        <w:tc>
          <w:tcPr>
            <w:tcW w:w="460" w:type="dxa"/>
            <w:tcBorders>
              <w:top w:val="nil"/>
              <w:left w:val="nil"/>
              <w:bottom w:val="nil"/>
              <w:right w:val="nil"/>
            </w:tcBorders>
            <w:shd w:val="clear" w:color="auto" w:fill="auto"/>
            <w:vAlign w:val="center"/>
          </w:tcPr>
          <w:p w14:paraId="02A3EABF">
            <w:pPr>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14:paraId="1D6A6480">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14:paraId="3F7366D3">
            <w:pPr>
              <w:rPr>
                <w:rFonts w:hint="eastAsia" w:ascii="宋体" w:hAnsi="宋体" w:eastAsia="宋体" w:cs="宋体"/>
                <w:i w:val="0"/>
                <w:iCs w:val="0"/>
                <w:color w:val="000000"/>
                <w:sz w:val="18"/>
                <w:szCs w:val="18"/>
                <w:u w:val="none"/>
              </w:rPr>
            </w:pPr>
          </w:p>
        </w:tc>
        <w:tc>
          <w:tcPr>
            <w:tcW w:w="912" w:type="dxa"/>
            <w:tcBorders>
              <w:top w:val="nil"/>
              <w:left w:val="nil"/>
              <w:bottom w:val="nil"/>
              <w:right w:val="nil"/>
            </w:tcBorders>
            <w:shd w:val="clear" w:color="auto" w:fill="auto"/>
            <w:vAlign w:val="center"/>
          </w:tcPr>
          <w:p w14:paraId="2064ADBE">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06A194F">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CC3CC4E">
            <w:pPr>
              <w:rPr>
                <w:rFonts w:hint="eastAsia" w:ascii="宋体" w:hAnsi="宋体" w:eastAsia="宋体" w:cs="宋体"/>
                <w:i w:val="0"/>
                <w:iCs w:val="0"/>
                <w:color w:val="000000"/>
                <w:sz w:val="18"/>
                <w:szCs w:val="18"/>
                <w:u w:val="none"/>
              </w:rPr>
            </w:pPr>
          </w:p>
        </w:tc>
        <w:tc>
          <w:tcPr>
            <w:tcW w:w="2033" w:type="dxa"/>
            <w:tcBorders>
              <w:top w:val="nil"/>
              <w:left w:val="nil"/>
              <w:bottom w:val="nil"/>
              <w:right w:val="nil"/>
            </w:tcBorders>
            <w:shd w:val="clear" w:color="auto" w:fill="auto"/>
            <w:vAlign w:val="center"/>
          </w:tcPr>
          <w:p w14:paraId="19DCB9FE">
            <w:pPr>
              <w:rPr>
                <w:rFonts w:hint="eastAsia" w:ascii="宋体" w:hAnsi="宋体" w:eastAsia="宋体" w:cs="宋体"/>
                <w:i w:val="0"/>
                <w:iCs w:val="0"/>
                <w:color w:val="000000"/>
                <w:sz w:val="18"/>
                <w:szCs w:val="18"/>
                <w:u w:val="none"/>
              </w:rPr>
            </w:pPr>
          </w:p>
        </w:tc>
      </w:tr>
      <w:tr w14:paraId="1B30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76E8F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906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1F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09BB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51090423T000009655891-高中教育质量奖励</w:t>
            </w:r>
          </w:p>
        </w:tc>
      </w:tr>
      <w:tr w14:paraId="32CB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9CA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779C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四川省遂宁市西眉中学部门</w:t>
            </w:r>
          </w:p>
        </w:tc>
        <w:tc>
          <w:tcPr>
            <w:tcW w:w="912" w:type="dxa"/>
            <w:tcBorders>
              <w:top w:val="nil"/>
              <w:left w:val="nil"/>
              <w:bottom w:val="nil"/>
              <w:right w:val="nil"/>
            </w:tcBorders>
            <w:shd w:val="clear" w:color="auto" w:fill="auto"/>
            <w:vAlign w:val="center"/>
          </w:tcPr>
          <w:p w14:paraId="3D0C0B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DD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四川省遂宁市西眉中学</w:t>
            </w:r>
          </w:p>
        </w:tc>
      </w:tr>
      <w:tr w14:paraId="4F60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78B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3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7738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C33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44529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584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CF236">
            <w:pPr>
              <w:rPr>
                <w:rFonts w:hint="eastAsia" w:ascii="宋体" w:hAnsi="宋体" w:eastAsia="宋体" w:cs="宋体"/>
                <w:i w:val="0"/>
                <w:iCs w:val="0"/>
                <w:color w:val="000000"/>
                <w:sz w:val="18"/>
                <w:szCs w:val="18"/>
                <w:u w:val="none"/>
              </w:rPr>
            </w:pPr>
          </w:p>
        </w:tc>
        <w:tc>
          <w:tcPr>
            <w:tcW w:w="13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67F61">
            <w:pPr>
              <w:rPr>
                <w:rFonts w:hint="eastAsia" w:ascii="宋体" w:hAnsi="宋体" w:eastAsia="宋体" w:cs="宋体"/>
                <w:i w:val="0"/>
                <w:iCs w:val="0"/>
                <w:color w:val="000000"/>
                <w:sz w:val="18"/>
                <w:szCs w:val="18"/>
                <w:u w:val="none"/>
              </w:rPr>
            </w:pPr>
          </w:p>
        </w:tc>
        <w:tc>
          <w:tcPr>
            <w:tcW w:w="3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1BF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按时按质完成了高中教育质量奖励资金项目</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CF3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按时按质足额完成</w:t>
            </w:r>
          </w:p>
        </w:tc>
      </w:tr>
      <w:tr w14:paraId="274E5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CC956">
            <w:pP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5D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1C7B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按时按质完成了高中教育质量奖励资金项目</w:t>
            </w:r>
          </w:p>
        </w:tc>
      </w:tr>
      <w:tr w14:paraId="0054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08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6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7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3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6D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E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4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7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9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32E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377A">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6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5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D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23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5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E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C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D031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9F1B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686A6">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8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D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12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11.52</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F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8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7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425C">
            <w:pPr>
              <w:rPr>
                <w:rFonts w:hint="eastAsia" w:ascii="黑体" w:hAnsi="黑体" w:eastAsia="黑体" w:cs="黑体"/>
                <w:i/>
                <w:iCs/>
                <w:color w:val="000000"/>
                <w:sz w:val="18"/>
                <w:szCs w:val="18"/>
                <w:u w:val="none"/>
              </w:rPr>
            </w:pPr>
          </w:p>
        </w:tc>
      </w:tr>
      <w:tr w14:paraId="4609E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B2D6B">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8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7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1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14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B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9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B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9FA71">
            <w:pPr>
              <w:rPr>
                <w:rFonts w:hint="eastAsia" w:ascii="黑体" w:hAnsi="黑体" w:eastAsia="黑体" w:cs="黑体"/>
                <w:i/>
                <w:iCs/>
                <w:color w:val="000000"/>
                <w:sz w:val="18"/>
                <w:szCs w:val="18"/>
                <w:u w:val="none"/>
              </w:rPr>
            </w:pPr>
          </w:p>
        </w:tc>
      </w:tr>
      <w:tr w14:paraId="3D62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84AF">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7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7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A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83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7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0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67497">
            <w:pPr>
              <w:rPr>
                <w:rFonts w:hint="eastAsia" w:ascii="黑体" w:hAnsi="黑体" w:eastAsia="黑体" w:cs="黑体"/>
                <w:i/>
                <w:iCs/>
                <w:color w:val="000000"/>
                <w:sz w:val="18"/>
                <w:szCs w:val="18"/>
                <w:u w:val="none"/>
              </w:rPr>
            </w:pPr>
          </w:p>
        </w:tc>
      </w:tr>
      <w:tr w14:paraId="444D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C7EFE">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7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D9FF">
            <w:pPr>
              <w:jc w:val="center"/>
              <w:rPr>
                <w:rFonts w:hint="eastAsia" w:ascii="微软雅黑" w:hAnsi="微软雅黑" w:eastAsia="微软雅黑" w:cs="微软雅黑"/>
                <w:i/>
                <w:iCs/>
                <w:color w:val="000000"/>
                <w:sz w:val="16"/>
                <w:szCs w:val="16"/>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B93E">
            <w:pPr>
              <w:jc w:val="center"/>
              <w:rPr>
                <w:rFonts w:hint="eastAsia" w:ascii="微软雅黑" w:hAnsi="微软雅黑" w:eastAsia="微软雅黑" w:cs="微软雅黑"/>
                <w:i/>
                <w:iCs/>
                <w:color w:val="000000"/>
                <w:sz w:val="16"/>
                <w:szCs w:val="16"/>
                <w:u w:val="none"/>
              </w:rPr>
            </w:pPr>
          </w:p>
        </w:tc>
        <w:tc>
          <w:tcPr>
            <w:tcW w:w="1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DAAAC">
            <w:pPr>
              <w:jc w:val="center"/>
              <w:rPr>
                <w:rFonts w:hint="eastAsia" w:ascii="微软雅黑" w:hAnsi="微软雅黑" w:eastAsia="微软雅黑" w:cs="微软雅黑"/>
                <w:i/>
                <w:iCs/>
                <w:color w:val="000000"/>
                <w:sz w:val="16"/>
                <w:szCs w:val="16"/>
                <w:u w:val="none"/>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02DB">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7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4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096D">
            <w:pPr>
              <w:rPr>
                <w:rFonts w:hint="eastAsia" w:ascii="黑体" w:hAnsi="黑体" w:eastAsia="黑体" w:cs="黑体"/>
                <w:i/>
                <w:iCs/>
                <w:color w:val="000000"/>
                <w:sz w:val="18"/>
                <w:szCs w:val="18"/>
                <w:u w:val="none"/>
              </w:rPr>
            </w:pPr>
          </w:p>
        </w:tc>
      </w:tr>
      <w:tr w14:paraId="63E3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5E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7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5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C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A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0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C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1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47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3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B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209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2710E">
            <w:pPr>
              <w:jc w:val="center"/>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386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A11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政治效益</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DE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w:t>
            </w:r>
          </w:p>
        </w:tc>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73C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2D8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E21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049">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E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4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0A29">
            <w:pPr>
              <w:jc w:val="center"/>
              <w:rPr>
                <w:rFonts w:hint="eastAsia" w:ascii="微软雅黑" w:hAnsi="微软雅黑" w:eastAsia="微软雅黑" w:cs="微软雅黑"/>
                <w:i/>
                <w:iCs/>
                <w:color w:val="000000"/>
                <w:sz w:val="16"/>
                <w:szCs w:val="16"/>
                <w:u w:val="none"/>
              </w:rPr>
            </w:pPr>
          </w:p>
        </w:tc>
      </w:tr>
      <w:tr w14:paraId="6264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9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C82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146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A702">
            <w:pPr>
              <w:rPr>
                <w:rFonts w:hint="eastAsia" w:ascii="宋体" w:hAnsi="宋体" w:eastAsia="宋体" w:cs="宋体"/>
                <w:i w:val="0"/>
                <w:iCs w:val="0"/>
                <w:color w:val="000000"/>
                <w:sz w:val="18"/>
                <w:szCs w:val="18"/>
                <w:u w:val="none"/>
              </w:rPr>
            </w:pPr>
          </w:p>
        </w:tc>
      </w:tr>
      <w:tr w14:paraId="7AEA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B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57E5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及时、足额完成2023年度该项目，自评得分100分。</w:t>
            </w:r>
          </w:p>
        </w:tc>
      </w:tr>
      <w:tr w14:paraId="281A5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8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5DF7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22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B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00C2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D23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96186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项目负责人：唐小莉</w:t>
            </w:r>
          </w:p>
        </w:tc>
        <w:tc>
          <w:tcPr>
            <w:tcW w:w="48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1B85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财务负责人：何彬 </w:t>
            </w:r>
          </w:p>
        </w:tc>
      </w:tr>
      <w:tr w14:paraId="3048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00" w:type="dxa"/>
            <w:gridSpan w:val="11"/>
            <w:tcBorders>
              <w:top w:val="nil"/>
              <w:left w:val="nil"/>
              <w:bottom w:val="nil"/>
              <w:right w:val="nil"/>
            </w:tcBorders>
            <w:shd w:val="clear" w:color="auto" w:fill="auto"/>
            <w:vAlign w:val="center"/>
          </w:tcPr>
          <w:p w14:paraId="6E8067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136B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00" w:type="dxa"/>
            <w:gridSpan w:val="11"/>
            <w:tcBorders>
              <w:top w:val="nil"/>
              <w:left w:val="nil"/>
              <w:bottom w:val="nil"/>
              <w:right w:val="nil"/>
            </w:tcBorders>
            <w:shd w:val="clear" w:color="auto" w:fill="auto"/>
            <w:vAlign w:val="center"/>
          </w:tcPr>
          <w:p w14:paraId="3833AF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3FAE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00" w:type="dxa"/>
            <w:gridSpan w:val="11"/>
            <w:tcBorders>
              <w:top w:val="nil"/>
              <w:left w:val="nil"/>
              <w:bottom w:val="nil"/>
              <w:right w:val="nil"/>
            </w:tcBorders>
            <w:shd w:val="clear" w:color="auto" w:fill="auto"/>
            <w:vAlign w:val="center"/>
          </w:tcPr>
          <w:p w14:paraId="127830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03F7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000" w:type="dxa"/>
            <w:gridSpan w:val="11"/>
            <w:tcBorders>
              <w:top w:val="nil"/>
              <w:left w:val="nil"/>
              <w:bottom w:val="nil"/>
              <w:right w:val="nil"/>
            </w:tcBorders>
            <w:shd w:val="clear" w:color="auto" w:fill="auto"/>
            <w:vAlign w:val="center"/>
          </w:tcPr>
          <w:p w14:paraId="02D9DF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6F716EDE">
      <w:pPr>
        <w:spacing w:line="600" w:lineRule="exact"/>
        <w:jc w:val="both"/>
        <w:outlineLvl w:val="0"/>
        <w:rPr>
          <w:rFonts w:hint="eastAsia" w:ascii="黑体" w:hAnsi="黑体" w:eastAsia="黑体"/>
          <w:sz w:val="44"/>
          <w:szCs w:val="44"/>
        </w:rPr>
      </w:pPr>
    </w:p>
    <w:p w14:paraId="2957F960">
      <w:pPr>
        <w:spacing w:line="600" w:lineRule="exact"/>
        <w:jc w:val="center"/>
        <w:outlineLvl w:val="0"/>
        <w:rPr>
          <w:rFonts w:ascii="仿宋" w:hAnsi="仿宋" w:eastAsia="仿宋"/>
        </w:rPr>
      </w:pPr>
      <w:r>
        <w:rPr>
          <w:rFonts w:hint="eastAsia" w:ascii="黑体" w:hAnsi="黑体" w:eastAsia="黑体"/>
          <w:sz w:val="44"/>
          <w:szCs w:val="44"/>
        </w:rPr>
        <w:t>第</w:t>
      </w:r>
      <w:r>
        <w:rPr>
          <w:rStyle w:val="30"/>
          <w:rFonts w:hint="eastAsia" w:ascii="黑体" w:hAnsi="黑体" w:eastAsia="黑体"/>
          <w:b w:val="0"/>
        </w:rPr>
        <w:t>五部分 附表</w:t>
      </w:r>
      <w:bookmarkEnd w:id="52"/>
      <w:bookmarkEnd w:id="53"/>
      <w:bookmarkStart w:id="54" w:name="_Toc15396619"/>
    </w:p>
    <w:p w14:paraId="133862ED">
      <w:pPr>
        <w:pStyle w:val="4"/>
        <w:rPr>
          <w:rFonts w:ascii="仿宋" w:hAnsi="仿宋" w:eastAsia="仿宋"/>
        </w:rPr>
      </w:pPr>
      <w:r>
        <w:rPr>
          <w:rFonts w:hint="eastAsia" w:ascii="仿宋" w:hAnsi="仿宋" w:eastAsia="仿宋"/>
          <w:b w:val="0"/>
        </w:rPr>
        <w:t>一、收</w:t>
      </w:r>
      <w:r>
        <w:rPr>
          <w:rStyle w:val="31"/>
          <w:rFonts w:hint="eastAsia" w:ascii="仿宋" w:hAnsi="仿宋" w:eastAsia="仿宋"/>
          <w:b w:val="0"/>
          <w:bCs w:val="0"/>
        </w:rPr>
        <w:t>入支出决算总表</w:t>
      </w:r>
      <w:bookmarkEnd w:id="54"/>
    </w:p>
    <w:p w14:paraId="32985D29">
      <w:pPr>
        <w:pStyle w:val="4"/>
        <w:rPr>
          <w:rFonts w:ascii="仿宋" w:hAnsi="仿宋" w:eastAsia="仿宋"/>
        </w:rPr>
      </w:pPr>
      <w:bookmarkStart w:id="55" w:name="_Toc15396620"/>
      <w:r>
        <w:rPr>
          <w:rFonts w:hint="eastAsia" w:ascii="仿宋" w:hAnsi="仿宋" w:eastAsia="仿宋"/>
          <w:b w:val="0"/>
        </w:rPr>
        <w:t>二、收</w:t>
      </w:r>
      <w:r>
        <w:rPr>
          <w:rStyle w:val="31"/>
          <w:rFonts w:hint="eastAsia" w:ascii="仿宋" w:hAnsi="仿宋" w:eastAsia="仿宋"/>
          <w:b w:val="0"/>
          <w:bCs w:val="0"/>
        </w:rPr>
        <w:t>入决算表</w:t>
      </w:r>
      <w:bookmarkEnd w:id="55"/>
    </w:p>
    <w:p w14:paraId="780AF985">
      <w:pPr>
        <w:pStyle w:val="4"/>
        <w:rPr>
          <w:rFonts w:ascii="仿宋" w:hAnsi="仿宋" w:eastAsia="仿宋"/>
        </w:rPr>
      </w:pPr>
      <w:bookmarkStart w:id="56"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56"/>
    </w:p>
    <w:p w14:paraId="6A31ED6E">
      <w:pPr>
        <w:pStyle w:val="4"/>
        <w:rPr>
          <w:rFonts w:ascii="仿宋" w:hAnsi="仿宋" w:eastAsia="仿宋"/>
          <w:b w:val="0"/>
        </w:rPr>
      </w:pPr>
      <w:bookmarkStart w:id="57" w:name="_Toc15396622"/>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57"/>
    </w:p>
    <w:p w14:paraId="5A5667EC">
      <w:pPr>
        <w:pStyle w:val="4"/>
        <w:rPr>
          <w:rStyle w:val="31"/>
          <w:rFonts w:ascii="仿宋" w:hAnsi="仿宋" w:eastAsia="仿宋"/>
          <w:b w:val="0"/>
          <w:bCs w:val="0"/>
        </w:rPr>
      </w:pPr>
      <w:bookmarkStart w:id="58"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58"/>
      <w:bookmarkStart w:id="59" w:name="_Toc15396624"/>
    </w:p>
    <w:p w14:paraId="1D545749">
      <w:pPr>
        <w:pStyle w:val="4"/>
        <w:rPr>
          <w:rFonts w:ascii="仿宋" w:hAnsi="仿宋" w:eastAsia="仿宋"/>
        </w:rPr>
      </w:pPr>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59"/>
    </w:p>
    <w:p w14:paraId="52DD783F">
      <w:pPr>
        <w:pStyle w:val="4"/>
        <w:rPr>
          <w:rFonts w:ascii="仿宋" w:hAnsi="仿宋" w:eastAsia="仿宋"/>
        </w:rPr>
      </w:pPr>
      <w:bookmarkStart w:id="60"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60"/>
    </w:p>
    <w:p w14:paraId="3698F1C6">
      <w:pPr>
        <w:pStyle w:val="4"/>
        <w:rPr>
          <w:rFonts w:ascii="仿宋" w:hAnsi="仿宋" w:eastAsia="仿宋"/>
        </w:rPr>
      </w:pPr>
      <w:bookmarkStart w:id="61"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61"/>
    </w:p>
    <w:p w14:paraId="453D6B2F">
      <w:pPr>
        <w:pStyle w:val="4"/>
        <w:rPr>
          <w:rFonts w:ascii="仿宋" w:hAnsi="仿宋" w:eastAsia="仿宋"/>
        </w:rPr>
      </w:pPr>
      <w:bookmarkStart w:id="62" w:name="_Toc15396627"/>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62"/>
    </w:p>
    <w:p w14:paraId="5E78945C">
      <w:pPr>
        <w:pStyle w:val="4"/>
        <w:rPr>
          <w:rFonts w:ascii="仿宋" w:hAnsi="仿宋" w:eastAsia="仿宋"/>
        </w:rPr>
      </w:pPr>
      <w:bookmarkStart w:id="63" w:name="_Toc15396628"/>
      <w:r>
        <w:rPr>
          <w:rStyle w:val="31"/>
          <w:rFonts w:hint="eastAsia" w:ascii="仿宋" w:hAnsi="仿宋" w:eastAsia="仿宋"/>
          <w:b w:val="0"/>
          <w:bCs w:val="0"/>
        </w:rPr>
        <w:t>十、</w:t>
      </w:r>
      <w:bookmarkEnd w:id="63"/>
      <w:r>
        <w:rPr>
          <w:rFonts w:hint="eastAsia" w:ascii="仿宋" w:hAnsi="仿宋" w:eastAsia="仿宋"/>
          <w:b w:val="0"/>
        </w:rPr>
        <w:t>政</w:t>
      </w:r>
      <w:r>
        <w:rPr>
          <w:rStyle w:val="31"/>
          <w:rFonts w:hint="eastAsia" w:ascii="仿宋" w:hAnsi="仿宋" w:eastAsia="仿宋"/>
          <w:b w:val="0"/>
          <w:bCs w:val="0"/>
        </w:rPr>
        <w:t>府性基金预算财政拨款收入支出决算表</w:t>
      </w:r>
    </w:p>
    <w:p w14:paraId="07076829">
      <w:pPr>
        <w:pStyle w:val="4"/>
        <w:rPr>
          <w:rFonts w:ascii="仿宋" w:hAnsi="仿宋" w:eastAsia="仿宋"/>
        </w:rPr>
      </w:pPr>
      <w:bookmarkStart w:id="64" w:name="_Toc15396629"/>
      <w:r>
        <w:rPr>
          <w:rStyle w:val="31"/>
          <w:rFonts w:hint="eastAsia" w:ascii="仿宋" w:hAnsi="仿宋" w:eastAsia="仿宋"/>
          <w:b w:val="0"/>
          <w:bCs w:val="0"/>
        </w:rPr>
        <w:t>十一、</w:t>
      </w:r>
      <w:bookmarkEnd w:id="64"/>
      <w:r>
        <w:rPr>
          <w:rFonts w:hint="eastAsia" w:ascii="仿宋" w:hAnsi="仿宋" w:eastAsia="仿宋"/>
          <w:b w:val="0"/>
        </w:rPr>
        <w:t>国</w:t>
      </w:r>
      <w:r>
        <w:rPr>
          <w:rStyle w:val="31"/>
          <w:rFonts w:hint="eastAsia" w:ascii="仿宋" w:hAnsi="仿宋" w:eastAsia="仿宋"/>
          <w:b w:val="0"/>
          <w:bCs w:val="0"/>
        </w:rPr>
        <w:t>有资本经营预算财政拨款收入支出决算表</w:t>
      </w:r>
    </w:p>
    <w:p w14:paraId="1506ABEE">
      <w:pPr>
        <w:pStyle w:val="4"/>
        <w:rPr>
          <w:rFonts w:ascii="仿宋" w:hAnsi="仿宋" w:eastAsia="仿宋"/>
        </w:rPr>
      </w:pPr>
      <w:bookmarkStart w:id="65" w:name="_Toc15396630"/>
      <w:r>
        <w:rPr>
          <w:rStyle w:val="31"/>
          <w:rFonts w:hint="eastAsia" w:ascii="仿宋" w:hAnsi="仿宋" w:eastAsia="仿宋"/>
          <w:b w:val="0"/>
          <w:bCs w:val="0"/>
        </w:rPr>
        <w:t>十二、</w:t>
      </w:r>
      <w:bookmarkEnd w:id="65"/>
      <w:r>
        <w:rPr>
          <w:rStyle w:val="31"/>
          <w:rFonts w:hint="eastAsia" w:ascii="仿宋" w:hAnsi="仿宋" w:eastAsia="仿宋"/>
          <w:b w:val="0"/>
          <w:bCs w:val="0"/>
        </w:rPr>
        <w:t>国有资本经营预算财政拨款支出决算表</w:t>
      </w:r>
    </w:p>
    <w:p w14:paraId="3CFB4E99">
      <w:pPr>
        <w:pStyle w:val="4"/>
        <w:rPr>
          <w:rFonts w:eastAsia="仿宋"/>
        </w:rPr>
      </w:pPr>
      <w:bookmarkStart w:id="66" w:name="_Toc15396631"/>
      <w:r>
        <w:rPr>
          <w:rStyle w:val="31"/>
          <w:rFonts w:hint="eastAsia" w:ascii="仿宋" w:hAnsi="仿宋" w:eastAsia="仿宋"/>
          <w:b w:val="0"/>
          <w:bCs w:val="0"/>
        </w:rPr>
        <w:t>十三、</w:t>
      </w:r>
      <w:bookmarkEnd w:id="66"/>
      <w:r>
        <w:rPr>
          <w:rStyle w:val="31"/>
          <w:rFonts w:hint="eastAsia" w:ascii="仿宋" w:hAnsi="仿宋" w:eastAsia="仿宋"/>
          <w:b w:val="0"/>
          <w:bCs w:val="0"/>
        </w:rPr>
        <w:t>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7T18:45:14Z" w:initials="A">
    <w:p w14:paraId="53A1BB23">
      <w:pPr>
        <w:pStyle w:val="6"/>
        <w:rPr>
          <w:rFonts w:hint="eastAsia" w:eastAsia="宋体"/>
          <w:lang w:eastAsia="zh-CN"/>
        </w:rPr>
      </w:pPr>
      <w:r>
        <w:rPr>
          <w:rFonts w:hint="eastAsia"/>
          <w:lang w:eastAsia="zh-CN"/>
        </w:rPr>
        <w:t>注意页码与正文匹配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A1BB2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3C25293">
        <w:pPr>
          <w:pStyle w:val="12"/>
          <w:jc w:val="center"/>
        </w:pPr>
        <w:r>
          <w:fldChar w:fldCharType="begin"/>
        </w:r>
        <w:r>
          <w:instrText xml:space="preserve">PAGE   \* MERGEFORMAT</w:instrText>
        </w:r>
        <w:r>
          <w:fldChar w:fldCharType="separate"/>
        </w:r>
        <w:r>
          <w:rPr>
            <w:lang w:val="zh-CN"/>
          </w:rPr>
          <w:t>3</w:t>
        </w:r>
        <w:r>
          <w:fldChar w:fldCharType="end"/>
        </w:r>
      </w:p>
    </w:sdtContent>
  </w:sdt>
  <w:p w14:paraId="4F2425F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413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52D39FF9"/>
    <w:multiLevelType w:val="singleLevel"/>
    <w:tmpl w:val="52D39FF9"/>
    <w:lvl w:ilvl="0" w:tentative="0">
      <w:start w:val="13"/>
      <w:numFmt w:val="chineseCounting"/>
      <w:suff w:val="nothing"/>
      <w:lvlText w:val="%1、"/>
      <w:lvlJc w:val="left"/>
      <w:pPr>
        <w:ind w:left="420" w:firstLine="0"/>
      </w:pPr>
      <w:rPr>
        <w:rFonts w:hint="eastAsia"/>
      </w:r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M4NjUzNDA1NDkyY2MxZmJmZThlN2U3ZTFkMjcwOGYifQ=="/>
  </w:docVars>
  <w:rsids>
    <w:rsidRoot w:val="00F1361C"/>
    <w:rsid w:val="000222C6"/>
    <w:rsid w:val="000234FD"/>
    <w:rsid w:val="0002549F"/>
    <w:rsid w:val="0003027B"/>
    <w:rsid w:val="000468DB"/>
    <w:rsid w:val="0006487A"/>
    <w:rsid w:val="00065F8F"/>
    <w:rsid w:val="00070A43"/>
    <w:rsid w:val="00070EDD"/>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D59"/>
    <w:rsid w:val="00174518"/>
    <w:rsid w:val="0018106D"/>
    <w:rsid w:val="001877A7"/>
    <w:rsid w:val="00191536"/>
    <w:rsid w:val="00196687"/>
    <w:rsid w:val="001A4D38"/>
    <w:rsid w:val="001C0962"/>
    <w:rsid w:val="001D7409"/>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963"/>
    <w:rsid w:val="00294DC9"/>
    <w:rsid w:val="00295495"/>
    <w:rsid w:val="002A31DE"/>
    <w:rsid w:val="002B2613"/>
    <w:rsid w:val="002D6D05"/>
    <w:rsid w:val="002F1818"/>
    <w:rsid w:val="002F567B"/>
    <w:rsid w:val="003076DA"/>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2CA2"/>
    <w:rsid w:val="00471401"/>
    <w:rsid w:val="00473F31"/>
    <w:rsid w:val="0048263A"/>
    <w:rsid w:val="00487E5D"/>
    <w:rsid w:val="00491AB5"/>
    <w:rsid w:val="004A711F"/>
    <w:rsid w:val="004B199D"/>
    <w:rsid w:val="004B4690"/>
    <w:rsid w:val="004C3AA8"/>
    <w:rsid w:val="004E0A2D"/>
    <w:rsid w:val="004E206B"/>
    <w:rsid w:val="004E6DF7"/>
    <w:rsid w:val="004F0FBD"/>
    <w:rsid w:val="004F2B6A"/>
    <w:rsid w:val="00505A47"/>
    <w:rsid w:val="00512FDA"/>
    <w:rsid w:val="00520DA0"/>
    <w:rsid w:val="00534545"/>
    <w:rsid w:val="005664BB"/>
    <w:rsid w:val="00566FFA"/>
    <w:rsid w:val="0057481D"/>
    <w:rsid w:val="0058486E"/>
    <w:rsid w:val="00585B33"/>
    <w:rsid w:val="0059014D"/>
    <w:rsid w:val="005A25B6"/>
    <w:rsid w:val="005B5587"/>
    <w:rsid w:val="005B5C64"/>
    <w:rsid w:val="005C5337"/>
    <w:rsid w:val="005C6BD0"/>
    <w:rsid w:val="005D1C8B"/>
    <w:rsid w:val="005D468D"/>
    <w:rsid w:val="005D5CED"/>
    <w:rsid w:val="005F1A4C"/>
    <w:rsid w:val="00605688"/>
    <w:rsid w:val="006070AF"/>
    <w:rsid w:val="00607277"/>
    <w:rsid w:val="00607E6C"/>
    <w:rsid w:val="006101B1"/>
    <w:rsid w:val="00613D08"/>
    <w:rsid w:val="00614E44"/>
    <w:rsid w:val="0062270A"/>
    <w:rsid w:val="00622830"/>
    <w:rsid w:val="00623DA0"/>
    <w:rsid w:val="00630AEF"/>
    <w:rsid w:val="006325F8"/>
    <w:rsid w:val="00633463"/>
    <w:rsid w:val="00634C9A"/>
    <w:rsid w:val="0064367F"/>
    <w:rsid w:val="006440E4"/>
    <w:rsid w:val="00646350"/>
    <w:rsid w:val="0066343B"/>
    <w:rsid w:val="00664777"/>
    <w:rsid w:val="006748A4"/>
    <w:rsid w:val="00681A31"/>
    <w:rsid w:val="00683E73"/>
    <w:rsid w:val="006A3141"/>
    <w:rsid w:val="006A5E34"/>
    <w:rsid w:val="006A5E89"/>
    <w:rsid w:val="006B2422"/>
    <w:rsid w:val="006B2B9A"/>
    <w:rsid w:val="006C1937"/>
    <w:rsid w:val="006D2ADA"/>
    <w:rsid w:val="006F020C"/>
    <w:rsid w:val="007127B7"/>
    <w:rsid w:val="0071798E"/>
    <w:rsid w:val="007416B6"/>
    <w:rsid w:val="00746F48"/>
    <w:rsid w:val="00751578"/>
    <w:rsid w:val="0075404D"/>
    <w:rsid w:val="0076182A"/>
    <w:rsid w:val="00767B7E"/>
    <w:rsid w:val="007770C3"/>
    <w:rsid w:val="00784D24"/>
    <w:rsid w:val="00785FBA"/>
    <w:rsid w:val="00786E4A"/>
    <w:rsid w:val="007875EB"/>
    <w:rsid w:val="0079426B"/>
    <w:rsid w:val="007A07C5"/>
    <w:rsid w:val="007A4000"/>
    <w:rsid w:val="007B335C"/>
    <w:rsid w:val="007D1682"/>
    <w:rsid w:val="007D312A"/>
    <w:rsid w:val="007D3F19"/>
    <w:rsid w:val="007D73AE"/>
    <w:rsid w:val="007E23B0"/>
    <w:rsid w:val="007E23E5"/>
    <w:rsid w:val="007E2F2D"/>
    <w:rsid w:val="007F1991"/>
    <w:rsid w:val="007F2C2F"/>
    <w:rsid w:val="007F55FC"/>
    <w:rsid w:val="007F5665"/>
    <w:rsid w:val="00800112"/>
    <w:rsid w:val="00813348"/>
    <w:rsid w:val="008253BB"/>
    <w:rsid w:val="0083706E"/>
    <w:rsid w:val="008408F6"/>
    <w:rsid w:val="008423A5"/>
    <w:rsid w:val="008450BA"/>
    <w:rsid w:val="00850625"/>
    <w:rsid w:val="00853718"/>
    <w:rsid w:val="00855221"/>
    <w:rsid w:val="00860645"/>
    <w:rsid w:val="00871F71"/>
    <w:rsid w:val="00872FD8"/>
    <w:rsid w:val="00885AF4"/>
    <w:rsid w:val="00891713"/>
    <w:rsid w:val="008939CD"/>
    <w:rsid w:val="008A7BE5"/>
    <w:rsid w:val="008B0E49"/>
    <w:rsid w:val="008B768C"/>
    <w:rsid w:val="008C4DB1"/>
    <w:rsid w:val="008C4EAF"/>
    <w:rsid w:val="008C5176"/>
    <w:rsid w:val="008C7FD0"/>
    <w:rsid w:val="008D29C1"/>
    <w:rsid w:val="008E1DE7"/>
    <w:rsid w:val="008E707C"/>
    <w:rsid w:val="00900B08"/>
    <w:rsid w:val="00901ED1"/>
    <w:rsid w:val="00902155"/>
    <w:rsid w:val="00902FA3"/>
    <w:rsid w:val="00923564"/>
    <w:rsid w:val="0092392E"/>
    <w:rsid w:val="009315F9"/>
    <w:rsid w:val="00933499"/>
    <w:rsid w:val="00935C98"/>
    <w:rsid w:val="00946945"/>
    <w:rsid w:val="00951248"/>
    <w:rsid w:val="0095152F"/>
    <w:rsid w:val="00953D43"/>
    <w:rsid w:val="00954C49"/>
    <w:rsid w:val="00955E37"/>
    <w:rsid w:val="0097099F"/>
    <w:rsid w:val="00971997"/>
    <w:rsid w:val="00971FFC"/>
    <w:rsid w:val="0098660A"/>
    <w:rsid w:val="0098758C"/>
    <w:rsid w:val="00987748"/>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919"/>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90"/>
    <w:rsid w:val="00B161B8"/>
    <w:rsid w:val="00B2048C"/>
    <w:rsid w:val="00B310B9"/>
    <w:rsid w:val="00B35F3F"/>
    <w:rsid w:val="00B36CBB"/>
    <w:rsid w:val="00B425E0"/>
    <w:rsid w:val="00B440AA"/>
    <w:rsid w:val="00B44B70"/>
    <w:rsid w:val="00B4590A"/>
    <w:rsid w:val="00B53C56"/>
    <w:rsid w:val="00B57DAF"/>
    <w:rsid w:val="00B72AE9"/>
    <w:rsid w:val="00B76992"/>
    <w:rsid w:val="00B77EA6"/>
    <w:rsid w:val="00B81598"/>
    <w:rsid w:val="00B841F1"/>
    <w:rsid w:val="00B944D6"/>
    <w:rsid w:val="00B959B5"/>
    <w:rsid w:val="00BB4DF0"/>
    <w:rsid w:val="00BC289F"/>
    <w:rsid w:val="00BC2D50"/>
    <w:rsid w:val="00BC5361"/>
    <w:rsid w:val="00BC5460"/>
    <w:rsid w:val="00BC6B50"/>
    <w:rsid w:val="00BD0E25"/>
    <w:rsid w:val="00BF176B"/>
    <w:rsid w:val="00BF5BD6"/>
    <w:rsid w:val="00C03E31"/>
    <w:rsid w:val="00C12F14"/>
    <w:rsid w:val="00C33E72"/>
    <w:rsid w:val="00C354B2"/>
    <w:rsid w:val="00C35554"/>
    <w:rsid w:val="00C42709"/>
    <w:rsid w:val="00C533CC"/>
    <w:rsid w:val="00C5457B"/>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32AE"/>
    <w:rsid w:val="00D114F0"/>
    <w:rsid w:val="00D20620"/>
    <w:rsid w:val="00D254F7"/>
    <w:rsid w:val="00D26091"/>
    <w:rsid w:val="00D2685C"/>
    <w:rsid w:val="00D34E7C"/>
    <w:rsid w:val="00D35489"/>
    <w:rsid w:val="00D36AFE"/>
    <w:rsid w:val="00D51276"/>
    <w:rsid w:val="00D567AF"/>
    <w:rsid w:val="00D7035F"/>
    <w:rsid w:val="00DA634F"/>
    <w:rsid w:val="00DA65AC"/>
    <w:rsid w:val="00DB1913"/>
    <w:rsid w:val="00DC410D"/>
    <w:rsid w:val="00DC5A81"/>
    <w:rsid w:val="00DC68CA"/>
    <w:rsid w:val="00DC7CBA"/>
    <w:rsid w:val="00DD73B7"/>
    <w:rsid w:val="00DF28BC"/>
    <w:rsid w:val="00DF34B9"/>
    <w:rsid w:val="00E01053"/>
    <w:rsid w:val="00E07ACF"/>
    <w:rsid w:val="00E13F5C"/>
    <w:rsid w:val="00E14763"/>
    <w:rsid w:val="00E331A1"/>
    <w:rsid w:val="00E33202"/>
    <w:rsid w:val="00E336A9"/>
    <w:rsid w:val="00E34BC4"/>
    <w:rsid w:val="00E472B1"/>
    <w:rsid w:val="00E50624"/>
    <w:rsid w:val="00E568DF"/>
    <w:rsid w:val="00E64269"/>
    <w:rsid w:val="00E67D93"/>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E60"/>
    <w:rsid w:val="00F754A1"/>
    <w:rsid w:val="00F81FD9"/>
    <w:rsid w:val="00F841AA"/>
    <w:rsid w:val="00F84A94"/>
    <w:rsid w:val="00F87E96"/>
    <w:rsid w:val="00F92D5B"/>
    <w:rsid w:val="00F93882"/>
    <w:rsid w:val="00FA23E8"/>
    <w:rsid w:val="00FD3CC1"/>
    <w:rsid w:val="00FF1E02"/>
    <w:rsid w:val="00FF30B4"/>
    <w:rsid w:val="053A62B5"/>
    <w:rsid w:val="0A2032A3"/>
    <w:rsid w:val="0A9C2601"/>
    <w:rsid w:val="0B8A37D8"/>
    <w:rsid w:val="0E3F3C57"/>
    <w:rsid w:val="10C055FF"/>
    <w:rsid w:val="118107EC"/>
    <w:rsid w:val="11DD6519"/>
    <w:rsid w:val="16BB723D"/>
    <w:rsid w:val="18015F3F"/>
    <w:rsid w:val="1BE8440E"/>
    <w:rsid w:val="1D155CEE"/>
    <w:rsid w:val="1E7F0B70"/>
    <w:rsid w:val="20F57F95"/>
    <w:rsid w:val="240371BF"/>
    <w:rsid w:val="25711CC6"/>
    <w:rsid w:val="25C741E6"/>
    <w:rsid w:val="27842671"/>
    <w:rsid w:val="29FD04D3"/>
    <w:rsid w:val="2ABE7A3E"/>
    <w:rsid w:val="2BD730F4"/>
    <w:rsid w:val="2CA234A8"/>
    <w:rsid w:val="2D7F2949"/>
    <w:rsid w:val="2EFA178C"/>
    <w:rsid w:val="303E067E"/>
    <w:rsid w:val="30B46D73"/>
    <w:rsid w:val="313037D4"/>
    <w:rsid w:val="319F7F4E"/>
    <w:rsid w:val="383D272C"/>
    <w:rsid w:val="39AE70AB"/>
    <w:rsid w:val="3C0C0783"/>
    <w:rsid w:val="3F9F3A96"/>
    <w:rsid w:val="41C27D71"/>
    <w:rsid w:val="48BF60AB"/>
    <w:rsid w:val="493C27E9"/>
    <w:rsid w:val="496F39ED"/>
    <w:rsid w:val="49FF41D3"/>
    <w:rsid w:val="4BE068DB"/>
    <w:rsid w:val="4BF6002B"/>
    <w:rsid w:val="4ECE2238"/>
    <w:rsid w:val="4FBA13A5"/>
    <w:rsid w:val="4FC910D2"/>
    <w:rsid w:val="51DB4B86"/>
    <w:rsid w:val="5306566E"/>
    <w:rsid w:val="55097EFD"/>
    <w:rsid w:val="55333C3E"/>
    <w:rsid w:val="64CA39A1"/>
    <w:rsid w:val="65437118"/>
    <w:rsid w:val="69630ADE"/>
    <w:rsid w:val="6C4A05C8"/>
    <w:rsid w:val="6D3B1A89"/>
    <w:rsid w:val="71BF4EC2"/>
    <w:rsid w:val="72734D90"/>
    <w:rsid w:val="7412278C"/>
    <w:rsid w:val="793A251C"/>
    <w:rsid w:val="79E7B28D"/>
    <w:rsid w:val="7B0D7311"/>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annotation text"/>
    <w:basedOn w:val="1"/>
    <w:semiHidden/>
    <w:unhideWhenUsed/>
    <w:qFormat/>
    <w:uiPriority w:val="99"/>
    <w:pPr>
      <w:jc w:val="left"/>
    </w:pPr>
  </w:style>
  <w:style w:type="paragraph" w:styleId="7">
    <w:name w:val="Body Text"/>
    <w:basedOn w:val="1"/>
    <w:link w:val="27"/>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7"/>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3"/>
    <w:qFormat/>
    <w:uiPriority w:val="9"/>
    <w:rPr>
      <w:rFonts w:ascii="Times New Roman" w:hAnsi="Times New Roman"/>
      <w:b/>
      <w:bCs/>
      <w:kern w:val="44"/>
      <w:sz w:val="44"/>
      <w:szCs w:val="44"/>
    </w:rPr>
  </w:style>
  <w:style w:type="character" w:customStyle="1" w:styleId="31">
    <w:name w:val="标题 2 字符"/>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7">
    <w:name w:val="xl65"/>
    <w:basedOn w:val="1"/>
    <w:qFormat/>
    <w:uiPriority w:val="0"/>
    <w:pPr>
      <w:widowControl/>
      <w:spacing w:before="100" w:beforeAutospacing="1" w:after="100" w:afterAutospacing="1"/>
      <w:jc w:val="left"/>
    </w:pPr>
    <w:rPr>
      <w:rFonts w:ascii="黑体" w:hAnsi="黑体" w:eastAsia="黑体"/>
      <w:color w:val="000000"/>
      <w:kern w:val="0"/>
      <w:sz w:val="18"/>
      <w:szCs w:val="18"/>
    </w:rPr>
  </w:style>
  <w:style w:type="paragraph" w:customStyle="1" w:styleId="38">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olor w:val="000000"/>
      <w:kern w:val="0"/>
      <w:sz w:val="18"/>
      <w:szCs w:val="18"/>
    </w:rPr>
  </w:style>
  <w:style w:type="paragraph" w:customStyle="1" w:styleId="3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1">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18"/>
      <w:szCs w:val="18"/>
    </w:rPr>
  </w:style>
  <w:style w:type="paragraph" w:customStyle="1" w:styleId="4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i/>
      <w:iCs/>
      <w:color w:val="000000"/>
      <w:kern w:val="0"/>
      <w:sz w:val="16"/>
      <w:szCs w:val="16"/>
    </w:rPr>
  </w:style>
  <w:style w:type="paragraph" w:customStyle="1" w:styleId="43">
    <w:name w:val="xl71"/>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44">
    <w:name w:val="xl72"/>
    <w:basedOn w:val="1"/>
    <w:qFormat/>
    <w:uiPriority w:val="0"/>
    <w:pPr>
      <w:widowControl/>
      <w:spacing w:before="100" w:beforeAutospacing="1" w:after="100" w:afterAutospacing="1"/>
      <w:jc w:val="left"/>
    </w:pPr>
    <w:rPr>
      <w:rFonts w:ascii="宋体" w:hAnsi="宋体"/>
      <w:color w:val="C0C0C0"/>
      <w:kern w:val="0"/>
      <w:sz w:val="20"/>
      <w:szCs w:val="20"/>
    </w:rPr>
  </w:style>
  <w:style w:type="paragraph" w:customStyle="1" w:styleId="45">
    <w:name w:val="xl73"/>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46">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Times New Roman" w:cs="Courier New"/>
      <w:b/>
      <w:bCs/>
      <w:color w:val="000000"/>
      <w:kern w:val="0"/>
      <w:sz w:val="30"/>
      <w:szCs w:val="30"/>
    </w:rPr>
  </w:style>
  <w:style w:type="paragraph" w:customStyle="1" w:styleId="47">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olor w:val="000000"/>
      <w:kern w:val="0"/>
      <w:sz w:val="18"/>
      <w:szCs w:val="18"/>
    </w:rPr>
  </w:style>
  <w:style w:type="paragraph" w:customStyle="1" w:styleId="48">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olor w:val="000000"/>
      <w:kern w:val="0"/>
      <w:sz w:val="18"/>
      <w:szCs w:val="18"/>
    </w:rPr>
  </w:style>
  <w:style w:type="paragraph" w:customStyle="1" w:styleId="49">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i/>
      <w:iCs/>
      <w:color w:val="000000"/>
      <w:kern w:val="0"/>
      <w:sz w:val="16"/>
      <w:szCs w:val="16"/>
    </w:rPr>
  </w:style>
  <w:style w:type="paragraph" w:customStyle="1" w:styleId="50">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i/>
      <w:iCs/>
      <w:color w:val="000000"/>
      <w:kern w:val="0"/>
      <w:sz w:val="18"/>
      <w:szCs w:val="18"/>
    </w:rPr>
  </w:style>
  <w:style w:type="character" w:customStyle="1" w:styleId="51">
    <w:name w:val="标题 1 Char"/>
    <w:link w:val="3"/>
    <w:qFormat/>
    <w:uiPriority w:val="0"/>
    <w:rPr>
      <w:rFonts w:ascii="Times New Roman" w:hAnsi="Times New Roman"/>
      <w:b/>
      <w:kern w:val="44"/>
      <w:sz w:val="44"/>
    </w:rPr>
  </w:style>
  <w:style w:type="character" w:customStyle="1" w:styleId="52">
    <w:name w:val="标题 2 Char"/>
    <w:basedOn w:val="18"/>
    <w:link w:val="4"/>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4323.41</c:v>
                </c:pt>
                <c:pt idx="1">
                  <c:v>4323.41</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4809.69</c:v>
                </c:pt>
                <c:pt idx="1">
                  <c:v>4809.69</c:v>
                </c:pt>
              </c:numCache>
            </c:numRef>
          </c:val>
        </c:ser>
        <c:dLbls>
          <c:showLegendKey val="0"/>
          <c:showVal val="0"/>
          <c:showCatName val="0"/>
          <c:showSerName val="0"/>
          <c:showPercent val="0"/>
          <c:showBubbleSize val="0"/>
        </c:dLbls>
        <c:gapWidth val="219"/>
        <c:overlap val="-27"/>
        <c:axId val="112941696"/>
        <c:axId val="112972160"/>
      </c:barChart>
      <c:catAx>
        <c:axId val="112941696"/>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32397223523077"/>
              <c:y val="0.89318836693400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72160"/>
        <c:crosses val="autoZero"/>
        <c:auto val="1"/>
        <c:lblAlgn val="ctr"/>
        <c:lblOffset val="100"/>
        <c:noMultiLvlLbl val="0"/>
      </c:catAx>
      <c:valAx>
        <c:axId val="1129721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41696"/>
        <c:crosses val="autoZero"/>
        <c:crossBetween val="between"/>
        <c:majorUnit val="2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事业收入</c:v>
                </c:pt>
              </c:strCache>
            </c:strRef>
          </c:cat>
          <c:val>
            <c:numRef>
              <c:f>Sheet1!$B$2:$B$3</c:f>
              <c:numCache>
                <c:formatCode>0.00_ </c:formatCode>
                <c:ptCount val="2"/>
                <c:pt idx="0">
                  <c:v>4655.59</c:v>
                </c:pt>
                <c:pt idx="1">
                  <c:v>154.1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4129.51</c:v>
                </c:pt>
                <c:pt idx="1">
                  <c:v>680.18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#,##0.00</c:formatCode>
                <c:ptCount val="2"/>
                <c:pt idx="0">
                  <c:v>4212.21</c:v>
                </c:pt>
                <c:pt idx="1">
                  <c:v>4212.21</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4655.59</c:v>
                </c:pt>
                <c:pt idx="1">
                  <c:v>4655.59</c:v>
                </c:pt>
              </c:numCache>
            </c:numRef>
          </c:val>
        </c:ser>
        <c:dLbls>
          <c:showLegendKey val="0"/>
          <c:showVal val="0"/>
          <c:showCatName val="0"/>
          <c:showSerName val="0"/>
          <c:showPercent val="0"/>
          <c:showBubbleSize val="0"/>
        </c:dLbls>
        <c:gapWidth val="219"/>
        <c:overlap val="-27"/>
        <c:axId val="123401728"/>
        <c:axId val="123403264"/>
      </c:barChart>
      <c:catAx>
        <c:axId val="12340172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3264"/>
        <c:crosses val="autoZero"/>
        <c:auto val="1"/>
        <c:lblAlgn val="ctr"/>
        <c:lblOffset val="100"/>
        <c:noMultiLvlLbl val="0"/>
      </c:catAx>
      <c:valAx>
        <c:axId val="1234032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1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a:t>
            </a:r>
            <a:r>
              <a:rPr lang="en-US" altLang="zh-CN"/>
              <a:t>2023</a:t>
            </a:r>
            <a:r>
              <a:rPr lang="zh-CN" altLang="en-US"/>
              <a:t>年一般公共预算财政拨款支出决算变动图</a:t>
            </a:r>
            <a:endParaRPr lang="zh-CN" altLang="en-US"/>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#,##0.00</c:formatCode>
                <c:ptCount val="2"/>
                <c:pt idx="0">
                  <c:v>4212.21</c:v>
                </c:pt>
                <c:pt idx="1" c:formatCode="General">
                  <c:v>4655.59</c:v>
                </c:pt>
              </c:numCache>
            </c:numRef>
          </c:val>
        </c:ser>
        <c:dLbls>
          <c:showLegendKey val="0"/>
          <c:showVal val="0"/>
          <c:showCatName val="0"/>
          <c:showSerName val="0"/>
          <c:showPercent val="0"/>
          <c:showBubbleSize val="0"/>
        </c:dLbls>
        <c:gapWidth val="219"/>
        <c:overlap val="-27"/>
        <c:axId val="123571584"/>
        <c:axId val="123573376"/>
      </c:barChart>
      <c:catAx>
        <c:axId val="123571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3376"/>
        <c:crosses val="autoZero"/>
        <c:auto val="1"/>
        <c:lblAlgn val="ctr"/>
        <c:lblOffset val="100"/>
        <c:noMultiLvlLbl val="0"/>
      </c:catAx>
      <c:valAx>
        <c:axId val="1235733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1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3690.37</c:v>
                </c:pt>
                <c:pt idx="1">
                  <c:v>448.35</c:v>
                </c:pt>
                <c:pt idx="2">
                  <c:v>187.76</c:v>
                </c:pt>
                <c:pt idx="3">
                  <c:v>329.1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B8C8-2F1A-46E9-8D74-49FDA450EFC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39</Pages>
  <Words>15725</Words>
  <Characters>17882</Characters>
  <Lines>84</Lines>
  <Paragraphs>23</Paragraphs>
  <TotalTime>11</TotalTime>
  <ScaleCrop>false</ScaleCrop>
  <LinksUpToDate>false</LinksUpToDate>
  <CharactersWithSpaces>17959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2024-08-24T02:28:00Z</dcterms:created>
  <dc:creator>曹颖</dc:creator>
  <cp:lastModifiedBy>Administrator</cp:lastModifiedBy>
  <cp:lastPrinted>2023-07-31T02:35:00Z</cp:lastPrinted>
  <dcterms:modified xsi:type="dcterms:W3CDTF">2024-08-29T03:29:58Z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48CF4AE90F8548AF9879E71663B1A448_12</vt:lpwstr>
  </property>
</Properties>
</file>