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A4CC5">
      <w:pPr>
        <w:pStyle w:val="9"/>
        <w:jc w:val="center"/>
        <w:rPr>
          <w:rFonts w:hint="eastAsia" w:ascii="方正小标宋简体" w:hAnsi="宋体" w:eastAsia="方正小标宋简体"/>
          <w:sz w:val="44"/>
          <w:szCs w:val="44"/>
        </w:rPr>
      </w:pPr>
    </w:p>
    <w:p w14:paraId="533E2B40">
      <w:pPr>
        <w:pStyle w:val="9"/>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w:t>
      </w:r>
    </w:p>
    <w:p w14:paraId="2E7527C2">
      <w:pPr>
        <w:pStyle w:val="9"/>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四川省遂宁市安居区东禅镇中心幼儿园</w:t>
      </w:r>
    </w:p>
    <w:p w14:paraId="389223BC">
      <w:pPr>
        <w:pStyle w:val="9"/>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部门决算</w:t>
      </w:r>
    </w:p>
    <w:p w14:paraId="1ECEAFB3">
      <w:pPr>
        <w:pStyle w:val="9"/>
        <w:jc w:val="center"/>
        <w:rPr>
          <w:rFonts w:ascii="方正小标宋简体" w:hAnsi="方正小标宋简体" w:eastAsia="方正小标宋简体" w:cs="方正小标宋简体"/>
          <w:sz w:val="44"/>
          <w:szCs w:val="44"/>
        </w:rPr>
      </w:pPr>
    </w:p>
    <w:p w14:paraId="2E2E99F4">
      <w:pPr>
        <w:pStyle w:val="9"/>
        <w:jc w:val="center"/>
        <w:rPr>
          <w:rFonts w:hint="eastAsia" w:ascii="方正小标宋简体" w:hAnsi="方正小标宋简体" w:eastAsia="方正小标宋简体" w:cs="方正小标宋简体"/>
          <w:sz w:val="44"/>
          <w:szCs w:val="44"/>
        </w:rPr>
      </w:pPr>
    </w:p>
    <w:p w14:paraId="1BB9B835">
      <w:pPr>
        <w:widowControl/>
        <w:jc w:val="center"/>
        <w:rPr>
          <w:rFonts w:ascii="黑体" w:hAnsi="黑体" w:eastAsia="黑体"/>
          <w:sz w:val="48"/>
          <w:szCs w:val="48"/>
        </w:rPr>
      </w:pPr>
      <w:bookmarkStart w:id="15" w:name="_GoBack"/>
      <w:bookmarkEnd w:id="15"/>
      <w:r>
        <w:rPr>
          <w:rFonts w:ascii="方正小标宋简体" w:hAnsi="宋体" w:eastAsia="方正小标宋简体"/>
          <w:sz w:val="36"/>
          <w:szCs w:val="36"/>
        </w:rPr>
        <w:br w:type="page"/>
      </w:r>
      <w:r>
        <w:rPr>
          <w:rFonts w:hint="eastAsia" w:ascii="黑体" w:hAnsi="黑体" w:eastAsia="黑体"/>
          <w:sz w:val="48"/>
          <w:szCs w:val="48"/>
        </w:rPr>
        <w:t>目录</w:t>
      </w:r>
    </w:p>
    <w:p w14:paraId="1A687860">
      <w:pPr>
        <w:widowControl/>
        <w:jc w:val="center"/>
        <w:rPr>
          <w:rFonts w:ascii="黑体" w:hAnsi="黑体" w:eastAsia="黑体"/>
          <w:sz w:val="28"/>
          <w:szCs w:val="28"/>
        </w:rPr>
      </w:pPr>
    </w:p>
    <w:p w14:paraId="1E3526E7">
      <w:pPr>
        <w:pStyle w:val="12"/>
      </w:pPr>
      <w:r>
        <w:rPr>
          <w:rFonts w:hint="eastAsia"/>
        </w:rPr>
        <w:t>公开时间：2024年8月2</w:t>
      </w:r>
      <w:r>
        <w:rPr>
          <w:rFonts w:hint="eastAsia"/>
          <w:lang w:val="en-US" w:eastAsia="zh-CN"/>
        </w:rPr>
        <w:t>7</w:t>
      </w:r>
      <w:r>
        <w:rPr>
          <w:rFonts w:hint="eastAsia"/>
        </w:rPr>
        <w:t>日</w:t>
      </w:r>
    </w:p>
    <w:p w14:paraId="5E6FF24E"/>
    <w:p w14:paraId="38ADAF58">
      <w:pPr>
        <w:pStyle w:val="12"/>
        <w:adjustRightInd w:val="0"/>
        <w:snapToGrid w:val="0"/>
        <w:spacing w:before="0"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部门概况…………………………………………4</w:t>
      </w:r>
    </w:p>
    <w:p w14:paraId="1D1FC05F">
      <w:pPr>
        <w:pStyle w:val="14"/>
        <w:adjustRightInd w:val="0"/>
        <w:snapToGrid w:val="0"/>
        <w:spacing w:line="560" w:lineRule="exact"/>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一、部门职责……………………………………………4</w:t>
      </w:r>
    </w:p>
    <w:p w14:paraId="78369F33">
      <w:pPr>
        <w:pStyle w:val="14"/>
        <w:adjustRightInd w:val="0"/>
        <w:snapToGrid w:val="0"/>
        <w:spacing w:line="560" w:lineRule="exact"/>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二、机构设置……………………………………………4</w:t>
      </w:r>
    </w:p>
    <w:p w14:paraId="7F0436CE">
      <w:pPr>
        <w:pStyle w:val="12"/>
        <w:adjustRightInd w:val="0"/>
        <w:snapToGrid w:val="0"/>
        <w:spacing w:before="0" w:line="560" w:lineRule="exact"/>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 2023年度单位决算情况说明……………………5</w:t>
      </w:r>
    </w:p>
    <w:p w14:paraId="7CF77671">
      <w:pPr>
        <w:pStyle w:val="14"/>
        <w:adjustRightInd w:val="0"/>
        <w:snapToGrid w:val="0"/>
        <w:spacing w:line="560" w:lineRule="exact"/>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一、收入支出决算总体情况说明…………………………5</w:t>
      </w:r>
    </w:p>
    <w:p w14:paraId="007C03A5">
      <w:pPr>
        <w:pStyle w:val="14"/>
        <w:adjustRightInd w:val="0"/>
        <w:snapToGrid w:val="0"/>
        <w:spacing w:line="560" w:lineRule="exact"/>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二、收入决算情况说明……………………………………5</w:t>
      </w:r>
    </w:p>
    <w:p w14:paraId="4FEFEB21">
      <w:pPr>
        <w:pStyle w:val="14"/>
        <w:adjustRightInd w:val="0"/>
        <w:snapToGrid w:val="0"/>
        <w:spacing w:line="560" w:lineRule="exact"/>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三、支出决算情况说明……………………………………6</w:t>
      </w:r>
    </w:p>
    <w:p w14:paraId="564E959E">
      <w:pPr>
        <w:pStyle w:val="14"/>
        <w:adjustRightInd w:val="0"/>
        <w:snapToGrid w:val="0"/>
        <w:spacing w:line="560" w:lineRule="exact"/>
        <w:jc w:val="distribut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四、财政拨款收入支出决算总体情况说明………………7</w:t>
      </w:r>
    </w:p>
    <w:p w14:paraId="5E97CFE8">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五、一般公共预算财政拨款支出决算情况说明…………7六、一般公共预算财政拨款基本支出决算情况说明……10</w:t>
      </w:r>
    </w:p>
    <w:p w14:paraId="3AFDCFBB">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七、财政拨款“三公”经费支出决算情况说明…………11</w:t>
      </w:r>
    </w:p>
    <w:p w14:paraId="2FB426AB">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八、政府性基金预算支出决算情况说明…………………11</w:t>
      </w:r>
    </w:p>
    <w:p w14:paraId="66FF794D">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九、国有资本经营预算支出决算情况说明………………12</w:t>
      </w:r>
    </w:p>
    <w:p w14:paraId="3483D873">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十、其他重要事项的情况说明……………………………12</w:t>
      </w:r>
    </w:p>
    <w:p w14:paraId="0560BF62">
      <w:pPr>
        <w:pStyle w:val="12"/>
        <w:adjustRightInd w:val="0"/>
        <w:snapToGrid w:val="0"/>
        <w:spacing w:before="0"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名词解释……………………………………14</w:t>
      </w:r>
    </w:p>
    <w:p w14:paraId="51180593">
      <w:pPr>
        <w:pStyle w:val="12"/>
        <w:adjustRightInd w:val="0"/>
        <w:snapToGrid w:val="0"/>
        <w:spacing w:before="0"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第四部分 附件……………………………………19</w:t>
      </w:r>
    </w:p>
    <w:p w14:paraId="3137EB1F">
      <w:pPr>
        <w:pStyle w:val="12"/>
        <w:adjustRightInd w:val="0"/>
        <w:snapToGrid w:val="0"/>
        <w:spacing w:before="0"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第五部分 附表……………………………………24</w:t>
      </w:r>
    </w:p>
    <w:p w14:paraId="5774D7DB">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一、收入支出决算总表……………………………………24</w:t>
      </w:r>
    </w:p>
    <w:p w14:paraId="2CB6C941">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二、收入决算表……………………………………24</w:t>
      </w:r>
    </w:p>
    <w:p w14:paraId="7F94FEB0">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三、支出决算表……………………………………24</w:t>
      </w:r>
    </w:p>
    <w:p w14:paraId="34411667">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四、财政拨款收入支出决算总表…………………………24</w:t>
      </w:r>
    </w:p>
    <w:p w14:paraId="43C16AE8">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五、财政拨款支出决算明细表…………………………24</w:t>
      </w:r>
    </w:p>
    <w:p w14:paraId="63D12395">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六、一般公共预算财政拨款支出决算表…………………24</w:t>
      </w:r>
    </w:p>
    <w:p w14:paraId="52B874AD">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七、一般公共预算财政拨款支出决算明细表……………24</w:t>
      </w:r>
    </w:p>
    <w:p w14:paraId="57D3302B">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八、一般公共预算财政拨款基本支出决算明细表………24</w:t>
      </w:r>
    </w:p>
    <w:p w14:paraId="3487CD9B">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九、一般公共预算财政拨款项目支出决算表……………24</w:t>
      </w:r>
    </w:p>
    <w:p w14:paraId="5A86979E">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十、政府性基金预算财政拨款收入支出决算表…………24</w:t>
      </w:r>
    </w:p>
    <w:p w14:paraId="50CF8733">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十一、国有资本经营预算财政拨款收入支出决算表……24</w:t>
      </w:r>
    </w:p>
    <w:p w14:paraId="4170B7A7">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十二、国有资本经营预算财政拨款支出决算表…………24</w:t>
      </w:r>
    </w:p>
    <w:p w14:paraId="2C2D32D3">
      <w:pPr>
        <w:pStyle w:val="14"/>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十三、财政拨款“三公”经费支出决算表………………24</w:t>
      </w:r>
    </w:p>
    <w:p w14:paraId="64AE2081">
      <w:pPr>
        <w:widowControl/>
        <w:spacing w:line="560" w:lineRule="exact"/>
        <w:jc w:val="left"/>
        <w:rPr>
          <w:rFonts w:ascii="仿宋" w:hAnsi="仿宋" w:eastAsia="仿宋"/>
          <w:bCs/>
          <w:kern w:val="44"/>
          <w:sz w:val="24"/>
        </w:rPr>
      </w:pPr>
      <w:r>
        <w:rPr>
          <w:rFonts w:hint="eastAsia" w:ascii="仿宋_GB2312" w:hAnsi="仿宋_GB2312" w:eastAsia="仿宋_GB2312" w:cs="仿宋_GB2312"/>
          <w:b/>
          <w:sz w:val="32"/>
          <w:szCs w:val="32"/>
        </w:rPr>
        <w:br w:type="page"/>
      </w:r>
    </w:p>
    <w:p w14:paraId="7BC83722">
      <w:pPr>
        <w:pStyle w:val="5"/>
        <w:jc w:val="center"/>
        <w:rPr>
          <w:rStyle w:val="18"/>
          <w:rFonts w:ascii="黑体" w:hAnsi="黑体" w:eastAsia="黑体"/>
          <w:b/>
        </w:rPr>
      </w:pPr>
      <w:r>
        <w:rPr>
          <w:rFonts w:hint="eastAsia" w:ascii="黑体" w:hAnsi="黑体" w:eastAsia="黑体"/>
          <w:b w:val="0"/>
        </w:rPr>
        <w:t>第一部分 单位</w:t>
      </w:r>
      <w:r>
        <w:rPr>
          <w:rStyle w:val="18"/>
          <w:rFonts w:hint="eastAsia" w:ascii="黑体" w:hAnsi="黑体" w:eastAsia="黑体"/>
        </w:rPr>
        <w:t>概况</w:t>
      </w:r>
    </w:p>
    <w:p w14:paraId="1F183F95">
      <w:pPr>
        <w:widowControl/>
        <w:jc w:val="left"/>
        <w:rPr>
          <w:rFonts w:ascii="黑体" w:eastAsia="黑体"/>
          <w:sz w:val="32"/>
          <w:szCs w:val="32"/>
        </w:rPr>
      </w:pPr>
    </w:p>
    <w:p w14:paraId="7628FBB4">
      <w:pPr>
        <w:pStyle w:val="6"/>
        <w:numPr>
          <w:ilvl w:val="0"/>
          <w:numId w:val="1"/>
        </w:numPr>
        <w:rPr>
          <w:rStyle w:val="19"/>
          <w:rFonts w:hint="eastAsia" w:ascii="黑体" w:hAnsi="黑体" w:eastAsia="黑体"/>
        </w:rPr>
      </w:pPr>
      <w:r>
        <w:rPr>
          <w:rStyle w:val="19"/>
          <w:rFonts w:hint="eastAsia" w:ascii="黑体" w:hAnsi="黑体" w:eastAsia="黑体"/>
        </w:rPr>
        <w:t>主要职责</w:t>
      </w:r>
    </w:p>
    <w:p w14:paraId="068F2943">
      <w:pPr>
        <w:ind w:firstLine="640" w:firstLineChars="200"/>
        <w:rPr>
          <w:rFonts w:hint="eastAsia" w:ascii="仿宋_GB2312" w:hAnsi="仿宋" w:eastAsia="仿宋_GB2312"/>
          <w:sz w:val="32"/>
          <w:szCs w:val="32"/>
        </w:rPr>
      </w:pPr>
      <w:r>
        <w:rPr>
          <w:rFonts w:hint="eastAsia" w:ascii="仿宋_GB2312" w:hAnsi="仿宋" w:eastAsia="仿宋_GB2312"/>
          <w:sz w:val="32"/>
          <w:szCs w:val="32"/>
        </w:rPr>
        <w:t>遂宁市安居区东禅镇中心幼儿园主要职能是为3-6周岁学龄前儿童提供保育和教育服务，提高</w:t>
      </w:r>
      <w:r>
        <w:rPr>
          <w:rFonts w:hint="eastAsia" w:ascii="仿宋_GB2312" w:hAnsi="仿宋" w:eastAsia="仿宋_GB2312"/>
          <w:sz w:val="32"/>
          <w:szCs w:val="32"/>
          <w:lang w:val="en-US" w:eastAsia="zh-CN"/>
        </w:rPr>
        <w:t>学</w:t>
      </w:r>
      <w:r>
        <w:rPr>
          <w:rFonts w:hint="eastAsia" w:ascii="仿宋_GB2312" w:hAnsi="仿宋" w:eastAsia="仿宋_GB2312"/>
          <w:sz w:val="32"/>
          <w:szCs w:val="32"/>
        </w:rPr>
        <w:t>前教育质量，保证适龄儿童享受到优质的教育资源。</w:t>
      </w:r>
    </w:p>
    <w:p w14:paraId="3C3189EC">
      <w:pPr>
        <w:rPr>
          <w:rFonts w:hint="eastAsia"/>
        </w:rPr>
      </w:pPr>
      <w:r>
        <w:rPr>
          <w:rFonts w:hint="eastAsia" w:ascii="仿宋_GB2312" w:hAnsi="仿宋" w:eastAsia="仿宋_GB2312"/>
          <w:sz w:val="32"/>
          <w:szCs w:val="32"/>
        </w:rPr>
        <w:t>努力改善办园条件，优化育人环境。强化科学管理，确保办园方向。开展丰富的师生活动，创建园本特色。</w:t>
      </w:r>
    </w:p>
    <w:p w14:paraId="2699A5E5">
      <w:pPr>
        <w:pStyle w:val="6"/>
        <w:rPr>
          <w:rFonts w:hint="eastAsia" w:ascii="黑体" w:hAnsi="黑体" w:eastAsia="黑体"/>
          <w:b w:val="0"/>
        </w:rPr>
      </w:pPr>
      <w:r>
        <w:rPr>
          <w:rFonts w:hint="eastAsia" w:ascii="黑体" w:hAnsi="黑体" w:eastAsia="黑体"/>
          <w:b w:val="0"/>
        </w:rPr>
        <w:t>二、机构设置</w:t>
      </w:r>
    </w:p>
    <w:p w14:paraId="655DEEE5">
      <w:pPr>
        <w:snapToGrid w:val="0"/>
        <w:spacing w:line="520" w:lineRule="exact"/>
        <w:ind w:firstLine="640" w:firstLineChars="200"/>
        <w:rPr>
          <w:rFonts w:ascii="仿宋" w:hAnsi="仿宋" w:eastAsia="仿宋"/>
          <w:kern w:val="0"/>
          <w:sz w:val="32"/>
          <w:szCs w:val="32"/>
        </w:rPr>
      </w:pPr>
      <w:r>
        <w:rPr>
          <w:rFonts w:hint="eastAsia" w:ascii="仿宋_GB2312" w:hAnsi="仿宋" w:eastAsia="仿宋_GB2312"/>
          <w:sz w:val="32"/>
          <w:szCs w:val="32"/>
        </w:rPr>
        <w:t>遂宁市安居区东禅镇中心幼儿园为遂宁市安居区教育和体育局下属事业单位，为二级预算单位，独立编制机构1个，独立核算机构1个。</w:t>
      </w:r>
      <w:r>
        <w:rPr>
          <w:rFonts w:ascii="仿宋" w:hAnsi="仿宋" w:eastAsia="仿宋"/>
          <w:sz w:val="32"/>
          <w:szCs w:val="32"/>
        </w:rPr>
        <w:br w:type="page"/>
      </w:r>
    </w:p>
    <w:p w14:paraId="67DB31E2">
      <w:pPr>
        <w:pStyle w:val="5"/>
        <w:ind w:right="440"/>
        <w:jc w:val="center"/>
        <w:rPr>
          <w:rStyle w:val="18"/>
          <w:rFonts w:ascii="黑体" w:hAnsi="黑体" w:eastAsia="黑体"/>
          <w:bCs/>
        </w:rPr>
      </w:pPr>
      <w:r>
        <w:rPr>
          <w:rFonts w:hint="eastAsia" w:ascii="黑体" w:hAnsi="黑体" w:eastAsia="黑体"/>
          <w:b w:val="0"/>
        </w:rPr>
        <w:t>第二部分 2023年度</w:t>
      </w:r>
      <w:r>
        <w:rPr>
          <w:rStyle w:val="18"/>
          <w:rFonts w:hint="eastAsia" w:ascii="黑体" w:hAnsi="黑体" w:eastAsia="黑体"/>
          <w:bCs/>
        </w:rPr>
        <w:t>单位决算情况说明</w:t>
      </w:r>
    </w:p>
    <w:p w14:paraId="796B235C"/>
    <w:p w14:paraId="7FDBEC55">
      <w:pPr>
        <w:pStyle w:val="23"/>
        <w:spacing w:line="600" w:lineRule="exact"/>
        <w:ind w:left="640" w:firstLine="0" w:firstLineChars="0"/>
        <w:outlineLvl w:val="1"/>
        <w:rPr>
          <w:rStyle w:val="19"/>
          <w:rFonts w:ascii="黑体" w:hAnsi="黑体" w:eastAsia="黑体"/>
          <w:b w:val="0"/>
        </w:rPr>
      </w:pPr>
      <w:r>
        <w:rPr>
          <w:rFonts w:hint="eastAsia" w:ascii="黑体" w:hAnsi="黑体" w:eastAsia="黑体"/>
          <w:sz w:val="32"/>
          <w:szCs w:val="32"/>
        </w:rPr>
        <w:t>一、收</w:t>
      </w:r>
      <w:r>
        <w:rPr>
          <w:rStyle w:val="19"/>
          <w:rFonts w:hint="eastAsia" w:ascii="黑体" w:hAnsi="黑体" w:eastAsia="黑体"/>
          <w:b w:val="0"/>
        </w:rPr>
        <w:t>入支出决算总体情况说明</w:t>
      </w:r>
    </w:p>
    <w:p w14:paraId="57ED6D4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bookmarkStart w:id="0" w:name="_Hlk175561598"/>
      <w:r>
        <w:rPr>
          <w:rFonts w:hint="eastAsia"/>
          <w:sz w:val="32"/>
          <w:szCs w:val="32"/>
        </w:rPr>
        <w:t>360.34</w:t>
      </w:r>
      <w:bookmarkEnd w:id="0"/>
      <w:r>
        <w:rPr>
          <w:rFonts w:hint="eastAsia" w:ascii="仿宋" w:hAnsi="仿宋" w:eastAsia="仿宋"/>
          <w:sz w:val="32"/>
          <w:szCs w:val="32"/>
        </w:rPr>
        <w:t>万元。与2022年度相比，收入增加43.74万元，增长12.14%。支出增加43.74万元，增长12.14</w:t>
      </w:r>
      <w:r>
        <w:rPr>
          <w:rFonts w:ascii="仿宋" w:hAnsi="仿宋" w:eastAsia="仿宋"/>
          <w:sz w:val="32"/>
          <w:szCs w:val="32"/>
        </w:rPr>
        <w:t>%</w:t>
      </w:r>
      <w:r>
        <w:rPr>
          <w:rFonts w:hint="eastAsia" w:ascii="仿宋" w:hAnsi="仿宋" w:eastAsia="仿宋"/>
          <w:sz w:val="32"/>
          <w:szCs w:val="32"/>
        </w:rPr>
        <w:t>。主要变动原因是人员经费、工资福利增长、学生资助等。</w:t>
      </w:r>
    </w:p>
    <w:p w14:paraId="2AB75296">
      <w:pPr>
        <w:pStyle w:val="9"/>
        <w:rPr>
          <w:rFonts w:hint="eastAsia" w:ascii="仿宋" w:hAnsi="仿宋" w:eastAsia="仿宋"/>
          <w:sz w:val="32"/>
          <w:szCs w:val="32"/>
        </w:rPr>
      </w:pPr>
      <w:r>
        <w:drawing>
          <wp:inline distT="0" distB="0" distL="114300" distR="114300">
            <wp:extent cx="5105400" cy="2247900"/>
            <wp:effectExtent l="4445" t="4445" r="10795" b="18415"/>
            <wp:docPr id="2"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06CBF6E">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2ECC3929">
      <w:pPr>
        <w:spacing w:line="600" w:lineRule="exact"/>
        <w:ind w:firstLine="640" w:firstLineChars="200"/>
        <w:jc w:val="left"/>
        <w:rPr>
          <w:rFonts w:ascii="仿宋_GB2312" w:eastAsia="仿宋_GB2312"/>
          <w:sz w:val="32"/>
          <w:szCs w:val="32"/>
        </w:rPr>
      </w:pPr>
    </w:p>
    <w:p w14:paraId="2ECEAC25">
      <w:pPr>
        <w:pStyle w:val="23"/>
        <w:spacing w:line="600" w:lineRule="exact"/>
        <w:ind w:left="640" w:firstLine="0" w:firstLineChars="0"/>
        <w:outlineLvl w:val="1"/>
        <w:rPr>
          <w:rStyle w:val="19"/>
          <w:rFonts w:ascii="黑体" w:hAnsi="黑体" w:eastAsia="黑体"/>
          <w:b w:val="0"/>
        </w:rPr>
      </w:pPr>
      <w:r>
        <w:rPr>
          <w:rFonts w:hint="eastAsia" w:ascii="黑体" w:hAnsi="黑体" w:eastAsia="黑体"/>
          <w:sz w:val="32"/>
          <w:szCs w:val="32"/>
        </w:rPr>
        <w:t>二、收</w:t>
      </w:r>
      <w:r>
        <w:rPr>
          <w:rStyle w:val="19"/>
          <w:rFonts w:hint="eastAsia" w:ascii="黑体" w:hAnsi="黑体" w:eastAsia="黑体"/>
          <w:b w:val="0"/>
        </w:rPr>
        <w:t>入决算情况说明</w:t>
      </w:r>
    </w:p>
    <w:p w14:paraId="48FD4318">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rFonts w:hint="eastAsia"/>
          <w:sz w:val="32"/>
          <w:szCs w:val="32"/>
        </w:rPr>
        <w:t>360.34</w:t>
      </w:r>
      <w:r>
        <w:rPr>
          <w:rFonts w:hint="eastAsia" w:ascii="仿宋" w:hAnsi="仿宋" w:eastAsia="仿宋"/>
          <w:sz w:val="32"/>
          <w:szCs w:val="32"/>
        </w:rPr>
        <w:t>万元，其中：一般公共预算财政拨款收入</w:t>
      </w:r>
      <w:r>
        <w:rPr>
          <w:rFonts w:hint="eastAsia"/>
          <w:sz w:val="32"/>
          <w:szCs w:val="32"/>
        </w:rPr>
        <w:t>360.34</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20E82F83">
      <w:pPr>
        <w:spacing w:line="600" w:lineRule="exact"/>
        <w:ind w:firstLine="640" w:firstLineChars="200"/>
        <w:rPr>
          <w:rFonts w:ascii="仿宋_GB2312" w:eastAsia="仿宋_GB2312"/>
          <w:sz w:val="32"/>
          <w:szCs w:val="32"/>
        </w:rPr>
      </w:pPr>
    </w:p>
    <w:p w14:paraId="27544CA1">
      <w:pPr>
        <w:pStyle w:val="23"/>
        <w:spacing w:line="600" w:lineRule="exact"/>
        <w:ind w:left="640" w:firstLine="0" w:firstLineChars="0"/>
        <w:outlineLvl w:val="1"/>
        <w:rPr>
          <w:rFonts w:hint="eastAsia" w:ascii="黑体" w:hAnsi="黑体" w:eastAsia="黑体"/>
          <w:sz w:val="32"/>
          <w:szCs w:val="32"/>
        </w:rPr>
      </w:pPr>
    </w:p>
    <w:p w14:paraId="151F213C">
      <w:pPr>
        <w:pStyle w:val="23"/>
        <w:spacing w:line="600" w:lineRule="exact"/>
        <w:ind w:left="640" w:firstLine="0" w:firstLineChars="0"/>
        <w:outlineLvl w:val="1"/>
        <w:rPr>
          <w:rFonts w:hint="eastAsia" w:ascii="黑体" w:hAnsi="黑体" w:eastAsia="黑体"/>
          <w:sz w:val="32"/>
          <w:szCs w:val="32"/>
        </w:rPr>
      </w:pPr>
    </w:p>
    <w:p w14:paraId="6D9E4632">
      <w:pPr>
        <w:pStyle w:val="23"/>
        <w:spacing w:line="600" w:lineRule="exact"/>
        <w:ind w:left="640" w:firstLine="0" w:firstLineChars="0"/>
        <w:outlineLvl w:val="1"/>
        <w:rPr>
          <w:rFonts w:hint="eastAsia" w:ascii="黑体" w:hAnsi="黑体" w:eastAsia="黑体"/>
          <w:sz w:val="32"/>
          <w:szCs w:val="32"/>
        </w:rPr>
      </w:pPr>
    </w:p>
    <w:p w14:paraId="27CCC97C">
      <w:pPr>
        <w:pStyle w:val="23"/>
        <w:spacing w:line="600" w:lineRule="exact"/>
        <w:ind w:left="640" w:firstLine="0" w:firstLineChars="0"/>
        <w:outlineLvl w:val="1"/>
        <w:rPr>
          <w:rFonts w:hint="eastAsia" w:ascii="黑体" w:hAnsi="黑体" w:eastAsia="黑体"/>
          <w:sz w:val="32"/>
          <w:szCs w:val="32"/>
        </w:rPr>
      </w:pPr>
    </w:p>
    <w:p w14:paraId="54748B5C">
      <w:pPr>
        <w:pStyle w:val="23"/>
        <w:spacing w:line="600" w:lineRule="exact"/>
        <w:ind w:left="640" w:firstLine="0" w:firstLineChars="0"/>
        <w:outlineLvl w:val="1"/>
        <w:rPr>
          <w:rFonts w:hint="eastAsia" w:ascii="黑体" w:hAnsi="黑体" w:eastAsia="黑体"/>
          <w:sz w:val="32"/>
          <w:szCs w:val="32"/>
        </w:rPr>
      </w:pPr>
      <w:r>
        <w:drawing>
          <wp:anchor distT="0" distB="0" distL="114300" distR="114300" simplePos="0" relativeHeight="251659264" behindDoc="1" locked="0" layoutInCell="1" allowOverlap="1">
            <wp:simplePos x="0" y="0"/>
            <wp:positionH relativeFrom="column">
              <wp:posOffset>411480</wp:posOffset>
            </wp:positionH>
            <wp:positionV relativeFrom="paragraph">
              <wp:posOffset>-1709420</wp:posOffset>
            </wp:positionV>
            <wp:extent cx="4512310" cy="2245360"/>
            <wp:effectExtent l="4445" t="4445" r="9525" b="5715"/>
            <wp:wrapTight wrapText="bothSides">
              <wp:wrapPolygon>
                <wp:start x="21592" y="-2"/>
                <wp:lineTo x="0" y="0"/>
                <wp:lineTo x="0" y="21600"/>
                <wp:lineTo x="21592" y="21602"/>
                <wp:lineTo x="8" y="21602"/>
                <wp:lineTo x="21600" y="21600"/>
                <wp:lineTo x="21600" y="0"/>
                <wp:lineTo x="8" y="-2"/>
                <wp:lineTo x="21592" y="-2"/>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4033FBF">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14:paraId="3D169FB2">
      <w:pPr>
        <w:pStyle w:val="23"/>
        <w:spacing w:line="600" w:lineRule="exact"/>
        <w:ind w:left="640" w:firstLine="0" w:firstLineChars="0"/>
        <w:outlineLvl w:val="1"/>
        <w:rPr>
          <w:rStyle w:val="19"/>
          <w:rFonts w:ascii="黑体" w:hAnsi="黑体" w:eastAsia="黑体"/>
          <w:b w:val="0"/>
        </w:rPr>
      </w:pPr>
      <w:r>
        <w:rPr>
          <w:rFonts w:hint="eastAsia" w:ascii="黑体" w:hAnsi="黑体" w:eastAsia="黑体"/>
          <w:sz w:val="32"/>
          <w:szCs w:val="32"/>
        </w:rPr>
        <w:t>三、支</w:t>
      </w:r>
      <w:r>
        <w:rPr>
          <w:rStyle w:val="19"/>
          <w:rFonts w:hint="eastAsia" w:ascii="黑体" w:hAnsi="黑体" w:eastAsia="黑体"/>
          <w:b w:val="0"/>
        </w:rPr>
        <w:t>出决算情况说明</w:t>
      </w:r>
    </w:p>
    <w:p w14:paraId="574162ED">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hint="eastAsia"/>
          <w:sz w:val="32"/>
          <w:szCs w:val="32"/>
        </w:rPr>
        <w:t>360.34</w:t>
      </w:r>
      <w:r>
        <w:rPr>
          <w:rFonts w:hint="eastAsia" w:ascii="仿宋" w:hAnsi="仿宋" w:eastAsia="仿宋"/>
          <w:sz w:val="32"/>
          <w:szCs w:val="32"/>
        </w:rPr>
        <w:t>万元，其中：基本支出</w:t>
      </w:r>
      <w:r>
        <w:rPr>
          <w:rFonts w:hint="eastAsia"/>
          <w:sz w:val="32"/>
          <w:szCs w:val="32"/>
        </w:rPr>
        <w:t>318.42</w:t>
      </w:r>
      <w:r>
        <w:rPr>
          <w:rFonts w:hint="eastAsia" w:ascii="仿宋" w:hAnsi="仿宋" w:eastAsia="仿宋"/>
          <w:sz w:val="32"/>
          <w:szCs w:val="32"/>
        </w:rPr>
        <w:t>万元，占</w:t>
      </w:r>
      <w:r>
        <w:rPr>
          <w:rFonts w:hint="eastAsia"/>
          <w:sz w:val="32"/>
          <w:szCs w:val="32"/>
        </w:rPr>
        <w:t>88.37%</w:t>
      </w:r>
      <w:r>
        <w:rPr>
          <w:rFonts w:ascii="仿宋" w:hAnsi="仿宋" w:eastAsia="仿宋"/>
          <w:sz w:val="32"/>
          <w:szCs w:val="32"/>
        </w:rPr>
        <w:t>%</w:t>
      </w:r>
      <w:r>
        <w:rPr>
          <w:rFonts w:hint="eastAsia" w:ascii="仿宋" w:hAnsi="仿宋" w:eastAsia="仿宋"/>
          <w:sz w:val="32"/>
          <w:szCs w:val="32"/>
        </w:rPr>
        <w:t>；项目支出</w:t>
      </w:r>
      <w:r>
        <w:rPr>
          <w:rFonts w:hint="eastAsia"/>
          <w:sz w:val="32"/>
          <w:szCs w:val="32"/>
        </w:rPr>
        <w:t>41.92</w:t>
      </w:r>
      <w:r>
        <w:rPr>
          <w:rFonts w:hint="eastAsia" w:ascii="仿宋" w:hAnsi="仿宋" w:eastAsia="仿宋"/>
          <w:sz w:val="32"/>
          <w:szCs w:val="32"/>
        </w:rPr>
        <w:t>万元，占</w:t>
      </w:r>
      <w:r>
        <w:rPr>
          <w:rFonts w:hint="eastAsia"/>
          <w:sz w:val="32"/>
          <w:szCs w:val="32"/>
        </w:rPr>
        <w:t>11.63%</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65A97F4F">
      <w:pPr>
        <w:ind w:firstLine="420" w:firstLineChars="200"/>
        <w:rPr>
          <w:rFonts w:ascii="仿宋" w:hAnsi="仿宋" w:eastAsia="仿宋"/>
          <w:sz w:val="32"/>
          <w:szCs w:val="32"/>
        </w:rPr>
      </w:pPr>
      <w:r>
        <w:drawing>
          <wp:inline distT="0" distB="0" distL="114300" distR="114300">
            <wp:extent cx="3601085" cy="2935605"/>
            <wp:effectExtent l="4445" t="4445" r="6350" b="16510"/>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04EC33">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（图3：支出决算结构图）（饼状图）</w:t>
      </w:r>
    </w:p>
    <w:p w14:paraId="2D1270F4">
      <w:pPr>
        <w:spacing w:line="600" w:lineRule="exact"/>
        <w:ind w:firstLine="640" w:firstLineChars="200"/>
        <w:outlineLvl w:val="1"/>
        <w:rPr>
          <w:rFonts w:hint="eastAsia" w:ascii="黑体" w:hAnsi="黑体" w:eastAsia="黑体"/>
          <w:sz w:val="32"/>
          <w:szCs w:val="32"/>
        </w:rPr>
      </w:pPr>
    </w:p>
    <w:p w14:paraId="656A0A93">
      <w:pPr>
        <w:spacing w:line="600" w:lineRule="exact"/>
        <w:ind w:firstLine="640" w:firstLineChars="200"/>
        <w:outlineLvl w:val="1"/>
        <w:rPr>
          <w:rStyle w:val="19"/>
          <w:rFonts w:ascii="黑体" w:hAnsi="黑体" w:eastAsia="黑体"/>
          <w:b w:val="0"/>
        </w:rPr>
      </w:pPr>
      <w:r>
        <w:rPr>
          <w:rFonts w:hint="eastAsia" w:ascii="黑体" w:hAnsi="黑体" w:eastAsia="黑体"/>
          <w:sz w:val="32"/>
          <w:szCs w:val="32"/>
        </w:rPr>
        <w:t>四、财</w:t>
      </w:r>
      <w:r>
        <w:rPr>
          <w:rStyle w:val="19"/>
          <w:rFonts w:hint="eastAsia" w:ascii="黑体" w:hAnsi="黑体" w:eastAsia="黑体"/>
          <w:b w:val="0"/>
        </w:rPr>
        <w:t>政拨款收入支出决算总体情况说明</w:t>
      </w:r>
    </w:p>
    <w:p w14:paraId="6DC87B0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2023年度财政拨款收、支总计均为</w:t>
      </w:r>
      <w:r>
        <w:rPr>
          <w:rFonts w:hint="eastAsia" w:ascii="仿宋" w:hAnsi="仿宋" w:eastAsia="仿宋"/>
          <w:b/>
          <w:sz w:val="32"/>
          <w:szCs w:val="32"/>
        </w:rPr>
        <w:t>360.34</w:t>
      </w:r>
      <w:r>
        <w:rPr>
          <w:rFonts w:hint="eastAsia" w:ascii="仿宋" w:hAnsi="仿宋" w:eastAsia="仿宋"/>
          <w:sz w:val="32"/>
          <w:szCs w:val="32"/>
        </w:rPr>
        <w:t>万元。与2022年度相比，财政拨款收入增加43.74万元，增长12.14%。财政拨款支出增加43.74万元，增长12.14%。主要变动原因是人员经费、工资福利增长、学生资助。</w:t>
      </w:r>
    </w:p>
    <w:p w14:paraId="1E9D4139">
      <w:pPr>
        <w:jc w:val="center"/>
        <w:rPr>
          <w:rFonts w:ascii="仿宋" w:hAnsi="仿宋" w:eastAsia="仿宋"/>
          <w:b/>
          <w:sz w:val="32"/>
          <w:szCs w:val="32"/>
        </w:rPr>
      </w:pPr>
      <w:r>
        <w:drawing>
          <wp:inline distT="0" distB="0" distL="114300" distR="114300">
            <wp:extent cx="4057650" cy="1981200"/>
            <wp:effectExtent l="4445" t="4445" r="6985" b="10795"/>
            <wp:docPr id="4"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030C33">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108CF5E3">
      <w:pPr>
        <w:pStyle w:val="24"/>
      </w:pPr>
    </w:p>
    <w:p w14:paraId="05BE764E">
      <w:pPr>
        <w:spacing w:line="600" w:lineRule="exact"/>
        <w:ind w:firstLine="640" w:firstLineChars="200"/>
        <w:outlineLvl w:val="1"/>
        <w:rPr>
          <w:rStyle w:val="19"/>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19"/>
          <w:rFonts w:hint="eastAsia" w:ascii="黑体" w:hAnsi="黑体" w:eastAsia="黑体"/>
          <w:b w:val="0"/>
        </w:rPr>
        <w:t>般公共预算财政拨款支出决算情况说明</w:t>
      </w:r>
    </w:p>
    <w:p w14:paraId="2A2D353B">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p>
    <w:p w14:paraId="59BCB20E">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2023年度一般公共预算财政拨款支出</w:t>
      </w:r>
      <w:r>
        <w:rPr>
          <w:rFonts w:hint="eastAsia" w:ascii="仿宋" w:hAnsi="仿宋" w:eastAsia="仿宋"/>
          <w:b/>
          <w:sz w:val="32"/>
          <w:szCs w:val="32"/>
        </w:rPr>
        <w:t>360.34</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。与2022年度相比，一般公共预算财政拨款支出增加43.74万元，增长12.14</w:t>
      </w:r>
      <w:r>
        <w:rPr>
          <w:rFonts w:ascii="仿宋" w:hAnsi="仿宋" w:eastAsia="仿宋"/>
          <w:sz w:val="32"/>
          <w:szCs w:val="32"/>
        </w:rPr>
        <w:t>%</w:t>
      </w:r>
      <w:r>
        <w:rPr>
          <w:rFonts w:hint="eastAsia" w:ascii="仿宋" w:hAnsi="仿宋" w:eastAsia="仿宋"/>
          <w:sz w:val="32"/>
          <w:szCs w:val="32"/>
        </w:rPr>
        <w:t>。主要变动原因是人员经费、工资福利增长、学生资助。</w:t>
      </w:r>
    </w:p>
    <w:p w14:paraId="3EF36206">
      <w:pPr>
        <w:ind w:firstLine="420" w:firstLineChars="200"/>
        <w:rPr>
          <w:rFonts w:ascii="仿宋" w:hAnsi="仿宋" w:eastAsia="仿宋"/>
          <w:sz w:val="32"/>
          <w:szCs w:val="32"/>
        </w:rPr>
      </w:pPr>
      <w:r>
        <w:drawing>
          <wp:inline distT="0" distB="0" distL="114300" distR="114300">
            <wp:extent cx="4057650" cy="1981200"/>
            <wp:effectExtent l="4445" t="4445" r="6985" b="10795"/>
            <wp:docPr id="5"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058890">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5448B904">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p>
    <w:p w14:paraId="0BE8601D">
      <w:pPr>
        <w:spacing w:line="600" w:lineRule="exact"/>
        <w:ind w:firstLine="640"/>
        <w:rPr>
          <w:rFonts w:hint="eastAsia" w:ascii="仿宋" w:hAnsi="仿宋" w:eastAsia="仿宋"/>
          <w:sz w:val="32"/>
          <w:szCs w:val="32"/>
        </w:rPr>
      </w:pPr>
      <w:r>
        <w:rPr>
          <w:rFonts w:hint="eastAsia" w:ascii="仿宋" w:hAnsi="仿宋" w:eastAsia="仿宋"/>
          <w:sz w:val="32"/>
          <w:szCs w:val="32"/>
        </w:rPr>
        <w:t>2023年度一般公共预算财政拨款支出</w:t>
      </w:r>
      <w:r>
        <w:rPr>
          <w:rFonts w:hint="eastAsia" w:ascii="仿宋" w:hAnsi="仿宋" w:eastAsia="仿宋"/>
          <w:b/>
          <w:sz w:val="32"/>
          <w:szCs w:val="32"/>
        </w:rPr>
        <w:t>360.34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0元，占0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291.37万元，占80.86%；</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文化旅游体育与传媒支出0万元，占0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33.45万元，占9.28%；</w:t>
      </w:r>
      <w:r>
        <w:rPr>
          <w:rFonts w:hint="eastAsia" w:ascii="仿宋" w:hAnsi="仿宋" w:eastAsia="仿宋"/>
          <w:b/>
          <w:bCs/>
          <w:sz w:val="32"/>
          <w:szCs w:val="32"/>
        </w:rPr>
        <w:t>卫生健康支出</w:t>
      </w:r>
      <w:r>
        <w:rPr>
          <w:rFonts w:hint="eastAsia" w:ascii="仿宋" w:hAnsi="仿宋" w:eastAsia="仿宋"/>
          <w:sz w:val="32"/>
          <w:szCs w:val="32"/>
        </w:rPr>
        <w:t>12.64万元，占3.51%；</w:t>
      </w:r>
      <w:r>
        <w:rPr>
          <w:rFonts w:hint="eastAsia" w:ascii="仿宋" w:hAnsi="仿宋" w:eastAsia="仿宋"/>
          <w:b/>
          <w:bCs/>
          <w:sz w:val="32"/>
          <w:szCs w:val="32"/>
        </w:rPr>
        <w:t>住房保障支出</w:t>
      </w:r>
      <w:r>
        <w:rPr>
          <w:rFonts w:hint="eastAsia" w:ascii="仿宋" w:hAnsi="仿宋" w:eastAsia="仿宋"/>
          <w:sz w:val="32"/>
          <w:szCs w:val="32"/>
        </w:rPr>
        <w:t>22.88万元，占6.35%。</w:t>
      </w:r>
    </w:p>
    <w:p w14:paraId="1A640520">
      <w:pPr>
        <w:pStyle w:val="2"/>
        <w:rPr>
          <w:rFonts w:hint="eastAsia"/>
        </w:rPr>
      </w:pPr>
      <w:r>
        <w:drawing>
          <wp:inline distT="0" distB="0" distL="114300" distR="114300">
            <wp:extent cx="5276850" cy="3143250"/>
            <wp:effectExtent l="4445" t="4445" r="6985" b="6985"/>
            <wp:docPr id="6" name="图片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DD0D81">
      <w:pPr>
        <w:spacing w:line="600" w:lineRule="exact"/>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14:paraId="74582759">
      <w:pPr>
        <w:pStyle w:val="2"/>
        <w:rPr>
          <w:rFonts w:hint="eastAsia"/>
        </w:rPr>
      </w:pPr>
    </w:p>
    <w:p w14:paraId="66358D3B">
      <w:pPr>
        <w:spacing w:line="600" w:lineRule="exact"/>
        <w:rPr>
          <w:rFonts w:ascii="仿宋" w:hAnsi="仿宋" w:eastAsia="仿宋"/>
          <w:b/>
          <w:sz w:val="32"/>
          <w:szCs w:val="32"/>
        </w:rPr>
      </w:pPr>
      <w:r>
        <w:rPr>
          <w:rFonts w:hint="eastAsia" w:ascii="仿宋" w:hAnsi="仿宋" w:eastAsia="仿宋"/>
          <w:b/>
          <w:sz w:val="32"/>
          <w:szCs w:val="32"/>
        </w:rPr>
        <w:t>（三）一般公共预算财政拨款支出决算具体情况</w:t>
      </w:r>
    </w:p>
    <w:p w14:paraId="71183F6F">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2023年度一般公共预算支出决算数为360.34</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p>
    <w:p w14:paraId="52FD71DC">
      <w:pPr>
        <w:spacing w:line="600" w:lineRule="exact"/>
        <w:ind w:firstLine="643" w:firstLineChars="200"/>
        <w:rPr>
          <w:rStyle w:val="17"/>
          <w:rFonts w:hint="eastAsia" w:ascii="仿宋" w:hAnsi="仿宋" w:eastAsia="仿宋"/>
          <w:b w:val="0"/>
          <w:bCs/>
          <w:color w:val="000000"/>
          <w:sz w:val="32"/>
          <w:szCs w:val="32"/>
        </w:rPr>
      </w:pPr>
      <w:r>
        <w:rPr>
          <w:rStyle w:val="17"/>
          <w:rFonts w:ascii="仿宋" w:hAnsi="仿宋" w:eastAsia="仿宋"/>
          <w:bCs/>
          <w:color w:val="000000"/>
          <w:sz w:val="32"/>
          <w:szCs w:val="32"/>
        </w:rPr>
        <w:t>1.</w:t>
      </w:r>
      <w:r>
        <w:rPr>
          <w:rStyle w:val="17"/>
          <w:rFonts w:hint="eastAsia" w:ascii="仿宋" w:hAnsi="仿宋" w:eastAsia="仿宋"/>
          <w:bCs/>
          <w:color w:val="000000"/>
          <w:sz w:val="32"/>
          <w:szCs w:val="32"/>
        </w:rPr>
        <w:t>教育205</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支出决算为291.37万元，完成预算100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0712F9E3">
      <w:pPr>
        <w:spacing w:line="600" w:lineRule="exact"/>
        <w:ind w:firstLine="643" w:firstLineChars="200"/>
        <w:rPr>
          <w:rFonts w:ascii="仿宋" w:hAnsi="仿宋" w:eastAsia="仿宋"/>
          <w:b/>
          <w:color w:val="000000"/>
          <w:sz w:val="32"/>
          <w:szCs w:val="32"/>
        </w:rPr>
      </w:pPr>
      <w:r>
        <w:rPr>
          <w:rStyle w:val="17"/>
          <w:rFonts w:hint="eastAsia" w:ascii="仿宋" w:hAnsi="仿宋" w:eastAsia="仿宋"/>
          <w:bCs/>
          <w:color w:val="000000"/>
          <w:sz w:val="32"/>
          <w:szCs w:val="32"/>
        </w:rPr>
        <w:t>教育支出205（类）02（款）01学前教育（项）2023年</w:t>
      </w:r>
      <w:r>
        <w:rPr>
          <w:rStyle w:val="17"/>
          <w:rFonts w:hint="eastAsia" w:ascii="仿宋" w:hAnsi="仿宋" w:eastAsia="仿宋"/>
          <w:b w:val="0"/>
          <w:bCs/>
          <w:color w:val="000000"/>
          <w:sz w:val="32"/>
          <w:szCs w:val="32"/>
        </w:rPr>
        <w:t>支出决算为291.37万元，完成预算100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，主要用于学前教育资助、主要用于人员工资、福利支出、驻村工作队生活补助、义务教育贫困生生活补助、退休人员公用经费等。</w:t>
      </w:r>
    </w:p>
    <w:p w14:paraId="3A1A06D6">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rPr>
        <w:t>2</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社会保障和就业208</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支出决算为33.45万元，完成预算100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5115B8A6">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rPr>
        <w:t>（1）社会保障和就业208（类）05（款）05事业单位基本养老保险缴费支出（项）2023年</w:t>
      </w:r>
      <w:r>
        <w:rPr>
          <w:rStyle w:val="17"/>
          <w:rFonts w:hint="eastAsia" w:ascii="仿宋" w:hAnsi="仿宋" w:eastAsia="仿宋"/>
          <w:b w:val="0"/>
          <w:bCs/>
          <w:color w:val="000000"/>
          <w:sz w:val="32"/>
          <w:szCs w:val="32"/>
        </w:rPr>
        <w:t>支出决算为27.23万元，完成预算100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，主要用于购买基本养老保险。</w:t>
      </w:r>
    </w:p>
    <w:p w14:paraId="282558E1">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rPr>
        <w:t>（2）社会保障和就业208（类）05（款）99其他行政事业单位养老支出（项）2023年</w:t>
      </w:r>
      <w:r>
        <w:rPr>
          <w:rStyle w:val="17"/>
          <w:rFonts w:hint="eastAsia" w:ascii="仿宋" w:hAnsi="仿宋" w:eastAsia="仿宋"/>
          <w:b w:val="0"/>
          <w:bCs/>
          <w:color w:val="000000"/>
          <w:sz w:val="32"/>
          <w:szCs w:val="32"/>
        </w:rPr>
        <w:t>支出决算为5.24万元，完成预算100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，主要是一次性增人增资追加各学校退休中人一次性退休补助。</w:t>
      </w:r>
    </w:p>
    <w:p w14:paraId="24787B84">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rPr>
        <w:t>（3）社会保障和就业208（类）99（款）99其他社会保障和就业支出（项）2023年</w:t>
      </w:r>
      <w:r>
        <w:rPr>
          <w:rStyle w:val="17"/>
          <w:rFonts w:hint="eastAsia" w:ascii="仿宋" w:hAnsi="仿宋" w:eastAsia="仿宋"/>
          <w:b w:val="0"/>
          <w:bCs/>
          <w:color w:val="000000"/>
          <w:sz w:val="32"/>
          <w:szCs w:val="32"/>
        </w:rPr>
        <w:t>支出决算为0.98万元，完成预算100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，主要用于支付在职人员工伤失业保险。</w:t>
      </w:r>
    </w:p>
    <w:p w14:paraId="1CE453F7">
      <w:pPr>
        <w:spacing w:line="600" w:lineRule="exact"/>
        <w:ind w:firstLine="643" w:firstLineChars="200"/>
        <w:rPr>
          <w:rStyle w:val="17"/>
          <w:rFonts w:hint="eastAsia" w:ascii="仿宋" w:hAnsi="仿宋" w:eastAsia="仿宋"/>
          <w:bCs/>
          <w:color w:val="000000"/>
          <w:sz w:val="32"/>
          <w:szCs w:val="32"/>
        </w:rPr>
      </w:pPr>
    </w:p>
    <w:p w14:paraId="561571EF">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rPr>
        <w:t>3</w:t>
      </w:r>
      <w:r>
        <w:rPr>
          <w:rStyle w:val="17"/>
          <w:rFonts w:ascii="仿宋" w:hAnsi="仿宋" w:eastAsia="仿宋"/>
          <w:bCs/>
          <w:color w:val="000000"/>
          <w:sz w:val="32"/>
          <w:szCs w:val="32"/>
        </w:rPr>
        <w:t>.</w:t>
      </w:r>
      <w:r>
        <w:rPr>
          <w:rFonts w:hint="eastAsia" w:ascii="仿宋" w:hAnsi="仿宋" w:eastAsia="仿宋"/>
          <w:b/>
          <w:bCs/>
          <w:color w:val="000000"/>
          <w:sz w:val="32"/>
          <w:szCs w:val="32"/>
        </w:rPr>
        <w:t>卫生健康210</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支出决算为12.64万元，完成预算100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3A60E3B4">
      <w:pPr>
        <w:spacing w:line="600" w:lineRule="exact"/>
        <w:ind w:firstLine="643" w:firstLineChars="200"/>
        <w:rPr>
          <w:rStyle w:val="17"/>
          <w:rFonts w:hint="eastAsia" w:ascii="仿宋" w:hAnsi="仿宋" w:eastAsia="仿宋"/>
          <w:b w:val="0"/>
          <w:bCs/>
          <w:color w:val="000000"/>
          <w:sz w:val="32"/>
          <w:szCs w:val="32"/>
        </w:rPr>
      </w:pPr>
      <w:r>
        <w:rPr>
          <w:rFonts w:hint="eastAsia" w:ascii="仿宋" w:hAnsi="仿宋" w:eastAsia="仿宋"/>
          <w:b/>
          <w:bCs/>
          <w:color w:val="000000"/>
          <w:sz w:val="32"/>
          <w:szCs w:val="32"/>
        </w:rPr>
        <w:t>卫生健康210</w:t>
      </w:r>
      <w:r>
        <w:rPr>
          <w:rStyle w:val="17"/>
          <w:rFonts w:hint="eastAsia" w:ascii="仿宋" w:hAnsi="仿宋" w:eastAsia="仿宋"/>
          <w:bCs/>
          <w:color w:val="000000"/>
          <w:sz w:val="32"/>
          <w:szCs w:val="32"/>
        </w:rPr>
        <w:t>（类）11（款）02事业单位医疗（项）2023年</w:t>
      </w:r>
      <w:r>
        <w:rPr>
          <w:rStyle w:val="17"/>
          <w:rFonts w:hint="eastAsia" w:ascii="仿宋" w:hAnsi="仿宋" w:eastAsia="仿宋"/>
          <w:b w:val="0"/>
          <w:bCs/>
          <w:color w:val="000000"/>
          <w:sz w:val="32"/>
          <w:szCs w:val="32"/>
        </w:rPr>
        <w:t>支出决算为12.64万元，完成预算100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，主要用于单位医疗生育等保险支出。</w:t>
      </w:r>
    </w:p>
    <w:p w14:paraId="58E8BA23">
      <w:pPr>
        <w:spacing w:line="600" w:lineRule="exact"/>
        <w:ind w:firstLine="643" w:firstLineChars="200"/>
        <w:rPr>
          <w:rStyle w:val="17"/>
          <w:rFonts w:hint="eastAsia" w:ascii="仿宋" w:hAnsi="仿宋" w:eastAsia="仿宋"/>
          <w:b w:val="0"/>
          <w:bCs/>
          <w:color w:val="000000"/>
          <w:sz w:val="32"/>
          <w:szCs w:val="32"/>
        </w:rPr>
      </w:pPr>
      <w:r>
        <w:rPr>
          <w:rFonts w:hint="eastAsia" w:ascii="仿宋" w:hAnsi="仿宋" w:eastAsia="仿宋"/>
          <w:b/>
          <w:bCs/>
          <w:color w:val="000000"/>
          <w:sz w:val="32"/>
          <w:szCs w:val="32"/>
        </w:rPr>
        <w:t>4.住房保障支出221</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支出决算为22.88万元，完成预算100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3F54937B">
      <w:pPr>
        <w:spacing w:line="600" w:lineRule="exact"/>
        <w:ind w:firstLine="643" w:firstLineChars="200"/>
        <w:rPr>
          <w:rFonts w:ascii="仿宋" w:hAnsi="仿宋" w:eastAsia="仿宋"/>
          <w:b/>
          <w:sz w:val="32"/>
          <w:szCs w:val="32"/>
        </w:rPr>
      </w:pPr>
      <w:r>
        <w:rPr>
          <w:rFonts w:hint="eastAsia" w:ascii="仿宋" w:hAnsi="仿宋" w:eastAsia="仿宋"/>
          <w:b/>
          <w:bCs/>
          <w:color w:val="000000"/>
          <w:sz w:val="32"/>
          <w:szCs w:val="32"/>
        </w:rPr>
        <w:t>住房保障支出221</w:t>
      </w:r>
      <w:r>
        <w:rPr>
          <w:rStyle w:val="17"/>
          <w:rFonts w:hint="eastAsia" w:ascii="仿宋" w:hAnsi="仿宋" w:eastAsia="仿宋"/>
          <w:bCs/>
          <w:color w:val="000000"/>
          <w:sz w:val="32"/>
          <w:szCs w:val="32"/>
        </w:rPr>
        <w:t>（类）02（款）01住房公积金（项）2023年</w:t>
      </w:r>
      <w:r>
        <w:rPr>
          <w:rStyle w:val="17"/>
          <w:rFonts w:hint="eastAsia" w:ascii="仿宋" w:hAnsi="仿宋" w:eastAsia="仿宋"/>
          <w:b w:val="0"/>
          <w:bCs/>
          <w:color w:val="000000"/>
          <w:sz w:val="32"/>
          <w:szCs w:val="32"/>
        </w:rPr>
        <w:t>支出决算为22.88万元，完成预算100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，主要用于单位住房公积金保险支出。</w:t>
      </w:r>
    </w:p>
    <w:p w14:paraId="26F51D9D">
      <w:pPr>
        <w:tabs>
          <w:tab w:val="right" w:pos="8306"/>
        </w:tabs>
        <w:spacing w:line="600" w:lineRule="exact"/>
        <w:ind w:firstLine="640"/>
        <w:outlineLvl w:val="1"/>
        <w:rPr>
          <w:rStyle w:val="19"/>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9"/>
          <w:rFonts w:hint="eastAsia" w:ascii="黑体" w:hAnsi="黑体" w:eastAsia="黑体"/>
          <w:b w:val="0"/>
        </w:rPr>
        <w:t>般公共预算财政拨款基本支出决算情况说明</w:t>
      </w:r>
      <w:r>
        <w:rPr>
          <w:rStyle w:val="19"/>
          <w:rFonts w:ascii="黑体" w:hAnsi="黑体" w:eastAsia="黑体"/>
          <w:b w:val="0"/>
        </w:rPr>
        <w:tab/>
      </w:r>
    </w:p>
    <w:p w14:paraId="7E56ED76">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hint="eastAsia" w:ascii="仿宋" w:hAnsi="仿宋" w:eastAsia="仿宋"/>
          <w:b/>
          <w:sz w:val="32"/>
          <w:szCs w:val="32"/>
        </w:rPr>
        <w:t>318.42</w:t>
      </w:r>
      <w:r>
        <w:rPr>
          <w:rFonts w:hint="eastAsia" w:ascii="仿宋" w:hAnsi="仿宋" w:eastAsia="仿宋"/>
          <w:sz w:val="32"/>
          <w:szCs w:val="32"/>
        </w:rPr>
        <w:t>万元，其中：</w:t>
      </w:r>
    </w:p>
    <w:p w14:paraId="01C545A3">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rPr>
        <w:t>274.30</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rPr>
        <w:t>44.12</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9E20568">
      <w:pPr>
        <w:spacing w:line="600" w:lineRule="exact"/>
        <w:outlineLvl w:val="1"/>
        <w:rPr>
          <w:rStyle w:val="19"/>
          <w:rFonts w:hint="eastAsia" w:ascii="黑体" w:hAnsi="黑体" w:eastAsia="黑体"/>
          <w:b w:val="0"/>
        </w:rPr>
      </w:pPr>
      <w:bookmarkStart w:id="1" w:name="_Toc15396609"/>
      <w:bookmarkStart w:id="2" w:name="_Toc15377215"/>
      <w:r>
        <w:rPr>
          <w:rFonts w:hint="eastAsia" w:ascii="黑体" w:eastAsia="黑体"/>
          <w:sz w:val="32"/>
          <w:szCs w:val="32"/>
        </w:rPr>
        <w:t>七、</w:t>
      </w:r>
      <w:r>
        <w:rPr>
          <w:rStyle w:val="19"/>
          <w:rFonts w:hint="eastAsia" w:ascii="黑体" w:hAnsi="黑体" w:eastAsia="黑体"/>
        </w:rPr>
        <w:t>财政拨款“三公”经费支出决算情况说明</w:t>
      </w:r>
      <w:bookmarkEnd w:id="1"/>
      <w:bookmarkEnd w:id="2"/>
    </w:p>
    <w:p w14:paraId="708340E6">
      <w:pPr>
        <w:spacing w:line="600" w:lineRule="exact"/>
        <w:ind w:firstLine="640"/>
        <w:outlineLvl w:val="2"/>
        <w:rPr>
          <w:rFonts w:hint="eastAsia" w:ascii="仿宋" w:hAnsi="仿宋" w:eastAsia="仿宋"/>
          <w:b/>
          <w:sz w:val="32"/>
          <w:szCs w:val="32"/>
        </w:rPr>
      </w:pPr>
      <w:bookmarkStart w:id="3" w:name="_Toc15377216"/>
      <w:r>
        <w:rPr>
          <w:rFonts w:hint="eastAsia" w:ascii="仿宋" w:hAnsi="仿宋" w:eastAsia="仿宋"/>
          <w:b/>
          <w:sz w:val="32"/>
          <w:szCs w:val="32"/>
        </w:rPr>
        <w:t>（一）“三公”经费财政拨款支出决算总体情况说明</w:t>
      </w:r>
      <w:bookmarkEnd w:id="3"/>
    </w:p>
    <w:p w14:paraId="0D090F9B">
      <w:pPr>
        <w:spacing w:line="600" w:lineRule="exact"/>
        <w:ind w:firstLine="640"/>
        <w:outlineLvl w:val="2"/>
        <w:rPr>
          <w:rFonts w:hint="eastAsia" w:ascii="仿宋" w:hAnsi="仿宋" w:eastAsia="仿宋"/>
          <w:sz w:val="32"/>
          <w:szCs w:val="32"/>
        </w:rPr>
      </w:pPr>
      <w:bookmarkStart w:id="4" w:name="_Toc15377217"/>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14:paraId="5F53C7C9">
      <w:pPr>
        <w:spacing w:line="600" w:lineRule="exact"/>
        <w:ind w:firstLine="640"/>
        <w:outlineLvl w:val="2"/>
        <w:rPr>
          <w:rFonts w:hint="eastAsia" w:ascii="仿宋" w:hAnsi="仿宋" w:eastAsia="仿宋"/>
          <w:b/>
          <w:sz w:val="32"/>
          <w:szCs w:val="32"/>
        </w:rPr>
      </w:pPr>
      <w:r>
        <w:rPr>
          <w:rFonts w:hint="eastAsia" w:ascii="仿宋" w:hAnsi="仿宋" w:eastAsia="仿宋"/>
          <w:b/>
          <w:sz w:val="32"/>
          <w:szCs w:val="32"/>
        </w:rPr>
        <w:t>（二）“三公”经费财政拨款支出决算具体情况说明</w:t>
      </w:r>
      <w:bookmarkEnd w:id="4"/>
    </w:p>
    <w:p w14:paraId="3D9B847F">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r>
        <w:rPr>
          <w:rFonts w:ascii="宋体" w:hAnsi="宋体" w:cs="宋体"/>
          <w:sz w:val="24"/>
        </w:rPr>
        <w:t>具体情况如下：</w:t>
      </w:r>
    </w:p>
    <w:p w14:paraId="6C899FA1">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7"/>
          <w:rFonts w:hint="eastAsia" w:ascii="仿宋" w:hAnsi="仿宋" w:eastAsia="仿宋"/>
          <w:bCs/>
          <w:sz w:val="32"/>
          <w:szCs w:val="32"/>
        </w:rPr>
        <w:t>完成预算</w:t>
      </w:r>
      <w:r>
        <w:rPr>
          <w:sz w:val="32"/>
          <w:szCs w:val="32"/>
        </w:rPr>
        <w:t>0</w:t>
      </w:r>
      <w:r>
        <w:rPr>
          <w:rStyle w:val="17"/>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65FB3858">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7"/>
          <w:rFonts w:hint="eastAsia" w:ascii="仿宋" w:hAnsi="仿宋" w:eastAsia="仿宋"/>
          <w:bCs/>
          <w:sz w:val="32"/>
          <w:szCs w:val="32"/>
        </w:rPr>
        <w:t>完成预算</w:t>
      </w:r>
      <w:r>
        <w:rPr>
          <w:sz w:val="32"/>
          <w:szCs w:val="32"/>
        </w:rPr>
        <w:t>0</w:t>
      </w:r>
      <w:r>
        <w:rPr>
          <w:rStyle w:val="17"/>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4477F66E">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1E42DD64">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605DF5FE">
      <w:pPr>
        <w:numPr>
          <w:ilvl w:val="0"/>
          <w:numId w:val="2"/>
        </w:numPr>
        <w:suppressAutoHyphens w:val="0"/>
        <w:spacing w:line="600" w:lineRule="exact"/>
        <w:ind w:firstLine="640"/>
        <w:rPr>
          <w:rFonts w:ascii="仿宋_GB2312" w:eastAsia="仿宋_GB2312"/>
          <w:bCs/>
          <w:sz w:val="32"/>
          <w:szCs w:val="32"/>
        </w:rPr>
      </w:pPr>
      <w:r>
        <w:rPr>
          <w:rFonts w:hint="eastAsia" w:ascii="仿宋_GB2312" w:eastAsia="仿宋_GB2312"/>
          <w:bCs/>
          <w:sz w:val="32"/>
          <w:szCs w:val="32"/>
        </w:rPr>
        <w:t>公务接待费支出</w:t>
      </w:r>
      <w:r>
        <w:rPr>
          <w:bCs/>
          <w:sz w:val="32"/>
          <w:szCs w:val="32"/>
        </w:rPr>
        <w:t>0</w:t>
      </w:r>
      <w:r>
        <w:rPr>
          <w:rFonts w:hint="eastAsia" w:ascii="仿宋_GB2312" w:eastAsia="仿宋_GB2312"/>
          <w:bCs/>
          <w:sz w:val="32"/>
          <w:szCs w:val="32"/>
        </w:rPr>
        <w:t>万元，完成预算100%。公务接待费支出决算与2022年度持平。其中：</w:t>
      </w:r>
    </w:p>
    <w:p w14:paraId="344D158D">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国内公务接待支出0万元。国内公务接待0批次，0人次（不包括陪同人员），共计支出0万元。</w:t>
      </w:r>
      <w:r>
        <w:rPr>
          <w:rFonts w:hint="eastAsia" w:ascii="仿宋_GB2312" w:eastAsia="仿宋_GB2312"/>
          <w:bCs/>
          <w:sz w:val="32"/>
          <w:szCs w:val="32"/>
        </w:rPr>
        <w:br w:type="textWrapping"/>
      </w:r>
      <w:r>
        <w:rPr>
          <w:rFonts w:hint="eastAsia" w:ascii="仿宋_GB2312" w:eastAsia="仿宋_GB2312"/>
          <w:bCs/>
          <w:sz w:val="32"/>
          <w:szCs w:val="32"/>
        </w:rPr>
        <w:t xml:space="preserve">   外事接待支出0万元。外事接待0批次，0人次（不包括陪同人员），共计支出0万元。</w:t>
      </w:r>
    </w:p>
    <w:p w14:paraId="28DD519C">
      <w:pPr>
        <w:spacing w:line="600" w:lineRule="exact"/>
        <w:ind w:firstLine="480" w:firstLineChars="150"/>
        <w:outlineLvl w:val="1"/>
        <w:rPr>
          <w:rStyle w:val="19"/>
          <w:rFonts w:hint="eastAsia" w:ascii="黑体" w:hAnsi="黑体" w:eastAsia="黑体"/>
        </w:rPr>
      </w:pPr>
      <w:bookmarkStart w:id="5" w:name="_Toc15396610"/>
      <w:bookmarkStart w:id="6" w:name="_Toc15377218"/>
      <w:r>
        <w:rPr>
          <w:rFonts w:hint="eastAsia" w:ascii="黑体" w:eastAsia="黑体"/>
          <w:sz w:val="32"/>
          <w:szCs w:val="32"/>
        </w:rPr>
        <w:t>八、</w:t>
      </w:r>
      <w:r>
        <w:rPr>
          <w:rStyle w:val="19"/>
          <w:rFonts w:hint="eastAsia" w:ascii="黑体" w:hAnsi="黑体" w:eastAsia="黑体"/>
        </w:rPr>
        <w:t>政府性基金预算支出决算情况说明</w:t>
      </w:r>
      <w:bookmarkEnd w:id="5"/>
      <w:bookmarkEnd w:id="6"/>
    </w:p>
    <w:p w14:paraId="7B53E99C">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23年政府性基金预算财政拨款支出0万元</w:t>
      </w:r>
    </w:p>
    <w:p w14:paraId="53B57188">
      <w:pPr>
        <w:numPr>
          <w:ilvl w:val="0"/>
          <w:numId w:val="3"/>
        </w:numPr>
        <w:suppressAutoHyphens w:val="0"/>
        <w:spacing w:line="600" w:lineRule="exact"/>
        <w:ind w:firstLine="640"/>
        <w:outlineLvl w:val="1"/>
        <w:rPr>
          <w:rStyle w:val="19"/>
          <w:rFonts w:hint="eastAsia" w:ascii="黑体" w:hAnsi="黑体" w:eastAsia="黑体"/>
          <w:b w:val="0"/>
        </w:rPr>
      </w:pPr>
      <w:bookmarkStart w:id="7" w:name="_Toc15377219"/>
      <w:bookmarkStart w:id="8" w:name="_Toc15396611"/>
      <w:r>
        <w:rPr>
          <w:rStyle w:val="19"/>
          <w:rFonts w:hint="eastAsia" w:ascii="黑体" w:hAnsi="黑体" w:eastAsia="黑体"/>
        </w:rPr>
        <w:t>国有资本经营预算支出决算情况说明</w:t>
      </w:r>
      <w:bookmarkEnd w:id="7"/>
      <w:bookmarkEnd w:id="8"/>
    </w:p>
    <w:p w14:paraId="1D773504">
      <w:pPr>
        <w:pStyle w:val="23"/>
        <w:spacing w:line="600" w:lineRule="exact"/>
        <w:ind w:left="360" w:firstLine="0" w:firstLineChars="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23年国有资本经营预算财政拨款支出0万元。</w:t>
      </w:r>
    </w:p>
    <w:p w14:paraId="31C84D57">
      <w:pPr>
        <w:pStyle w:val="23"/>
        <w:spacing w:line="600" w:lineRule="exact"/>
        <w:ind w:left="360" w:firstLine="321" w:firstLineChars="100"/>
        <w:outlineLvl w:val="1"/>
        <w:rPr>
          <w:rStyle w:val="19"/>
          <w:rFonts w:hint="eastAsia" w:ascii="黑体" w:hAnsi="黑体" w:eastAsia="黑体"/>
          <w:b w:val="0"/>
        </w:rPr>
      </w:pPr>
      <w:bookmarkStart w:id="9" w:name="_Toc15396612"/>
      <w:bookmarkStart w:id="10" w:name="_Toc15377221"/>
      <w:r>
        <w:rPr>
          <w:rStyle w:val="19"/>
          <w:rFonts w:hint="eastAsia" w:ascii="黑体" w:hAnsi="黑体" w:eastAsia="黑体"/>
        </w:rPr>
        <w:t>十</w:t>
      </w:r>
      <w:r>
        <w:rPr>
          <w:rStyle w:val="19"/>
          <w:rFonts w:ascii="黑体" w:hAnsi="黑体" w:eastAsia="黑体"/>
        </w:rPr>
        <w:t>、</w:t>
      </w:r>
      <w:r>
        <w:rPr>
          <w:rStyle w:val="19"/>
          <w:rFonts w:hint="eastAsia" w:ascii="黑体" w:hAnsi="黑体" w:eastAsia="黑体"/>
        </w:rPr>
        <w:t>其他重要事项的情况说明</w:t>
      </w:r>
      <w:bookmarkEnd w:id="9"/>
      <w:bookmarkEnd w:id="10"/>
    </w:p>
    <w:p w14:paraId="2ABAB071">
      <w:pPr>
        <w:spacing w:line="600" w:lineRule="exact"/>
        <w:ind w:firstLine="643" w:firstLineChars="200"/>
        <w:outlineLvl w:val="2"/>
        <w:rPr>
          <w:rFonts w:hint="eastAsia" w:ascii="仿宋" w:hAnsi="仿宋" w:eastAsia="仿宋"/>
          <w:sz w:val="32"/>
          <w:szCs w:val="32"/>
        </w:rPr>
      </w:pPr>
      <w:bookmarkStart w:id="11" w:name="_Toc15377222"/>
      <w:r>
        <w:rPr>
          <w:rFonts w:hint="eastAsia" w:ascii="仿宋" w:hAnsi="仿宋" w:eastAsia="仿宋"/>
          <w:b/>
          <w:sz w:val="32"/>
          <w:szCs w:val="32"/>
        </w:rPr>
        <w:t>（一）机关运行经费支出情况</w:t>
      </w:r>
      <w:bookmarkEnd w:id="11"/>
    </w:p>
    <w:p w14:paraId="1DB3F7F2">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23年，遂宁市安居区东禅镇中心幼儿园机关运行经费支出0万元。与2022年度决算数持平。</w:t>
      </w:r>
    </w:p>
    <w:p w14:paraId="1F00FC15">
      <w:pPr>
        <w:autoSpaceDE w:val="0"/>
        <w:autoSpaceDN w:val="0"/>
        <w:adjustRightInd w:val="0"/>
        <w:spacing w:line="600" w:lineRule="exact"/>
        <w:ind w:firstLine="643" w:firstLineChars="200"/>
        <w:jc w:val="left"/>
        <w:outlineLvl w:val="2"/>
        <w:rPr>
          <w:rFonts w:hint="eastAsia" w:ascii="仿宋" w:hAnsi="仿宋" w:eastAsia="仿宋"/>
          <w:b/>
          <w:sz w:val="32"/>
          <w:szCs w:val="32"/>
        </w:rPr>
      </w:pPr>
      <w:bookmarkStart w:id="12" w:name="_Toc15377223"/>
      <w:r>
        <w:rPr>
          <w:rFonts w:hint="eastAsia" w:ascii="仿宋" w:hAnsi="仿宋" w:eastAsia="仿宋"/>
          <w:b/>
          <w:sz w:val="32"/>
          <w:szCs w:val="32"/>
        </w:rPr>
        <w:t>（二）政府采购支出情况</w:t>
      </w:r>
      <w:bookmarkEnd w:id="12"/>
    </w:p>
    <w:p w14:paraId="69C74FD8">
      <w:pPr>
        <w:autoSpaceDE w:val="0"/>
        <w:autoSpaceDN w:val="0"/>
        <w:adjustRightInd w:val="0"/>
        <w:spacing w:line="600" w:lineRule="exact"/>
        <w:ind w:firstLine="640" w:firstLineChars="200"/>
        <w:jc w:val="left"/>
        <w:outlineLvl w:val="2"/>
        <w:rPr>
          <w:rFonts w:ascii="仿宋_GB2312" w:eastAsia="仿宋_GB2312"/>
          <w:sz w:val="32"/>
          <w:szCs w:val="32"/>
        </w:rPr>
      </w:pPr>
      <w:bookmarkStart w:id="13" w:name="_Toc15377224"/>
      <w:r>
        <w:rPr>
          <w:rFonts w:hint="eastAsia" w:ascii="仿宋_GB2312" w:eastAsia="仿宋_GB2312"/>
          <w:sz w:val="32"/>
          <w:szCs w:val="32"/>
        </w:rPr>
        <w:t>2023年度，遂宁市安居区东禅镇中心幼儿园政府采购支出总额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13"/>
    <w:p w14:paraId="6F1C4CC1">
      <w:pPr>
        <w:autoSpaceDE w:val="0"/>
        <w:autoSpaceDN w:val="0"/>
        <w:adjustRightInd w:val="0"/>
        <w:spacing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rPr>
        <w:t>（三）国有资产占有使用情况</w:t>
      </w:r>
    </w:p>
    <w:p w14:paraId="58EAF56D">
      <w:pPr>
        <w:autoSpaceDE w:val="0"/>
        <w:autoSpaceDN w:val="0"/>
        <w:adjustRightIn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截至2023年12月31日，遂宁市安居区东禅镇中心幼儿园共有车辆0辆，其中：主要领导干部用车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1C5B7397">
      <w:pPr>
        <w:autoSpaceDE w:val="0"/>
        <w:autoSpaceDN w:val="0"/>
        <w:adjustRightInd w:val="0"/>
        <w:spacing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rPr>
        <w:t>（四）预算绩效管理情况</w:t>
      </w:r>
    </w:p>
    <w:p w14:paraId="7FA721BB">
      <w:pPr>
        <w:pStyle w:val="9"/>
        <w:ind w:firstLine="640" w:firstLineChars="200"/>
        <w:rPr>
          <w:rFonts w:hint="eastAsia" w:ascii="黑体" w:hAnsi="黑体" w:eastAsia="黑体"/>
          <w:sz w:val="44"/>
          <w:szCs w:val="44"/>
        </w:rPr>
      </w:pPr>
      <w:r>
        <w:rPr>
          <w:rFonts w:hint="eastAsia" w:ascii="仿宋_GB2312" w:hAnsi="Times New Roman" w:eastAsia="仿宋_GB2312"/>
          <w:sz w:val="32"/>
          <w:szCs w:val="32"/>
        </w:rPr>
        <w:t>根据预算绩效管理要求，本单位在2023年度预算编制阶段，</w:t>
      </w:r>
      <w:r>
        <w:rPr>
          <w:rFonts w:hint="eastAsia" w:ascii="仿宋_GB2312" w:hAnsi="仿宋_GB2312" w:eastAsia="仿宋_GB2312" w:cs="仿宋_GB2312"/>
          <w:sz w:val="32"/>
          <w:szCs w:val="32"/>
        </w:rPr>
        <w:t>组织对本单位工资福利、社会保障和就业支出、卫生健康支出、住房公积金等项目开展了预算事前绩效评估，对各个项目编制了绩效目标，预算执行过程中，对项目开展绩效监控，年终执行完毕后，对各个项目开展了绩效目标完成情况自评</w:t>
      </w:r>
      <w:r>
        <w:rPr>
          <w:rFonts w:hint="eastAsia" w:hAnsi="仿宋_GB2312" w:cs="仿宋_GB2312"/>
          <w:sz w:val="32"/>
          <w:szCs w:val="32"/>
        </w:rPr>
        <w:t>，</w:t>
      </w:r>
      <w:r>
        <w:rPr>
          <w:rFonts w:hint="eastAsia" w:ascii="仿宋_GB2312" w:hAnsi="仿宋_GB2312" w:eastAsia="仿宋_GB2312" w:cs="仿宋_GB2312"/>
          <w:sz w:val="32"/>
          <w:szCs w:val="32"/>
        </w:rPr>
        <w:t>绩效自评表详见第四部分附件。</w:t>
      </w:r>
    </w:p>
    <w:p w14:paraId="57E7E044">
      <w:pPr>
        <w:spacing w:line="600" w:lineRule="exact"/>
        <w:jc w:val="center"/>
        <w:outlineLvl w:val="0"/>
        <w:rPr>
          <w:rStyle w:val="18"/>
          <w:rFonts w:ascii="黑体" w:hAnsi="黑体" w:eastAsia="黑体"/>
          <w:b w:val="0"/>
        </w:rPr>
      </w:pPr>
      <w:r>
        <w:rPr>
          <w:rFonts w:hint="eastAsia" w:ascii="黑体" w:hAnsi="黑体" w:eastAsia="黑体"/>
          <w:sz w:val="44"/>
          <w:szCs w:val="44"/>
        </w:rPr>
        <w:br w:type="page"/>
      </w:r>
      <w:r>
        <w:rPr>
          <w:rFonts w:hint="eastAsia" w:ascii="黑体" w:hAnsi="黑体" w:eastAsia="黑体"/>
          <w:sz w:val="44"/>
          <w:szCs w:val="44"/>
        </w:rPr>
        <w:t>第三部分  名</w:t>
      </w:r>
      <w:r>
        <w:rPr>
          <w:rStyle w:val="18"/>
          <w:rFonts w:hint="eastAsia" w:ascii="黑体" w:hAnsi="黑体" w:eastAsia="黑体"/>
          <w:b w:val="0"/>
        </w:rPr>
        <w:t>词解释</w:t>
      </w:r>
    </w:p>
    <w:p w14:paraId="069DCBEA">
      <w:pPr>
        <w:spacing w:line="600" w:lineRule="exact"/>
        <w:jc w:val="left"/>
        <w:rPr>
          <w:rFonts w:ascii="宋体"/>
          <w:b/>
          <w:sz w:val="44"/>
          <w:szCs w:val="44"/>
        </w:rPr>
      </w:pPr>
    </w:p>
    <w:p w14:paraId="65DAECC6">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088D029B">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w:t>
      </w:r>
      <w:r>
        <w:rPr>
          <w:rFonts w:hint="eastAsia" w:hAnsi="仿宋"/>
          <w:sz w:val="32"/>
          <w:szCs w:val="32"/>
        </w:rPr>
        <w:t>学前教育保教费收入</w:t>
      </w:r>
      <w:r>
        <w:rPr>
          <w:rFonts w:hint="eastAsia" w:ascii="仿宋_GB2312" w:eastAsia="仿宋_GB2312"/>
          <w:color w:val="auto"/>
          <w:sz w:val="32"/>
          <w:szCs w:val="32"/>
        </w:rPr>
        <w:t>等。</w:t>
      </w:r>
    </w:p>
    <w:p w14:paraId="6492B0A9">
      <w:pPr>
        <w:pStyle w:val="25"/>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5D143E97">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hint="eastAsia" w:hAnsi="仿宋"/>
          <w:sz w:val="32"/>
          <w:szCs w:val="32"/>
        </w:rPr>
        <w:t>主要是利息收入、捐赠收入</w:t>
      </w:r>
      <w:r>
        <w:rPr>
          <w:rFonts w:hint="eastAsia" w:ascii="仿宋_GB2312" w:eastAsia="仿宋_GB2312"/>
          <w:color w:val="auto"/>
          <w:sz w:val="32"/>
          <w:szCs w:val="32"/>
        </w:rPr>
        <w:t>等。</w:t>
      </w:r>
      <w:r>
        <w:rPr>
          <w:rFonts w:ascii="仿宋_GB2312" w:eastAsia="仿宋_GB2312"/>
          <w:color w:val="auto"/>
          <w:sz w:val="32"/>
          <w:szCs w:val="32"/>
        </w:rPr>
        <w:t xml:space="preserve"> </w:t>
      </w:r>
    </w:p>
    <w:p w14:paraId="6E11BD5A">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w:t>
      </w:r>
      <w:r>
        <w:rPr>
          <w:rFonts w:hint="eastAsia" w:ascii="仿宋_GB2312" w:hAnsi="华文中宋" w:eastAsia="仿宋_GB2312"/>
          <w:sz w:val="32"/>
          <w:szCs w:val="32"/>
        </w:rPr>
        <w:t>（含专用结余）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2A6793F9">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3CB91802">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05F65C3E">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1E05BD5A">
      <w:pPr>
        <w:ind w:firstLine="640" w:firstLineChars="200"/>
        <w:rPr>
          <w:rFonts w:ascii="仿宋_GB2312" w:eastAsia="仿宋_GB2312"/>
          <w:sz w:val="32"/>
          <w:szCs w:val="32"/>
        </w:rPr>
      </w:pPr>
      <w:r>
        <w:rPr>
          <w:rFonts w:ascii="仿宋_GB2312" w:eastAsia="仿宋_GB2312"/>
          <w:sz w:val="32"/>
          <w:szCs w:val="32"/>
        </w:rPr>
        <w:t>9.</w:t>
      </w:r>
      <w:r>
        <w:rPr>
          <w:rFonts w:hint="eastAsia" w:ascii="仿宋" w:hAnsi="仿宋" w:eastAsia="仿宋"/>
          <w:sz w:val="32"/>
          <w:szCs w:val="32"/>
        </w:rPr>
        <w:t>一般公共服务（201类）政府办公厅（室）及相关机构事务（03款）其他政府办公厅（室）及相关机构事务支出（99项）</w:t>
      </w:r>
      <w:r>
        <w:rPr>
          <w:rFonts w:ascii="仿宋" w:hAnsi="仿宋" w:eastAsia="仿宋"/>
          <w:sz w:val="32"/>
          <w:szCs w:val="32"/>
        </w:rPr>
        <w:t xml:space="preserve">: </w:t>
      </w:r>
      <w:r>
        <w:rPr>
          <w:rFonts w:hint="eastAsia" w:ascii="仿宋" w:hAnsi="仿宋" w:eastAsia="仿宋"/>
          <w:sz w:val="32"/>
          <w:szCs w:val="32"/>
        </w:rPr>
        <w:t>反映除上述项目以外的其它政府办公厅（室）及相关机构事务支出。</w:t>
      </w:r>
    </w:p>
    <w:p w14:paraId="003E4116">
      <w:pPr>
        <w:spacing w:line="560" w:lineRule="exact"/>
        <w:ind w:firstLine="640" w:firstLineChars="200"/>
        <w:rPr>
          <w:rFonts w:ascii="仿宋" w:hAnsi="仿宋" w:eastAsia="仿宋"/>
          <w:sz w:val="32"/>
          <w:szCs w:val="32"/>
        </w:rPr>
      </w:pPr>
      <w:r>
        <w:rPr>
          <w:rFonts w:ascii="仿宋_GB2312" w:eastAsia="仿宋_GB2312"/>
          <w:sz w:val="32"/>
          <w:szCs w:val="32"/>
        </w:rPr>
        <w:t>10.</w:t>
      </w:r>
      <w:r>
        <w:rPr>
          <w:rFonts w:hint="eastAsia" w:ascii="仿宋" w:hAnsi="仿宋" w:eastAsia="仿宋"/>
          <w:sz w:val="32"/>
          <w:szCs w:val="32"/>
        </w:rPr>
        <w:t>一般公共服务（201类）知识产权事务（14款）专利试点和产业化推进（06项）</w:t>
      </w:r>
      <w:r>
        <w:rPr>
          <w:rFonts w:ascii="仿宋" w:hAnsi="仿宋" w:eastAsia="仿宋"/>
          <w:sz w:val="32"/>
          <w:szCs w:val="32"/>
        </w:rPr>
        <w:t xml:space="preserve">: </w:t>
      </w:r>
      <w:r>
        <w:rPr>
          <w:rFonts w:hint="eastAsia" w:ascii="仿宋" w:hAnsi="仿宋" w:eastAsia="仿宋"/>
          <w:sz w:val="32"/>
          <w:szCs w:val="32"/>
        </w:rPr>
        <w:t>反映专利分类试点以及实施国家专利产业化工程、扶植拥有自主知识产权的新技术及其产业化等方面的支出。</w:t>
      </w:r>
    </w:p>
    <w:p w14:paraId="447807BF">
      <w:pPr>
        <w:spacing w:line="560" w:lineRule="exact"/>
        <w:ind w:firstLine="640" w:firstLineChars="200"/>
        <w:rPr>
          <w:rFonts w:ascii="仿宋" w:hAnsi="仿宋" w:eastAsia="仿宋"/>
          <w:sz w:val="32"/>
          <w:szCs w:val="32"/>
        </w:rPr>
      </w:pPr>
      <w:r>
        <w:rPr>
          <w:rFonts w:ascii="仿宋_GB2312" w:eastAsia="仿宋_GB2312"/>
          <w:sz w:val="32"/>
          <w:szCs w:val="32"/>
        </w:rPr>
        <w:t>11.</w:t>
      </w:r>
      <w:r>
        <w:rPr>
          <w:rFonts w:hint="eastAsia" w:ascii="仿宋" w:hAnsi="仿宋" w:eastAsia="仿宋"/>
          <w:sz w:val="32"/>
          <w:szCs w:val="32"/>
        </w:rPr>
        <w:t>教育（205类）教育管理事务（01款）行政运行（01项）</w:t>
      </w:r>
      <w:r>
        <w:rPr>
          <w:rFonts w:ascii="仿宋" w:hAnsi="仿宋" w:eastAsia="仿宋"/>
          <w:sz w:val="32"/>
          <w:szCs w:val="32"/>
        </w:rPr>
        <w:t xml:space="preserve">: </w:t>
      </w:r>
      <w:r>
        <w:rPr>
          <w:rFonts w:hint="eastAsia" w:ascii="仿宋" w:hAnsi="仿宋" w:eastAsia="仿宋"/>
          <w:sz w:val="32"/>
          <w:szCs w:val="32"/>
        </w:rPr>
        <w:t>反映行政单位（包括实行公务员管理的事业单位）的基本支出。</w:t>
      </w:r>
    </w:p>
    <w:p w14:paraId="10CA4FC0">
      <w:pPr>
        <w:ind w:firstLine="640" w:firstLineChars="200"/>
        <w:rPr>
          <w:rFonts w:hint="eastAsia" w:ascii="仿宋" w:hAnsi="仿宋" w:eastAsia="仿宋"/>
          <w:sz w:val="32"/>
          <w:szCs w:val="32"/>
        </w:rPr>
      </w:pPr>
      <w:r>
        <w:rPr>
          <w:rFonts w:ascii="仿宋_GB2312" w:eastAsia="仿宋_GB2312"/>
          <w:sz w:val="32"/>
          <w:szCs w:val="32"/>
        </w:rPr>
        <w:t>12.</w:t>
      </w:r>
      <w:r>
        <w:rPr>
          <w:rFonts w:hint="eastAsia" w:ascii="仿宋" w:hAnsi="仿宋" w:eastAsia="仿宋"/>
          <w:sz w:val="32"/>
          <w:szCs w:val="32"/>
        </w:rPr>
        <w:t>教育（205类）教育管理事务（01款）一般行政管理事务（02项）</w:t>
      </w:r>
      <w:r>
        <w:rPr>
          <w:rFonts w:ascii="仿宋" w:hAnsi="仿宋" w:eastAsia="仿宋"/>
          <w:sz w:val="32"/>
          <w:szCs w:val="32"/>
        </w:rPr>
        <w:t xml:space="preserve">: </w:t>
      </w:r>
      <w:r>
        <w:rPr>
          <w:rFonts w:hint="eastAsia" w:ascii="仿宋" w:hAnsi="仿宋" w:eastAsia="仿宋"/>
          <w:sz w:val="32"/>
          <w:szCs w:val="32"/>
        </w:rPr>
        <w:t>反映行政单位（包括实行公务员管理的事业单位）未单独设置项级科目的其他项目支出。</w:t>
      </w:r>
    </w:p>
    <w:p w14:paraId="5D4ACCB8">
      <w:pPr>
        <w:spacing w:line="560" w:lineRule="exact"/>
        <w:ind w:firstLine="640" w:firstLineChars="200"/>
        <w:rPr>
          <w:rFonts w:ascii="仿宋" w:hAnsi="仿宋" w:eastAsia="仿宋"/>
          <w:sz w:val="32"/>
          <w:szCs w:val="32"/>
        </w:rPr>
      </w:pPr>
      <w:r>
        <w:rPr>
          <w:rFonts w:ascii="仿宋_GB2312" w:eastAsia="仿宋_GB2312"/>
          <w:sz w:val="32"/>
          <w:szCs w:val="32"/>
        </w:rPr>
        <w:t>13.</w:t>
      </w:r>
      <w:r>
        <w:rPr>
          <w:rFonts w:hint="eastAsia" w:ascii="仿宋" w:hAnsi="仿宋" w:eastAsia="仿宋"/>
          <w:sz w:val="32"/>
          <w:szCs w:val="32"/>
        </w:rPr>
        <w:t>教育（205类）教育管理事务（01款）其他教育管理事务支出（99项）</w:t>
      </w:r>
      <w:r>
        <w:rPr>
          <w:rFonts w:ascii="仿宋" w:hAnsi="仿宋" w:eastAsia="仿宋"/>
          <w:sz w:val="32"/>
          <w:szCs w:val="32"/>
        </w:rPr>
        <w:t xml:space="preserve">: </w:t>
      </w:r>
      <w:r>
        <w:rPr>
          <w:rFonts w:hint="eastAsia" w:ascii="仿宋" w:hAnsi="仿宋" w:eastAsia="仿宋"/>
          <w:sz w:val="32"/>
          <w:szCs w:val="32"/>
        </w:rPr>
        <w:t>反映除上述项目以外其他用于教育管理事务方面的支出。</w:t>
      </w:r>
    </w:p>
    <w:p w14:paraId="32C981CA">
      <w:pPr>
        <w:spacing w:line="560" w:lineRule="exact"/>
        <w:ind w:firstLine="640" w:firstLineChars="200"/>
        <w:rPr>
          <w:rFonts w:ascii="仿宋" w:hAnsi="仿宋" w:eastAsia="仿宋"/>
          <w:sz w:val="32"/>
          <w:szCs w:val="32"/>
        </w:rPr>
      </w:pPr>
      <w:r>
        <w:rPr>
          <w:rFonts w:ascii="仿宋_GB2312" w:eastAsia="仿宋_GB2312"/>
          <w:sz w:val="32"/>
          <w:szCs w:val="32"/>
        </w:rPr>
        <w:t>14.</w:t>
      </w:r>
      <w:r>
        <w:rPr>
          <w:rFonts w:hint="eastAsia" w:ascii="仿宋" w:hAnsi="仿宋" w:eastAsia="仿宋"/>
          <w:sz w:val="32"/>
          <w:szCs w:val="32"/>
        </w:rPr>
        <w:t>教育（205类）普通教育（02款）学前教育（01项）</w:t>
      </w:r>
      <w:r>
        <w:rPr>
          <w:rFonts w:ascii="仿宋" w:hAnsi="仿宋" w:eastAsia="仿宋"/>
          <w:sz w:val="32"/>
          <w:szCs w:val="32"/>
        </w:rPr>
        <w:t xml:space="preserve">: </w:t>
      </w:r>
      <w:r>
        <w:rPr>
          <w:rFonts w:hint="eastAsia" w:ascii="仿宋" w:hAnsi="仿宋" w:eastAsia="仿宋"/>
          <w:sz w:val="32"/>
          <w:szCs w:val="32"/>
        </w:rPr>
        <w:t>反映各部门举办的学前教育支出。</w:t>
      </w:r>
    </w:p>
    <w:p w14:paraId="2B3A64FE">
      <w:pPr>
        <w:spacing w:line="560" w:lineRule="exact"/>
        <w:ind w:firstLine="640" w:firstLineChars="200"/>
        <w:rPr>
          <w:rFonts w:ascii="仿宋" w:hAnsi="仿宋" w:eastAsia="仿宋"/>
          <w:sz w:val="32"/>
          <w:szCs w:val="32"/>
        </w:rPr>
      </w:pPr>
      <w:r>
        <w:rPr>
          <w:rFonts w:ascii="仿宋_GB2312" w:eastAsia="仿宋_GB2312"/>
          <w:sz w:val="32"/>
          <w:szCs w:val="32"/>
        </w:rPr>
        <w:t>15.</w:t>
      </w:r>
      <w:r>
        <w:rPr>
          <w:rFonts w:hint="eastAsia" w:ascii="仿宋" w:hAnsi="仿宋" w:eastAsia="仿宋"/>
          <w:sz w:val="32"/>
          <w:szCs w:val="32"/>
        </w:rPr>
        <w:t>教育（205类）普通教育（02款）小学教育（02项）</w:t>
      </w:r>
      <w:r>
        <w:rPr>
          <w:rFonts w:ascii="仿宋" w:hAnsi="仿宋" w:eastAsia="仿宋"/>
          <w:sz w:val="32"/>
          <w:szCs w:val="32"/>
        </w:rPr>
        <w:t xml:space="preserve">: </w:t>
      </w:r>
      <w:r>
        <w:rPr>
          <w:rFonts w:hint="eastAsia" w:ascii="仿宋" w:hAnsi="仿宋" w:eastAsia="仿宋"/>
          <w:sz w:val="32"/>
          <w:szCs w:val="32"/>
        </w:rPr>
        <w:t>反映各部门举办的小学教育支出。政府各部门对社会中介组织等举办的小学的资助，如各类捐赠、补贴等，也在本科目中反映。</w:t>
      </w:r>
    </w:p>
    <w:p w14:paraId="317CBA24">
      <w:pPr>
        <w:spacing w:line="560" w:lineRule="exact"/>
        <w:ind w:firstLine="640" w:firstLineChars="200"/>
        <w:rPr>
          <w:rFonts w:ascii="仿宋" w:hAnsi="仿宋" w:eastAsia="仿宋"/>
          <w:sz w:val="32"/>
          <w:szCs w:val="32"/>
        </w:rPr>
      </w:pPr>
      <w:r>
        <w:rPr>
          <w:rFonts w:hint="eastAsia" w:ascii="仿宋_GB2312" w:eastAsia="仿宋_GB2312"/>
          <w:sz w:val="32"/>
          <w:szCs w:val="32"/>
        </w:rPr>
        <w:t>16.</w:t>
      </w:r>
      <w:r>
        <w:rPr>
          <w:rFonts w:hint="eastAsia" w:ascii="仿宋" w:hAnsi="仿宋" w:eastAsia="仿宋"/>
          <w:sz w:val="32"/>
          <w:szCs w:val="32"/>
        </w:rPr>
        <w:t>教育（205类）普通教育（02款）其他普通教育支出（99项）</w:t>
      </w:r>
      <w:r>
        <w:rPr>
          <w:rFonts w:ascii="仿宋" w:hAnsi="仿宋" w:eastAsia="仿宋"/>
          <w:sz w:val="32"/>
          <w:szCs w:val="32"/>
        </w:rPr>
        <w:t xml:space="preserve">: </w:t>
      </w:r>
      <w:r>
        <w:rPr>
          <w:rFonts w:hint="eastAsia" w:ascii="仿宋" w:hAnsi="仿宋" w:eastAsia="仿宋"/>
          <w:sz w:val="32"/>
          <w:szCs w:val="32"/>
        </w:rPr>
        <w:t>反映除上述项目以外其他用于普通教育方面的支出。</w:t>
      </w:r>
    </w:p>
    <w:p w14:paraId="1F0D1929">
      <w:pPr>
        <w:ind w:firstLine="640" w:firstLineChars="200"/>
        <w:rPr>
          <w:rFonts w:hint="eastAsia" w:ascii="仿宋" w:hAnsi="仿宋" w:eastAsia="仿宋"/>
          <w:sz w:val="32"/>
          <w:szCs w:val="32"/>
        </w:rPr>
      </w:pPr>
      <w:r>
        <w:rPr>
          <w:rFonts w:hint="eastAsia" w:ascii="仿宋_GB2312" w:eastAsia="仿宋_GB2312"/>
          <w:sz w:val="32"/>
          <w:szCs w:val="32"/>
        </w:rPr>
        <w:t>17.</w:t>
      </w:r>
      <w:r>
        <w:rPr>
          <w:rFonts w:hint="eastAsia" w:ascii="仿宋" w:hAnsi="仿宋" w:eastAsia="仿宋"/>
          <w:sz w:val="32"/>
          <w:szCs w:val="32"/>
        </w:rPr>
        <w:t>教育（205类）其他教育支出（09款）其他教育支出（99项）</w:t>
      </w:r>
      <w:r>
        <w:rPr>
          <w:rFonts w:ascii="仿宋" w:hAnsi="仿宋" w:eastAsia="仿宋"/>
          <w:sz w:val="32"/>
          <w:szCs w:val="32"/>
        </w:rPr>
        <w:t xml:space="preserve">: </w:t>
      </w:r>
      <w:r>
        <w:rPr>
          <w:rFonts w:hint="eastAsia" w:ascii="仿宋" w:hAnsi="仿宋" w:eastAsia="仿宋"/>
          <w:sz w:val="32"/>
          <w:szCs w:val="32"/>
        </w:rPr>
        <w:t>反映除上述项目以外其他教育费附加安排的支出。</w:t>
      </w:r>
    </w:p>
    <w:p w14:paraId="05E04769">
      <w:pPr>
        <w:ind w:firstLine="640" w:firstLineChars="200"/>
        <w:rPr>
          <w:rFonts w:hint="eastAsia" w:ascii="仿宋" w:hAnsi="仿宋" w:eastAsia="仿宋"/>
          <w:sz w:val="32"/>
          <w:szCs w:val="32"/>
        </w:rPr>
      </w:pPr>
      <w:r>
        <w:rPr>
          <w:rFonts w:hint="eastAsia" w:ascii="仿宋_GB2312" w:eastAsia="仿宋_GB2312"/>
          <w:sz w:val="32"/>
          <w:szCs w:val="32"/>
        </w:rPr>
        <w:t>18.</w:t>
      </w:r>
      <w:r>
        <w:rPr>
          <w:rFonts w:hint="eastAsia" w:ascii="仿宋" w:hAnsi="仿宋" w:eastAsia="仿宋"/>
          <w:sz w:val="32"/>
          <w:szCs w:val="32"/>
        </w:rPr>
        <w:t>教育（205类）其他教育支出（99款）其他教育支出（99项）</w:t>
      </w:r>
      <w:r>
        <w:rPr>
          <w:rFonts w:ascii="仿宋" w:hAnsi="仿宋" w:eastAsia="仿宋"/>
          <w:sz w:val="32"/>
          <w:szCs w:val="32"/>
        </w:rPr>
        <w:t xml:space="preserve">: </w:t>
      </w:r>
      <w:r>
        <w:rPr>
          <w:rFonts w:hint="eastAsia" w:ascii="仿宋" w:hAnsi="仿宋" w:eastAsia="仿宋"/>
          <w:sz w:val="32"/>
          <w:szCs w:val="32"/>
        </w:rPr>
        <w:t>反映除上述项目以外其他教育方面的支出。</w:t>
      </w:r>
    </w:p>
    <w:p w14:paraId="6B080C34">
      <w:pPr>
        <w:spacing w:line="560" w:lineRule="exact"/>
        <w:ind w:firstLine="640" w:firstLineChars="200"/>
        <w:rPr>
          <w:rFonts w:ascii="仿宋" w:hAnsi="仿宋" w:eastAsia="仿宋"/>
          <w:sz w:val="32"/>
          <w:szCs w:val="32"/>
        </w:rPr>
      </w:pPr>
      <w:r>
        <w:rPr>
          <w:rFonts w:hint="eastAsia" w:ascii="仿宋" w:hAnsi="仿宋" w:eastAsia="仿宋"/>
          <w:sz w:val="32"/>
          <w:szCs w:val="32"/>
        </w:rPr>
        <w:t>19.社会保障和就业（208类）行政事业单位养老支出（05款）事业单位离退休（02项）</w:t>
      </w:r>
      <w:r>
        <w:rPr>
          <w:rFonts w:ascii="仿宋" w:hAnsi="仿宋" w:eastAsia="仿宋"/>
          <w:sz w:val="32"/>
          <w:szCs w:val="32"/>
        </w:rPr>
        <w:t xml:space="preserve">: </w:t>
      </w:r>
      <w:r>
        <w:rPr>
          <w:rFonts w:hint="eastAsia" w:ascii="仿宋" w:hAnsi="仿宋" w:eastAsia="仿宋"/>
          <w:sz w:val="32"/>
          <w:szCs w:val="32"/>
        </w:rPr>
        <w:t>反映机关事业单位实施事业单位离退支出。</w:t>
      </w:r>
    </w:p>
    <w:p w14:paraId="1991B2AF">
      <w:pPr>
        <w:spacing w:line="560" w:lineRule="exact"/>
        <w:ind w:firstLine="640" w:firstLineChars="200"/>
        <w:rPr>
          <w:rFonts w:ascii="仿宋" w:hAnsi="仿宋" w:eastAsia="仿宋"/>
          <w:sz w:val="32"/>
          <w:szCs w:val="32"/>
        </w:rPr>
      </w:pPr>
      <w:r>
        <w:rPr>
          <w:rFonts w:hint="eastAsia" w:ascii="仿宋" w:hAnsi="仿宋" w:eastAsia="仿宋"/>
          <w:sz w:val="32"/>
          <w:szCs w:val="32"/>
        </w:rPr>
        <w:t>20.社会保障和就业（208类）行政事业单位养老支出（05款）机关事业单位基本养老保险缴费支出（05项）</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14:paraId="39BC42B0">
      <w:pPr>
        <w:spacing w:line="560" w:lineRule="exact"/>
        <w:ind w:firstLine="640" w:firstLineChars="200"/>
        <w:rPr>
          <w:rFonts w:ascii="仿宋" w:hAnsi="仿宋" w:eastAsia="仿宋"/>
          <w:sz w:val="32"/>
          <w:szCs w:val="32"/>
        </w:rPr>
      </w:pPr>
      <w:r>
        <w:rPr>
          <w:rFonts w:hint="eastAsia" w:ascii="仿宋" w:hAnsi="仿宋" w:eastAsia="仿宋"/>
          <w:sz w:val="32"/>
          <w:szCs w:val="32"/>
        </w:rPr>
        <w:t>21.社会保障和就业（208类）行政事业单位养老支出（05款）其他行政事业单位养老支出（99项）</w:t>
      </w:r>
      <w:r>
        <w:rPr>
          <w:rFonts w:ascii="仿宋" w:hAnsi="仿宋" w:eastAsia="仿宋"/>
          <w:sz w:val="32"/>
          <w:szCs w:val="32"/>
        </w:rPr>
        <w:t xml:space="preserve">: </w:t>
      </w:r>
      <w:r>
        <w:rPr>
          <w:rFonts w:hint="eastAsia" w:ascii="仿宋" w:hAnsi="仿宋" w:eastAsia="仿宋"/>
          <w:sz w:val="32"/>
          <w:szCs w:val="32"/>
        </w:rPr>
        <w:t>反映机关事业单位实施养老保险制度其他行政事业单位养老支出支出。</w:t>
      </w:r>
    </w:p>
    <w:p w14:paraId="2A27EADF">
      <w:pPr>
        <w:spacing w:line="560" w:lineRule="exact"/>
        <w:ind w:firstLine="640" w:firstLineChars="200"/>
        <w:rPr>
          <w:rFonts w:ascii="仿宋" w:hAnsi="仿宋" w:eastAsia="仿宋"/>
          <w:sz w:val="32"/>
          <w:szCs w:val="32"/>
        </w:rPr>
      </w:pPr>
      <w:r>
        <w:rPr>
          <w:rFonts w:hint="eastAsia" w:ascii="仿宋_GB2312" w:eastAsia="仿宋_GB2312"/>
          <w:sz w:val="32"/>
          <w:szCs w:val="32"/>
        </w:rPr>
        <w:t>22.</w:t>
      </w:r>
      <w:r>
        <w:rPr>
          <w:rFonts w:hint="eastAsia" w:ascii="仿宋" w:hAnsi="仿宋" w:eastAsia="仿宋"/>
          <w:sz w:val="32"/>
          <w:szCs w:val="32"/>
        </w:rPr>
        <w:t>社会保障和就业（208类）其他社会保障和就业支出（99款）其他社会保障和就业支出（99项）</w:t>
      </w:r>
      <w:r>
        <w:rPr>
          <w:rFonts w:ascii="仿宋" w:hAnsi="仿宋" w:eastAsia="仿宋"/>
          <w:sz w:val="32"/>
          <w:szCs w:val="32"/>
        </w:rPr>
        <w:t xml:space="preserve">: </w:t>
      </w:r>
      <w:r>
        <w:rPr>
          <w:rFonts w:hint="eastAsia" w:ascii="仿宋" w:hAnsi="仿宋" w:eastAsia="仿宋"/>
          <w:sz w:val="32"/>
          <w:szCs w:val="32"/>
        </w:rPr>
        <w:t>反映上述项目以外其他用于社会保障和就业方面的支出。</w:t>
      </w:r>
    </w:p>
    <w:p w14:paraId="553446BE">
      <w:pPr>
        <w:spacing w:line="560" w:lineRule="exact"/>
        <w:ind w:firstLine="640" w:firstLineChars="200"/>
        <w:rPr>
          <w:rFonts w:ascii="仿宋" w:hAnsi="仿宋" w:eastAsia="仿宋"/>
          <w:sz w:val="32"/>
          <w:szCs w:val="32"/>
        </w:rPr>
      </w:pPr>
      <w:r>
        <w:rPr>
          <w:rFonts w:ascii="仿宋_GB2312" w:eastAsia="仿宋_GB2312"/>
          <w:sz w:val="32"/>
          <w:szCs w:val="32"/>
        </w:rPr>
        <w:t>2</w:t>
      </w:r>
      <w:r>
        <w:rPr>
          <w:rFonts w:hint="eastAsia" w:ascii="仿宋_GB2312" w:eastAsia="仿宋_GB2312"/>
          <w:sz w:val="32"/>
          <w:szCs w:val="32"/>
        </w:rPr>
        <w:t>3</w:t>
      </w:r>
      <w:r>
        <w:rPr>
          <w:rFonts w:ascii="仿宋_GB2312" w:eastAsia="仿宋_GB2312"/>
          <w:sz w:val="32"/>
          <w:szCs w:val="32"/>
        </w:rPr>
        <w:t>.</w:t>
      </w:r>
      <w:r>
        <w:rPr>
          <w:rFonts w:hint="eastAsia" w:ascii="仿宋" w:hAnsi="仿宋" w:eastAsia="仿宋"/>
          <w:sz w:val="32"/>
          <w:szCs w:val="32"/>
        </w:rPr>
        <w:t>卫生健康支出（210类）行政事业单位医疗（11款）事业单位医疗（02项）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14:paraId="7EBC5778">
      <w:pPr>
        <w:spacing w:line="560" w:lineRule="exact"/>
        <w:ind w:firstLine="640" w:firstLineChars="200"/>
        <w:rPr>
          <w:rFonts w:ascii="仿宋" w:hAnsi="仿宋" w:eastAsia="仿宋"/>
          <w:sz w:val="32"/>
          <w:szCs w:val="32"/>
        </w:rPr>
      </w:pPr>
      <w:r>
        <w:rPr>
          <w:rFonts w:ascii="仿宋_GB2312" w:eastAsia="仿宋_GB2312"/>
          <w:sz w:val="32"/>
          <w:szCs w:val="32"/>
        </w:rPr>
        <w:t>2</w:t>
      </w:r>
      <w:r>
        <w:rPr>
          <w:rFonts w:hint="eastAsia" w:ascii="仿宋_GB2312" w:eastAsia="仿宋_GB2312"/>
          <w:sz w:val="32"/>
          <w:szCs w:val="32"/>
        </w:rPr>
        <w:t>4</w:t>
      </w:r>
      <w:r>
        <w:rPr>
          <w:rFonts w:ascii="仿宋_GB2312" w:eastAsia="仿宋_GB2312"/>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0F791EF3">
      <w:pPr>
        <w:spacing w:line="60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431AC75A">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2615ACB0">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0C195988">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28</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A7CA581">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29</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4A92BEE">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30.工资福利：反映单位开支的在职职工和编制外长期聘用人员的各类劳动报酬，以及为上述人员缴纳的各项社会保险费等。</w:t>
      </w:r>
    </w:p>
    <w:p w14:paraId="5335B4EE">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31.商品和服务：反映单位购买商品和服务的支出，不包括用于购置固定资产、战略性和应急性物资储备等资本支出。</w:t>
      </w:r>
    </w:p>
    <w:p w14:paraId="5F66013D">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32.对个人和家庭的补助：反映政府用于对个人和家庭的补助支出。</w:t>
      </w:r>
    </w:p>
    <w:p w14:paraId="4EA1772C">
      <w:pPr>
        <w:spacing w:line="580" w:lineRule="exact"/>
        <w:ind w:firstLine="640" w:firstLineChars="200"/>
        <w:rPr>
          <w:rFonts w:ascii="仿宋" w:hAnsi="仿宋" w:eastAsia="仿宋"/>
          <w:sz w:val="32"/>
          <w:szCs w:val="32"/>
        </w:rPr>
      </w:pPr>
      <w:r>
        <w:rPr>
          <w:rFonts w:hint="eastAsia" w:ascii="仿宋" w:hAnsi="仿宋" w:eastAsia="仿宋"/>
          <w:sz w:val="32"/>
          <w:szCs w:val="32"/>
        </w:rPr>
        <w:t>33.资本性支出：反映各单位安排的资本性支出。切块由发展改革部门安排的基本建设支出不在此科目反映。</w:t>
      </w:r>
    </w:p>
    <w:p w14:paraId="512877FB">
      <w:pPr>
        <w:spacing w:line="600" w:lineRule="exact"/>
        <w:jc w:val="center"/>
        <w:outlineLvl w:val="0"/>
        <w:rPr>
          <w:rStyle w:val="18"/>
          <w:rFonts w:ascii="黑体" w:hAnsi="黑体" w:eastAsia="黑体"/>
          <w:b w:val="0"/>
        </w:rPr>
      </w:pPr>
      <w:r>
        <w:rPr>
          <w:rFonts w:ascii="宋体"/>
          <w:b/>
          <w:sz w:val="44"/>
          <w:szCs w:val="44"/>
        </w:rPr>
        <w:br w:type="page"/>
      </w:r>
      <w:r>
        <w:rPr>
          <w:rFonts w:hint="eastAsia" w:ascii="黑体" w:hAnsi="黑体" w:eastAsia="黑体"/>
          <w:sz w:val="44"/>
          <w:szCs w:val="44"/>
        </w:rPr>
        <w:t>第</w:t>
      </w:r>
      <w:r>
        <w:rPr>
          <w:rStyle w:val="18"/>
          <w:rFonts w:hint="eastAsia" w:ascii="黑体" w:hAnsi="黑体" w:eastAsia="黑体"/>
          <w:b w:val="0"/>
        </w:rPr>
        <w:t>四部分 附件</w:t>
      </w:r>
    </w:p>
    <w:p w14:paraId="5DAC4E70">
      <w:pPr>
        <w:spacing w:line="572" w:lineRule="exact"/>
        <w:jc w:val="left"/>
        <w:outlineLvl w:val="0"/>
        <w:rPr>
          <w:rFonts w:ascii="仿宋_GB2312" w:hAnsi="仿宋_GB2312" w:eastAsia="仿宋_GB2312" w:cs="仿宋_GB2312"/>
          <w:sz w:val="32"/>
          <w:szCs w:val="32"/>
        </w:rPr>
      </w:pPr>
    </w:p>
    <w:p w14:paraId="5DAFA9B7">
      <w:pPr>
        <w:widowControl/>
        <w:spacing w:line="578" w:lineRule="exact"/>
        <w:contextualSpacing/>
        <w:jc w:val="center"/>
        <w:rPr>
          <w:rFonts w:ascii="Times New Roman" w:hAnsi="Times New Roman" w:eastAsia="方正小标宋简体"/>
          <w:bCs/>
          <w:sz w:val="44"/>
          <w:szCs w:val="44"/>
          <w:shd w:val="clear" w:color="auto" w:fill="FFFFFF"/>
        </w:rPr>
      </w:pPr>
      <w:r>
        <w:rPr>
          <w:rFonts w:ascii="方正小标宋简体" w:hAnsi="Times New Roman" w:eastAsia="方正小标宋简体"/>
          <w:bCs/>
          <w:sz w:val="44"/>
          <w:szCs w:val="44"/>
          <w:shd w:val="clear" w:color="auto" w:fill="FFFFFF"/>
        </w:rPr>
        <w:t>部门预算绩效</w:t>
      </w:r>
      <w:r>
        <w:rPr>
          <w:rFonts w:hint="eastAsia" w:ascii="方正小标宋简体" w:hAnsi="Times New Roman" w:eastAsia="方正小标宋简体" w:cs="Calibri"/>
          <w:bCs/>
          <w:sz w:val="44"/>
          <w:szCs w:val="44"/>
          <w:shd w:val="clear" w:color="auto" w:fill="FFFFFF"/>
        </w:rPr>
        <w:t>评价</w:t>
      </w:r>
      <w:r>
        <w:rPr>
          <w:rFonts w:ascii="方正小标宋简体" w:hAnsi="Times New Roman" w:eastAsia="方正小标宋简体"/>
          <w:bCs/>
          <w:sz w:val="44"/>
          <w:szCs w:val="44"/>
          <w:shd w:val="clear" w:color="auto" w:fill="FFFFFF"/>
        </w:rPr>
        <w:t>报告</w:t>
      </w:r>
    </w:p>
    <w:p w14:paraId="50454B66">
      <w:pPr>
        <w:widowControl/>
        <w:adjustRightInd w:val="0"/>
        <w:snapToGrid w:val="0"/>
        <w:spacing w:line="578" w:lineRule="exact"/>
        <w:ind w:firstLine="640" w:firstLineChars="200"/>
        <w:contextualSpacing/>
        <w:jc w:val="left"/>
        <w:rPr>
          <w:rFonts w:eastAsia="黑体" w:cs="Calibri"/>
          <w:color w:val="000000"/>
          <w:kern w:val="0"/>
          <w:sz w:val="32"/>
          <w:szCs w:val="32"/>
          <w:shd w:val="clear" w:color="auto" w:fill="FFFFFF"/>
        </w:rPr>
      </w:pPr>
      <w:r>
        <w:rPr>
          <w:rFonts w:hint="eastAsia" w:ascii="黑体" w:hAnsi="黑体" w:eastAsia="黑体" w:cs="Calibri"/>
          <w:color w:val="000000"/>
          <w:kern w:val="0"/>
          <w:sz w:val="32"/>
          <w:szCs w:val="32"/>
          <w:shd w:val="clear" w:color="auto" w:fill="FFFFFF"/>
        </w:rPr>
        <w:t>一、</w:t>
      </w:r>
      <w:r>
        <w:rPr>
          <w:rFonts w:ascii="黑体" w:hAnsi="黑体" w:eastAsia="黑体" w:cs="Calibri"/>
          <w:color w:val="000000"/>
          <w:kern w:val="0"/>
          <w:sz w:val="32"/>
          <w:szCs w:val="32"/>
          <w:shd w:val="clear" w:color="auto" w:fill="FFFFFF"/>
        </w:rPr>
        <w:t>部门基本情况</w:t>
      </w:r>
    </w:p>
    <w:p w14:paraId="40D985A0">
      <w:pPr>
        <w:ind w:left="672" w:firstLine="643" w:firstLineChars="200"/>
        <w:rPr>
          <w:rFonts w:ascii="Times New Roman" w:hAnsi="Times New Roman" w:eastAsia="楷体_GB2312"/>
          <w:b/>
          <w:bCs/>
          <w:color w:val="000000"/>
          <w:kern w:val="0"/>
          <w:sz w:val="32"/>
          <w:szCs w:val="32"/>
          <w:shd w:val="clear" w:color="auto" w:fill="FFFFFF"/>
        </w:rPr>
      </w:pPr>
      <w:r>
        <w:rPr>
          <w:rFonts w:ascii="楷体_GB2312" w:hAnsi="楷体_GB2312" w:cs="Calibri"/>
          <w:b/>
          <w:bCs/>
          <w:color w:val="000000"/>
          <w:kern w:val="0"/>
          <w:sz w:val="32"/>
          <w:szCs w:val="32"/>
          <w:shd w:val="clear" w:color="auto" w:fill="FFFFFF"/>
        </w:rPr>
        <w:t>（一）</w:t>
      </w:r>
      <w:r>
        <w:rPr>
          <w:rFonts w:ascii="楷体_GB2312" w:hAnsi="楷体_GB2312" w:eastAsia="楷体_GB2312"/>
          <w:b/>
          <w:bCs/>
          <w:color w:val="000000"/>
          <w:kern w:val="0"/>
          <w:sz w:val="32"/>
          <w:szCs w:val="32"/>
          <w:shd w:val="clear" w:color="auto" w:fill="FFFFFF"/>
        </w:rPr>
        <w:t>机构组成。</w:t>
      </w:r>
    </w:p>
    <w:p w14:paraId="11EA17A0">
      <w:pPr>
        <w:adjustRightInd w:val="0"/>
        <w:snapToGrid w:val="0"/>
        <w:spacing w:before="93" w:after="140" w:line="600" w:lineRule="exact"/>
        <w:ind w:firstLine="640" w:firstLineChars="200"/>
        <w:outlineLvl w:val="2"/>
        <w:rPr>
          <w:rFonts w:ascii="仿宋" w:hAnsi="仿宋" w:eastAsia="仿宋" w:cs="Calibri"/>
          <w:sz w:val="32"/>
          <w:szCs w:val="32"/>
        </w:rPr>
      </w:pPr>
      <w:bookmarkStart w:id="14" w:name="_Hlk175558627"/>
      <w:r>
        <w:rPr>
          <w:rFonts w:hint="eastAsia" w:ascii="仿宋" w:hAnsi="仿宋" w:eastAsia="仿宋" w:cs="Calibri"/>
          <w:sz w:val="32"/>
          <w:szCs w:val="32"/>
        </w:rPr>
        <w:t>遂宁市安居区东禅镇中心幼儿园</w:t>
      </w:r>
      <w:bookmarkEnd w:id="14"/>
      <w:r>
        <w:rPr>
          <w:rFonts w:hint="eastAsia" w:ascii="仿宋" w:hAnsi="仿宋" w:eastAsia="仿宋" w:cs="Calibri"/>
          <w:sz w:val="32"/>
          <w:szCs w:val="32"/>
        </w:rPr>
        <w:t>为遂宁市安居区教育和体育局下属事业单位，为二级预算单位，无下级附属单位，内设保教室、德育室、后勤室等。</w:t>
      </w:r>
    </w:p>
    <w:p w14:paraId="425793E6">
      <w:pPr>
        <w:numPr>
          <w:ilvl w:val="0"/>
          <w:numId w:val="4"/>
        </w:numPr>
        <w:adjustRightInd w:val="0"/>
        <w:snapToGrid w:val="0"/>
        <w:spacing w:before="93" w:after="140" w:line="600" w:lineRule="exact"/>
        <w:ind w:firstLine="643" w:firstLineChars="200"/>
        <w:outlineLvl w:val="2"/>
        <w:rPr>
          <w:rFonts w:hint="eastAsia" w:ascii="Times New Roman" w:hAnsi="Times New Roman" w:cs="Calibri"/>
          <w:b/>
          <w:bCs/>
          <w:color w:val="000000"/>
          <w:kern w:val="0"/>
          <w:sz w:val="32"/>
          <w:szCs w:val="32"/>
          <w:shd w:val="clear" w:color="auto" w:fill="FFFFFF"/>
        </w:rPr>
      </w:pPr>
      <w:r>
        <w:rPr>
          <w:rFonts w:ascii="楷体_GB2312" w:hAnsi="楷体_GB2312" w:eastAsia="楷体_GB2312"/>
          <w:b/>
          <w:bCs/>
          <w:color w:val="000000"/>
          <w:kern w:val="0"/>
          <w:sz w:val="32"/>
          <w:szCs w:val="32"/>
          <w:shd w:val="clear" w:color="auto" w:fill="FFFFFF"/>
        </w:rPr>
        <w:t>机构职能</w:t>
      </w:r>
      <w:r>
        <w:rPr>
          <w:rFonts w:ascii="楷体_GB2312" w:hAnsi="楷体_GB2312" w:cs="Calibri"/>
          <w:b/>
          <w:bCs/>
          <w:color w:val="000000"/>
          <w:kern w:val="0"/>
          <w:sz w:val="32"/>
          <w:szCs w:val="32"/>
          <w:shd w:val="clear" w:color="auto" w:fill="FFFFFF"/>
        </w:rPr>
        <w:t>。</w:t>
      </w:r>
    </w:p>
    <w:p w14:paraId="52D8D166">
      <w:pPr>
        <w:adjustRightInd w:val="0"/>
        <w:snapToGrid w:val="0"/>
        <w:spacing w:before="93" w:after="140" w:line="600" w:lineRule="exact"/>
        <w:ind w:firstLine="640" w:firstLineChars="200"/>
        <w:outlineLvl w:val="2"/>
        <w:rPr>
          <w:rFonts w:cs="Calibri"/>
          <w:szCs w:val="21"/>
        </w:rPr>
      </w:pPr>
      <w:r>
        <w:rPr>
          <w:rFonts w:hint="eastAsia" w:ascii="仿宋" w:hAnsi="仿宋" w:eastAsia="仿宋" w:cs="Calibri"/>
          <w:sz w:val="32"/>
          <w:szCs w:val="32"/>
        </w:rPr>
        <w:t>遂宁市安居区东禅镇中心幼儿园主要职能是为3-6周岁学龄前儿童提供保育和教育服务，</w:t>
      </w:r>
      <w:r>
        <w:rPr>
          <w:rFonts w:hint="eastAsia" w:ascii="仿宋_GB2312" w:hAnsi="Times New Roman" w:eastAsia="仿宋_GB2312"/>
          <w:sz w:val="32"/>
          <w:szCs w:val="32"/>
        </w:rPr>
        <w:t>实施学前教育，促进学前教育发展，负责学前教育相关社会服务。</w:t>
      </w:r>
      <w:r>
        <w:rPr>
          <w:rFonts w:hint="eastAsia" w:ascii="仿宋" w:hAnsi="仿宋" w:eastAsia="仿宋" w:cs="Calibri"/>
          <w:sz w:val="32"/>
          <w:szCs w:val="32"/>
          <w:lang w:eastAsia="zh-CN"/>
        </w:rPr>
        <w:t>提高学前教育</w:t>
      </w:r>
      <w:r>
        <w:rPr>
          <w:rFonts w:hint="eastAsia" w:ascii="仿宋" w:hAnsi="仿宋" w:eastAsia="仿宋" w:cs="Calibri"/>
          <w:sz w:val="32"/>
          <w:szCs w:val="32"/>
        </w:rPr>
        <w:t>质量，保证适龄儿童享受到优质的教育资源。</w:t>
      </w:r>
    </w:p>
    <w:p w14:paraId="34696D88">
      <w:pPr>
        <w:numPr>
          <w:ilvl w:val="0"/>
          <w:numId w:val="4"/>
        </w:numPr>
        <w:spacing w:line="600" w:lineRule="exact"/>
        <w:ind w:firstLine="643" w:firstLineChars="200"/>
        <w:rPr>
          <w:rFonts w:ascii="Times New Roman" w:hAnsi="Times New Roman" w:cs="Calibri"/>
          <w:b/>
          <w:bCs/>
          <w:color w:val="000000"/>
          <w:kern w:val="0"/>
          <w:sz w:val="32"/>
          <w:szCs w:val="32"/>
          <w:shd w:val="clear" w:color="auto" w:fill="FFFFFF"/>
        </w:rPr>
      </w:pPr>
      <w:r>
        <w:rPr>
          <w:rFonts w:ascii="楷体_GB2312" w:hAnsi="楷体_GB2312" w:eastAsia="楷体_GB2312"/>
          <w:b/>
          <w:bCs/>
          <w:color w:val="000000"/>
          <w:kern w:val="0"/>
          <w:sz w:val="32"/>
          <w:szCs w:val="32"/>
          <w:shd w:val="clear" w:color="auto" w:fill="FFFFFF"/>
        </w:rPr>
        <w:t>人员概况</w:t>
      </w:r>
      <w:r>
        <w:rPr>
          <w:rFonts w:ascii="楷体_GB2312" w:hAnsi="楷体_GB2312" w:cs="Calibri"/>
          <w:b/>
          <w:bCs/>
          <w:color w:val="000000"/>
          <w:kern w:val="0"/>
          <w:sz w:val="32"/>
          <w:szCs w:val="32"/>
          <w:shd w:val="clear" w:color="auto" w:fill="FFFFFF"/>
        </w:rPr>
        <w:t>。</w:t>
      </w:r>
    </w:p>
    <w:p w14:paraId="538934DE">
      <w:pPr>
        <w:spacing w:line="600" w:lineRule="exact"/>
        <w:ind w:left="420" w:leftChars="200" w:firstLine="640" w:firstLineChars="200"/>
        <w:rPr>
          <w:rFonts w:hint="eastAsia" w:ascii="Times New Roman" w:hAnsi="Times New Roman"/>
          <w:szCs w:val="21"/>
        </w:rPr>
      </w:pPr>
      <w:r>
        <w:rPr>
          <w:rFonts w:ascii="仿宋_GB2312" w:hAnsi="Times New Roman" w:eastAsia="仿宋_GB2312"/>
          <w:sz w:val="32"/>
          <w:szCs w:val="32"/>
        </w:rPr>
        <w:t>截至</w:t>
      </w:r>
      <w:r>
        <w:rPr>
          <w:rFonts w:ascii="Times New Roman" w:hAnsi="Times New Roman" w:eastAsia="仿宋_GB2312"/>
          <w:sz w:val="32"/>
          <w:szCs w:val="32"/>
        </w:rPr>
        <w:t>202</w:t>
      </w:r>
      <w:r>
        <w:rPr>
          <w:rFonts w:hint="eastAsia" w:ascii="Times New Roman" w:hAnsi="Times New Roman" w:eastAsia="仿宋_GB2312"/>
          <w:sz w:val="32"/>
          <w:szCs w:val="32"/>
        </w:rPr>
        <w:t>3</w:t>
      </w:r>
      <w:r>
        <w:rPr>
          <w:rFonts w:ascii="仿宋_GB2312" w:hAnsi="Times New Roman" w:eastAsia="仿宋_GB2312"/>
          <w:sz w:val="32"/>
          <w:szCs w:val="32"/>
        </w:rPr>
        <w:t>年末，</w:t>
      </w:r>
      <w:r>
        <w:rPr>
          <w:rFonts w:hint="eastAsia" w:ascii="仿宋_GB2312" w:hAnsi="Times New Roman" w:eastAsia="仿宋_GB2312" w:cs="Calibri"/>
          <w:sz w:val="32"/>
          <w:szCs w:val="32"/>
        </w:rPr>
        <w:t>遂宁市安居区东禅镇中心幼儿园实有编制人数</w:t>
      </w:r>
      <w:r>
        <w:rPr>
          <w:rFonts w:hint="eastAsia" w:ascii="Times New Roman" w:hAnsi="Times New Roman" w:eastAsia="仿宋_GB2312"/>
          <w:sz w:val="32"/>
          <w:szCs w:val="32"/>
        </w:rPr>
        <w:t>19</w:t>
      </w:r>
      <w:r>
        <w:rPr>
          <w:rFonts w:hint="eastAsia" w:ascii="仿宋_GB2312" w:hAnsi="Times New Roman" w:eastAsia="仿宋_GB2312" w:cs="Calibri"/>
          <w:sz w:val="32"/>
          <w:szCs w:val="32"/>
        </w:rPr>
        <w:t>人</w:t>
      </w:r>
    </w:p>
    <w:p w14:paraId="19CE865B">
      <w:pPr>
        <w:widowControl/>
        <w:adjustRightInd w:val="0"/>
        <w:snapToGrid w:val="0"/>
        <w:spacing w:line="578" w:lineRule="exact"/>
        <w:ind w:firstLine="640" w:firstLineChars="200"/>
        <w:contextualSpacing/>
        <w:jc w:val="left"/>
        <w:rPr>
          <w:rFonts w:eastAsia="黑体" w:cs="Calibri"/>
          <w:color w:val="000000"/>
          <w:kern w:val="0"/>
          <w:sz w:val="32"/>
          <w:szCs w:val="32"/>
          <w:shd w:val="clear" w:color="auto" w:fill="FFFFFF"/>
        </w:rPr>
      </w:pPr>
      <w:r>
        <w:rPr>
          <w:rFonts w:ascii="黑体" w:hAnsi="黑体" w:eastAsia="黑体" w:cs="Calibri"/>
          <w:color w:val="000000"/>
          <w:kern w:val="0"/>
          <w:sz w:val="32"/>
          <w:szCs w:val="32"/>
          <w:shd w:val="clear" w:color="auto" w:fill="FFFFFF"/>
        </w:rPr>
        <w:t>二、部门资金收支情况</w:t>
      </w:r>
    </w:p>
    <w:p w14:paraId="2F6ED423">
      <w:pPr>
        <w:widowControl/>
        <w:adjustRightInd w:val="0"/>
        <w:snapToGrid w:val="0"/>
        <w:spacing w:line="578" w:lineRule="exact"/>
        <w:ind w:firstLine="643" w:firstLineChars="200"/>
        <w:contextualSpacing/>
        <w:jc w:val="left"/>
        <w:rPr>
          <w:rFonts w:ascii="Times New Roman" w:hAnsi="Times New Roman" w:eastAsia="楷体_GB2312"/>
          <w:b/>
          <w:bCs/>
          <w:color w:val="000000"/>
          <w:kern w:val="0"/>
          <w:szCs w:val="21"/>
          <w:shd w:val="clear" w:color="auto" w:fill="FFFFFF"/>
        </w:rPr>
      </w:pPr>
      <w:r>
        <w:rPr>
          <w:rFonts w:ascii="楷体_GB2312" w:hAnsi="楷体_GB2312" w:eastAsia="楷体_GB2312"/>
          <w:b/>
          <w:bCs/>
          <w:color w:val="000000"/>
          <w:kern w:val="0"/>
          <w:sz w:val="32"/>
          <w:szCs w:val="32"/>
          <w:shd w:val="clear" w:color="auto" w:fill="FFFFFF"/>
        </w:rPr>
        <w:t>（一）</w:t>
      </w:r>
      <w:r>
        <w:rPr>
          <w:rFonts w:ascii="楷体_GB2312" w:hAnsi="楷体_GB2312" w:cs="Calibri"/>
          <w:b/>
          <w:bCs/>
          <w:color w:val="000000"/>
          <w:kern w:val="0"/>
          <w:sz w:val="32"/>
          <w:szCs w:val="32"/>
          <w:shd w:val="clear" w:color="auto" w:fill="FFFFFF"/>
        </w:rPr>
        <w:t>收入情况</w:t>
      </w:r>
      <w:r>
        <w:rPr>
          <w:rFonts w:ascii="楷体_GB2312" w:hAnsi="楷体_GB2312" w:eastAsia="楷体_GB2312"/>
          <w:b/>
          <w:bCs/>
          <w:color w:val="000000"/>
          <w:kern w:val="0"/>
          <w:sz w:val="32"/>
          <w:szCs w:val="32"/>
          <w:shd w:val="clear" w:color="auto" w:fill="FFFFFF"/>
        </w:rPr>
        <w:t>。</w:t>
      </w:r>
      <w:r>
        <w:rPr>
          <w:rFonts w:hint="eastAsia" w:ascii="Times New Roman" w:hAnsi="Times New Roman" w:eastAsia="仿宋_GB2312"/>
          <w:sz w:val="32"/>
          <w:szCs w:val="32"/>
        </w:rPr>
        <w:t>2023</w:t>
      </w:r>
      <w:r>
        <w:rPr>
          <w:rFonts w:hint="eastAsia" w:ascii="仿宋_GB2312" w:hAnsi="Times New Roman" w:eastAsia="仿宋_GB2312" w:cs="Calibri"/>
          <w:sz w:val="32"/>
          <w:szCs w:val="32"/>
        </w:rPr>
        <w:t>年年初预算收入</w:t>
      </w:r>
      <w:r>
        <w:rPr>
          <w:rFonts w:ascii="Times New Roman" w:hAnsi="Times New Roman" w:eastAsia="仿宋_GB2312"/>
          <w:sz w:val="32"/>
          <w:szCs w:val="32"/>
        </w:rPr>
        <w:t>360.34</w:t>
      </w:r>
      <w:r>
        <w:rPr>
          <w:rFonts w:hint="eastAsia" w:ascii="仿宋_GB2312" w:hAnsi="Times New Roman" w:eastAsia="仿宋_GB2312" w:cs="Calibri"/>
          <w:sz w:val="32"/>
          <w:szCs w:val="32"/>
        </w:rPr>
        <w:t>万元、决算报表收入也为</w:t>
      </w:r>
      <w:r>
        <w:rPr>
          <w:rFonts w:ascii="Times New Roman" w:hAnsi="Times New Roman" w:eastAsia="仿宋_GB2312"/>
          <w:sz w:val="32"/>
          <w:szCs w:val="32"/>
        </w:rPr>
        <w:t>360.34</w:t>
      </w:r>
      <w:r>
        <w:rPr>
          <w:rFonts w:hint="eastAsia" w:ascii="仿宋_GB2312" w:hAnsi="Times New Roman" w:eastAsia="仿宋_GB2312" w:cs="Calibri"/>
          <w:sz w:val="32"/>
          <w:szCs w:val="32"/>
        </w:rPr>
        <w:t>万元。</w:t>
      </w:r>
    </w:p>
    <w:p w14:paraId="023C82C6">
      <w:pPr>
        <w:widowControl/>
        <w:adjustRightInd w:val="0"/>
        <w:snapToGrid w:val="0"/>
        <w:spacing w:line="578" w:lineRule="exact"/>
        <w:ind w:firstLine="643" w:firstLineChars="200"/>
        <w:contextualSpacing/>
        <w:jc w:val="left"/>
        <w:rPr>
          <w:rFonts w:ascii="Times New Roman" w:hAnsi="Times New Roman"/>
          <w:szCs w:val="21"/>
        </w:rPr>
      </w:pPr>
      <w:r>
        <w:rPr>
          <w:rFonts w:ascii="楷体_GB2312" w:hAnsi="楷体_GB2312" w:eastAsia="楷体_GB2312"/>
          <w:b/>
          <w:bCs/>
          <w:color w:val="000000"/>
          <w:kern w:val="0"/>
          <w:sz w:val="32"/>
          <w:szCs w:val="32"/>
          <w:shd w:val="clear" w:color="auto" w:fill="FFFFFF"/>
        </w:rPr>
        <w:t>（</w:t>
      </w:r>
      <w:r>
        <w:rPr>
          <w:rFonts w:ascii="楷体_GB2312" w:hAnsi="楷体_GB2312" w:cs="Calibri"/>
          <w:b/>
          <w:bCs/>
          <w:color w:val="000000"/>
          <w:kern w:val="0"/>
          <w:sz w:val="32"/>
          <w:szCs w:val="32"/>
          <w:shd w:val="clear" w:color="auto" w:fill="FFFFFF"/>
        </w:rPr>
        <w:t>二</w:t>
      </w:r>
      <w:r>
        <w:rPr>
          <w:rFonts w:ascii="楷体_GB2312" w:hAnsi="楷体_GB2312" w:eastAsia="楷体_GB2312"/>
          <w:b/>
          <w:bCs/>
          <w:color w:val="000000"/>
          <w:kern w:val="0"/>
          <w:sz w:val="32"/>
          <w:szCs w:val="32"/>
          <w:shd w:val="clear" w:color="auto" w:fill="FFFFFF"/>
        </w:rPr>
        <w:t>）</w:t>
      </w:r>
      <w:r>
        <w:rPr>
          <w:rFonts w:ascii="楷体_GB2312" w:hAnsi="楷体_GB2312" w:cs="Calibri"/>
          <w:b/>
          <w:bCs/>
          <w:color w:val="000000"/>
          <w:kern w:val="0"/>
          <w:sz w:val="32"/>
          <w:szCs w:val="32"/>
          <w:shd w:val="clear" w:color="auto" w:fill="FFFFFF"/>
        </w:rPr>
        <w:t>支出情况</w:t>
      </w:r>
      <w:r>
        <w:rPr>
          <w:rFonts w:ascii="楷体_GB2312" w:hAnsi="楷体_GB2312" w:eastAsia="楷体_GB2312"/>
          <w:b/>
          <w:bCs/>
          <w:color w:val="000000"/>
          <w:kern w:val="0"/>
          <w:sz w:val="32"/>
          <w:szCs w:val="32"/>
          <w:shd w:val="clear" w:color="auto" w:fill="FFFFFF"/>
        </w:rPr>
        <w:t>。</w:t>
      </w:r>
      <w:r>
        <w:rPr>
          <w:rFonts w:hint="eastAsia" w:ascii="Times New Roman" w:hAnsi="Times New Roman" w:eastAsia="仿宋_GB2312"/>
          <w:sz w:val="32"/>
          <w:szCs w:val="32"/>
        </w:rPr>
        <w:t>2023</w:t>
      </w:r>
      <w:r>
        <w:rPr>
          <w:rFonts w:hint="eastAsia" w:ascii="仿宋_GB2312" w:hAnsi="Times New Roman" w:eastAsia="仿宋_GB2312" w:cs="Calibri"/>
          <w:sz w:val="32"/>
          <w:szCs w:val="32"/>
        </w:rPr>
        <w:t>年年初预算支出情况</w:t>
      </w:r>
      <w:r>
        <w:rPr>
          <w:rFonts w:ascii="Times New Roman" w:hAnsi="Times New Roman" w:eastAsia="仿宋_GB2312"/>
          <w:sz w:val="32"/>
          <w:szCs w:val="32"/>
        </w:rPr>
        <w:t>360.34</w:t>
      </w:r>
      <w:r>
        <w:rPr>
          <w:rFonts w:hint="eastAsia" w:ascii="仿宋_GB2312" w:hAnsi="Times New Roman" w:eastAsia="仿宋_GB2312" w:cs="Calibri"/>
          <w:sz w:val="32"/>
          <w:szCs w:val="32"/>
        </w:rPr>
        <w:t>万元、决算报表支出</w:t>
      </w:r>
      <w:r>
        <w:rPr>
          <w:rFonts w:ascii="Times New Roman" w:hAnsi="Times New Roman" w:eastAsia="仿宋_GB2312"/>
          <w:sz w:val="32"/>
          <w:szCs w:val="32"/>
        </w:rPr>
        <w:t>360.34</w:t>
      </w:r>
      <w:r>
        <w:rPr>
          <w:rFonts w:hint="eastAsia" w:ascii="仿宋_GB2312" w:hAnsi="Times New Roman" w:eastAsia="仿宋_GB2312" w:cs="Calibri"/>
          <w:sz w:val="32"/>
          <w:szCs w:val="32"/>
        </w:rPr>
        <w:t>万元。</w:t>
      </w:r>
    </w:p>
    <w:p w14:paraId="29EBFF64">
      <w:pPr>
        <w:autoSpaceDE w:val="0"/>
        <w:spacing w:line="560" w:lineRule="exact"/>
        <w:ind w:firstLine="643" w:firstLineChars="200"/>
        <w:rPr>
          <w:rFonts w:ascii="Times New Roman" w:hAnsi="Times New Roman" w:cs="Calibri"/>
          <w:b/>
          <w:bCs/>
          <w:color w:val="000000"/>
          <w:kern w:val="0"/>
          <w:sz w:val="32"/>
          <w:szCs w:val="32"/>
          <w:shd w:val="clear" w:color="auto" w:fill="FFFFFF"/>
        </w:rPr>
      </w:pPr>
      <w:r>
        <w:rPr>
          <w:rFonts w:ascii="楷体_GB2312" w:hAnsi="楷体_GB2312" w:eastAsia="楷体_GB2312"/>
          <w:b/>
          <w:bCs/>
          <w:color w:val="000000"/>
          <w:kern w:val="0"/>
          <w:sz w:val="32"/>
          <w:szCs w:val="32"/>
          <w:shd w:val="clear" w:color="auto" w:fill="FFFFFF"/>
        </w:rPr>
        <w:t>（</w:t>
      </w:r>
      <w:r>
        <w:rPr>
          <w:rFonts w:ascii="楷体_GB2312" w:hAnsi="楷体_GB2312" w:cs="Calibri"/>
          <w:b/>
          <w:bCs/>
          <w:color w:val="000000"/>
          <w:kern w:val="0"/>
          <w:sz w:val="32"/>
          <w:szCs w:val="32"/>
          <w:shd w:val="clear" w:color="auto" w:fill="FFFFFF"/>
        </w:rPr>
        <w:t>三</w:t>
      </w:r>
      <w:r>
        <w:rPr>
          <w:rFonts w:ascii="楷体_GB2312" w:hAnsi="楷体_GB2312" w:eastAsia="楷体_GB2312"/>
          <w:b/>
          <w:bCs/>
          <w:color w:val="000000"/>
          <w:kern w:val="0"/>
          <w:sz w:val="32"/>
          <w:szCs w:val="32"/>
          <w:shd w:val="clear" w:color="auto" w:fill="FFFFFF"/>
        </w:rPr>
        <w:t>）结余分配和结转结余情况</w:t>
      </w:r>
      <w:r>
        <w:rPr>
          <w:rFonts w:ascii="楷体_GB2312" w:hAnsi="楷体_GB2312" w:cs="Calibri"/>
          <w:b/>
          <w:bCs/>
          <w:color w:val="000000"/>
          <w:kern w:val="0"/>
          <w:sz w:val="32"/>
          <w:szCs w:val="32"/>
          <w:shd w:val="clear" w:color="auto" w:fill="FFFFFF"/>
        </w:rPr>
        <w:t>。</w:t>
      </w:r>
    </w:p>
    <w:p w14:paraId="7DEB1CFA">
      <w:pPr>
        <w:autoSpaceDE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2023年决算报表结转结余为0万元。</w:t>
      </w:r>
    </w:p>
    <w:p w14:paraId="3EEE0571">
      <w:pPr>
        <w:widowControl/>
        <w:adjustRightInd w:val="0"/>
        <w:snapToGrid w:val="0"/>
        <w:spacing w:line="578" w:lineRule="exact"/>
        <w:ind w:firstLine="640" w:firstLineChars="200"/>
        <w:contextualSpacing/>
        <w:jc w:val="left"/>
        <w:rPr>
          <w:rFonts w:hint="eastAsia" w:eastAsia="黑体" w:cs="Calibri"/>
          <w:color w:val="000000"/>
          <w:kern w:val="0"/>
          <w:sz w:val="32"/>
          <w:szCs w:val="32"/>
          <w:shd w:val="clear" w:color="auto" w:fill="FFFFFF"/>
        </w:rPr>
      </w:pPr>
      <w:r>
        <w:rPr>
          <w:rFonts w:ascii="黑体" w:hAnsi="黑体" w:eastAsia="黑体" w:cs="Calibri"/>
          <w:color w:val="000000"/>
          <w:kern w:val="0"/>
          <w:sz w:val="32"/>
          <w:szCs w:val="32"/>
          <w:shd w:val="clear" w:color="auto" w:fill="FFFFFF"/>
        </w:rPr>
        <w:t>三、部门预算绩效分析</w:t>
      </w:r>
    </w:p>
    <w:p w14:paraId="32EBD773">
      <w:pPr>
        <w:adjustRightInd w:val="0"/>
        <w:snapToGrid w:val="0"/>
        <w:spacing w:line="578" w:lineRule="exact"/>
        <w:ind w:firstLine="643" w:firstLineChars="200"/>
        <w:contextualSpacing/>
        <w:jc w:val="left"/>
        <w:rPr>
          <w:rFonts w:ascii="Times New Roman" w:hAnsi="Times New Roman" w:eastAsia="楷体_GB2312"/>
          <w:b/>
          <w:bCs/>
          <w:color w:val="000000"/>
          <w:kern w:val="0"/>
          <w:sz w:val="32"/>
          <w:szCs w:val="32"/>
          <w:shd w:val="clear" w:color="auto" w:fill="FFFFFF"/>
        </w:rPr>
      </w:pPr>
      <w:r>
        <w:rPr>
          <w:rFonts w:ascii="楷体_GB2312" w:hAnsi="楷体_GB2312" w:eastAsia="楷体_GB2312"/>
          <w:b/>
          <w:bCs/>
          <w:color w:val="000000"/>
          <w:kern w:val="0"/>
          <w:sz w:val="32"/>
          <w:szCs w:val="32"/>
          <w:shd w:val="clear" w:color="auto" w:fill="FFFFFF"/>
        </w:rPr>
        <w:t>（一）</w:t>
      </w:r>
      <w:r>
        <w:rPr>
          <w:rFonts w:ascii="楷体_GB2312" w:hAnsi="楷体_GB2312" w:cs="Calibri"/>
          <w:b/>
          <w:bCs/>
          <w:color w:val="000000"/>
          <w:kern w:val="0"/>
          <w:sz w:val="32"/>
          <w:szCs w:val="32"/>
          <w:shd w:val="clear" w:color="auto" w:fill="FFFFFF"/>
        </w:rPr>
        <w:t>部门预算</w:t>
      </w:r>
      <w:r>
        <w:rPr>
          <w:rFonts w:ascii="楷体_GB2312" w:hAnsi="楷体_GB2312" w:eastAsia="楷体_GB2312"/>
          <w:b/>
          <w:bCs/>
          <w:color w:val="000000"/>
          <w:kern w:val="0"/>
          <w:sz w:val="32"/>
          <w:szCs w:val="32"/>
          <w:shd w:val="clear" w:color="auto" w:fill="FFFFFF"/>
        </w:rPr>
        <w:t>总体绩效分析。</w:t>
      </w:r>
    </w:p>
    <w:p w14:paraId="6B8116CE">
      <w:pPr>
        <w:adjustRightInd w:val="0"/>
        <w:snapToGrid w:val="0"/>
        <w:spacing w:line="578" w:lineRule="exact"/>
        <w:ind w:firstLine="640" w:firstLineChars="200"/>
        <w:contextualSpacing/>
        <w:jc w:val="left"/>
        <w:rPr>
          <w:rFonts w:ascii="Times New Roman" w:hAnsi="Times New Roman" w:cs="Calibri"/>
          <w:color w:val="000000"/>
          <w:kern w:val="0"/>
          <w:sz w:val="32"/>
          <w:szCs w:val="32"/>
          <w:shd w:val="clear" w:color="auto" w:fill="FFFFFF"/>
        </w:rPr>
      </w:pPr>
      <w:r>
        <w:rPr>
          <w:rFonts w:ascii="楷体_GB2312" w:hAnsi="楷体_GB2312" w:cs="Calibri"/>
          <w:color w:val="000000"/>
          <w:kern w:val="0"/>
          <w:sz w:val="32"/>
          <w:szCs w:val="32"/>
          <w:shd w:val="clear" w:color="auto" w:fill="FFFFFF"/>
        </w:rPr>
        <w:t>1.履职效能。</w:t>
      </w:r>
      <w:r>
        <w:rPr>
          <w:rFonts w:hint="eastAsia" w:ascii="仿宋_GB2312" w:hAnsi="Times New Roman" w:eastAsia="仿宋_GB2312"/>
          <w:sz w:val="32"/>
          <w:szCs w:val="32"/>
        </w:rPr>
        <w:t>部门整体绩效目标中产出指标工达成率高，达到了预期目标；效益指标改善了社会环境，增强了社会凝聚力；满意度指标达到</w:t>
      </w:r>
      <w:r>
        <w:rPr>
          <w:rFonts w:hint="eastAsia" w:ascii="Times New Roman" w:hAnsi="Times New Roman" w:eastAsia="仿宋_GB2312"/>
          <w:sz w:val="32"/>
          <w:szCs w:val="32"/>
        </w:rPr>
        <w:t>95%</w:t>
      </w:r>
      <w:r>
        <w:rPr>
          <w:rFonts w:hint="eastAsia" w:ascii="仿宋_GB2312" w:hAnsi="Times New Roman" w:eastAsia="仿宋_GB2312"/>
          <w:sz w:val="32"/>
          <w:szCs w:val="32"/>
        </w:rPr>
        <w:t>，得到了服务对象的认可。</w:t>
      </w:r>
    </w:p>
    <w:p w14:paraId="09327DC2">
      <w:pPr>
        <w:adjustRightInd w:val="0"/>
        <w:snapToGrid w:val="0"/>
        <w:spacing w:line="578" w:lineRule="exact"/>
        <w:ind w:firstLine="640" w:firstLineChars="200"/>
        <w:contextualSpacing/>
        <w:jc w:val="left"/>
        <w:rPr>
          <w:rFonts w:hint="eastAsia" w:ascii="仿宋" w:hAnsi="仿宋" w:eastAsia="仿宋"/>
          <w:sz w:val="30"/>
          <w:szCs w:val="30"/>
        </w:rPr>
      </w:pPr>
      <w:r>
        <w:rPr>
          <w:rFonts w:ascii="楷体_GB2312" w:hAnsi="楷体_GB2312" w:cs="Calibri"/>
          <w:color w:val="000000"/>
          <w:kern w:val="0"/>
          <w:sz w:val="32"/>
          <w:szCs w:val="32"/>
          <w:shd w:val="clear" w:color="auto" w:fill="FFFFFF"/>
        </w:rPr>
        <w:t>2.预算管理。</w:t>
      </w:r>
      <w:r>
        <w:rPr>
          <w:rFonts w:hint="eastAsia" w:ascii="仿宋_GB2312" w:hAnsi="Times New Roman" w:eastAsia="仿宋_GB2312"/>
          <w:sz w:val="32"/>
          <w:szCs w:val="32"/>
        </w:rPr>
        <w:t>根据学校年度工作计划和教育教学需求编制了详细的年度预算，并严格按照预算执行。在预算执行过程中，定期监控预算执行情况，对超预算支出进行严格控制，确保预算的合理性和准确性</w:t>
      </w:r>
      <w:r>
        <w:rPr>
          <w:rFonts w:hint="eastAsia" w:ascii="仿宋" w:hAnsi="仿宋" w:eastAsia="仿宋"/>
          <w:sz w:val="30"/>
          <w:szCs w:val="30"/>
        </w:rPr>
        <w:t>。</w:t>
      </w:r>
      <w:r>
        <w:rPr>
          <w:rFonts w:hint="eastAsia" w:ascii="仿宋_GB2312" w:hAnsi="Times New Roman" w:eastAsia="仿宋_GB2312"/>
          <w:sz w:val="32"/>
          <w:szCs w:val="32"/>
        </w:rPr>
        <w:t>预算调整程序规范，对于确需调整的预算项目，严格按照规定程序进行审批，保证了预算的严肃性和权威性。</w:t>
      </w:r>
    </w:p>
    <w:p w14:paraId="1C8B4F31">
      <w:pPr>
        <w:autoSpaceDE w:val="0"/>
        <w:snapToGrid w:val="0"/>
        <w:spacing w:line="560" w:lineRule="exact"/>
        <w:ind w:firstLine="640" w:firstLineChars="200"/>
        <w:rPr>
          <w:rFonts w:hint="eastAsia" w:ascii="楷体_GB2312" w:hAnsi="楷体_GB2312" w:cs="Calibri"/>
          <w:color w:val="000000"/>
          <w:sz w:val="32"/>
          <w:szCs w:val="32"/>
          <w:shd w:val="clear" w:color="auto" w:fill="FFFFFF"/>
        </w:rPr>
      </w:pPr>
      <w:r>
        <w:rPr>
          <w:rFonts w:ascii="楷体_GB2312" w:hAnsi="楷体_GB2312" w:cs="Calibri"/>
          <w:color w:val="000000"/>
          <w:kern w:val="0"/>
          <w:sz w:val="32"/>
          <w:szCs w:val="32"/>
          <w:shd w:val="clear" w:color="auto" w:fill="FFFFFF"/>
        </w:rPr>
        <w:t>3.财务管理。</w:t>
      </w:r>
      <w:r>
        <w:rPr>
          <w:rFonts w:hint="eastAsia" w:ascii="仿宋_GB2312" w:hAnsi="Times New Roman" w:eastAsia="仿宋_GB2312"/>
          <w:sz w:val="32"/>
          <w:szCs w:val="32"/>
        </w:rPr>
        <w:t>建立了完善的财务管理制度，涵盖了预算管理、资金管理、财务核算、财务监督等各个方面。根据幼儿园的战略目标和财务管理目标制定具体的绩效计划，明确各项财务指标的标准和目标值。资金使用严格遵守国家法律法规和财务制度规定，确保资金安全、合理、有效使用。加强对资金支出的审核和审批，杜绝违规支出和浪费现象。对专项资金进行单独核算和管理，确保专款专用，提高了专项资金的使用效益。</w:t>
      </w:r>
    </w:p>
    <w:p w14:paraId="3129D6DC">
      <w:pPr>
        <w:autoSpaceDE w:val="0"/>
        <w:snapToGrid w:val="0"/>
        <w:spacing w:line="560" w:lineRule="exact"/>
        <w:ind w:firstLine="640" w:firstLineChars="200"/>
        <w:rPr>
          <w:rFonts w:ascii="楷体_GB2312" w:hAnsi="楷体_GB2312" w:cs="Calibri"/>
          <w:color w:val="000000"/>
          <w:kern w:val="0"/>
          <w:sz w:val="32"/>
          <w:szCs w:val="32"/>
          <w:shd w:val="clear" w:color="auto" w:fill="FFFFFF"/>
        </w:rPr>
      </w:pPr>
      <w:r>
        <w:rPr>
          <w:rFonts w:ascii="楷体_GB2312" w:hAnsi="楷体_GB2312" w:cs="Calibri"/>
          <w:color w:val="000000"/>
          <w:kern w:val="0"/>
          <w:sz w:val="32"/>
          <w:szCs w:val="32"/>
          <w:shd w:val="clear" w:color="auto" w:fill="FFFFFF"/>
        </w:rPr>
        <w:t>4.资产管理。</w:t>
      </w:r>
      <w:r>
        <w:rPr>
          <w:rFonts w:hint="eastAsia" w:ascii="仿宋_GB2312" w:hAnsi="Times New Roman" w:eastAsia="仿宋_GB2312"/>
          <w:sz w:val="32"/>
          <w:szCs w:val="32"/>
        </w:rPr>
        <w:t>根据部门工作需要和实际情况合理配置资产，对资产购置进行严格审批，避免资产重复购置和闲置浪费。建立健全资产使用管理制度，明确资产使用责任，提高资产使用效率。定期对资产进行清查和盘点，确保资产账实相符。加强对资产的维护和保养，延长资产使用寿命，降低资产运行成本。</w:t>
      </w:r>
    </w:p>
    <w:p w14:paraId="21A73781">
      <w:pPr>
        <w:adjustRightInd w:val="0"/>
        <w:snapToGrid w:val="0"/>
        <w:spacing w:line="578" w:lineRule="exact"/>
        <w:ind w:firstLine="640" w:firstLineChars="200"/>
        <w:contextualSpacing/>
        <w:jc w:val="left"/>
        <w:rPr>
          <w:rFonts w:ascii="楷体_GB2312" w:hAnsi="楷体_GB2312" w:cs="Calibri"/>
          <w:color w:val="000000"/>
          <w:kern w:val="0"/>
          <w:sz w:val="32"/>
          <w:szCs w:val="32"/>
          <w:shd w:val="clear" w:color="auto" w:fill="FFFFFF"/>
        </w:rPr>
      </w:pPr>
      <w:r>
        <w:rPr>
          <w:rFonts w:ascii="楷体_GB2312" w:hAnsi="楷体_GB2312" w:cs="Calibri"/>
          <w:color w:val="000000"/>
          <w:kern w:val="0"/>
          <w:sz w:val="32"/>
          <w:szCs w:val="32"/>
          <w:shd w:val="clear" w:color="auto" w:fill="FFFFFF"/>
        </w:rPr>
        <w:t>5.采购管理。</w:t>
      </w:r>
      <w:r>
        <w:rPr>
          <w:rFonts w:hint="eastAsia" w:ascii="仿宋_GB2312" w:hAnsi="Times New Roman" w:eastAsia="仿宋_GB2312"/>
          <w:sz w:val="32"/>
          <w:szCs w:val="32"/>
        </w:rPr>
        <w:t>严格执行政府采购制度，规范采购行为。按照规定的采购方式和程序进行采购，确保采购过程公开、公平、公正。提高采购效率，缩短采购周期，确保物资及时供应。加强对采购物资的质量监管，确保采购物资符合质量要求。</w:t>
      </w:r>
    </w:p>
    <w:p w14:paraId="327AEAAF">
      <w:pPr>
        <w:widowControl/>
        <w:adjustRightInd w:val="0"/>
        <w:snapToGrid w:val="0"/>
        <w:spacing w:line="578" w:lineRule="exact"/>
        <w:ind w:firstLine="643" w:firstLineChars="200"/>
        <w:contextualSpacing/>
        <w:jc w:val="left"/>
        <w:rPr>
          <w:rFonts w:ascii="Times New Roman" w:hAnsi="Times New Roman" w:eastAsia="仿宋_GB2312"/>
          <w:sz w:val="32"/>
          <w:szCs w:val="32"/>
        </w:rPr>
      </w:pPr>
      <w:r>
        <w:rPr>
          <w:rFonts w:ascii="楷体_GB2312" w:hAnsi="楷体_GB2312" w:eastAsia="楷体_GB2312"/>
          <w:b/>
          <w:bCs/>
          <w:color w:val="000000"/>
          <w:kern w:val="0"/>
          <w:sz w:val="32"/>
          <w:szCs w:val="32"/>
          <w:shd w:val="clear" w:color="auto" w:fill="FFFFFF"/>
        </w:rPr>
        <w:t>（二）部门预算项目绩效分析。</w:t>
      </w:r>
    </w:p>
    <w:p w14:paraId="5271AA6B">
      <w:pPr>
        <w:autoSpaceDE w:val="0"/>
        <w:spacing w:line="560" w:lineRule="exact"/>
        <w:ind w:firstLine="640" w:firstLineChars="200"/>
        <w:rPr>
          <w:rFonts w:ascii="Times New Roman" w:hAnsi="Times New Roman"/>
          <w:sz w:val="32"/>
          <w:szCs w:val="32"/>
        </w:rPr>
      </w:pPr>
      <w:r>
        <w:rPr>
          <w:rFonts w:ascii="楷体_GB2312" w:hAnsi="楷体_GB2312" w:cs="Calibri"/>
          <w:color w:val="000000"/>
          <w:kern w:val="0"/>
          <w:sz w:val="32"/>
          <w:szCs w:val="32"/>
          <w:shd w:val="clear" w:color="auto" w:fill="FFFFFF"/>
        </w:rPr>
        <w:t>1.项目决策。</w:t>
      </w:r>
      <w:r>
        <w:rPr>
          <w:rFonts w:hint="eastAsia" w:ascii="仿宋_GB2312" w:hAnsi="Times New Roman" w:eastAsia="仿宋_GB2312"/>
          <w:sz w:val="32"/>
          <w:szCs w:val="32"/>
        </w:rPr>
        <w:t>项目决策程序严格按照相关规定执行，经过了项目申报、评审、审批等环节，确保了项目的合法性和规范性。项目目标明确，为项目的实施提供了清晰的方向；项目决策依据充分，考虑了部门的工作需求、资源状况和发展规划等因素；</w:t>
      </w:r>
    </w:p>
    <w:p w14:paraId="242B7AB8">
      <w:pPr>
        <w:adjustRightInd w:val="0"/>
        <w:snapToGrid w:val="0"/>
        <w:spacing w:line="578" w:lineRule="exact"/>
        <w:ind w:firstLine="640" w:firstLineChars="200"/>
        <w:contextualSpacing/>
        <w:jc w:val="left"/>
        <w:rPr>
          <w:rFonts w:ascii="楷体_GB2312" w:hAnsi="楷体_GB2312" w:cs="Calibri"/>
          <w:color w:val="000000"/>
          <w:kern w:val="0"/>
          <w:sz w:val="32"/>
          <w:szCs w:val="32"/>
          <w:shd w:val="clear" w:color="auto" w:fill="FFFFFF"/>
        </w:rPr>
      </w:pPr>
      <w:r>
        <w:rPr>
          <w:rFonts w:ascii="楷体_GB2312" w:hAnsi="楷体_GB2312" w:cs="Calibri"/>
          <w:color w:val="000000"/>
          <w:kern w:val="0"/>
          <w:sz w:val="32"/>
          <w:szCs w:val="32"/>
          <w:shd w:val="clear" w:color="auto" w:fill="FFFFFF"/>
        </w:rPr>
        <w:t>2.项目执行。</w:t>
      </w:r>
      <w:r>
        <w:rPr>
          <w:rFonts w:hint="eastAsia" w:ascii="仿宋_GB2312" w:hAnsi="Times New Roman" w:eastAsia="仿宋_GB2312"/>
          <w:sz w:val="32"/>
          <w:szCs w:val="32"/>
        </w:rPr>
        <w:t>合理使用资金，严格控制项目成本，通过优化资金使用结构，提高了资金的使用效率；建立了完善的项目管理制度，涵盖了项目实施的各个环节；项目管理制度执行严格，加强了对项目实施过程的监督和管理，通过定期检查和评估，及时发现和解决问题，确保了项目的质量和进度。</w:t>
      </w:r>
    </w:p>
    <w:p w14:paraId="495AECDD">
      <w:pPr>
        <w:adjustRightInd w:val="0"/>
        <w:snapToGrid w:val="0"/>
        <w:spacing w:line="578" w:lineRule="exact"/>
        <w:ind w:firstLine="640" w:firstLineChars="200"/>
        <w:contextualSpacing/>
        <w:jc w:val="left"/>
        <w:rPr>
          <w:rFonts w:ascii="楷体_GB2312" w:hAnsi="楷体_GB2312" w:eastAsia="仿宋_GB2312" w:cs="Calibri"/>
          <w:color w:val="000000"/>
          <w:kern w:val="0"/>
          <w:sz w:val="32"/>
          <w:szCs w:val="32"/>
          <w:shd w:val="clear" w:color="auto" w:fill="FFFFFF"/>
        </w:rPr>
      </w:pPr>
      <w:r>
        <w:rPr>
          <w:rFonts w:ascii="楷体_GB2312" w:hAnsi="楷体_GB2312" w:cs="Calibri"/>
          <w:color w:val="000000"/>
          <w:kern w:val="0"/>
          <w:sz w:val="32"/>
          <w:szCs w:val="32"/>
          <w:shd w:val="clear" w:color="auto" w:fill="FFFFFF"/>
        </w:rPr>
        <w:t>3.目标实现。</w:t>
      </w:r>
      <w:r>
        <w:rPr>
          <w:rFonts w:hint="eastAsia" w:ascii="仿宋_GB2312" w:hAnsi="Times New Roman" w:eastAsia="仿宋_GB2312"/>
          <w:sz w:val="32"/>
          <w:szCs w:val="32"/>
        </w:rPr>
        <w:t>项目预算执行率达到了预期目标，说明项目实施进度良好；项目产出质量符合相关标准和要求，说明项目实施质量较高；项目效益得到了一定程度的实现，但仍有提升空间，在项目实施过程中，应进一步加强对项目效益的评估和管理，提高项目的经济效益和社会效益。</w:t>
      </w:r>
    </w:p>
    <w:p w14:paraId="020DF22A">
      <w:pPr>
        <w:widowControl/>
        <w:adjustRightInd w:val="0"/>
        <w:snapToGrid w:val="0"/>
        <w:spacing w:line="578" w:lineRule="exact"/>
        <w:ind w:firstLine="643" w:firstLineChars="200"/>
        <w:contextualSpacing/>
        <w:jc w:val="left"/>
        <w:rPr>
          <w:rFonts w:ascii="Times New Roman" w:hAnsi="Times New Roman"/>
          <w:color w:val="000000"/>
          <w:kern w:val="0"/>
          <w:szCs w:val="21"/>
          <w:shd w:val="clear" w:color="auto" w:fill="FFFFFF"/>
        </w:rPr>
      </w:pPr>
      <w:r>
        <w:rPr>
          <w:rFonts w:ascii="楷体_GB2312" w:hAnsi="楷体_GB2312" w:eastAsia="楷体_GB2312"/>
          <w:b/>
          <w:bCs/>
          <w:color w:val="000000"/>
          <w:kern w:val="0"/>
          <w:sz w:val="32"/>
          <w:szCs w:val="32"/>
          <w:shd w:val="clear" w:color="auto" w:fill="FFFFFF"/>
        </w:rPr>
        <w:t>（</w:t>
      </w:r>
      <w:r>
        <w:rPr>
          <w:rFonts w:ascii="楷体_GB2312" w:hAnsi="楷体_GB2312" w:cs="Calibri"/>
          <w:b/>
          <w:bCs/>
          <w:color w:val="000000"/>
          <w:kern w:val="0"/>
          <w:sz w:val="32"/>
          <w:szCs w:val="32"/>
          <w:shd w:val="clear" w:color="auto" w:fill="FFFFFF"/>
        </w:rPr>
        <w:t>三</w:t>
      </w:r>
      <w:r>
        <w:rPr>
          <w:rFonts w:ascii="楷体_GB2312" w:hAnsi="楷体_GB2312" w:eastAsia="楷体_GB2312"/>
          <w:b/>
          <w:bCs/>
          <w:color w:val="000000"/>
          <w:kern w:val="0"/>
          <w:sz w:val="32"/>
          <w:szCs w:val="32"/>
          <w:shd w:val="clear" w:color="auto" w:fill="FFFFFF"/>
        </w:rPr>
        <w:t>）重点领域绩效分析。</w:t>
      </w:r>
      <w:r>
        <w:rPr>
          <w:rFonts w:hint="eastAsia" w:ascii="Times New Roman" w:hAnsi="Times New Roman" w:eastAsia="仿宋_GB2312"/>
          <w:sz w:val="32"/>
          <w:szCs w:val="32"/>
        </w:rPr>
        <w:t>2023</w:t>
      </w:r>
      <w:r>
        <w:rPr>
          <w:rFonts w:hint="eastAsia" w:ascii="仿宋_GB2312" w:hAnsi="Times New Roman" w:eastAsia="仿宋_GB2312" w:cs="Calibri"/>
          <w:sz w:val="32"/>
          <w:szCs w:val="32"/>
        </w:rPr>
        <w:t>年度未</w:t>
      </w:r>
      <w:r>
        <w:rPr>
          <w:rFonts w:ascii="仿宋_GB2312" w:hAnsi="Times New Roman" w:eastAsia="仿宋_GB2312"/>
          <w:sz w:val="32"/>
          <w:szCs w:val="32"/>
        </w:rPr>
        <w:t>涉及国有资本、行政事业性国有资产、债券资金、政府采购和政府购买服务等</w:t>
      </w:r>
      <w:r>
        <w:rPr>
          <w:rFonts w:hint="eastAsia" w:ascii="宋体" w:hAnsi="宋体" w:cs="Calibri"/>
          <w:sz w:val="32"/>
          <w:szCs w:val="32"/>
        </w:rPr>
        <w:t>。</w:t>
      </w:r>
    </w:p>
    <w:p w14:paraId="6425CEE3">
      <w:pPr>
        <w:autoSpaceDE w:val="0"/>
        <w:spacing w:line="560" w:lineRule="exact"/>
        <w:ind w:firstLine="643" w:firstLineChars="200"/>
        <w:rPr>
          <w:rFonts w:ascii="Times New Roman" w:hAnsi="Times New Roman" w:eastAsia="仿宋_GB2312"/>
          <w:sz w:val="32"/>
          <w:szCs w:val="32"/>
        </w:rPr>
      </w:pPr>
      <w:r>
        <w:rPr>
          <w:rFonts w:ascii="楷体_GB2312" w:hAnsi="楷体_GB2312" w:eastAsia="楷体_GB2312"/>
          <w:b/>
          <w:bCs/>
          <w:color w:val="000000"/>
          <w:kern w:val="0"/>
          <w:sz w:val="32"/>
          <w:szCs w:val="32"/>
          <w:shd w:val="clear" w:color="auto" w:fill="FFFFFF"/>
        </w:rPr>
        <w:t>（四）绩效结果应用情况</w:t>
      </w:r>
      <w:r>
        <w:rPr>
          <w:rFonts w:ascii="楷体_GB2312" w:hAnsi="楷体_GB2312" w:cs="Calibri"/>
          <w:b/>
          <w:bCs/>
          <w:color w:val="000000"/>
          <w:kern w:val="0"/>
          <w:sz w:val="32"/>
          <w:szCs w:val="32"/>
          <w:shd w:val="clear" w:color="auto" w:fill="FFFFFF"/>
        </w:rPr>
        <w:t>。</w:t>
      </w:r>
      <w:r>
        <w:rPr>
          <w:rFonts w:hint="eastAsia" w:ascii="仿宋_GB2312" w:hAnsi="Times New Roman" w:eastAsia="仿宋_GB2312"/>
          <w:sz w:val="32"/>
          <w:szCs w:val="32"/>
        </w:rPr>
        <w:t>根据绩效评价结果，对绩效良好的项目给予优先保障和适当增加预算安排。对于绩效不佳的项目，分析原因并采取调整措施，如减少预算、优化实施方案或终止项目。绩效评价结果为政策制定提供了重要参考。针对绩效评价中发现的问题，及时调整和完善相关政策。例如，根据绩效评价结果调整了教师培训政策，提高了培训的针对性和实效性。部门以绩效评价结果为依据，加强内部管理，提高工作效率和服务质量。对绩效不佳的工作环节进行整改，明确责任分工，优化工作流程。同时，加强对人员的培训和考核，激励员工积极提高工作绩效。将绩效评价结果向社会公开，接受公众监督，通过公开绩效信息，增强了部门的责任感和透明度，同时公众的反馈意见也为进一步改进绩效提供了有益参考。</w:t>
      </w:r>
    </w:p>
    <w:p w14:paraId="3962E09F">
      <w:pPr>
        <w:widowControl/>
        <w:adjustRightInd w:val="0"/>
        <w:snapToGrid w:val="0"/>
        <w:spacing w:line="578" w:lineRule="exact"/>
        <w:ind w:firstLine="640" w:firstLineChars="200"/>
        <w:contextualSpacing/>
        <w:jc w:val="left"/>
        <w:rPr>
          <w:rFonts w:hint="eastAsia" w:eastAsia="黑体" w:cs="Calibri"/>
          <w:color w:val="000000"/>
          <w:kern w:val="0"/>
          <w:sz w:val="32"/>
          <w:szCs w:val="32"/>
          <w:shd w:val="clear" w:color="auto" w:fill="FFFFFF"/>
        </w:rPr>
      </w:pPr>
      <w:r>
        <w:rPr>
          <w:rFonts w:ascii="黑体" w:hAnsi="黑体" w:eastAsia="黑体" w:cs="Calibri"/>
          <w:color w:val="000000"/>
          <w:kern w:val="0"/>
          <w:sz w:val="32"/>
          <w:szCs w:val="32"/>
          <w:shd w:val="clear" w:color="auto" w:fill="FFFFFF"/>
        </w:rPr>
        <w:t>四、评价结论及建议</w:t>
      </w:r>
    </w:p>
    <w:p w14:paraId="4A908928">
      <w:pPr>
        <w:widowControl/>
        <w:adjustRightInd w:val="0"/>
        <w:snapToGrid w:val="0"/>
        <w:spacing w:line="578" w:lineRule="exact"/>
        <w:ind w:firstLine="643" w:firstLineChars="200"/>
        <w:contextualSpacing/>
        <w:jc w:val="left"/>
        <w:rPr>
          <w:rFonts w:ascii="Times New Roman" w:hAnsi="Times New Roman" w:eastAsia="仿宋_GB2312"/>
          <w:sz w:val="32"/>
          <w:szCs w:val="32"/>
        </w:rPr>
      </w:pPr>
      <w:r>
        <w:rPr>
          <w:rFonts w:ascii="楷体_GB2312" w:hAnsi="楷体_GB2312" w:eastAsia="楷体_GB2312"/>
          <w:b/>
          <w:bCs/>
          <w:color w:val="000000"/>
          <w:kern w:val="0"/>
          <w:sz w:val="32"/>
          <w:szCs w:val="32"/>
          <w:shd w:val="clear" w:color="auto" w:fill="FFFFFF"/>
        </w:rPr>
        <w:t>（一）评价结论。</w:t>
      </w:r>
      <w:r>
        <w:rPr>
          <w:rFonts w:hint="eastAsia" w:ascii="仿宋_GB2312" w:hAnsi="Times New Roman" w:eastAsia="仿宋_GB2312"/>
          <w:sz w:val="32"/>
          <w:szCs w:val="32"/>
        </w:rPr>
        <w:t>通过对部门预算绩效的评价，可以看出部门在预算执行和绩效目标完成方面取得了一定的成绩，但也存在一些问题。在今后的工作中，部门应进一步加强预算管理和绩效管理，提高资金使用效益，为实现部门的各项职能和目标提供有力保障，本年度自评得分</w:t>
      </w:r>
      <w:r>
        <w:rPr>
          <w:rFonts w:hint="eastAsia" w:ascii="Times New Roman" w:hAnsi="Times New Roman" w:eastAsia="仿宋_GB2312"/>
          <w:sz w:val="32"/>
          <w:szCs w:val="32"/>
        </w:rPr>
        <w:t>95</w:t>
      </w:r>
      <w:r>
        <w:rPr>
          <w:rFonts w:hint="eastAsia" w:ascii="仿宋_GB2312" w:hAnsi="Times New Roman" w:eastAsia="仿宋_GB2312"/>
          <w:sz w:val="32"/>
          <w:szCs w:val="32"/>
        </w:rPr>
        <w:t>分。</w:t>
      </w:r>
    </w:p>
    <w:p w14:paraId="25788098">
      <w:pPr>
        <w:widowControl/>
        <w:adjustRightInd w:val="0"/>
        <w:snapToGrid w:val="0"/>
        <w:spacing w:line="578" w:lineRule="exact"/>
        <w:ind w:firstLine="643" w:firstLineChars="200"/>
        <w:contextualSpacing/>
        <w:jc w:val="left"/>
        <w:rPr>
          <w:rFonts w:ascii="Times New Roman" w:hAnsi="Times New Roman" w:eastAsia="仿宋_GB2312"/>
          <w:sz w:val="32"/>
          <w:szCs w:val="32"/>
        </w:rPr>
      </w:pPr>
      <w:r>
        <w:rPr>
          <w:rFonts w:ascii="楷体_GB2312" w:hAnsi="楷体_GB2312" w:eastAsia="楷体_GB2312"/>
          <w:b/>
          <w:bCs/>
          <w:color w:val="000000"/>
          <w:kern w:val="0"/>
          <w:sz w:val="32"/>
          <w:szCs w:val="32"/>
          <w:shd w:val="clear" w:color="auto" w:fill="FFFFFF"/>
        </w:rPr>
        <w:t>（二）存在问题。</w:t>
      </w:r>
      <w:r>
        <w:rPr>
          <w:rFonts w:hint="eastAsia" w:ascii="仿宋_GB2312" w:hAnsi="Times New Roman" w:eastAsia="仿宋_GB2312" w:cs="Calibri"/>
          <w:sz w:val="32"/>
          <w:szCs w:val="32"/>
        </w:rPr>
        <w:t>在预算执行过程中，仍存在部分项目进展缓慢、资金使用效率有待提升等问题，此外，部门间沟通协调机制尚需进一步完善，以确保预算资金的合理分配和高效使用。</w:t>
      </w:r>
    </w:p>
    <w:p w14:paraId="5ECB083C">
      <w:pPr>
        <w:rPr>
          <w:rFonts w:ascii="仿宋_GB2312" w:hAnsi="Times New Roman" w:eastAsia="仿宋_GB2312" w:cs="Calibri"/>
          <w:sz w:val="32"/>
          <w:szCs w:val="32"/>
        </w:rPr>
      </w:pPr>
      <w:r>
        <w:rPr>
          <w:rFonts w:ascii="楷体_GB2312" w:hAnsi="楷体_GB2312" w:eastAsia="楷体_GB2312"/>
          <w:b/>
          <w:bCs/>
          <w:color w:val="000000"/>
          <w:kern w:val="0"/>
          <w:sz w:val="32"/>
          <w:szCs w:val="32"/>
          <w:shd w:val="clear" w:color="auto" w:fill="FFFFFF"/>
        </w:rPr>
        <w:t>（三）改进建议。</w:t>
      </w:r>
      <w:r>
        <w:rPr>
          <w:rFonts w:hint="eastAsia" w:ascii="仿宋_GB2312" w:hAnsi="Times New Roman" w:eastAsia="仿宋_GB2312" w:cs="Calibri"/>
          <w:sz w:val="32"/>
          <w:szCs w:val="32"/>
        </w:rPr>
        <w:t>针对上述问题，在未来的工作中我单位将加强项目管理，明确时间节点和责任人，确保项目按时完成；同时，进一步优化资源配置，提高资金使用效率；此外我们将加强部门间沟通协调，建立健全信息共享机制，形成工作合力。我们将继续以绩效分析为导向，加强预算管理的科学性和规范性，推动部门工作再上新台阶。</w:t>
      </w:r>
    </w:p>
    <w:p w14:paraId="5D2AEFB2">
      <w:pPr>
        <w:pStyle w:val="2"/>
        <w:rPr>
          <w:rFonts w:hint="eastAsia"/>
        </w:rPr>
      </w:pPr>
    </w:p>
    <w:p w14:paraId="67E02BC7">
      <w:pPr>
        <w:spacing w:line="600" w:lineRule="exact"/>
        <w:jc w:val="left"/>
        <w:outlineLvl w:val="0"/>
        <w:rPr>
          <w:rFonts w:hAnsi="Times New Roman"/>
          <w:sz w:val="32"/>
          <w:szCs w:val="32"/>
        </w:rPr>
      </w:pPr>
      <w:r>
        <w:rPr>
          <w:rFonts w:hint="eastAsia" w:hAnsi="Times New Roman"/>
          <w:sz w:val="32"/>
          <w:szCs w:val="32"/>
        </w:rPr>
        <w:t>附表：门预算项目支出绩效自评表（202</w:t>
      </w:r>
      <w:r>
        <w:rPr>
          <w:rFonts w:hint="eastAsia"/>
          <w:sz w:val="32"/>
          <w:szCs w:val="32"/>
        </w:rPr>
        <w:t>3</w:t>
      </w:r>
      <w:r>
        <w:rPr>
          <w:rFonts w:hint="eastAsia" w:hAnsi="Times New Roman"/>
          <w:sz w:val="32"/>
          <w:szCs w:val="32"/>
        </w:rPr>
        <w:t>年度）</w:t>
      </w:r>
    </w:p>
    <w:p w14:paraId="7020A4CA">
      <w:pPr>
        <w:pStyle w:val="2"/>
        <w:rPr>
          <w:rFonts w:hint="eastAsia"/>
        </w:rPr>
      </w:pPr>
    </w:p>
    <w:tbl>
      <w:tblPr>
        <w:tblStyle w:val="15"/>
        <w:tblW w:w="9060" w:type="dxa"/>
        <w:jc w:val="center"/>
        <w:tblLayout w:type="autofit"/>
        <w:tblCellMar>
          <w:top w:w="0" w:type="dxa"/>
          <w:left w:w="108" w:type="dxa"/>
          <w:bottom w:w="0" w:type="dxa"/>
          <w:right w:w="108" w:type="dxa"/>
        </w:tblCellMar>
      </w:tblPr>
      <w:tblGrid>
        <w:gridCol w:w="576"/>
        <w:gridCol w:w="1230"/>
        <w:gridCol w:w="1130"/>
        <w:gridCol w:w="1386"/>
        <w:gridCol w:w="396"/>
        <w:gridCol w:w="816"/>
        <w:gridCol w:w="396"/>
        <w:gridCol w:w="846"/>
        <w:gridCol w:w="486"/>
        <w:gridCol w:w="396"/>
        <w:gridCol w:w="1402"/>
      </w:tblGrid>
      <w:tr w14:paraId="76898726">
        <w:tblPrEx>
          <w:tblCellMar>
            <w:top w:w="0" w:type="dxa"/>
            <w:left w:w="108" w:type="dxa"/>
            <w:bottom w:w="0" w:type="dxa"/>
            <w:right w:w="108" w:type="dxa"/>
          </w:tblCellMar>
        </w:tblPrEx>
        <w:trPr>
          <w:trHeight w:val="480" w:hRule="atLeast"/>
          <w:jc w:val="center"/>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6C23F187">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lang w:bidi="ar"/>
              </w:rPr>
              <w:t>部门预算项目支出绩效自评表（2023年度）</w:t>
            </w:r>
          </w:p>
        </w:tc>
      </w:tr>
      <w:tr w14:paraId="10E1D78D">
        <w:tblPrEx>
          <w:tblCellMar>
            <w:top w:w="0" w:type="dxa"/>
            <w:left w:w="108" w:type="dxa"/>
            <w:bottom w:w="0" w:type="dxa"/>
            <w:right w:w="108" w:type="dxa"/>
          </w:tblCellMar>
        </w:tblPrEx>
        <w:trPr>
          <w:trHeight w:val="244" w:hRule="atLeast"/>
          <w:jc w:val="center"/>
        </w:trPr>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614BBAF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254" w:type="dxa"/>
            <w:gridSpan w:val="9"/>
            <w:tcBorders>
              <w:top w:val="single" w:color="000000" w:sz="4" w:space="0"/>
              <w:left w:val="single" w:color="000000" w:sz="4" w:space="0"/>
              <w:bottom w:val="single" w:color="000000" w:sz="4" w:space="0"/>
              <w:right w:val="single" w:color="000000" w:sz="4" w:space="0"/>
            </w:tcBorders>
            <w:noWrap w:val="0"/>
            <w:vAlign w:val="center"/>
          </w:tcPr>
          <w:p w14:paraId="7963D45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51090422T000006631660-幼儿保教费</w:t>
            </w:r>
          </w:p>
        </w:tc>
      </w:tr>
      <w:tr w14:paraId="7AAF9BA0">
        <w:tblPrEx>
          <w:tblCellMar>
            <w:top w:w="0" w:type="dxa"/>
            <w:left w:w="108" w:type="dxa"/>
            <w:bottom w:w="0" w:type="dxa"/>
            <w:right w:w="108" w:type="dxa"/>
          </w:tblCellMar>
        </w:tblPrEx>
        <w:trPr>
          <w:trHeight w:val="716" w:hRule="atLeast"/>
          <w:jc w:val="center"/>
        </w:trPr>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585B3E5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124" w:type="dxa"/>
            <w:gridSpan w:val="5"/>
            <w:tcBorders>
              <w:top w:val="single" w:color="000000" w:sz="4" w:space="0"/>
              <w:left w:val="single" w:color="000000" w:sz="4" w:space="0"/>
              <w:bottom w:val="single" w:color="000000" w:sz="4" w:space="0"/>
              <w:right w:val="single" w:color="000000" w:sz="4" w:space="0"/>
            </w:tcBorders>
            <w:noWrap w:val="0"/>
            <w:vAlign w:val="center"/>
          </w:tcPr>
          <w:p w14:paraId="097785B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遂宁市安居区东禅镇中心幼儿园部门</w:t>
            </w:r>
          </w:p>
        </w:tc>
        <w:tc>
          <w:tcPr>
            <w:tcW w:w="846" w:type="dxa"/>
            <w:tcBorders>
              <w:top w:val="nil"/>
              <w:left w:val="nil"/>
              <w:bottom w:val="nil"/>
              <w:right w:val="nil"/>
            </w:tcBorders>
            <w:noWrap w:val="0"/>
            <w:vAlign w:val="center"/>
          </w:tcPr>
          <w:p w14:paraId="13CA72B7">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实施单位 （盖章）</w:t>
            </w:r>
          </w:p>
        </w:tc>
        <w:tc>
          <w:tcPr>
            <w:tcW w:w="2284" w:type="dxa"/>
            <w:gridSpan w:val="3"/>
            <w:tcBorders>
              <w:top w:val="single" w:color="000000" w:sz="4" w:space="0"/>
              <w:left w:val="single" w:color="000000" w:sz="4" w:space="0"/>
              <w:bottom w:val="single" w:color="000000" w:sz="4" w:space="0"/>
              <w:right w:val="single" w:color="000000" w:sz="4" w:space="0"/>
            </w:tcBorders>
            <w:noWrap w:val="0"/>
            <w:vAlign w:val="center"/>
          </w:tcPr>
          <w:p w14:paraId="76DE5B1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遂宁市安居区东禅镇中心幼儿园</w:t>
            </w:r>
          </w:p>
        </w:tc>
      </w:tr>
      <w:tr w14:paraId="3F8BD508">
        <w:tblPrEx>
          <w:tblCellMar>
            <w:top w:w="0" w:type="dxa"/>
            <w:left w:w="108" w:type="dxa"/>
            <w:bottom w:w="0" w:type="dxa"/>
            <w:right w:w="108" w:type="dxa"/>
          </w:tblCellMar>
        </w:tblPrEx>
        <w:trPr>
          <w:trHeight w:val="244"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2F838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E5473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124" w:type="dxa"/>
            <w:gridSpan w:val="5"/>
            <w:tcBorders>
              <w:top w:val="single" w:color="000000" w:sz="4" w:space="0"/>
              <w:left w:val="single" w:color="000000" w:sz="4" w:space="0"/>
              <w:bottom w:val="single" w:color="000000" w:sz="4" w:space="0"/>
              <w:right w:val="single" w:color="000000" w:sz="4" w:space="0"/>
            </w:tcBorders>
            <w:noWrap w:val="0"/>
            <w:vAlign w:val="center"/>
          </w:tcPr>
          <w:p w14:paraId="3B7AC80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30" w:type="dxa"/>
            <w:gridSpan w:val="4"/>
            <w:tcBorders>
              <w:top w:val="single" w:color="000000" w:sz="4" w:space="0"/>
              <w:left w:val="single" w:color="000000" w:sz="4" w:space="0"/>
              <w:bottom w:val="single" w:color="000000" w:sz="4" w:space="0"/>
              <w:right w:val="single" w:color="000000" w:sz="4" w:space="0"/>
            </w:tcBorders>
            <w:noWrap w:val="0"/>
            <w:vAlign w:val="center"/>
          </w:tcPr>
          <w:p w14:paraId="05208727">
            <w:pPr>
              <w:widowControl/>
              <w:jc w:val="center"/>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年度目标完成情况</w:t>
            </w:r>
          </w:p>
        </w:tc>
      </w:tr>
      <w:tr w14:paraId="6D6CE17C">
        <w:tblPrEx>
          <w:tblCellMar>
            <w:top w:w="0" w:type="dxa"/>
            <w:left w:w="108" w:type="dxa"/>
            <w:bottom w:w="0" w:type="dxa"/>
            <w:right w:w="108" w:type="dxa"/>
          </w:tblCellMar>
        </w:tblPrEx>
        <w:trPr>
          <w:trHeight w:val="71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55B40">
            <w:pPr>
              <w:rPr>
                <w:rFonts w:hint="eastAsia" w:ascii="宋体" w:hAnsi="宋体" w:cs="宋体"/>
                <w:color w:val="000000"/>
                <w:sz w:val="18"/>
                <w:szCs w:val="18"/>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ECFE5">
            <w:pPr>
              <w:rPr>
                <w:rFonts w:hint="eastAsia" w:ascii="宋体" w:hAnsi="宋体" w:cs="宋体"/>
                <w:color w:val="000000"/>
                <w:sz w:val="18"/>
                <w:szCs w:val="18"/>
              </w:rPr>
            </w:pPr>
          </w:p>
        </w:tc>
        <w:tc>
          <w:tcPr>
            <w:tcW w:w="4124" w:type="dxa"/>
            <w:gridSpan w:val="5"/>
            <w:tcBorders>
              <w:top w:val="single" w:color="000000" w:sz="4" w:space="0"/>
              <w:left w:val="single" w:color="000000" w:sz="4" w:space="0"/>
              <w:bottom w:val="single" w:color="000000" w:sz="4" w:space="0"/>
              <w:right w:val="single" w:color="000000" w:sz="4" w:space="0"/>
            </w:tcBorders>
            <w:noWrap w:val="0"/>
            <w:vAlign w:val="center"/>
          </w:tcPr>
          <w:p w14:paraId="2F4AF94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保障幼儿园正常运转，提高预算编制质量，严格执行预算，减少结余资金。</w:t>
            </w:r>
          </w:p>
        </w:tc>
        <w:tc>
          <w:tcPr>
            <w:tcW w:w="3130" w:type="dxa"/>
            <w:gridSpan w:val="4"/>
            <w:tcBorders>
              <w:top w:val="single" w:color="000000" w:sz="4" w:space="0"/>
              <w:left w:val="single" w:color="000000" w:sz="4" w:space="0"/>
              <w:bottom w:val="single" w:color="000000" w:sz="4" w:space="0"/>
              <w:right w:val="single" w:color="000000" w:sz="4" w:space="0"/>
            </w:tcBorders>
            <w:noWrap w:val="0"/>
            <w:vAlign w:val="center"/>
          </w:tcPr>
          <w:p w14:paraId="03F473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严格执行预算，及时申请支付资金，保证幼儿园办公、 水电、人员出差等费用，保障正常运转。</w:t>
            </w:r>
          </w:p>
        </w:tc>
      </w:tr>
      <w:tr w14:paraId="5D22644F">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407E8">
            <w:pP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8A78DE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254" w:type="dxa"/>
            <w:gridSpan w:val="9"/>
            <w:tcBorders>
              <w:top w:val="single" w:color="000000" w:sz="4" w:space="0"/>
              <w:left w:val="single" w:color="000000" w:sz="4" w:space="0"/>
              <w:bottom w:val="single" w:color="000000" w:sz="4" w:space="0"/>
              <w:right w:val="single" w:color="000000" w:sz="4" w:space="0"/>
            </w:tcBorders>
            <w:noWrap w:val="0"/>
            <w:vAlign w:val="center"/>
          </w:tcPr>
          <w:p w14:paraId="55A10A6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及时申报经费，保障学校正常运转。</w:t>
            </w:r>
          </w:p>
        </w:tc>
      </w:tr>
      <w:tr w14:paraId="77D48460">
        <w:tblPrEx>
          <w:tblCellMar>
            <w:top w:w="0" w:type="dxa"/>
            <w:left w:w="108" w:type="dxa"/>
            <w:bottom w:w="0" w:type="dxa"/>
            <w:right w:w="108" w:type="dxa"/>
          </w:tblCellMar>
        </w:tblPrEx>
        <w:trPr>
          <w:trHeight w:val="480"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07B4C8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DE25E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64D59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7738EE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5268492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CF0BEF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379A80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50F29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24F3784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23FEC845">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22B6D">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0770E5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DF88D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3F80D71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21.90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2D85B0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21.90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8D045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5CDD01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89286B2">
            <w:pPr>
              <w:jc w:val="center"/>
              <w:rPr>
                <w:rFonts w:hint="eastAsia" w:ascii="宋体" w:hAnsi="宋体" w:cs="宋体"/>
                <w:color w:val="000000"/>
                <w:sz w:val="18"/>
                <w:szCs w:val="18"/>
              </w:rPr>
            </w:pPr>
          </w:p>
        </w:tc>
        <w:tc>
          <w:tcPr>
            <w:tcW w:w="14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49E8A85">
            <w:pPr>
              <w:widowControl/>
              <w:jc w:val="left"/>
              <w:textAlignment w:val="center"/>
              <w:rPr>
                <w:rFonts w:hint="eastAsia" w:ascii="宋体" w:hAnsi="宋体" w:cs="宋体"/>
                <w:i/>
                <w:iCs/>
                <w:color w:val="000000"/>
                <w:sz w:val="18"/>
                <w:szCs w:val="18"/>
              </w:rPr>
            </w:pPr>
          </w:p>
        </w:tc>
      </w:tr>
      <w:tr w14:paraId="215E2712">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DE13C">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3AC3A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2901B2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108974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21.90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49AB84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21.90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67ACC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9EB0AB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3C6561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796CB">
            <w:pPr>
              <w:rPr>
                <w:rFonts w:hint="eastAsia" w:ascii="宋体" w:hAnsi="宋体" w:cs="宋体"/>
                <w:i/>
                <w:iCs/>
                <w:color w:val="000000"/>
                <w:sz w:val="18"/>
                <w:szCs w:val="18"/>
              </w:rPr>
            </w:pPr>
          </w:p>
        </w:tc>
      </w:tr>
      <w:tr w14:paraId="64A7533B">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64E73">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D1E4D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B75A9E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11C9AE5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1F6431B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4DB91F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AA2826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65383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F5B79">
            <w:pPr>
              <w:rPr>
                <w:rFonts w:hint="eastAsia" w:ascii="宋体" w:hAnsi="宋体" w:cs="宋体"/>
                <w:i/>
                <w:iCs/>
                <w:color w:val="000000"/>
                <w:sz w:val="18"/>
                <w:szCs w:val="18"/>
              </w:rPr>
            </w:pPr>
          </w:p>
        </w:tc>
      </w:tr>
      <w:tr w14:paraId="2ECAD9EE">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4E3E4">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D02E01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F80C7A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51FED1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3707260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D3018D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402F84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3460E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6BB56">
            <w:pPr>
              <w:rPr>
                <w:rFonts w:hint="eastAsia" w:ascii="宋体" w:hAnsi="宋体" w:cs="宋体"/>
                <w:i/>
                <w:iCs/>
                <w:color w:val="000000"/>
                <w:sz w:val="18"/>
                <w:szCs w:val="18"/>
              </w:rPr>
            </w:pPr>
          </w:p>
        </w:tc>
      </w:tr>
      <w:tr w14:paraId="158C4ED4">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FF79B">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38E244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3E27A3F">
            <w:pPr>
              <w:jc w:val="center"/>
              <w:rPr>
                <w:rFonts w:hint="eastAsia" w:ascii="微软雅黑" w:hAnsi="微软雅黑" w:eastAsia="微软雅黑" w:cs="微软雅黑"/>
                <w:i/>
                <w:iCs/>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2F70C273">
            <w:pPr>
              <w:jc w:val="center"/>
              <w:rPr>
                <w:rFonts w:hint="eastAsia" w:ascii="微软雅黑" w:hAnsi="微软雅黑" w:eastAsia="微软雅黑" w:cs="微软雅黑"/>
                <w:i/>
                <w:iCs/>
                <w:color w:val="000000"/>
                <w:sz w:val="16"/>
                <w:szCs w:val="16"/>
              </w:rPr>
            </w:pP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76969C02">
            <w:pPr>
              <w:jc w:val="center"/>
              <w:rPr>
                <w:rFonts w:hint="eastAsia"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906AC55">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C23512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3114E8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6C1CF">
            <w:pPr>
              <w:rPr>
                <w:rFonts w:hint="eastAsia" w:ascii="宋体" w:hAnsi="宋体" w:cs="宋体"/>
                <w:i/>
                <w:iCs/>
                <w:color w:val="000000"/>
                <w:sz w:val="18"/>
                <w:szCs w:val="18"/>
              </w:rPr>
            </w:pPr>
          </w:p>
        </w:tc>
      </w:tr>
      <w:tr w14:paraId="063DE0D2">
        <w:tblPrEx>
          <w:tblCellMar>
            <w:top w:w="0" w:type="dxa"/>
            <w:left w:w="108" w:type="dxa"/>
            <w:bottom w:w="0" w:type="dxa"/>
            <w:right w:w="108" w:type="dxa"/>
          </w:tblCellMar>
        </w:tblPrEx>
        <w:trPr>
          <w:trHeight w:val="952" w:hRule="atLeast"/>
          <w:jc w:val="center"/>
        </w:trPr>
        <w:tc>
          <w:tcPr>
            <w:tcW w:w="576" w:type="dxa"/>
            <w:vMerge w:val="restart"/>
            <w:tcBorders>
              <w:top w:val="single" w:color="000000" w:sz="4" w:space="0"/>
              <w:left w:val="single" w:color="000000" w:sz="4" w:space="0"/>
              <w:right w:val="single" w:color="000000" w:sz="4" w:space="0"/>
            </w:tcBorders>
            <w:noWrap w:val="0"/>
            <w:vAlign w:val="center"/>
          </w:tcPr>
          <w:p w14:paraId="29F3204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98A841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9A8A01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498E7C9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8DF512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3B014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1516F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F96368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2496E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BDB4D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20FA1C8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325DC673">
        <w:tblPrEx>
          <w:tblCellMar>
            <w:top w:w="0" w:type="dxa"/>
            <w:left w:w="108" w:type="dxa"/>
            <w:bottom w:w="0" w:type="dxa"/>
            <w:right w:w="108" w:type="dxa"/>
          </w:tblCellMar>
        </w:tblPrEx>
        <w:trPr>
          <w:trHeight w:val="244" w:hRule="atLeast"/>
          <w:jc w:val="center"/>
        </w:trPr>
        <w:tc>
          <w:tcPr>
            <w:tcW w:w="576" w:type="dxa"/>
            <w:vMerge w:val="continue"/>
            <w:tcBorders>
              <w:left w:val="single" w:color="000000" w:sz="4" w:space="0"/>
              <w:right w:val="single" w:color="000000" w:sz="4" w:space="0"/>
            </w:tcBorders>
            <w:noWrap w:val="0"/>
            <w:vAlign w:val="center"/>
          </w:tcPr>
          <w:p w14:paraId="4F09BEC3">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110E69F">
            <w:pPr>
              <w:jc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B41826E">
            <w:pPr>
              <w:jc w:val="center"/>
              <w:rPr>
                <w:rFonts w:hint="eastAsia" w:ascii="宋体" w:hAnsi="宋体" w:cs="宋体"/>
                <w:color w:val="000000"/>
                <w:sz w:val="18"/>
                <w:szCs w:val="18"/>
              </w:rPr>
            </w:pPr>
            <w:r>
              <w:rPr>
                <w:rFonts w:hint="eastAsia" w:ascii="宋体" w:hAnsi="宋体" w:cs="宋体"/>
                <w:color w:val="000000"/>
                <w:kern w:val="0"/>
                <w:sz w:val="18"/>
                <w:szCs w:val="18"/>
                <w:lang w:bidi="ar"/>
              </w:rPr>
              <w:t>数量指标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50F920E0">
            <w:pPr>
              <w:jc w:val="center"/>
              <w:rPr>
                <w:rFonts w:hint="eastAsia" w:ascii="宋体" w:hAnsi="宋体" w:cs="宋体"/>
                <w:color w:val="000000"/>
                <w:sz w:val="18"/>
                <w:szCs w:val="18"/>
              </w:rPr>
            </w:pPr>
            <w:r>
              <w:rPr>
                <w:rFonts w:hint="eastAsia" w:ascii="宋体" w:hAnsi="宋体" w:cs="宋体"/>
                <w:color w:val="000000"/>
                <w:kern w:val="0"/>
                <w:sz w:val="18"/>
                <w:szCs w:val="18"/>
                <w:lang w:bidi="ar"/>
              </w:rPr>
              <w:t>发放（缴纳）覆盖率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4490F66">
            <w:pPr>
              <w:jc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0FD82B5">
            <w:pPr>
              <w:jc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3B152CC">
            <w:pPr>
              <w:jc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9B68EBA">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57E1FD9">
            <w:pPr>
              <w:jc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486C5EE">
            <w:pPr>
              <w:jc w:val="cente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089E34AB">
            <w:pPr>
              <w:jc w:val="center"/>
              <w:rPr>
                <w:rFonts w:hint="eastAsia" w:ascii="微软雅黑" w:hAnsi="微软雅黑" w:eastAsia="微软雅黑" w:cs="微软雅黑"/>
                <w:i/>
                <w:iCs/>
                <w:color w:val="000000"/>
                <w:sz w:val="16"/>
                <w:szCs w:val="16"/>
              </w:rPr>
            </w:pPr>
          </w:p>
        </w:tc>
      </w:tr>
      <w:tr w14:paraId="5F1A46EA">
        <w:tblPrEx>
          <w:tblCellMar>
            <w:top w:w="0" w:type="dxa"/>
            <w:left w:w="108" w:type="dxa"/>
            <w:bottom w:w="0" w:type="dxa"/>
            <w:right w:w="108" w:type="dxa"/>
          </w:tblCellMar>
        </w:tblPrEx>
        <w:trPr>
          <w:trHeight w:val="244" w:hRule="atLeast"/>
          <w:jc w:val="center"/>
        </w:trPr>
        <w:tc>
          <w:tcPr>
            <w:tcW w:w="576" w:type="dxa"/>
            <w:vMerge w:val="continue"/>
            <w:tcBorders>
              <w:left w:val="single" w:color="000000" w:sz="4" w:space="0"/>
              <w:bottom w:val="single" w:color="000000" w:sz="4" w:space="0"/>
              <w:right w:val="single" w:color="000000" w:sz="4" w:space="0"/>
            </w:tcBorders>
            <w:noWrap w:val="0"/>
            <w:vAlign w:val="center"/>
          </w:tcPr>
          <w:p w14:paraId="7D40DBBD">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FBF5B18">
            <w:pPr>
              <w:jc w:val="center"/>
            </w:pPr>
            <w:r>
              <w:rPr>
                <w:rFonts w:hint="eastAsia" w:ascii="宋体" w:hAnsi="宋体" w:cs="宋体"/>
                <w:color w:val="000000"/>
                <w:kern w:val="0"/>
                <w:sz w:val="18"/>
                <w:szCs w:val="18"/>
                <w:lang w:bidi="ar"/>
              </w:rPr>
              <w:t>效益指标</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5F846C8">
            <w:pPr>
              <w:jc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3B84F56E">
            <w:pPr>
              <w:jc w:val="center"/>
              <w:rPr>
                <w:rFonts w:hint="eastAsia" w:ascii="宋体" w:hAnsi="宋体" w:cs="宋体"/>
                <w:color w:val="000000"/>
                <w:sz w:val="18"/>
                <w:szCs w:val="18"/>
              </w:rPr>
            </w:pPr>
            <w:r>
              <w:rPr>
                <w:rFonts w:hint="eastAsia" w:ascii="宋体" w:hAnsi="宋体" w:cs="宋体"/>
                <w:color w:val="000000"/>
                <w:kern w:val="0"/>
                <w:sz w:val="18"/>
                <w:szCs w:val="18"/>
                <w:lang w:bidi="ar"/>
              </w:rPr>
              <w:t>足额保障率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1081392">
            <w:pPr>
              <w:jc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64E3465">
            <w:pPr>
              <w:jc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D33D354">
            <w:pPr>
              <w:jc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EEE6A89">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2FDA2F6">
            <w:pPr>
              <w:jc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59D88E2">
            <w:pPr>
              <w:jc w:val="cente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6546E10D">
            <w:pPr>
              <w:jc w:val="center"/>
              <w:rPr>
                <w:rFonts w:hint="eastAsia" w:ascii="微软雅黑" w:hAnsi="微软雅黑" w:eastAsia="微软雅黑" w:cs="微软雅黑"/>
                <w:i/>
                <w:iCs/>
                <w:color w:val="000000"/>
                <w:sz w:val="16"/>
                <w:szCs w:val="16"/>
              </w:rPr>
            </w:pPr>
          </w:p>
        </w:tc>
      </w:tr>
      <w:tr w14:paraId="0CFA54CD">
        <w:tblPrEx>
          <w:tblCellMar>
            <w:top w:w="0" w:type="dxa"/>
            <w:left w:w="108" w:type="dxa"/>
            <w:bottom w:w="0" w:type="dxa"/>
            <w:right w:w="108" w:type="dxa"/>
          </w:tblCellMar>
        </w:tblPrEx>
        <w:trPr>
          <w:trHeight w:val="244" w:hRule="atLeast"/>
          <w:jc w:val="center"/>
        </w:trPr>
        <w:tc>
          <w:tcPr>
            <w:tcW w:w="6776" w:type="dxa"/>
            <w:gridSpan w:val="8"/>
            <w:tcBorders>
              <w:top w:val="single" w:color="000000" w:sz="4" w:space="0"/>
              <w:left w:val="single" w:color="000000" w:sz="4" w:space="0"/>
              <w:bottom w:val="single" w:color="000000" w:sz="4" w:space="0"/>
              <w:right w:val="single" w:color="000000" w:sz="4" w:space="0"/>
            </w:tcBorders>
            <w:noWrap w:val="0"/>
            <w:vAlign w:val="center"/>
          </w:tcPr>
          <w:p w14:paraId="6D3FEBC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F31692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F5C01F0">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7B85E65A">
            <w:pPr>
              <w:rPr>
                <w:rFonts w:hint="eastAsia" w:ascii="宋体" w:hAnsi="宋体" w:cs="宋体"/>
                <w:color w:val="000000"/>
                <w:sz w:val="18"/>
                <w:szCs w:val="18"/>
              </w:rPr>
            </w:pPr>
          </w:p>
        </w:tc>
      </w:tr>
      <w:tr w14:paraId="22393C28">
        <w:tblPrEx>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27319A3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484" w:type="dxa"/>
            <w:gridSpan w:val="10"/>
            <w:tcBorders>
              <w:top w:val="single" w:color="000000" w:sz="4" w:space="0"/>
              <w:left w:val="single" w:color="000000" w:sz="4" w:space="0"/>
              <w:bottom w:val="single" w:color="000000" w:sz="4" w:space="0"/>
              <w:right w:val="single" w:color="000000" w:sz="4" w:space="0"/>
            </w:tcBorders>
            <w:noWrap w:val="0"/>
            <w:vAlign w:val="center"/>
          </w:tcPr>
          <w:p w14:paraId="75087365">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绩效目标实现指标自评得分100.00分，自评等次为：优，严格执行相关政策，按要求支付，保障学校正常运转。</w:t>
            </w:r>
          </w:p>
        </w:tc>
      </w:tr>
      <w:tr w14:paraId="005994D3">
        <w:tblPrEx>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346E584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484" w:type="dxa"/>
            <w:gridSpan w:val="10"/>
            <w:tcBorders>
              <w:top w:val="single" w:color="000000" w:sz="4" w:space="0"/>
              <w:left w:val="single" w:color="000000" w:sz="4" w:space="0"/>
              <w:bottom w:val="single" w:color="000000" w:sz="4" w:space="0"/>
              <w:right w:val="single" w:color="000000" w:sz="4" w:space="0"/>
            </w:tcBorders>
            <w:noWrap w:val="0"/>
            <w:vAlign w:val="center"/>
          </w:tcPr>
          <w:p w14:paraId="1299107B">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18A40A36">
        <w:tblPrEx>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70521E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484" w:type="dxa"/>
            <w:gridSpan w:val="10"/>
            <w:tcBorders>
              <w:top w:val="single" w:color="000000" w:sz="4" w:space="0"/>
              <w:left w:val="single" w:color="000000" w:sz="4" w:space="0"/>
              <w:bottom w:val="single" w:color="000000" w:sz="4" w:space="0"/>
              <w:right w:val="single" w:color="000000" w:sz="4" w:space="0"/>
            </w:tcBorders>
            <w:noWrap w:val="0"/>
            <w:vAlign w:val="center"/>
          </w:tcPr>
          <w:p w14:paraId="2CAE5F4F">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报账后及时按需申报、及时发放。</w:t>
            </w:r>
          </w:p>
        </w:tc>
      </w:tr>
      <w:tr w14:paraId="7154CAE9">
        <w:tblPrEx>
          <w:tblCellMar>
            <w:top w:w="0" w:type="dxa"/>
            <w:left w:w="108" w:type="dxa"/>
            <w:bottom w:w="0" w:type="dxa"/>
            <w:right w:w="108" w:type="dxa"/>
          </w:tblCellMar>
        </w:tblPrEx>
        <w:trPr>
          <w:trHeight w:val="244" w:hRule="atLeast"/>
          <w:jc w:val="center"/>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14:paraId="73223532">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项目负责人：谢金华</w:t>
            </w:r>
          </w:p>
        </w:tc>
        <w:tc>
          <w:tcPr>
            <w:tcW w:w="4342" w:type="dxa"/>
            <w:gridSpan w:val="6"/>
            <w:tcBorders>
              <w:top w:val="single" w:color="000000" w:sz="4" w:space="0"/>
              <w:left w:val="single" w:color="000000" w:sz="4" w:space="0"/>
              <w:bottom w:val="single" w:color="000000" w:sz="4" w:space="0"/>
              <w:right w:val="single" w:color="000000" w:sz="4" w:space="0"/>
            </w:tcBorders>
            <w:noWrap w:val="0"/>
            <w:vAlign w:val="center"/>
          </w:tcPr>
          <w:p w14:paraId="6B69D352">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财务负责人：杨文武</w:t>
            </w:r>
          </w:p>
        </w:tc>
      </w:tr>
      <w:tr w14:paraId="79D1CC92">
        <w:tblPrEx>
          <w:tblCellMar>
            <w:top w:w="0" w:type="dxa"/>
            <w:left w:w="108" w:type="dxa"/>
            <w:bottom w:w="0" w:type="dxa"/>
            <w:right w:w="108" w:type="dxa"/>
          </w:tblCellMar>
        </w:tblPrEx>
        <w:trPr>
          <w:trHeight w:val="244" w:hRule="atLeast"/>
          <w:jc w:val="center"/>
        </w:trPr>
        <w:tc>
          <w:tcPr>
            <w:tcW w:w="576" w:type="dxa"/>
            <w:tcBorders>
              <w:top w:val="nil"/>
              <w:left w:val="nil"/>
              <w:bottom w:val="nil"/>
              <w:right w:val="nil"/>
            </w:tcBorders>
            <w:noWrap w:val="0"/>
            <w:vAlign w:val="center"/>
          </w:tcPr>
          <w:p w14:paraId="3FB0588B">
            <w:pPr>
              <w:rPr>
                <w:rFonts w:hint="eastAsia" w:ascii="宋体" w:hAnsi="宋体" w:cs="宋体"/>
                <w:color w:val="000000"/>
                <w:sz w:val="18"/>
                <w:szCs w:val="18"/>
              </w:rPr>
            </w:pPr>
          </w:p>
        </w:tc>
        <w:tc>
          <w:tcPr>
            <w:tcW w:w="1230" w:type="dxa"/>
            <w:tcBorders>
              <w:top w:val="nil"/>
              <w:left w:val="nil"/>
              <w:bottom w:val="nil"/>
              <w:right w:val="nil"/>
            </w:tcBorders>
            <w:noWrap w:val="0"/>
            <w:vAlign w:val="center"/>
          </w:tcPr>
          <w:p w14:paraId="21FB5A08">
            <w:pPr>
              <w:rPr>
                <w:rFonts w:hint="eastAsia" w:ascii="宋体" w:hAnsi="宋体" w:cs="宋体"/>
                <w:color w:val="000000"/>
                <w:sz w:val="18"/>
                <w:szCs w:val="18"/>
              </w:rPr>
            </w:pPr>
          </w:p>
        </w:tc>
        <w:tc>
          <w:tcPr>
            <w:tcW w:w="1130" w:type="dxa"/>
            <w:tcBorders>
              <w:top w:val="nil"/>
              <w:left w:val="nil"/>
              <w:bottom w:val="nil"/>
              <w:right w:val="nil"/>
            </w:tcBorders>
            <w:noWrap w:val="0"/>
            <w:vAlign w:val="center"/>
          </w:tcPr>
          <w:p w14:paraId="5E2BF113">
            <w:pPr>
              <w:rPr>
                <w:rFonts w:hint="eastAsia" w:ascii="宋体" w:hAnsi="宋体" w:cs="宋体"/>
                <w:color w:val="000000"/>
                <w:sz w:val="18"/>
                <w:szCs w:val="18"/>
              </w:rPr>
            </w:pPr>
          </w:p>
        </w:tc>
        <w:tc>
          <w:tcPr>
            <w:tcW w:w="1386" w:type="dxa"/>
            <w:tcBorders>
              <w:top w:val="nil"/>
              <w:left w:val="nil"/>
              <w:bottom w:val="nil"/>
              <w:right w:val="nil"/>
            </w:tcBorders>
            <w:noWrap w:val="0"/>
            <w:vAlign w:val="center"/>
          </w:tcPr>
          <w:p w14:paraId="7E8408DF">
            <w:pPr>
              <w:rPr>
                <w:rFonts w:hint="eastAsia" w:ascii="宋体" w:hAnsi="宋体" w:cs="宋体"/>
                <w:color w:val="000000"/>
                <w:sz w:val="18"/>
                <w:szCs w:val="18"/>
              </w:rPr>
            </w:pPr>
          </w:p>
        </w:tc>
        <w:tc>
          <w:tcPr>
            <w:tcW w:w="396" w:type="dxa"/>
            <w:tcBorders>
              <w:top w:val="nil"/>
              <w:left w:val="nil"/>
              <w:bottom w:val="nil"/>
              <w:right w:val="nil"/>
            </w:tcBorders>
            <w:noWrap w:val="0"/>
            <w:vAlign w:val="center"/>
          </w:tcPr>
          <w:p w14:paraId="3CF18515">
            <w:pPr>
              <w:rPr>
                <w:rFonts w:hint="eastAsia" w:ascii="宋体" w:hAnsi="宋体" w:cs="宋体"/>
                <w:color w:val="000000"/>
                <w:sz w:val="18"/>
                <w:szCs w:val="18"/>
              </w:rPr>
            </w:pPr>
          </w:p>
        </w:tc>
        <w:tc>
          <w:tcPr>
            <w:tcW w:w="816" w:type="dxa"/>
            <w:tcBorders>
              <w:top w:val="nil"/>
              <w:left w:val="nil"/>
              <w:bottom w:val="nil"/>
              <w:right w:val="nil"/>
            </w:tcBorders>
            <w:noWrap w:val="0"/>
            <w:vAlign w:val="center"/>
          </w:tcPr>
          <w:p w14:paraId="57C17D75">
            <w:pPr>
              <w:rPr>
                <w:rFonts w:hint="eastAsia" w:ascii="宋体" w:hAnsi="宋体" w:cs="宋体"/>
                <w:color w:val="000000"/>
                <w:sz w:val="18"/>
                <w:szCs w:val="18"/>
              </w:rPr>
            </w:pPr>
          </w:p>
        </w:tc>
        <w:tc>
          <w:tcPr>
            <w:tcW w:w="396" w:type="dxa"/>
            <w:tcBorders>
              <w:top w:val="nil"/>
              <w:left w:val="nil"/>
              <w:bottom w:val="nil"/>
              <w:right w:val="nil"/>
            </w:tcBorders>
            <w:noWrap w:val="0"/>
            <w:vAlign w:val="center"/>
          </w:tcPr>
          <w:p w14:paraId="478D8609">
            <w:pPr>
              <w:rPr>
                <w:rFonts w:hint="eastAsia" w:ascii="宋体" w:hAnsi="宋体" w:cs="宋体"/>
                <w:color w:val="000000"/>
                <w:sz w:val="18"/>
                <w:szCs w:val="18"/>
              </w:rPr>
            </w:pPr>
          </w:p>
        </w:tc>
        <w:tc>
          <w:tcPr>
            <w:tcW w:w="846" w:type="dxa"/>
            <w:tcBorders>
              <w:top w:val="nil"/>
              <w:left w:val="nil"/>
              <w:bottom w:val="nil"/>
              <w:right w:val="nil"/>
            </w:tcBorders>
            <w:noWrap w:val="0"/>
            <w:vAlign w:val="center"/>
          </w:tcPr>
          <w:p w14:paraId="7A06DFA2">
            <w:pPr>
              <w:rPr>
                <w:rFonts w:hint="eastAsia" w:ascii="宋体" w:hAnsi="宋体" w:cs="宋体"/>
                <w:color w:val="000000"/>
                <w:sz w:val="18"/>
                <w:szCs w:val="18"/>
              </w:rPr>
            </w:pPr>
          </w:p>
        </w:tc>
        <w:tc>
          <w:tcPr>
            <w:tcW w:w="486" w:type="dxa"/>
            <w:tcBorders>
              <w:top w:val="nil"/>
              <w:left w:val="nil"/>
              <w:bottom w:val="nil"/>
              <w:right w:val="nil"/>
            </w:tcBorders>
            <w:noWrap w:val="0"/>
            <w:vAlign w:val="center"/>
          </w:tcPr>
          <w:p w14:paraId="049C388A">
            <w:pPr>
              <w:rPr>
                <w:rFonts w:hint="eastAsia" w:ascii="宋体" w:hAnsi="宋体" w:cs="宋体"/>
                <w:color w:val="000000"/>
                <w:sz w:val="18"/>
                <w:szCs w:val="18"/>
              </w:rPr>
            </w:pPr>
          </w:p>
        </w:tc>
        <w:tc>
          <w:tcPr>
            <w:tcW w:w="396" w:type="dxa"/>
            <w:tcBorders>
              <w:top w:val="nil"/>
              <w:left w:val="nil"/>
              <w:bottom w:val="nil"/>
              <w:right w:val="nil"/>
            </w:tcBorders>
            <w:noWrap w:val="0"/>
            <w:vAlign w:val="center"/>
          </w:tcPr>
          <w:p w14:paraId="793918AC">
            <w:pPr>
              <w:rPr>
                <w:rFonts w:hint="eastAsia" w:ascii="宋体" w:hAnsi="宋体" w:cs="宋体"/>
                <w:color w:val="000000"/>
                <w:sz w:val="18"/>
                <w:szCs w:val="18"/>
              </w:rPr>
            </w:pPr>
          </w:p>
        </w:tc>
        <w:tc>
          <w:tcPr>
            <w:tcW w:w="1402" w:type="dxa"/>
            <w:tcBorders>
              <w:top w:val="nil"/>
              <w:left w:val="nil"/>
              <w:bottom w:val="nil"/>
              <w:right w:val="nil"/>
            </w:tcBorders>
            <w:noWrap w:val="0"/>
            <w:vAlign w:val="center"/>
          </w:tcPr>
          <w:p w14:paraId="48D29E73">
            <w:pPr>
              <w:rPr>
                <w:rFonts w:hint="eastAsia" w:ascii="宋体" w:hAnsi="宋体" w:cs="宋体"/>
                <w:color w:val="000000"/>
                <w:sz w:val="18"/>
                <w:szCs w:val="18"/>
              </w:rPr>
            </w:pPr>
          </w:p>
        </w:tc>
      </w:tr>
      <w:tr w14:paraId="487E01E9">
        <w:tblPrEx>
          <w:tblCellMar>
            <w:top w:w="0" w:type="dxa"/>
            <w:left w:w="108" w:type="dxa"/>
            <w:bottom w:w="0" w:type="dxa"/>
            <w:right w:w="108" w:type="dxa"/>
          </w:tblCellMar>
        </w:tblPrEx>
        <w:trPr>
          <w:trHeight w:val="480" w:hRule="atLeast"/>
          <w:jc w:val="center"/>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4A5EC9EF">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lang w:bidi="ar"/>
              </w:rPr>
              <w:t>部门预算项目支出绩效自评表（2023年度）</w:t>
            </w:r>
          </w:p>
        </w:tc>
      </w:tr>
      <w:tr w14:paraId="7CBBD321">
        <w:tblPrEx>
          <w:tblCellMar>
            <w:top w:w="0" w:type="dxa"/>
            <w:left w:w="108" w:type="dxa"/>
            <w:bottom w:w="0" w:type="dxa"/>
            <w:right w:w="108" w:type="dxa"/>
          </w:tblCellMar>
        </w:tblPrEx>
        <w:trPr>
          <w:trHeight w:val="244" w:hRule="atLeast"/>
          <w:jc w:val="center"/>
        </w:trPr>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09E64EE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254" w:type="dxa"/>
            <w:gridSpan w:val="9"/>
            <w:tcBorders>
              <w:top w:val="single" w:color="000000" w:sz="4" w:space="0"/>
              <w:left w:val="single" w:color="000000" w:sz="4" w:space="0"/>
              <w:bottom w:val="single" w:color="000000" w:sz="4" w:space="0"/>
              <w:right w:val="single" w:color="000000" w:sz="4" w:space="0"/>
            </w:tcBorders>
            <w:noWrap w:val="0"/>
            <w:vAlign w:val="center"/>
          </w:tcPr>
          <w:p w14:paraId="4C078C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51090422T000006818424-幼儿资助及幼儿发展资金</w:t>
            </w:r>
          </w:p>
        </w:tc>
      </w:tr>
      <w:tr w14:paraId="6474220A">
        <w:tblPrEx>
          <w:tblCellMar>
            <w:top w:w="0" w:type="dxa"/>
            <w:left w:w="108" w:type="dxa"/>
            <w:bottom w:w="0" w:type="dxa"/>
            <w:right w:w="108" w:type="dxa"/>
          </w:tblCellMar>
        </w:tblPrEx>
        <w:trPr>
          <w:trHeight w:val="716" w:hRule="atLeast"/>
          <w:jc w:val="center"/>
        </w:trPr>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198601E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124" w:type="dxa"/>
            <w:gridSpan w:val="5"/>
            <w:tcBorders>
              <w:top w:val="single" w:color="000000" w:sz="4" w:space="0"/>
              <w:left w:val="single" w:color="000000" w:sz="4" w:space="0"/>
              <w:bottom w:val="single" w:color="000000" w:sz="4" w:space="0"/>
              <w:right w:val="single" w:color="000000" w:sz="4" w:space="0"/>
            </w:tcBorders>
            <w:noWrap w:val="0"/>
            <w:vAlign w:val="center"/>
          </w:tcPr>
          <w:p w14:paraId="72109E7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遂宁市安居区东禅镇中心幼儿园部门</w:t>
            </w:r>
          </w:p>
        </w:tc>
        <w:tc>
          <w:tcPr>
            <w:tcW w:w="846" w:type="dxa"/>
            <w:tcBorders>
              <w:top w:val="nil"/>
              <w:left w:val="nil"/>
              <w:bottom w:val="nil"/>
              <w:right w:val="nil"/>
            </w:tcBorders>
            <w:noWrap w:val="0"/>
            <w:vAlign w:val="center"/>
          </w:tcPr>
          <w:p w14:paraId="5C8550E1">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实施单位 （盖章）</w:t>
            </w:r>
          </w:p>
        </w:tc>
        <w:tc>
          <w:tcPr>
            <w:tcW w:w="2284" w:type="dxa"/>
            <w:gridSpan w:val="3"/>
            <w:tcBorders>
              <w:top w:val="single" w:color="000000" w:sz="4" w:space="0"/>
              <w:left w:val="single" w:color="000000" w:sz="4" w:space="0"/>
              <w:bottom w:val="single" w:color="000000" w:sz="4" w:space="0"/>
              <w:right w:val="single" w:color="000000" w:sz="4" w:space="0"/>
            </w:tcBorders>
            <w:noWrap w:val="0"/>
            <w:vAlign w:val="center"/>
          </w:tcPr>
          <w:p w14:paraId="404C118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遂宁市安居区东禅镇中心幼儿园</w:t>
            </w:r>
          </w:p>
        </w:tc>
      </w:tr>
      <w:tr w14:paraId="500D8CA1">
        <w:tblPrEx>
          <w:tblCellMar>
            <w:top w:w="0" w:type="dxa"/>
            <w:left w:w="108" w:type="dxa"/>
            <w:bottom w:w="0" w:type="dxa"/>
            <w:right w:w="108" w:type="dxa"/>
          </w:tblCellMar>
        </w:tblPrEx>
        <w:trPr>
          <w:trHeight w:val="244"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688D2C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FD555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124" w:type="dxa"/>
            <w:gridSpan w:val="5"/>
            <w:tcBorders>
              <w:top w:val="single" w:color="000000" w:sz="4" w:space="0"/>
              <w:left w:val="single" w:color="000000" w:sz="4" w:space="0"/>
              <w:bottom w:val="single" w:color="000000" w:sz="4" w:space="0"/>
              <w:right w:val="single" w:color="000000" w:sz="4" w:space="0"/>
            </w:tcBorders>
            <w:noWrap w:val="0"/>
            <w:vAlign w:val="center"/>
          </w:tcPr>
          <w:p w14:paraId="704634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30" w:type="dxa"/>
            <w:gridSpan w:val="4"/>
            <w:tcBorders>
              <w:top w:val="single" w:color="000000" w:sz="4" w:space="0"/>
              <w:left w:val="single" w:color="000000" w:sz="4" w:space="0"/>
              <w:bottom w:val="single" w:color="000000" w:sz="4" w:space="0"/>
              <w:right w:val="single" w:color="000000" w:sz="4" w:space="0"/>
            </w:tcBorders>
            <w:noWrap w:val="0"/>
            <w:vAlign w:val="center"/>
          </w:tcPr>
          <w:p w14:paraId="312B2E4F">
            <w:pPr>
              <w:widowControl/>
              <w:jc w:val="center"/>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年度目标完成情况</w:t>
            </w:r>
          </w:p>
        </w:tc>
      </w:tr>
      <w:tr w14:paraId="3712BE10">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283A8">
            <w:pPr>
              <w:rPr>
                <w:rFonts w:hint="eastAsia" w:ascii="宋体" w:hAnsi="宋体" w:cs="宋体"/>
                <w:color w:val="000000"/>
                <w:sz w:val="18"/>
                <w:szCs w:val="18"/>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C579C">
            <w:pPr>
              <w:rPr>
                <w:rFonts w:hint="eastAsia" w:ascii="宋体" w:hAnsi="宋体" w:cs="宋体"/>
                <w:color w:val="000000"/>
                <w:sz w:val="18"/>
                <w:szCs w:val="18"/>
              </w:rPr>
            </w:pPr>
          </w:p>
        </w:tc>
        <w:tc>
          <w:tcPr>
            <w:tcW w:w="4124" w:type="dxa"/>
            <w:gridSpan w:val="5"/>
            <w:tcBorders>
              <w:top w:val="single" w:color="000000" w:sz="4" w:space="0"/>
              <w:left w:val="single" w:color="000000" w:sz="4" w:space="0"/>
              <w:bottom w:val="single" w:color="000000" w:sz="4" w:space="0"/>
              <w:right w:val="single" w:color="000000" w:sz="4" w:space="0"/>
            </w:tcBorders>
            <w:noWrap w:val="0"/>
            <w:vAlign w:val="center"/>
          </w:tcPr>
          <w:p w14:paraId="1C95E58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保障了学校家庭经济困难学生正常入学，减轻其家庭经济负担。</w:t>
            </w:r>
          </w:p>
        </w:tc>
        <w:tc>
          <w:tcPr>
            <w:tcW w:w="3130" w:type="dxa"/>
            <w:gridSpan w:val="4"/>
            <w:tcBorders>
              <w:top w:val="single" w:color="000000" w:sz="4" w:space="0"/>
              <w:left w:val="single" w:color="000000" w:sz="4" w:space="0"/>
              <w:bottom w:val="single" w:color="000000" w:sz="4" w:space="0"/>
              <w:right w:val="single" w:color="000000" w:sz="4" w:space="0"/>
            </w:tcBorders>
            <w:noWrap w:val="0"/>
            <w:vAlign w:val="center"/>
          </w:tcPr>
          <w:p w14:paraId="42826CC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保障了学校家庭经济困难学生正常入学，减轻其家庭经济负担。</w:t>
            </w:r>
          </w:p>
        </w:tc>
      </w:tr>
      <w:tr w14:paraId="480E8B33">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902E2">
            <w:pP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5D6F5E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254" w:type="dxa"/>
            <w:gridSpan w:val="9"/>
            <w:tcBorders>
              <w:top w:val="single" w:color="000000" w:sz="4" w:space="0"/>
              <w:left w:val="single" w:color="000000" w:sz="4" w:space="0"/>
              <w:bottom w:val="single" w:color="000000" w:sz="4" w:space="0"/>
              <w:right w:val="single" w:color="000000" w:sz="4" w:space="0"/>
            </w:tcBorders>
            <w:noWrap w:val="0"/>
            <w:vAlign w:val="center"/>
          </w:tcPr>
          <w:p w14:paraId="70F0FE2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加强民生资金专项管理，提高民生资金使用效益，确保专款专用，按程序及时兑现给学生（或监护人），及时报送资助政策落实情况及相关资料。</w:t>
            </w:r>
          </w:p>
        </w:tc>
      </w:tr>
      <w:tr w14:paraId="7A81EBB7">
        <w:tblPrEx>
          <w:tblCellMar>
            <w:top w:w="0" w:type="dxa"/>
            <w:left w:w="108" w:type="dxa"/>
            <w:bottom w:w="0" w:type="dxa"/>
            <w:right w:w="108" w:type="dxa"/>
          </w:tblCellMar>
        </w:tblPrEx>
        <w:trPr>
          <w:trHeight w:val="480"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E0FED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275210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700A8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126BD1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70D5616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1BBE5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C05546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455FFF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077E004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35F2348F">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0824F">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F43068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93EF2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100195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44.92</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2A632F5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2.92</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3B256F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6.50%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9F68A9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62B2A96">
            <w:pPr>
              <w:jc w:val="center"/>
              <w:rPr>
                <w:rFonts w:hint="eastAsia" w:ascii="宋体" w:hAnsi="宋体" w:cs="宋体"/>
                <w:color w:val="000000"/>
                <w:sz w:val="18"/>
                <w:szCs w:val="18"/>
              </w:rPr>
            </w:pPr>
          </w:p>
        </w:tc>
        <w:tc>
          <w:tcPr>
            <w:tcW w:w="14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B7FB49B">
            <w:pPr>
              <w:widowControl/>
              <w:jc w:val="left"/>
              <w:textAlignment w:val="center"/>
              <w:rPr>
                <w:rFonts w:hint="eastAsia" w:ascii="宋体" w:hAnsi="宋体" w:cs="宋体"/>
                <w:i/>
                <w:iCs/>
                <w:color w:val="000000"/>
                <w:sz w:val="18"/>
                <w:szCs w:val="18"/>
              </w:rPr>
            </w:pPr>
            <w:r>
              <w:rPr>
                <w:rFonts w:hint="eastAsia" w:ascii="宋体" w:hAnsi="宋体" w:cs="宋体"/>
                <w:i/>
                <w:iCs/>
                <w:color w:val="000000"/>
                <w:kern w:val="0"/>
                <w:sz w:val="18"/>
                <w:szCs w:val="18"/>
                <w:lang w:bidi="ar"/>
              </w:rPr>
              <w:t>本项目年初学校不进行预算，由上级根据当年实际情况确定指标，</w:t>
            </w:r>
            <w:r>
              <w:rPr>
                <w:rFonts w:hint="eastAsia" w:ascii="宋体" w:hAnsi="宋体" w:cs="宋体"/>
                <w:i/>
                <w:iCs/>
                <w:color w:val="000000"/>
                <w:kern w:val="0"/>
                <w:sz w:val="18"/>
                <w:szCs w:val="18"/>
                <w:lang w:eastAsia="zh-CN" w:bidi="ar"/>
              </w:rPr>
              <w:t>下拨</w:t>
            </w:r>
            <w:r>
              <w:rPr>
                <w:rFonts w:hint="eastAsia" w:ascii="宋体" w:hAnsi="宋体" w:cs="宋体"/>
                <w:i/>
                <w:iCs/>
                <w:color w:val="000000"/>
                <w:kern w:val="0"/>
                <w:sz w:val="18"/>
                <w:szCs w:val="18"/>
                <w:lang w:bidi="ar"/>
              </w:rPr>
              <w:t>经费。</w:t>
            </w:r>
          </w:p>
        </w:tc>
      </w:tr>
      <w:tr w14:paraId="4ED2FAF9">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C5834">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1446C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A34EC2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3BFAD4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44.92</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62DF4D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2.92</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A6719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6.50%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270FB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F4255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06C76">
            <w:pPr>
              <w:rPr>
                <w:rFonts w:hint="eastAsia" w:ascii="宋体" w:hAnsi="宋体" w:cs="宋体"/>
                <w:i/>
                <w:iCs/>
                <w:color w:val="000000"/>
                <w:sz w:val="18"/>
                <w:szCs w:val="18"/>
              </w:rPr>
            </w:pPr>
          </w:p>
        </w:tc>
      </w:tr>
      <w:tr w14:paraId="16483799">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02F54">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6AB0A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C491AF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7EE3042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35619EE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70DDEB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154CC6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E1BCA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1F825">
            <w:pPr>
              <w:rPr>
                <w:rFonts w:hint="eastAsia" w:ascii="宋体" w:hAnsi="宋体" w:cs="宋体"/>
                <w:i/>
                <w:iCs/>
                <w:color w:val="000000"/>
                <w:sz w:val="18"/>
                <w:szCs w:val="18"/>
              </w:rPr>
            </w:pPr>
          </w:p>
        </w:tc>
      </w:tr>
      <w:tr w14:paraId="1AE1DC57">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D16F7">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DF4F79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F521FE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4598A98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7581B1F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32B1E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7E618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4CF83A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29357">
            <w:pPr>
              <w:rPr>
                <w:rFonts w:hint="eastAsia" w:ascii="宋体" w:hAnsi="宋体" w:cs="宋体"/>
                <w:i/>
                <w:iCs/>
                <w:color w:val="000000"/>
                <w:sz w:val="18"/>
                <w:szCs w:val="18"/>
              </w:rPr>
            </w:pPr>
          </w:p>
        </w:tc>
      </w:tr>
      <w:tr w14:paraId="3A2BCFD1">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160EA">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806313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F057380">
            <w:pPr>
              <w:jc w:val="center"/>
              <w:rPr>
                <w:rFonts w:hint="eastAsia" w:ascii="微软雅黑" w:hAnsi="微软雅黑" w:eastAsia="微软雅黑" w:cs="微软雅黑"/>
                <w:i/>
                <w:iCs/>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732FB2DB">
            <w:pPr>
              <w:jc w:val="center"/>
              <w:rPr>
                <w:rFonts w:hint="eastAsia" w:ascii="微软雅黑" w:hAnsi="微软雅黑" w:eastAsia="微软雅黑" w:cs="微软雅黑"/>
                <w:i/>
                <w:iCs/>
                <w:color w:val="000000"/>
                <w:sz w:val="16"/>
                <w:szCs w:val="16"/>
              </w:rPr>
            </w:pP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09877109">
            <w:pPr>
              <w:jc w:val="center"/>
              <w:rPr>
                <w:rFonts w:hint="eastAsia"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4C238CB">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528B88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BEB75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0F155">
            <w:pPr>
              <w:rPr>
                <w:rFonts w:hint="eastAsia" w:ascii="宋体" w:hAnsi="宋体" w:cs="宋体"/>
                <w:i/>
                <w:iCs/>
                <w:color w:val="000000"/>
                <w:sz w:val="18"/>
                <w:szCs w:val="18"/>
              </w:rPr>
            </w:pPr>
          </w:p>
        </w:tc>
      </w:tr>
      <w:tr w14:paraId="5957B1DB">
        <w:tblPrEx>
          <w:tblCellMar>
            <w:top w:w="0" w:type="dxa"/>
            <w:left w:w="108" w:type="dxa"/>
            <w:bottom w:w="0" w:type="dxa"/>
            <w:right w:w="108" w:type="dxa"/>
          </w:tblCellMar>
        </w:tblPrEx>
        <w:trPr>
          <w:trHeight w:val="9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69620C7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30" w:type="dxa"/>
            <w:tcBorders>
              <w:top w:val="single" w:color="000000" w:sz="4" w:space="0"/>
              <w:left w:val="single" w:color="000000" w:sz="4" w:space="0"/>
              <w:bottom w:val="nil"/>
              <w:right w:val="single" w:color="000000" w:sz="4" w:space="0"/>
            </w:tcBorders>
            <w:noWrap w:val="0"/>
            <w:vAlign w:val="center"/>
          </w:tcPr>
          <w:p w14:paraId="017F43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130" w:type="dxa"/>
            <w:tcBorders>
              <w:top w:val="single" w:color="000000" w:sz="4" w:space="0"/>
              <w:left w:val="single" w:color="000000" w:sz="4" w:space="0"/>
              <w:bottom w:val="nil"/>
              <w:right w:val="single" w:color="000000" w:sz="4" w:space="0"/>
            </w:tcBorders>
            <w:noWrap w:val="0"/>
            <w:vAlign w:val="center"/>
          </w:tcPr>
          <w:p w14:paraId="4EAF80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86" w:type="dxa"/>
            <w:tcBorders>
              <w:top w:val="single" w:color="000000" w:sz="4" w:space="0"/>
              <w:left w:val="single" w:color="000000" w:sz="4" w:space="0"/>
              <w:bottom w:val="nil"/>
              <w:right w:val="single" w:color="000000" w:sz="4" w:space="0"/>
            </w:tcBorders>
            <w:noWrap w:val="0"/>
            <w:vAlign w:val="center"/>
          </w:tcPr>
          <w:p w14:paraId="0482F4D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6" w:type="dxa"/>
            <w:tcBorders>
              <w:top w:val="single" w:color="000000" w:sz="4" w:space="0"/>
              <w:left w:val="single" w:color="000000" w:sz="4" w:space="0"/>
              <w:bottom w:val="nil"/>
              <w:right w:val="single" w:color="000000" w:sz="4" w:space="0"/>
            </w:tcBorders>
            <w:noWrap w:val="0"/>
            <w:vAlign w:val="center"/>
          </w:tcPr>
          <w:p w14:paraId="52EFEDB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16" w:type="dxa"/>
            <w:tcBorders>
              <w:top w:val="single" w:color="000000" w:sz="4" w:space="0"/>
              <w:left w:val="single" w:color="000000" w:sz="4" w:space="0"/>
              <w:bottom w:val="nil"/>
              <w:right w:val="single" w:color="000000" w:sz="4" w:space="0"/>
            </w:tcBorders>
            <w:noWrap w:val="0"/>
            <w:vAlign w:val="center"/>
          </w:tcPr>
          <w:p w14:paraId="713B7E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396" w:type="dxa"/>
            <w:tcBorders>
              <w:top w:val="single" w:color="000000" w:sz="4" w:space="0"/>
              <w:left w:val="single" w:color="000000" w:sz="4" w:space="0"/>
              <w:bottom w:val="nil"/>
              <w:right w:val="single" w:color="000000" w:sz="4" w:space="0"/>
            </w:tcBorders>
            <w:noWrap w:val="0"/>
            <w:vAlign w:val="center"/>
          </w:tcPr>
          <w:p w14:paraId="3F2516C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color="000000" w:sz="4" w:space="0"/>
              <w:left w:val="single" w:color="000000" w:sz="4" w:space="0"/>
              <w:bottom w:val="nil"/>
              <w:right w:val="single" w:color="000000" w:sz="4" w:space="0"/>
            </w:tcBorders>
            <w:noWrap w:val="0"/>
            <w:vAlign w:val="center"/>
          </w:tcPr>
          <w:p w14:paraId="75B13F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nil"/>
              <w:right w:val="single" w:color="000000" w:sz="4" w:space="0"/>
            </w:tcBorders>
            <w:noWrap w:val="0"/>
            <w:vAlign w:val="center"/>
          </w:tcPr>
          <w:p w14:paraId="011E855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368099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765442B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629888A4">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36B50">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A9B2DB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D4455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质量指标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228106D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项目通过率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1F88F5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449F2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754FF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898591C">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F71C6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396" w:type="dxa"/>
            <w:tcBorders>
              <w:top w:val="single" w:color="000000" w:sz="4" w:space="0"/>
              <w:left w:val="nil"/>
              <w:bottom w:val="single" w:color="000000" w:sz="4" w:space="0"/>
              <w:right w:val="single" w:color="000000" w:sz="4" w:space="0"/>
            </w:tcBorders>
            <w:noWrap w:val="0"/>
            <w:vAlign w:val="center"/>
          </w:tcPr>
          <w:p w14:paraId="24A2CD76">
            <w:pPr>
              <w:jc w:val="cente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3784999F">
            <w:pPr>
              <w:jc w:val="center"/>
              <w:rPr>
                <w:rFonts w:hint="eastAsia" w:ascii="宋体" w:hAnsi="宋体" w:cs="宋体"/>
                <w:color w:val="000000"/>
                <w:sz w:val="18"/>
                <w:szCs w:val="18"/>
              </w:rPr>
            </w:pPr>
          </w:p>
        </w:tc>
      </w:tr>
      <w:tr w14:paraId="23BF9D39">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E3C1D">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63750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88A2E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0747DF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足额保障率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F0228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EB174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5F8B1D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E85DF68">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9EC74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396" w:type="dxa"/>
            <w:tcBorders>
              <w:top w:val="single" w:color="000000" w:sz="4" w:space="0"/>
              <w:left w:val="nil"/>
              <w:bottom w:val="single" w:color="000000" w:sz="4" w:space="0"/>
              <w:right w:val="single" w:color="000000" w:sz="4" w:space="0"/>
            </w:tcBorders>
            <w:noWrap w:val="0"/>
            <w:vAlign w:val="center"/>
          </w:tcPr>
          <w:p w14:paraId="5FDC49C7">
            <w:pPr>
              <w:jc w:val="cente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12F9474F">
            <w:pPr>
              <w:jc w:val="center"/>
              <w:rPr>
                <w:rFonts w:hint="eastAsia" w:ascii="微软雅黑" w:hAnsi="微软雅黑" w:eastAsia="微软雅黑" w:cs="微软雅黑"/>
                <w:i/>
                <w:iCs/>
                <w:color w:val="000000"/>
                <w:sz w:val="16"/>
                <w:szCs w:val="16"/>
              </w:rPr>
            </w:pPr>
          </w:p>
        </w:tc>
      </w:tr>
      <w:tr w14:paraId="3CA82D24">
        <w:tblPrEx>
          <w:tblCellMar>
            <w:top w:w="0" w:type="dxa"/>
            <w:left w:w="108" w:type="dxa"/>
            <w:bottom w:w="0" w:type="dxa"/>
            <w:right w:w="108" w:type="dxa"/>
          </w:tblCellMar>
        </w:tblPrEx>
        <w:trPr>
          <w:trHeight w:val="244" w:hRule="atLeast"/>
          <w:jc w:val="center"/>
        </w:trPr>
        <w:tc>
          <w:tcPr>
            <w:tcW w:w="6776" w:type="dxa"/>
            <w:gridSpan w:val="8"/>
            <w:tcBorders>
              <w:top w:val="single" w:color="000000" w:sz="4" w:space="0"/>
              <w:left w:val="single" w:color="000000" w:sz="4" w:space="0"/>
              <w:bottom w:val="single" w:color="000000" w:sz="4" w:space="0"/>
              <w:right w:val="single" w:color="000000" w:sz="4" w:space="0"/>
            </w:tcBorders>
            <w:noWrap w:val="0"/>
            <w:vAlign w:val="center"/>
          </w:tcPr>
          <w:p w14:paraId="3A09AE5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nil"/>
              <w:left w:val="single" w:color="000000" w:sz="4" w:space="0"/>
              <w:bottom w:val="single" w:color="000000" w:sz="4" w:space="0"/>
              <w:right w:val="single" w:color="000000" w:sz="4" w:space="0"/>
            </w:tcBorders>
            <w:noWrap w:val="0"/>
            <w:vAlign w:val="center"/>
          </w:tcPr>
          <w:p w14:paraId="7FBA5BD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9863C15">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651AB542">
            <w:pPr>
              <w:rPr>
                <w:rFonts w:hint="eastAsia" w:ascii="宋体" w:hAnsi="宋体" w:cs="宋体"/>
                <w:color w:val="000000"/>
                <w:sz w:val="18"/>
                <w:szCs w:val="18"/>
              </w:rPr>
            </w:pPr>
          </w:p>
        </w:tc>
      </w:tr>
      <w:tr w14:paraId="3B956ADB">
        <w:tblPrEx>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564D76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484" w:type="dxa"/>
            <w:gridSpan w:val="10"/>
            <w:tcBorders>
              <w:top w:val="single" w:color="000000" w:sz="4" w:space="0"/>
              <w:left w:val="single" w:color="000000" w:sz="4" w:space="0"/>
              <w:bottom w:val="single" w:color="000000" w:sz="4" w:space="0"/>
              <w:right w:val="single" w:color="000000" w:sz="4" w:space="0"/>
            </w:tcBorders>
            <w:noWrap w:val="0"/>
            <w:vAlign w:val="center"/>
          </w:tcPr>
          <w:p w14:paraId="0FE3B11B">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绩效目标实现指标自评得分100.00分，自评等次为：优，严格执行相关政策，按要求支付，切实提高扶贫成效。</w:t>
            </w:r>
          </w:p>
        </w:tc>
      </w:tr>
      <w:tr w14:paraId="7A54ED89">
        <w:tblPrEx>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00922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484" w:type="dxa"/>
            <w:gridSpan w:val="10"/>
            <w:tcBorders>
              <w:top w:val="single" w:color="000000" w:sz="4" w:space="0"/>
              <w:left w:val="single" w:color="000000" w:sz="4" w:space="0"/>
              <w:bottom w:val="single" w:color="000000" w:sz="4" w:space="0"/>
              <w:right w:val="single" w:color="000000" w:sz="4" w:space="0"/>
            </w:tcBorders>
            <w:noWrap w:val="0"/>
            <w:vAlign w:val="center"/>
          </w:tcPr>
          <w:p w14:paraId="1A59846C">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因困难学生众多，情况复杂，在核实困难学生情况中较复杂。</w:t>
            </w:r>
          </w:p>
        </w:tc>
      </w:tr>
      <w:tr w14:paraId="1F8691CA">
        <w:tblPrEx>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437A24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484" w:type="dxa"/>
            <w:gridSpan w:val="10"/>
            <w:tcBorders>
              <w:top w:val="single" w:color="000000" w:sz="4" w:space="0"/>
              <w:left w:val="single" w:color="000000" w:sz="4" w:space="0"/>
              <w:bottom w:val="single" w:color="000000" w:sz="4" w:space="0"/>
              <w:right w:val="single" w:color="000000" w:sz="4" w:space="0"/>
            </w:tcBorders>
            <w:noWrap w:val="0"/>
            <w:vAlign w:val="center"/>
          </w:tcPr>
          <w:p w14:paraId="2EDCD366">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进一步加强教育资助政策宣传及资助情况的反馈公示。</w:t>
            </w:r>
          </w:p>
        </w:tc>
      </w:tr>
      <w:tr w14:paraId="02A994D8">
        <w:tblPrEx>
          <w:tblCellMar>
            <w:top w:w="0" w:type="dxa"/>
            <w:left w:w="108" w:type="dxa"/>
            <w:bottom w:w="0" w:type="dxa"/>
            <w:right w:w="108" w:type="dxa"/>
          </w:tblCellMar>
        </w:tblPrEx>
        <w:trPr>
          <w:trHeight w:val="244" w:hRule="atLeast"/>
          <w:jc w:val="center"/>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14:paraId="52E5EA4D">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项目负责人：谢金华</w:t>
            </w:r>
          </w:p>
        </w:tc>
        <w:tc>
          <w:tcPr>
            <w:tcW w:w="4342" w:type="dxa"/>
            <w:gridSpan w:val="6"/>
            <w:tcBorders>
              <w:top w:val="single" w:color="000000" w:sz="4" w:space="0"/>
              <w:left w:val="single" w:color="000000" w:sz="4" w:space="0"/>
              <w:bottom w:val="single" w:color="000000" w:sz="4" w:space="0"/>
              <w:right w:val="single" w:color="000000" w:sz="4" w:space="0"/>
            </w:tcBorders>
            <w:noWrap w:val="0"/>
            <w:vAlign w:val="center"/>
          </w:tcPr>
          <w:p w14:paraId="2203C981">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财务负责人：杨文武</w:t>
            </w:r>
          </w:p>
        </w:tc>
      </w:tr>
      <w:tr w14:paraId="355939CF">
        <w:tblPrEx>
          <w:tblCellMar>
            <w:top w:w="0" w:type="dxa"/>
            <w:left w:w="108" w:type="dxa"/>
            <w:bottom w:w="0" w:type="dxa"/>
            <w:right w:w="108" w:type="dxa"/>
          </w:tblCellMar>
        </w:tblPrEx>
        <w:trPr>
          <w:trHeight w:val="244" w:hRule="atLeast"/>
          <w:jc w:val="center"/>
        </w:trPr>
        <w:tc>
          <w:tcPr>
            <w:tcW w:w="576" w:type="dxa"/>
            <w:tcBorders>
              <w:top w:val="nil"/>
              <w:left w:val="nil"/>
              <w:bottom w:val="nil"/>
              <w:right w:val="nil"/>
            </w:tcBorders>
            <w:noWrap w:val="0"/>
            <w:vAlign w:val="center"/>
          </w:tcPr>
          <w:p w14:paraId="3ECF7B85">
            <w:pPr>
              <w:rPr>
                <w:rFonts w:hint="eastAsia" w:ascii="宋体" w:hAnsi="宋体" w:cs="宋体"/>
                <w:color w:val="000000"/>
                <w:sz w:val="18"/>
                <w:szCs w:val="18"/>
              </w:rPr>
            </w:pPr>
          </w:p>
        </w:tc>
        <w:tc>
          <w:tcPr>
            <w:tcW w:w="1230" w:type="dxa"/>
            <w:tcBorders>
              <w:top w:val="nil"/>
              <w:left w:val="nil"/>
              <w:bottom w:val="nil"/>
              <w:right w:val="nil"/>
            </w:tcBorders>
            <w:noWrap w:val="0"/>
            <w:vAlign w:val="center"/>
          </w:tcPr>
          <w:p w14:paraId="35236615">
            <w:pPr>
              <w:rPr>
                <w:rFonts w:hint="eastAsia" w:ascii="宋体" w:hAnsi="宋体" w:cs="宋体"/>
                <w:color w:val="000000"/>
                <w:sz w:val="18"/>
                <w:szCs w:val="18"/>
              </w:rPr>
            </w:pPr>
          </w:p>
        </w:tc>
        <w:tc>
          <w:tcPr>
            <w:tcW w:w="1130" w:type="dxa"/>
            <w:tcBorders>
              <w:top w:val="nil"/>
              <w:left w:val="nil"/>
              <w:bottom w:val="nil"/>
              <w:right w:val="nil"/>
            </w:tcBorders>
            <w:noWrap w:val="0"/>
            <w:vAlign w:val="center"/>
          </w:tcPr>
          <w:p w14:paraId="4603403B">
            <w:pPr>
              <w:rPr>
                <w:rFonts w:hint="eastAsia" w:ascii="宋体" w:hAnsi="宋体" w:cs="宋体"/>
                <w:color w:val="000000"/>
                <w:sz w:val="18"/>
                <w:szCs w:val="18"/>
              </w:rPr>
            </w:pPr>
          </w:p>
        </w:tc>
        <w:tc>
          <w:tcPr>
            <w:tcW w:w="1386" w:type="dxa"/>
            <w:tcBorders>
              <w:top w:val="nil"/>
              <w:left w:val="nil"/>
              <w:bottom w:val="nil"/>
              <w:right w:val="nil"/>
            </w:tcBorders>
            <w:noWrap w:val="0"/>
            <w:vAlign w:val="center"/>
          </w:tcPr>
          <w:p w14:paraId="47177CDA">
            <w:pPr>
              <w:rPr>
                <w:rFonts w:hint="eastAsia" w:ascii="宋体" w:hAnsi="宋体" w:cs="宋体"/>
                <w:color w:val="000000"/>
                <w:sz w:val="18"/>
                <w:szCs w:val="18"/>
              </w:rPr>
            </w:pPr>
          </w:p>
        </w:tc>
        <w:tc>
          <w:tcPr>
            <w:tcW w:w="396" w:type="dxa"/>
            <w:tcBorders>
              <w:top w:val="nil"/>
              <w:left w:val="nil"/>
              <w:bottom w:val="nil"/>
              <w:right w:val="nil"/>
            </w:tcBorders>
            <w:noWrap w:val="0"/>
            <w:vAlign w:val="center"/>
          </w:tcPr>
          <w:p w14:paraId="26DD0BCE">
            <w:pPr>
              <w:rPr>
                <w:rFonts w:hint="eastAsia" w:ascii="宋体" w:hAnsi="宋体" w:cs="宋体"/>
                <w:color w:val="000000"/>
                <w:sz w:val="18"/>
                <w:szCs w:val="18"/>
              </w:rPr>
            </w:pPr>
          </w:p>
        </w:tc>
        <w:tc>
          <w:tcPr>
            <w:tcW w:w="816" w:type="dxa"/>
            <w:tcBorders>
              <w:top w:val="nil"/>
              <w:left w:val="nil"/>
              <w:bottom w:val="nil"/>
              <w:right w:val="nil"/>
            </w:tcBorders>
            <w:noWrap w:val="0"/>
            <w:vAlign w:val="center"/>
          </w:tcPr>
          <w:p w14:paraId="12D3ECD8">
            <w:pPr>
              <w:rPr>
                <w:rFonts w:hint="eastAsia" w:ascii="宋体" w:hAnsi="宋体" w:cs="宋体"/>
                <w:color w:val="000000"/>
                <w:sz w:val="18"/>
                <w:szCs w:val="18"/>
              </w:rPr>
            </w:pPr>
          </w:p>
        </w:tc>
        <w:tc>
          <w:tcPr>
            <w:tcW w:w="396" w:type="dxa"/>
            <w:tcBorders>
              <w:top w:val="nil"/>
              <w:left w:val="nil"/>
              <w:bottom w:val="nil"/>
              <w:right w:val="nil"/>
            </w:tcBorders>
            <w:noWrap w:val="0"/>
            <w:vAlign w:val="center"/>
          </w:tcPr>
          <w:p w14:paraId="7E64B0B4">
            <w:pPr>
              <w:rPr>
                <w:rFonts w:hint="eastAsia" w:ascii="宋体" w:hAnsi="宋体" w:cs="宋体"/>
                <w:color w:val="000000"/>
                <w:sz w:val="18"/>
                <w:szCs w:val="18"/>
              </w:rPr>
            </w:pPr>
          </w:p>
        </w:tc>
        <w:tc>
          <w:tcPr>
            <w:tcW w:w="846" w:type="dxa"/>
            <w:tcBorders>
              <w:top w:val="nil"/>
              <w:left w:val="nil"/>
              <w:bottom w:val="nil"/>
              <w:right w:val="nil"/>
            </w:tcBorders>
            <w:noWrap w:val="0"/>
            <w:vAlign w:val="center"/>
          </w:tcPr>
          <w:p w14:paraId="38C11A55">
            <w:pPr>
              <w:rPr>
                <w:rFonts w:hint="eastAsia" w:ascii="宋体" w:hAnsi="宋体" w:cs="宋体"/>
                <w:color w:val="000000"/>
                <w:sz w:val="18"/>
                <w:szCs w:val="18"/>
              </w:rPr>
            </w:pPr>
          </w:p>
        </w:tc>
        <w:tc>
          <w:tcPr>
            <w:tcW w:w="486" w:type="dxa"/>
            <w:tcBorders>
              <w:top w:val="nil"/>
              <w:left w:val="nil"/>
              <w:bottom w:val="nil"/>
              <w:right w:val="nil"/>
            </w:tcBorders>
            <w:noWrap w:val="0"/>
            <w:vAlign w:val="center"/>
          </w:tcPr>
          <w:p w14:paraId="2797B44E">
            <w:pPr>
              <w:rPr>
                <w:rFonts w:hint="eastAsia" w:ascii="宋体" w:hAnsi="宋体" w:cs="宋体"/>
                <w:color w:val="000000"/>
                <w:sz w:val="18"/>
                <w:szCs w:val="18"/>
              </w:rPr>
            </w:pPr>
          </w:p>
        </w:tc>
        <w:tc>
          <w:tcPr>
            <w:tcW w:w="396" w:type="dxa"/>
            <w:tcBorders>
              <w:top w:val="nil"/>
              <w:left w:val="nil"/>
              <w:bottom w:val="nil"/>
              <w:right w:val="nil"/>
            </w:tcBorders>
            <w:noWrap w:val="0"/>
            <w:vAlign w:val="center"/>
          </w:tcPr>
          <w:p w14:paraId="2695371A">
            <w:pPr>
              <w:rPr>
                <w:rFonts w:hint="eastAsia" w:ascii="宋体" w:hAnsi="宋体" w:cs="宋体"/>
                <w:color w:val="000000"/>
                <w:sz w:val="18"/>
                <w:szCs w:val="18"/>
              </w:rPr>
            </w:pPr>
          </w:p>
        </w:tc>
        <w:tc>
          <w:tcPr>
            <w:tcW w:w="1402" w:type="dxa"/>
            <w:tcBorders>
              <w:top w:val="nil"/>
              <w:left w:val="nil"/>
              <w:bottom w:val="nil"/>
              <w:right w:val="nil"/>
            </w:tcBorders>
            <w:noWrap w:val="0"/>
            <w:vAlign w:val="center"/>
          </w:tcPr>
          <w:p w14:paraId="0478BDE0">
            <w:pPr>
              <w:rPr>
                <w:rFonts w:hint="eastAsia" w:ascii="宋体" w:hAnsi="宋体" w:cs="宋体"/>
                <w:color w:val="000000"/>
                <w:sz w:val="18"/>
                <w:szCs w:val="18"/>
              </w:rPr>
            </w:pPr>
          </w:p>
        </w:tc>
      </w:tr>
      <w:tr w14:paraId="57A2B4F5">
        <w:tblPrEx>
          <w:tblCellMar>
            <w:top w:w="0" w:type="dxa"/>
            <w:left w:w="108" w:type="dxa"/>
            <w:bottom w:w="0" w:type="dxa"/>
            <w:right w:w="108" w:type="dxa"/>
          </w:tblCellMar>
        </w:tblPrEx>
        <w:trPr>
          <w:trHeight w:val="480" w:hRule="atLeast"/>
          <w:jc w:val="center"/>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0A4F9922">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lang w:bidi="ar"/>
              </w:rPr>
              <w:t>部门预算项目支出绩效自评表（2023年度）</w:t>
            </w:r>
          </w:p>
        </w:tc>
      </w:tr>
      <w:tr w14:paraId="686730B4">
        <w:tblPrEx>
          <w:tblCellMar>
            <w:top w:w="0" w:type="dxa"/>
            <w:left w:w="108" w:type="dxa"/>
            <w:bottom w:w="0" w:type="dxa"/>
            <w:right w:w="108" w:type="dxa"/>
          </w:tblCellMar>
        </w:tblPrEx>
        <w:trPr>
          <w:trHeight w:val="244" w:hRule="atLeast"/>
          <w:jc w:val="center"/>
        </w:trPr>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1DB8424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254" w:type="dxa"/>
            <w:gridSpan w:val="9"/>
            <w:tcBorders>
              <w:top w:val="single" w:color="000000" w:sz="4" w:space="0"/>
              <w:left w:val="single" w:color="000000" w:sz="4" w:space="0"/>
              <w:bottom w:val="single" w:color="000000" w:sz="4" w:space="0"/>
              <w:right w:val="single" w:color="000000" w:sz="4" w:space="0"/>
            </w:tcBorders>
            <w:noWrap w:val="0"/>
            <w:vAlign w:val="center"/>
          </w:tcPr>
          <w:p w14:paraId="7A0C4E7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51090423T000008947977-2021年支持学前教育发展专项资金（激励奖）第二批</w:t>
            </w:r>
          </w:p>
        </w:tc>
      </w:tr>
      <w:tr w14:paraId="68FDBC7E">
        <w:tblPrEx>
          <w:tblCellMar>
            <w:top w:w="0" w:type="dxa"/>
            <w:left w:w="108" w:type="dxa"/>
            <w:bottom w:w="0" w:type="dxa"/>
            <w:right w:w="108" w:type="dxa"/>
          </w:tblCellMar>
        </w:tblPrEx>
        <w:trPr>
          <w:trHeight w:val="716" w:hRule="atLeast"/>
          <w:jc w:val="center"/>
        </w:trPr>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5E1482F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124" w:type="dxa"/>
            <w:gridSpan w:val="5"/>
            <w:tcBorders>
              <w:top w:val="single" w:color="000000" w:sz="4" w:space="0"/>
              <w:left w:val="single" w:color="000000" w:sz="4" w:space="0"/>
              <w:bottom w:val="single" w:color="000000" w:sz="4" w:space="0"/>
              <w:right w:val="single" w:color="000000" w:sz="4" w:space="0"/>
            </w:tcBorders>
            <w:noWrap w:val="0"/>
            <w:vAlign w:val="center"/>
          </w:tcPr>
          <w:p w14:paraId="25FDBF9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遂宁市安居区东禅镇中心幼儿园部门</w:t>
            </w:r>
          </w:p>
        </w:tc>
        <w:tc>
          <w:tcPr>
            <w:tcW w:w="846" w:type="dxa"/>
            <w:tcBorders>
              <w:top w:val="nil"/>
              <w:left w:val="nil"/>
              <w:bottom w:val="nil"/>
              <w:right w:val="nil"/>
            </w:tcBorders>
            <w:noWrap w:val="0"/>
            <w:vAlign w:val="center"/>
          </w:tcPr>
          <w:p w14:paraId="488484AF">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实施单位 （盖章）</w:t>
            </w:r>
          </w:p>
        </w:tc>
        <w:tc>
          <w:tcPr>
            <w:tcW w:w="2284" w:type="dxa"/>
            <w:gridSpan w:val="3"/>
            <w:tcBorders>
              <w:top w:val="single" w:color="000000" w:sz="4" w:space="0"/>
              <w:left w:val="single" w:color="000000" w:sz="4" w:space="0"/>
              <w:bottom w:val="single" w:color="000000" w:sz="4" w:space="0"/>
              <w:right w:val="single" w:color="000000" w:sz="4" w:space="0"/>
            </w:tcBorders>
            <w:noWrap w:val="0"/>
            <w:vAlign w:val="center"/>
          </w:tcPr>
          <w:p w14:paraId="772E1C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遂宁市安居区东禅镇中心幼儿园</w:t>
            </w:r>
          </w:p>
        </w:tc>
      </w:tr>
      <w:tr w14:paraId="38A70D42">
        <w:tblPrEx>
          <w:tblCellMar>
            <w:top w:w="0" w:type="dxa"/>
            <w:left w:w="108" w:type="dxa"/>
            <w:bottom w:w="0" w:type="dxa"/>
            <w:right w:w="108" w:type="dxa"/>
          </w:tblCellMar>
        </w:tblPrEx>
        <w:trPr>
          <w:trHeight w:val="244"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F6027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AC0EE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124" w:type="dxa"/>
            <w:gridSpan w:val="5"/>
            <w:tcBorders>
              <w:top w:val="single" w:color="000000" w:sz="4" w:space="0"/>
              <w:left w:val="single" w:color="000000" w:sz="4" w:space="0"/>
              <w:bottom w:val="single" w:color="000000" w:sz="4" w:space="0"/>
              <w:right w:val="single" w:color="000000" w:sz="4" w:space="0"/>
            </w:tcBorders>
            <w:noWrap w:val="0"/>
            <w:vAlign w:val="center"/>
          </w:tcPr>
          <w:p w14:paraId="012998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30" w:type="dxa"/>
            <w:gridSpan w:val="4"/>
            <w:tcBorders>
              <w:top w:val="single" w:color="000000" w:sz="4" w:space="0"/>
              <w:left w:val="single" w:color="000000" w:sz="4" w:space="0"/>
              <w:bottom w:val="single" w:color="000000" w:sz="4" w:space="0"/>
              <w:right w:val="single" w:color="000000" w:sz="4" w:space="0"/>
            </w:tcBorders>
            <w:noWrap w:val="0"/>
            <w:vAlign w:val="center"/>
          </w:tcPr>
          <w:p w14:paraId="36B9C1E0">
            <w:pPr>
              <w:widowControl/>
              <w:jc w:val="center"/>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年度目标完成情况</w:t>
            </w:r>
          </w:p>
        </w:tc>
      </w:tr>
      <w:tr w14:paraId="40AE8D5F">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DE1AF">
            <w:pPr>
              <w:rPr>
                <w:rFonts w:hint="eastAsia" w:ascii="宋体" w:hAnsi="宋体" w:cs="宋体"/>
                <w:color w:val="000000"/>
                <w:sz w:val="18"/>
                <w:szCs w:val="18"/>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0C7F4">
            <w:pPr>
              <w:rPr>
                <w:rFonts w:hint="eastAsia" w:ascii="宋体" w:hAnsi="宋体" w:cs="宋体"/>
                <w:color w:val="000000"/>
                <w:sz w:val="18"/>
                <w:szCs w:val="18"/>
              </w:rPr>
            </w:pPr>
          </w:p>
        </w:tc>
        <w:tc>
          <w:tcPr>
            <w:tcW w:w="4124" w:type="dxa"/>
            <w:gridSpan w:val="5"/>
            <w:tcBorders>
              <w:top w:val="single" w:color="000000" w:sz="4" w:space="0"/>
              <w:left w:val="single" w:color="000000" w:sz="4" w:space="0"/>
              <w:bottom w:val="single" w:color="000000" w:sz="4" w:space="0"/>
              <w:right w:val="single" w:color="000000" w:sz="4" w:space="0"/>
            </w:tcBorders>
            <w:noWrap w:val="0"/>
            <w:vAlign w:val="center"/>
          </w:tcPr>
          <w:p w14:paraId="06B44C9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保障了学校家庭经济困难学生正常入学，减轻其家庭经济负担。</w:t>
            </w:r>
          </w:p>
        </w:tc>
        <w:tc>
          <w:tcPr>
            <w:tcW w:w="3130" w:type="dxa"/>
            <w:gridSpan w:val="4"/>
            <w:tcBorders>
              <w:top w:val="single" w:color="000000" w:sz="4" w:space="0"/>
              <w:left w:val="single" w:color="000000" w:sz="4" w:space="0"/>
              <w:bottom w:val="single" w:color="000000" w:sz="4" w:space="0"/>
              <w:right w:val="single" w:color="000000" w:sz="4" w:space="0"/>
            </w:tcBorders>
            <w:noWrap w:val="0"/>
            <w:vAlign w:val="center"/>
          </w:tcPr>
          <w:p w14:paraId="3196287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保障了学校家庭经济困难学生正常入学，减轻其家庭经济负担。</w:t>
            </w:r>
          </w:p>
        </w:tc>
      </w:tr>
      <w:tr w14:paraId="17A177C9">
        <w:tblPrEx>
          <w:tblCellMar>
            <w:top w:w="0" w:type="dxa"/>
            <w:left w:w="108" w:type="dxa"/>
            <w:bottom w:w="0" w:type="dxa"/>
            <w:right w:w="108" w:type="dxa"/>
          </w:tblCellMar>
        </w:tblPrEx>
        <w:trPr>
          <w:trHeight w:val="32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CAF2E">
            <w:pP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1678F9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254" w:type="dxa"/>
            <w:gridSpan w:val="9"/>
            <w:tcBorders>
              <w:top w:val="single" w:color="000000" w:sz="4" w:space="0"/>
              <w:left w:val="single" w:color="000000" w:sz="4" w:space="0"/>
              <w:bottom w:val="single" w:color="000000" w:sz="4" w:space="0"/>
              <w:right w:val="single" w:color="000000" w:sz="4" w:space="0"/>
            </w:tcBorders>
            <w:noWrap w:val="0"/>
            <w:vAlign w:val="center"/>
          </w:tcPr>
          <w:p w14:paraId="39C89A1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加强民生资金专项管理，提高民生资金使用效益，确保专款专用，按程序及时兑现给学生（或监护人），及时报送资助政策落实情况及相关资料。</w:t>
            </w:r>
          </w:p>
        </w:tc>
      </w:tr>
      <w:tr w14:paraId="24BF046A">
        <w:tblPrEx>
          <w:tblCellMar>
            <w:top w:w="0" w:type="dxa"/>
            <w:left w:w="108" w:type="dxa"/>
            <w:bottom w:w="0" w:type="dxa"/>
            <w:right w:w="108" w:type="dxa"/>
          </w:tblCellMar>
        </w:tblPrEx>
        <w:trPr>
          <w:trHeight w:val="480"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53130A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5D910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A81E6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4F5010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40319F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948AB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53EE5B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D1E4A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505CE8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743CD9E5">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B1227">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9218FF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D87418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7F4175C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2B5C87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911F03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FA1157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F22E5BE">
            <w:pPr>
              <w:jc w:val="center"/>
              <w:rPr>
                <w:rFonts w:hint="eastAsia" w:ascii="宋体" w:hAnsi="宋体" w:cs="宋体"/>
                <w:color w:val="000000"/>
                <w:sz w:val="18"/>
                <w:szCs w:val="18"/>
              </w:rPr>
            </w:pPr>
          </w:p>
        </w:tc>
        <w:tc>
          <w:tcPr>
            <w:tcW w:w="1402" w:type="dxa"/>
            <w:vMerge w:val="restart"/>
            <w:tcBorders>
              <w:top w:val="single" w:color="000000" w:sz="4" w:space="0"/>
              <w:left w:val="single" w:color="000000" w:sz="4" w:space="0"/>
              <w:bottom w:val="single" w:color="000000" w:sz="4" w:space="0"/>
              <w:right w:val="single" w:color="000000" w:sz="4" w:space="0"/>
            </w:tcBorders>
            <w:noWrap w:val="0"/>
            <w:vAlign w:val="center"/>
          </w:tcPr>
          <w:p w14:paraId="0D9DD8AE">
            <w:pPr>
              <w:widowControl/>
              <w:jc w:val="left"/>
              <w:textAlignment w:val="center"/>
              <w:rPr>
                <w:rFonts w:hint="eastAsia" w:ascii="宋体" w:hAnsi="宋体" w:cs="宋体"/>
                <w:i/>
                <w:iCs/>
                <w:color w:val="000000"/>
                <w:sz w:val="18"/>
                <w:szCs w:val="18"/>
              </w:rPr>
            </w:pPr>
            <w:r>
              <w:rPr>
                <w:rFonts w:hint="eastAsia" w:ascii="宋体" w:hAnsi="宋体" w:cs="宋体"/>
                <w:i/>
                <w:iCs/>
                <w:color w:val="000000"/>
                <w:kern w:val="0"/>
                <w:sz w:val="18"/>
                <w:szCs w:val="18"/>
                <w:lang w:bidi="ar"/>
              </w:rPr>
              <w:t>本项目年初学校不进行预算，由上级根据当年实际情况确定指标，</w:t>
            </w:r>
            <w:r>
              <w:rPr>
                <w:rFonts w:hint="eastAsia" w:ascii="宋体" w:hAnsi="宋体" w:cs="宋体"/>
                <w:i/>
                <w:iCs/>
                <w:color w:val="000000"/>
                <w:kern w:val="0"/>
                <w:sz w:val="18"/>
                <w:szCs w:val="18"/>
                <w:lang w:eastAsia="zh-CN" w:bidi="ar"/>
              </w:rPr>
              <w:t>下拨</w:t>
            </w:r>
            <w:r>
              <w:rPr>
                <w:rFonts w:hint="eastAsia" w:ascii="宋体" w:hAnsi="宋体" w:cs="宋体"/>
                <w:i/>
                <w:iCs/>
                <w:color w:val="000000"/>
                <w:kern w:val="0"/>
                <w:sz w:val="18"/>
                <w:szCs w:val="18"/>
                <w:lang w:bidi="ar"/>
              </w:rPr>
              <w:t>经费。</w:t>
            </w:r>
          </w:p>
        </w:tc>
      </w:tr>
      <w:tr w14:paraId="3273238C">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A0563">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FE01E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20224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4B449C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6BA229D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13372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10808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7BF4A0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0CC05">
            <w:pPr>
              <w:rPr>
                <w:rFonts w:hint="eastAsia" w:ascii="宋体" w:hAnsi="宋体" w:cs="宋体"/>
                <w:i/>
                <w:iCs/>
                <w:color w:val="000000"/>
                <w:sz w:val="18"/>
                <w:szCs w:val="18"/>
              </w:rPr>
            </w:pPr>
          </w:p>
        </w:tc>
      </w:tr>
      <w:tr w14:paraId="360EEED3">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885A8">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80B863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389A01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16396E8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1E5B3F0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C8A82A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D8B67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6D8F9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C6285">
            <w:pPr>
              <w:rPr>
                <w:rFonts w:hint="eastAsia" w:ascii="宋体" w:hAnsi="宋体" w:cs="宋体"/>
                <w:i/>
                <w:iCs/>
                <w:color w:val="000000"/>
                <w:sz w:val="18"/>
                <w:szCs w:val="18"/>
              </w:rPr>
            </w:pPr>
          </w:p>
        </w:tc>
      </w:tr>
      <w:tr w14:paraId="405DFE62">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DB5FC">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34E76F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70AAC4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3E01470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30AF61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75263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FD995E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8383E2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B1EBA">
            <w:pPr>
              <w:rPr>
                <w:rFonts w:hint="eastAsia" w:ascii="宋体" w:hAnsi="宋体" w:cs="宋体"/>
                <w:i/>
                <w:iCs/>
                <w:color w:val="000000"/>
                <w:sz w:val="18"/>
                <w:szCs w:val="18"/>
              </w:rPr>
            </w:pPr>
          </w:p>
        </w:tc>
      </w:tr>
      <w:tr w14:paraId="30F1ABFD">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A6CA3">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E1B5E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3F79668">
            <w:pPr>
              <w:jc w:val="center"/>
              <w:rPr>
                <w:rFonts w:hint="eastAsia" w:ascii="微软雅黑" w:hAnsi="微软雅黑" w:eastAsia="微软雅黑" w:cs="微软雅黑"/>
                <w:i/>
                <w:iCs/>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749F102B">
            <w:pPr>
              <w:jc w:val="center"/>
              <w:rPr>
                <w:rFonts w:hint="eastAsia" w:ascii="微软雅黑" w:hAnsi="微软雅黑" w:eastAsia="微软雅黑" w:cs="微软雅黑"/>
                <w:i/>
                <w:iCs/>
                <w:color w:val="000000"/>
                <w:sz w:val="16"/>
                <w:szCs w:val="16"/>
              </w:rPr>
            </w:pP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1DE18790">
            <w:pPr>
              <w:jc w:val="center"/>
              <w:rPr>
                <w:rFonts w:hint="eastAsia"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7F31CE1">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B65D42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FE5E6E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16ECF">
            <w:pPr>
              <w:rPr>
                <w:rFonts w:hint="eastAsia" w:ascii="宋体" w:hAnsi="宋体" w:cs="宋体"/>
                <w:i/>
                <w:iCs/>
                <w:color w:val="000000"/>
                <w:sz w:val="18"/>
                <w:szCs w:val="18"/>
              </w:rPr>
            </w:pPr>
          </w:p>
        </w:tc>
      </w:tr>
      <w:tr w14:paraId="3788D610">
        <w:tblPrEx>
          <w:tblCellMar>
            <w:top w:w="0" w:type="dxa"/>
            <w:left w:w="108" w:type="dxa"/>
            <w:bottom w:w="0" w:type="dxa"/>
            <w:right w:w="108" w:type="dxa"/>
          </w:tblCellMar>
        </w:tblPrEx>
        <w:trPr>
          <w:trHeight w:val="9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EE3B77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7B2E2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150D3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185178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35E21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B9CD0C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DC4898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87100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A94ACE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D10BDA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604FB6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0BB6D2FA">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01E06">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931EC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021A1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质量指标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0A31A61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项目通过率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DDF68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795DA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5B8C1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3971CBA">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28AA2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1704CE0">
            <w:pPr>
              <w:jc w:val="cente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166D7E5E">
            <w:pPr>
              <w:jc w:val="center"/>
              <w:rPr>
                <w:rFonts w:hint="eastAsia" w:ascii="宋体" w:hAnsi="宋体" w:cs="宋体"/>
                <w:color w:val="000000"/>
                <w:sz w:val="18"/>
                <w:szCs w:val="18"/>
              </w:rPr>
            </w:pPr>
          </w:p>
        </w:tc>
      </w:tr>
      <w:tr w14:paraId="2D8663B9">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EC476">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5D3E2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6B48E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100699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足额保障率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C5F063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B7062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7815E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7DA3AB9">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3A011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0E2CB7F">
            <w:pPr>
              <w:jc w:val="cente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51A3CD73">
            <w:pPr>
              <w:jc w:val="center"/>
              <w:rPr>
                <w:rFonts w:hint="eastAsia" w:ascii="微软雅黑" w:hAnsi="微软雅黑" w:eastAsia="微软雅黑" w:cs="微软雅黑"/>
                <w:i/>
                <w:iCs/>
                <w:color w:val="000000"/>
                <w:sz w:val="16"/>
                <w:szCs w:val="16"/>
              </w:rPr>
            </w:pPr>
          </w:p>
        </w:tc>
      </w:tr>
      <w:tr w14:paraId="568BE182">
        <w:tblPrEx>
          <w:tblCellMar>
            <w:top w:w="0" w:type="dxa"/>
            <w:left w:w="108" w:type="dxa"/>
            <w:bottom w:w="0" w:type="dxa"/>
            <w:right w:w="108" w:type="dxa"/>
          </w:tblCellMar>
        </w:tblPrEx>
        <w:trPr>
          <w:trHeight w:val="244" w:hRule="atLeast"/>
          <w:jc w:val="center"/>
        </w:trPr>
        <w:tc>
          <w:tcPr>
            <w:tcW w:w="6776" w:type="dxa"/>
            <w:gridSpan w:val="8"/>
            <w:tcBorders>
              <w:top w:val="single" w:color="000000" w:sz="4" w:space="0"/>
              <w:left w:val="single" w:color="000000" w:sz="4" w:space="0"/>
              <w:bottom w:val="single" w:color="000000" w:sz="4" w:space="0"/>
              <w:right w:val="single" w:color="000000" w:sz="4" w:space="0"/>
            </w:tcBorders>
            <w:noWrap w:val="0"/>
            <w:vAlign w:val="center"/>
          </w:tcPr>
          <w:p w14:paraId="738BB66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A7500B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60562ED">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5ECAF46A">
            <w:pPr>
              <w:rPr>
                <w:rFonts w:hint="eastAsia" w:ascii="宋体" w:hAnsi="宋体" w:cs="宋体"/>
                <w:color w:val="000000"/>
                <w:sz w:val="18"/>
                <w:szCs w:val="18"/>
              </w:rPr>
            </w:pPr>
          </w:p>
        </w:tc>
      </w:tr>
      <w:tr w14:paraId="742AA4D3">
        <w:tblPrEx>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30A074D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484" w:type="dxa"/>
            <w:gridSpan w:val="10"/>
            <w:tcBorders>
              <w:top w:val="single" w:color="000000" w:sz="4" w:space="0"/>
              <w:left w:val="single" w:color="000000" w:sz="4" w:space="0"/>
              <w:bottom w:val="single" w:color="000000" w:sz="4" w:space="0"/>
              <w:right w:val="single" w:color="000000" w:sz="4" w:space="0"/>
            </w:tcBorders>
            <w:noWrap w:val="0"/>
            <w:vAlign w:val="center"/>
          </w:tcPr>
          <w:p w14:paraId="2A20ECB7">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绩效目标实现指标自评得分100.00分，自评等次为：优，严格执行相关政策，按要求支付，切实提高扶贫成效。</w:t>
            </w:r>
          </w:p>
        </w:tc>
      </w:tr>
      <w:tr w14:paraId="049220A6">
        <w:tblPrEx>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354CEB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484" w:type="dxa"/>
            <w:gridSpan w:val="10"/>
            <w:tcBorders>
              <w:top w:val="single" w:color="000000" w:sz="4" w:space="0"/>
              <w:left w:val="single" w:color="000000" w:sz="4" w:space="0"/>
              <w:bottom w:val="single" w:color="000000" w:sz="4" w:space="0"/>
              <w:right w:val="single" w:color="000000" w:sz="4" w:space="0"/>
            </w:tcBorders>
            <w:noWrap w:val="0"/>
            <w:vAlign w:val="center"/>
          </w:tcPr>
          <w:p w14:paraId="07F6CBED">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因困难学生众多，情况复杂，在核实困难学生情况中较复杂。</w:t>
            </w:r>
          </w:p>
        </w:tc>
      </w:tr>
      <w:tr w14:paraId="0B7F6C42">
        <w:tblPrEx>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337C175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484" w:type="dxa"/>
            <w:gridSpan w:val="10"/>
            <w:tcBorders>
              <w:top w:val="single" w:color="000000" w:sz="4" w:space="0"/>
              <w:left w:val="single" w:color="000000" w:sz="4" w:space="0"/>
              <w:bottom w:val="single" w:color="000000" w:sz="4" w:space="0"/>
              <w:right w:val="single" w:color="000000" w:sz="4" w:space="0"/>
            </w:tcBorders>
            <w:noWrap w:val="0"/>
            <w:vAlign w:val="center"/>
          </w:tcPr>
          <w:p w14:paraId="6E94A5A2">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进一步加强教育资助政策宣传及资助情况的反馈公示。</w:t>
            </w:r>
          </w:p>
        </w:tc>
      </w:tr>
      <w:tr w14:paraId="32CCC417">
        <w:tblPrEx>
          <w:tblCellMar>
            <w:top w:w="0" w:type="dxa"/>
            <w:left w:w="108" w:type="dxa"/>
            <w:bottom w:w="0" w:type="dxa"/>
            <w:right w:w="108" w:type="dxa"/>
          </w:tblCellMar>
        </w:tblPrEx>
        <w:trPr>
          <w:trHeight w:val="244" w:hRule="atLeast"/>
          <w:jc w:val="center"/>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14:paraId="297C0FA0">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项目负责人：谢金华</w:t>
            </w:r>
          </w:p>
        </w:tc>
        <w:tc>
          <w:tcPr>
            <w:tcW w:w="4342" w:type="dxa"/>
            <w:gridSpan w:val="6"/>
            <w:tcBorders>
              <w:top w:val="single" w:color="000000" w:sz="4" w:space="0"/>
              <w:left w:val="single" w:color="000000" w:sz="4" w:space="0"/>
              <w:bottom w:val="single" w:color="000000" w:sz="4" w:space="0"/>
              <w:right w:val="single" w:color="000000" w:sz="4" w:space="0"/>
            </w:tcBorders>
            <w:noWrap w:val="0"/>
            <w:vAlign w:val="center"/>
          </w:tcPr>
          <w:p w14:paraId="11BC26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财务负责人：杨文武</w:t>
            </w:r>
          </w:p>
        </w:tc>
      </w:tr>
      <w:tr w14:paraId="7E171945">
        <w:tblPrEx>
          <w:tblCellMar>
            <w:top w:w="0" w:type="dxa"/>
            <w:left w:w="108" w:type="dxa"/>
            <w:bottom w:w="0" w:type="dxa"/>
            <w:right w:w="108" w:type="dxa"/>
          </w:tblCellMar>
        </w:tblPrEx>
        <w:trPr>
          <w:trHeight w:val="244" w:hRule="atLeast"/>
          <w:jc w:val="center"/>
        </w:trPr>
        <w:tc>
          <w:tcPr>
            <w:tcW w:w="576" w:type="dxa"/>
            <w:tcBorders>
              <w:top w:val="nil"/>
              <w:left w:val="nil"/>
              <w:bottom w:val="nil"/>
              <w:right w:val="nil"/>
            </w:tcBorders>
            <w:noWrap w:val="0"/>
            <w:vAlign w:val="center"/>
          </w:tcPr>
          <w:p w14:paraId="3C3D9781">
            <w:pPr>
              <w:rPr>
                <w:rFonts w:hint="eastAsia" w:ascii="宋体" w:hAnsi="宋体" w:cs="宋体"/>
                <w:color w:val="000000"/>
                <w:sz w:val="18"/>
                <w:szCs w:val="18"/>
              </w:rPr>
            </w:pPr>
          </w:p>
        </w:tc>
        <w:tc>
          <w:tcPr>
            <w:tcW w:w="1230" w:type="dxa"/>
            <w:tcBorders>
              <w:top w:val="nil"/>
              <w:left w:val="nil"/>
              <w:bottom w:val="nil"/>
              <w:right w:val="nil"/>
            </w:tcBorders>
            <w:noWrap w:val="0"/>
            <w:vAlign w:val="center"/>
          </w:tcPr>
          <w:p w14:paraId="010CD4FC">
            <w:pPr>
              <w:rPr>
                <w:rFonts w:hint="eastAsia" w:ascii="宋体" w:hAnsi="宋体" w:cs="宋体"/>
                <w:color w:val="000000"/>
                <w:sz w:val="18"/>
                <w:szCs w:val="18"/>
              </w:rPr>
            </w:pPr>
          </w:p>
        </w:tc>
        <w:tc>
          <w:tcPr>
            <w:tcW w:w="1130" w:type="dxa"/>
            <w:tcBorders>
              <w:top w:val="nil"/>
              <w:left w:val="nil"/>
              <w:bottom w:val="nil"/>
              <w:right w:val="nil"/>
            </w:tcBorders>
            <w:noWrap w:val="0"/>
            <w:vAlign w:val="center"/>
          </w:tcPr>
          <w:p w14:paraId="09F2DFF5">
            <w:pPr>
              <w:rPr>
                <w:rFonts w:hint="eastAsia" w:ascii="宋体" w:hAnsi="宋体" w:cs="宋体"/>
                <w:color w:val="000000"/>
                <w:sz w:val="18"/>
                <w:szCs w:val="18"/>
              </w:rPr>
            </w:pPr>
          </w:p>
        </w:tc>
        <w:tc>
          <w:tcPr>
            <w:tcW w:w="1386" w:type="dxa"/>
            <w:tcBorders>
              <w:top w:val="nil"/>
              <w:left w:val="nil"/>
              <w:bottom w:val="nil"/>
              <w:right w:val="nil"/>
            </w:tcBorders>
            <w:noWrap w:val="0"/>
            <w:vAlign w:val="center"/>
          </w:tcPr>
          <w:p w14:paraId="20ED1380">
            <w:pPr>
              <w:rPr>
                <w:rFonts w:hint="eastAsia" w:ascii="宋体" w:hAnsi="宋体" w:cs="宋体"/>
                <w:color w:val="000000"/>
                <w:sz w:val="18"/>
                <w:szCs w:val="18"/>
              </w:rPr>
            </w:pPr>
          </w:p>
        </w:tc>
        <w:tc>
          <w:tcPr>
            <w:tcW w:w="396" w:type="dxa"/>
            <w:tcBorders>
              <w:top w:val="nil"/>
              <w:left w:val="nil"/>
              <w:bottom w:val="nil"/>
              <w:right w:val="nil"/>
            </w:tcBorders>
            <w:noWrap w:val="0"/>
            <w:vAlign w:val="center"/>
          </w:tcPr>
          <w:p w14:paraId="0F22F0BD">
            <w:pPr>
              <w:rPr>
                <w:rFonts w:hint="eastAsia" w:ascii="宋体" w:hAnsi="宋体" w:cs="宋体"/>
                <w:color w:val="000000"/>
                <w:sz w:val="18"/>
                <w:szCs w:val="18"/>
              </w:rPr>
            </w:pPr>
          </w:p>
        </w:tc>
        <w:tc>
          <w:tcPr>
            <w:tcW w:w="816" w:type="dxa"/>
            <w:tcBorders>
              <w:top w:val="nil"/>
              <w:left w:val="nil"/>
              <w:bottom w:val="nil"/>
              <w:right w:val="nil"/>
            </w:tcBorders>
            <w:noWrap w:val="0"/>
            <w:vAlign w:val="center"/>
          </w:tcPr>
          <w:p w14:paraId="38D85645">
            <w:pPr>
              <w:rPr>
                <w:rFonts w:hint="eastAsia" w:ascii="宋体" w:hAnsi="宋体" w:cs="宋体"/>
                <w:color w:val="000000"/>
                <w:sz w:val="18"/>
                <w:szCs w:val="18"/>
              </w:rPr>
            </w:pPr>
          </w:p>
        </w:tc>
        <w:tc>
          <w:tcPr>
            <w:tcW w:w="396" w:type="dxa"/>
            <w:tcBorders>
              <w:top w:val="nil"/>
              <w:left w:val="nil"/>
              <w:bottom w:val="nil"/>
              <w:right w:val="nil"/>
            </w:tcBorders>
            <w:noWrap w:val="0"/>
            <w:vAlign w:val="center"/>
          </w:tcPr>
          <w:p w14:paraId="76417D3E">
            <w:pPr>
              <w:rPr>
                <w:rFonts w:hint="eastAsia" w:ascii="宋体" w:hAnsi="宋体" w:cs="宋体"/>
                <w:color w:val="000000"/>
                <w:sz w:val="18"/>
                <w:szCs w:val="18"/>
              </w:rPr>
            </w:pPr>
          </w:p>
        </w:tc>
        <w:tc>
          <w:tcPr>
            <w:tcW w:w="846" w:type="dxa"/>
            <w:tcBorders>
              <w:top w:val="nil"/>
              <w:left w:val="nil"/>
              <w:bottom w:val="nil"/>
              <w:right w:val="nil"/>
            </w:tcBorders>
            <w:noWrap w:val="0"/>
            <w:vAlign w:val="center"/>
          </w:tcPr>
          <w:p w14:paraId="0BF56068">
            <w:pPr>
              <w:rPr>
                <w:rFonts w:hint="eastAsia" w:ascii="宋体" w:hAnsi="宋体" w:cs="宋体"/>
                <w:color w:val="000000"/>
                <w:sz w:val="18"/>
                <w:szCs w:val="18"/>
              </w:rPr>
            </w:pPr>
          </w:p>
        </w:tc>
        <w:tc>
          <w:tcPr>
            <w:tcW w:w="486" w:type="dxa"/>
            <w:tcBorders>
              <w:top w:val="nil"/>
              <w:left w:val="nil"/>
              <w:bottom w:val="nil"/>
              <w:right w:val="nil"/>
            </w:tcBorders>
            <w:noWrap w:val="0"/>
            <w:vAlign w:val="center"/>
          </w:tcPr>
          <w:p w14:paraId="166887EC">
            <w:pPr>
              <w:rPr>
                <w:rFonts w:hint="eastAsia" w:ascii="宋体" w:hAnsi="宋体" w:cs="宋体"/>
                <w:color w:val="000000"/>
                <w:sz w:val="18"/>
                <w:szCs w:val="18"/>
              </w:rPr>
            </w:pPr>
          </w:p>
        </w:tc>
        <w:tc>
          <w:tcPr>
            <w:tcW w:w="396" w:type="dxa"/>
            <w:tcBorders>
              <w:top w:val="nil"/>
              <w:left w:val="nil"/>
              <w:bottom w:val="nil"/>
              <w:right w:val="nil"/>
            </w:tcBorders>
            <w:noWrap w:val="0"/>
            <w:vAlign w:val="center"/>
          </w:tcPr>
          <w:p w14:paraId="4044EA38">
            <w:pPr>
              <w:rPr>
                <w:rFonts w:hint="eastAsia" w:ascii="宋体" w:hAnsi="宋体" w:cs="宋体"/>
                <w:color w:val="000000"/>
                <w:sz w:val="18"/>
                <w:szCs w:val="18"/>
              </w:rPr>
            </w:pPr>
          </w:p>
        </w:tc>
        <w:tc>
          <w:tcPr>
            <w:tcW w:w="1402" w:type="dxa"/>
            <w:tcBorders>
              <w:top w:val="nil"/>
              <w:left w:val="nil"/>
              <w:bottom w:val="nil"/>
              <w:right w:val="nil"/>
            </w:tcBorders>
            <w:noWrap w:val="0"/>
            <w:vAlign w:val="center"/>
          </w:tcPr>
          <w:p w14:paraId="625D5B39">
            <w:pPr>
              <w:rPr>
                <w:rFonts w:hint="eastAsia" w:ascii="宋体" w:hAnsi="宋体" w:cs="宋体"/>
                <w:color w:val="000000"/>
                <w:sz w:val="18"/>
                <w:szCs w:val="18"/>
              </w:rPr>
            </w:pPr>
          </w:p>
        </w:tc>
      </w:tr>
      <w:tr w14:paraId="79A781C5">
        <w:tblPrEx>
          <w:tblCellMar>
            <w:top w:w="0" w:type="dxa"/>
            <w:left w:w="108" w:type="dxa"/>
            <w:bottom w:w="0" w:type="dxa"/>
            <w:right w:w="108" w:type="dxa"/>
          </w:tblCellMar>
        </w:tblPrEx>
        <w:trPr>
          <w:trHeight w:val="480" w:hRule="atLeast"/>
          <w:jc w:val="center"/>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0681E4E9">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lang w:bidi="ar"/>
              </w:rPr>
              <w:t>部门预算项目支出绩效自评表（2023年度）</w:t>
            </w:r>
          </w:p>
        </w:tc>
      </w:tr>
      <w:tr w14:paraId="68C19051">
        <w:tblPrEx>
          <w:tblCellMar>
            <w:top w:w="0" w:type="dxa"/>
            <w:left w:w="108" w:type="dxa"/>
            <w:bottom w:w="0" w:type="dxa"/>
            <w:right w:w="108" w:type="dxa"/>
          </w:tblCellMar>
        </w:tblPrEx>
        <w:trPr>
          <w:trHeight w:val="244" w:hRule="atLeast"/>
          <w:jc w:val="center"/>
        </w:trPr>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0489960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254" w:type="dxa"/>
            <w:gridSpan w:val="9"/>
            <w:tcBorders>
              <w:top w:val="single" w:color="000000" w:sz="4" w:space="0"/>
              <w:left w:val="single" w:color="000000" w:sz="4" w:space="0"/>
              <w:bottom w:val="single" w:color="000000" w:sz="4" w:space="0"/>
              <w:right w:val="single" w:color="000000" w:sz="4" w:space="0"/>
            </w:tcBorders>
            <w:noWrap w:val="0"/>
            <w:vAlign w:val="center"/>
          </w:tcPr>
          <w:p w14:paraId="689E68C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51090423T000008947983-2020年中央支持学前教育发展专项资金</w:t>
            </w:r>
          </w:p>
        </w:tc>
      </w:tr>
      <w:tr w14:paraId="05546F36">
        <w:tblPrEx>
          <w:tblCellMar>
            <w:top w:w="0" w:type="dxa"/>
            <w:left w:w="108" w:type="dxa"/>
            <w:bottom w:w="0" w:type="dxa"/>
            <w:right w:w="108" w:type="dxa"/>
          </w:tblCellMar>
        </w:tblPrEx>
        <w:trPr>
          <w:trHeight w:val="716" w:hRule="atLeast"/>
          <w:jc w:val="center"/>
        </w:trPr>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18208C1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124" w:type="dxa"/>
            <w:gridSpan w:val="5"/>
            <w:tcBorders>
              <w:top w:val="single" w:color="000000" w:sz="4" w:space="0"/>
              <w:left w:val="single" w:color="000000" w:sz="4" w:space="0"/>
              <w:bottom w:val="single" w:color="000000" w:sz="4" w:space="0"/>
              <w:right w:val="single" w:color="000000" w:sz="4" w:space="0"/>
            </w:tcBorders>
            <w:noWrap w:val="0"/>
            <w:vAlign w:val="center"/>
          </w:tcPr>
          <w:p w14:paraId="3C5D43A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遂宁市安居区东禅镇中心幼儿园部门</w:t>
            </w:r>
          </w:p>
        </w:tc>
        <w:tc>
          <w:tcPr>
            <w:tcW w:w="846" w:type="dxa"/>
            <w:tcBorders>
              <w:top w:val="nil"/>
              <w:left w:val="nil"/>
              <w:bottom w:val="nil"/>
              <w:right w:val="nil"/>
            </w:tcBorders>
            <w:noWrap w:val="0"/>
            <w:vAlign w:val="center"/>
          </w:tcPr>
          <w:p w14:paraId="00EC4005">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实施单位 （盖章）</w:t>
            </w:r>
          </w:p>
        </w:tc>
        <w:tc>
          <w:tcPr>
            <w:tcW w:w="2284" w:type="dxa"/>
            <w:gridSpan w:val="3"/>
            <w:tcBorders>
              <w:top w:val="single" w:color="000000" w:sz="4" w:space="0"/>
              <w:left w:val="single" w:color="000000" w:sz="4" w:space="0"/>
              <w:bottom w:val="single" w:color="000000" w:sz="4" w:space="0"/>
              <w:right w:val="single" w:color="000000" w:sz="4" w:space="0"/>
            </w:tcBorders>
            <w:noWrap w:val="0"/>
            <w:vAlign w:val="center"/>
          </w:tcPr>
          <w:p w14:paraId="4D39F94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遂宁市安居区东禅镇中心幼儿园</w:t>
            </w:r>
          </w:p>
        </w:tc>
      </w:tr>
      <w:tr w14:paraId="7FF401E1">
        <w:tblPrEx>
          <w:tblCellMar>
            <w:top w:w="0" w:type="dxa"/>
            <w:left w:w="108" w:type="dxa"/>
            <w:bottom w:w="0" w:type="dxa"/>
            <w:right w:w="108" w:type="dxa"/>
          </w:tblCellMar>
        </w:tblPrEx>
        <w:trPr>
          <w:trHeight w:val="244"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26B4585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3D2C7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124" w:type="dxa"/>
            <w:gridSpan w:val="5"/>
            <w:tcBorders>
              <w:top w:val="single" w:color="000000" w:sz="4" w:space="0"/>
              <w:left w:val="single" w:color="000000" w:sz="4" w:space="0"/>
              <w:bottom w:val="single" w:color="000000" w:sz="4" w:space="0"/>
              <w:right w:val="single" w:color="000000" w:sz="4" w:space="0"/>
            </w:tcBorders>
            <w:noWrap w:val="0"/>
            <w:vAlign w:val="center"/>
          </w:tcPr>
          <w:p w14:paraId="6FA4B89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30" w:type="dxa"/>
            <w:gridSpan w:val="4"/>
            <w:tcBorders>
              <w:top w:val="single" w:color="000000" w:sz="4" w:space="0"/>
              <w:left w:val="single" w:color="000000" w:sz="4" w:space="0"/>
              <w:bottom w:val="single" w:color="000000" w:sz="4" w:space="0"/>
              <w:right w:val="single" w:color="000000" w:sz="4" w:space="0"/>
            </w:tcBorders>
            <w:noWrap w:val="0"/>
            <w:vAlign w:val="center"/>
          </w:tcPr>
          <w:p w14:paraId="6E78C690">
            <w:pPr>
              <w:widowControl/>
              <w:jc w:val="center"/>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年度目标完成情况</w:t>
            </w:r>
          </w:p>
        </w:tc>
      </w:tr>
      <w:tr w14:paraId="2DE46151">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D0268">
            <w:pPr>
              <w:rPr>
                <w:rFonts w:hint="eastAsia" w:ascii="宋体" w:hAnsi="宋体" w:cs="宋体"/>
                <w:color w:val="000000"/>
                <w:sz w:val="18"/>
                <w:szCs w:val="18"/>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CAA35">
            <w:pPr>
              <w:rPr>
                <w:rFonts w:hint="eastAsia" w:ascii="宋体" w:hAnsi="宋体" w:cs="宋体"/>
                <w:color w:val="000000"/>
                <w:sz w:val="18"/>
                <w:szCs w:val="18"/>
              </w:rPr>
            </w:pPr>
          </w:p>
        </w:tc>
        <w:tc>
          <w:tcPr>
            <w:tcW w:w="4124" w:type="dxa"/>
            <w:gridSpan w:val="5"/>
            <w:tcBorders>
              <w:top w:val="single" w:color="000000" w:sz="4" w:space="0"/>
              <w:left w:val="single" w:color="000000" w:sz="4" w:space="0"/>
              <w:bottom w:val="single" w:color="000000" w:sz="4" w:space="0"/>
              <w:right w:val="single" w:color="000000" w:sz="4" w:space="0"/>
            </w:tcBorders>
            <w:noWrap w:val="0"/>
            <w:vAlign w:val="center"/>
          </w:tcPr>
          <w:p w14:paraId="427C862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促进幼儿园健康发展，提高预算编制质量，严格执行预算，减少结余资金。</w:t>
            </w:r>
          </w:p>
        </w:tc>
        <w:tc>
          <w:tcPr>
            <w:tcW w:w="3130" w:type="dxa"/>
            <w:gridSpan w:val="4"/>
            <w:tcBorders>
              <w:top w:val="single" w:color="000000" w:sz="4" w:space="0"/>
              <w:left w:val="single" w:color="000000" w:sz="4" w:space="0"/>
              <w:bottom w:val="single" w:color="000000" w:sz="4" w:space="0"/>
              <w:right w:val="single" w:color="000000" w:sz="4" w:space="0"/>
            </w:tcBorders>
            <w:noWrap w:val="0"/>
            <w:vAlign w:val="center"/>
          </w:tcPr>
          <w:p w14:paraId="75612C3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严格执行预算，及时申请支付资金，促进幼儿园健康发展。</w:t>
            </w:r>
          </w:p>
        </w:tc>
      </w:tr>
      <w:tr w14:paraId="6C14270D">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105AB">
            <w:pP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02B3DD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254" w:type="dxa"/>
            <w:gridSpan w:val="9"/>
            <w:tcBorders>
              <w:top w:val="single" w:color="000000" w:sz="4" w:space="0"/>
              <w:left w:val="single" w:color="000000" w:sz="4" w:space="0"/>
              <w:bottom w:val="single" w:color="000000" w:sz="4" w:space="0"/>
              <w:right w:val="single" w:color="000000" w:sz="4" w:space="0"/>
            </w:tcBorders>
            <w:noWrap w:val="0"/>
            <w:vAlign w:val="center"/>
          </w:tcPr>
          <w:p w14:paraId="19F8B41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及时申报经费，促进幼儿园健康发展。</w:t>
            </w:r>
          </w:p>
        </w:tc>
      </w:tr>
      <w:tr w14:paraId="6E0E0D77">
        <w:tblPrEx>
          <w:tblCellMar>
            <w:top w:w="0" w:type="dxa"/>
            <w:left w:w="108" w:type="dxa"/>
            <w:bottom w:w="0" w:type="dxa"/>
            <w:right w:w="108" w:type="dxa"/>
          </w:tblCellMar>
        </w:tblPrEx>
        <w:trPr>
          <w:trHeight w:val="480"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1FA9E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A189A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6BD36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7CDC111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139D4D1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F5C9C4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6FDD7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C434B1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435FCC8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63D4D637">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D95E6">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54F53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66B63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37C70A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19.00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0B2F86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19.00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E25BE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1AD44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6DFC72D">
            <w:pPr>
              <w:jc w:val="center"/>
              <w:rPr>
                <w:rFonts w:hint="eastAsia" w:ascii="宋体" w:hAnsi="宋体" w:cs="宋体"/>
                <w:color w:val="000000"/>
                <w:sz w:val="18"/>
                <w:szCs w:val="18"/>
              </w:rPr>
            </w:pPr>
          </w:p>
        </w:tc>
        <w:tc>
          <w:tcPr>
            <w:tcW w:w="140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1D42A7">
            <w:pPr>
              <w:rPr>
                <w:rFonts w:ascii="黑体" w:hAnsi="黑体" w:eastAsia="黑体" w:cs="黑体"/>
                <w:i/>
                <w:iCs/>
                <w:color w:val="000000"/>
                <w:sz w:val="18"/>
                <w:szCs w:val="18"/>
              </w:rPr>
            </w:pPr>
          </w:p>
        </w:tc>
      </w:tr>
      <w:tr w14:paraId="360D6071">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ACD1D">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9D5EA1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B1219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6BA8048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19.00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1711395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19.00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86867B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78AA7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F6C5A3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096B1">
            <w:pPr>
              <w:rPr>
                <w:rFonts w:ascii="黑体" w:hAnsi="黑体" w:eastAsia="黑体" w:cs="黑体"/>
                <w:i/>
                <w:iCs/>
                <w:color w:val="000000"/>
                <w:sz w:val="18"/>
                <w:szCs w:val="18"/>
              </w:rPr>
            </w:pPr>
          </w:p>
        </w:tc>
      </w:tr>
      <w:tr w14:paraId="49F7563B">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6412A">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0F6F42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D2E51F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5D7B30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26B658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14609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14242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B4611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C0114">
            <w:pPr>
              <w:rPr>
                <w:rFonts w:ascii="黑体" w:hAnsi="黑体" w:eastAsia="黑体" w:cs="黑体"/>
                <w:i/>
                <w:iCs/>
                <w:color w:val="000000"/>
                <w:sz w:val="18"/>
                <w:szCs w:val="18"/>
              </w:rPr>
            </w:pPr>
          </w:p>
        </w:tc>
      </w:tr>
      <w:tr w14:paraId="61178F3E">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DEA4A">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A03903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542149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5694E93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50F725D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5F3CC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447129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CE05B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3C383">
            <w:pPr>
              <w:rPr>
                <w:rFonts w:ascii="黑体" w:hAnsi="黑体" w:eastAsia="黑体" w:cs="黑体"/>
                <w:i/>
                <w:iCs/>
                <w:color w:val="000000"/>
                <w:sz w:val="18"/>
                <w:szCs w:val="18"/>
              </w:rPr>
            </w:pPr>
          </w:p>
        </w:tc>
      </w:tr>
      <w:tr w14:paraId="130A000E">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00186">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81D169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D02A7B4">
            <w:pPr>
              <w:jc w:val="center"/>
              <w:rPr>
                <w:rFonts w:hint="eastAsia" w:ascii="微软雅黑" w:hAnsi="微软雅黑" w:eastAsia="微软雅黑" w:cs="微软雅黑"/>
                <w:i/>
                <w:iCs/>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257D9BAF">
            <w:pPr>
              <w:jc w:val="center"/>
              <w:rPr>
                <w:rFonts w:hint="eastAsia" w:ascii="微软雅黑" w:hAnsi="微软雅黑" w:eastAsia="微软雅黑" w:cs="微软雅黑"/>
                <w:i/>
                <w:iCs/>
                <w:color w:val="000000"/>
                <w:sz w:val="16"/>
                <w:szCs w:val="16"/>
              </w:rPr>
            </w:pP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574A1D8D">
            <w:pPr>
              <w:jc w:val="center"/>
              <w:rPr>
                <w:rFonts w:hint="eastAsia"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9D588A8">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132CB1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FFDA2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B79EE">
            <w:pPr>
              <w:rPr>
                <w:rFonts w:ascii="黑体" w:hAnsi="黑体" w:eastAsia="黑体" w:cs="黑体"/>
                <w:i/>
                <w:iCs/>
                <w:color w:val="000000"/>
                <w:sz w:val="18"/>
                <w:szCs w:val="18"/>
              </w:rPr>
            </w:pPr>
          </w:p>
        </w:tc>
      </w:tr>
      <w:tr w14:paraId="76E7F3B2">
        <w:tblPrEx>
          <w:tblCellMar>
            <w:top w:w="0" w:type="dxa"/>
            <w:left w:w="108" w:type="dxa"/>
            <w:bottom w:w="0" w:type="dxa"/>
            <w:right w:w="108" w:type="dxa"/>
          </w:tblCellMar>
        </w:tblPrEx>
        <w:trPr>
          <w:trHeight w:val="9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98525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0BC69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2FF3C6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2DB612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6DF325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DFA1A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DD5BF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5D032C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9299B9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25EF7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53D6998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235F4D53">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06482">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E504E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D5A08C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质量指标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332F05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项目通过率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533AB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1D3280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6AA2B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3CC79D9">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266C2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6C9C910">
            <w:pPr>
              <w:jc w:val="cente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202609DD">
            <w:pPr>
              <w:jc w:val="center"/>
              <w:rPr>
                <w:rFonts w:hint="eastAsia" w:ascii="宋体" w:hAnsi="宋体" w:cs="宋体"/>
                <w:color w:val="000000"/>
                <w:sz w:val="18"/>
                <w:szCs w:val="18"/>
              </w:rPr>
            </w:pPr>
          </w:p>
        </w:tc>
      </w:tr>
      <w:tr w14:paraId="636B1869">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04DED">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D401E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AEDC56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60DA2CA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足额保障率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F098C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7452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A76EBA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3088311">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4D4E1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8E1690F">
            <w:pPr>
              <w:jc w:val="cente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30F77CDB">
            <w:pPr>
              <w:jc w:val="center"/>
              <w:rPr>
                <w:rFonts w:hint="eastAsia" w:ascii="微软雅黑" w:hAnsi="微软雅黑" w:eastAsia="微软雅黑" w:cs="微软雅黑"/>
                <w:i/>
                <w:iCs/>
                <w:color w:val="000000"/>
                <w:sz w:val="16"/>
                <w:szCs w:val="16"/>
              </w:rPr>
            </w:pPr>
          </w:p>
        </w:tc>
      </w:tr>
      <w:tr w14:paraId="0AA8F6A5">
        <w:tblPrEx>
          <w:tblCellMar>
            <w:top w:w="0" w:type="dxa"/>
            <w:left w:w="108" w:type="dxa"/>
            <w:bottom w:w="0" w:type="dxa"/>
            <w:right w:w="108" w:type="dxa"/>
          </w:tblCellMar>
        </w:tblPrEx>
        <w:trPr>
          <w:trHeight w:val="244" w:hRule="atLeast"/>
          <w:jc w:val="center"/>
        </w:trPr>
        <w:tc>
          <w:tcPr>
            <w:tcW w:w="6776" w:type="dxa"/>
            <w:gridSpan w:val="8"/>
            <w:tcBorders>
              <w:top w:val="single" w:color="000000" w:sz="4" w:space="0"/>
              <w:left w:val="single" w:color="000000" w:sz="4" w:space="0"/>
              <w:bottom w:val="single" w:color="000000" w:sz="4" w:space="0"/>
              <w:right w:val="single" w:color="000000" w:sz="4" w:space="0"/>
            </w:tcBorders>
            <w:noWrap w:val="0"/>
            <w:vAlign w:val="center"/>
          </w:tcPr>
          <w:p w14:paraId="78E26EC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8EBB4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7A55A69">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3C93766D">
            <w:pPr>
              <w:rPr>
                <w:rFonts w:hint="eastAsia" w:ascii="宋体" w:hAnsi="宋体" w:cs="宋体"/>
                <w:color w:val="000000"/>
                <w:sz w:val="18"/>
                <w:szCs w:val="18"/>
              </w:rPr>
            </w:pPr>
          </w:p>
        </w:tc>
      </w:tr>
      <w:tr w14:paraId="01ACB952">
        <w:tblPrEx>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2AEA8D5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484" w:type="dxa"/>
            <w:gridSpan w:val="10"/>
            <w:tcBorders>
              <w:top w:val="single" w:color="000000" w:sz="4" w:space="0"/>
              <w:left w:val="single" w:color="000000" w:sz="4" w:space="0"/>
              <w:bottom w:val="single" w:color="000000" w:sz="4" w:space="0"/>
              <w:right w:val="single" w:color="000000" w:sz="4" w:space="0"/>
            </w:tcBorders>
            <w:noWrap w:val="0"/>
            <w:vAlign w:val="center"/>
          </w:tcPr>
          <w:p w14:paraId="271D6127">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绩效目标实现指标自评得分100.00分，自评等次为：优，严格执行相关政策，按要求支付，促进幼儿园健康发展。</w:t>
            </w:r>
          </w:p>
        </w:tc>
      </w:tr>
      <w:tr w14:paraId="7CA8881D">
        <w:tblPrEx>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3E1CFF4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484" w:type="dxa"/>
            <w:gridSpan w:val="10"/>
            <w:tcBorders>
              <w:top w:val="single" w:color="000000" w:sz="4" w:space="0"/>
              <w:left w:val="single" w:color="000000" w:sz="4" w:space="0"/>
              <w:bottom w:val="single" w:color="000000" w:sz="4" w:space="0"/>
              <w:right w:val="single" w:color="000000" w:sz="4" w:space="0"/>
            </w:tcBorders>
            <w:noWrap w:val="0"/>
            <w:vAlign w:val="center"/>
          </w:tcPr>
          <w:p w14:paraId="6B59782F">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58786391">
        <w:tblPrEx>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3355BAD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484" w:type="dxa"/>
            <w:gridSpan w:val="10"/>
            <w:tcBorders>
              <w:top w:val="single" w:color="000000" w:sz="4" w:space="0"/>
              <w:left w:val="single" w:color="000000" w:sz="4" w:space="0"/>
              <w:bottom w:val="single" w:color="000000" w:sz="4" w:space="0"/>
              <w:right w:val="single" w:color="000000" w:sz="4" w:space="0"/>
            </w:tcBorders>
            <w:noWrap w:val="0"/>
            <w:vAlign w:val="center"/>
          </w:tcPr>
          <w:p w14:paraId="11AABB4E">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按需申报资金、及时发放。</w:t>
            </w:r>
          </w:p>
        </w:tc>
      </w:tr>
      <w:tr w14:paraId="0C707342">
        <w:tblPrEx>
          <w:tblCellMar>
            <w:top w:w="0" w:type="dxa"/>
            <w:left w:w="108" w:type="dxa"/>
            <w:bottom w:w="0" w:type="dxa"/>
            <w:right w:w="108" w:type="dxa"/>
          </w:tblCellMar>
        </w:tblPrEx>
        <w:trPr>
          <w:trHeight w:val="244" w:hRule="atLeast"/>
          <w:jc w:val="center"/>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14:paraId="0148E136">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项目负责人：谢金华</w:t>
            </w:r>
          </w:p>
        </w:tc>
        <w:tc>
          <w:tcPr>
            <w:tcW w:w="4342" w:type="dxa"/>
            <w:gridSpan w:val="6"/>
            <w:tcBorders>
              <w:top w:val="single" w:color="000000" w:sz="4" w:space="0"/>
              <w:left w:val="single" w:color="000000" w:sz="4" w:space="0"/>
              <w:bottom w:val="single" w:color="000000" w:sz="4" w:space="0"/>
              <w:right w:val="single" w:color="000000" w:sz="4" w:space="0"/>
            </w:tcBorders>
            <w:noWrap w:val="0"/>
            <w:vAlign w:val="center"/>
          </w:tcPr>
          <w:p w14:paraId="05F6F30C">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财务负责人：杨文武</w:t>
            </w:r>
          </w:p>
        </w:tc>
      </w:tr>
      <w:tr w14:paraId="368943D4">
        <w:tblPrEx>
          <w:tblCellMar>
            <w:top w:w="0" w:type="dxa"/>
            <w:left w:w="108" w:type="dxa"/>
            <w:bottom w:w="0" w:type="dxa"/>
            <w:right w:w="108" w:type="dxa"/>
          </w:tblCellMar>
        </w:tblPrEx>
        <w:trPr>
          <w:trHeight w:val="244" w:hRule="atLeast"/>
          <w:jc w:val="center"/>
        </w:trPr>
        <w:tc>
          <w:tcPr>
            <w:tcW w:w="576" w:type="dxa"/>
            <w:tcBorders>
              <w:top w:val="nil"/>
              <w:left w:val="nil"/>
              <w:bottom w:val="nil"/>
              <w:right w:val="nil"/>
            </w:tcBorders>
            <w:noWrap w:val="0"/>
            <w:vAlign w:val="center"/>
          </w:tcPr>
          <w:p w14:paraId="0198D943">
            <w:pPr>
              <w:rPr>
                <w:rFonts w:hint="eastAsia" w:ascii="宋体" w:hAnsi="宋体" w:cs="宋体"/>
                <w:color w:val="000000"/>
                <w:sz w:val="18"/>
                <w:szCs w:val="18"/>
              </w:rPr>
            </w:pPr>
          </w:p>
        </w:tc>
        <w:tc>
          <w:tcPr>
            <w:tcW w:w="1230" w:type="dxa"/>
            <w:tcBorders>
              <w:top w:val="nil"/>
              <w:left w:val="nil"/>
              <w:bottom w:val="nil"/>
              <w:right w:val="nil"/>
            </w:tcBorders>
            <w:noWrap w:val="0"/>
            <w:vAlign w:val="center"/>
          </w:tcPr>
          <w:p w14:paraId="1ED82F69">
            <w:pPr>
              <w:rPr>
                <w:rFonts w:hint="eastAsia" w:ascii="宋体" w:hAnsi="宋体" w:cs="宋体"/>
                <w:color w:val="000000"/>
                <w:sz w:val="18"/>
                <w:szCs w:val="18"/>
              </w:rPr>
            </w:pPr>
          </w:p>
        </w:tc>
        <w:tc>
          <w:tcPr>
            <w:tcW w:w="1130" w:type="dxa"/>
            <w:tcBorders>
              <w:top w:val="nil"/>
              <w:left w:val="nil"/>
              <w:bottom w:val="nil"/>
              <w:right w:val="nil"/>
            </w:tcBorders>
            <w:noWrap w:val="0"/>
            <w:vAlign w:val="center"/>
          </w:tcPr>
          <w:p w14:paraId="78D539A8">
            <w:pPr>
              <w:rPr>
                <w:rFonts w:hint="eastAsia" w:ascii="宋体" w:hAnsi="宋体" w:cs="宋体"/>
                <w:color w:val="000000"/>
                <w:sz w:val="18"/>
                <w:szCs w:val="18"/>
              </w:rPr>
            </w:pPr>
          </w:p>
        </w:tc>
        <w:tc>
          <w:tcPr>
            <w:tcW w:w="1386" w:type="dxa"/>
            <w:tcBorders>
              <w:top w:val="nil"/>
              <w:left w:val="nil"/>
              <w:bottom w:val="nil"/>
              <w:right w:val="nil"/>
            </w:tcBorders>
            <w:noWrap w:val="0"/>
            <w:vAlign w:val="center"/>
          </w:tcPr>
          <w:p w14:paraId="2D20B20D">
            <w:pPr>
              <w:rPr>
                <w:rFonts w:hint="eastAsia" w:ascii="宋体" w:hAnsi="宋体" w:cs="宋体"/>
                <w:color w:val="000000"/>
                <w:sz w:val="18"/>
                <w:szCs w:val="18"/>
              </w:rPr>
            </w:pPr>
          </w:p>
        </w:tc>
        <w:tc>
          <w:tcPr>
            <w:tcW w:w="396" w:type="dxa"/>
            <w:tcBorders>
              <w:top w:val="nil"/>
              <w:left w:val="nil"/>
              <w:bottom w:val="nil"/>
              <w:right w:val="nil"/>
            </w:tcBorders>
            <w:noWrap w:val="0"/>
            <w:vAlign w:val="center"/>
          </w:tcPr>
          <w:p w14:paraId="6CD523FE">
            <w:pPr>
              <w:rPr>
                <w:rFonts w:hint="eastAsia" w:ascii="宋体" w:hAnsi="宋体" w:cs="宋体"/>
                <w:color w:val="000000"/>
                <w:sz w:val="18"/>
                <w:szCs w:val="18"/>
              </w:rPr>
            </w:pPr>
          </w:p>
        </w:tc>
        <w:tc>
          <w:tcPr>
            <w:tcW w:w="816" w:type="dxa"/>
            <w:tcBorders>
              <w:top w:val="nil"/>
              <w:left w:val="nil"/>
              <w:bottom w:val="nil"/>
              <w:right w:val="nil"/>
            </w:tcBorders>
            <w:noWrap w:val="0"/>
            <w:vAlign w:val="center"/>
          </w:tcPr>
          <w:p w14:paraId="5B3A5646">
            <w:pPr>
              <w:rPr>
                <w:rFonts w:hint="eastAsia" w:ascii="宋体" w:hAnsi="宋体" w:cs="宋体"/>
                <w:color w:val="000000"/>
                <w:sz w:val="18"/>
                <w:szCs w:val="18"/>
              </w:rPr>
            </w:pPr>
          </w:p>
        </w:tc>
        <w:tc>
          <w:tcPr>
            <w:tcW w:w="396" w:type="dxa"/>
            <w:tcBorders>
              <w:top w:val="nil"/>
              <w:left w:val="nil"/>
              <w:bottom w:val="nil"/>
              <w:right w:val="nil"/>
            </w:tcBorders>
            <w:noWrap w:val="0"/>
            <w:vAlign w:val="center"/>
          </w:tcPr>
          <w:p w14:paraId="7025B63E">
            <w:pPr>
              <w:rPr>
                <w:rFonts w:hint="eastAsia" w:ascii="宋体" w:hAnsi="宋体" w:cs="宋体"/>
                <w:color w:val="000000"/>
                <w:sz w:val="18"/>
                <w:szCs w:val="18"/>
              </w:rPr>
            </w:pPr>
          </w:p>
        </w:tc>
        <w:tc>
          <w:tcPr>
            <w:tcW w:w="846" w:type="dxa"/>
            <w:tcBorders>
              <w:top w:val="nil"/>
              <w:left w:val="nil"/>
              <w:bottom w:val="nil"/>
              <w:right w:val="nil"/>
            </w:tcBorders>
            <w:noWrap w:val="0"/>
            <w:vAlign w:val="center"/>
          </w:tcPr>
          <w:p w14:paraId="4DA1072C">
            <w:pPr>
              <w:rPr>
                <w:rFonts w:hint="eastAsia" w:ascii="宋体" w:hAnsi="宋体" w:cs="宋体"/>
                <w:color w:val="000000"/>
                <w:sz w:val="18"/>
                <w:szCs w:val="18"/>
              </w:rPr>
            </w:pPr>
          </w:p>
        </w:tc>
        <w:tc>
          <w:tcPr>
            <w:tcW w:w="486" w:type="dxa"/>
            <w:tcBorders>
              <w:top w:val="nil"/>
              <w:left w:val="nil"/>
              <w:bottom w:val="nil"/>
              <w:right w:val="nil"/>
            </w:tcBorders>
            <w:noWrap w:val="0"/>
            <w:vAlign w:val="center"/>
          </w:tcPr>
          <w:p w14:paraId="66459FFC">
            <w:pPr>
              <w:rPr>
                <w:rFonts w:hint="eastAsia" w:ascii="宋体" w:hAnsi="宋体" w:cs="宋体"/>
                <w:color w:val="000000"/>
                <w:sz w:val="18"/>
                <w:szCs w:val="18"/>
              </w:rPr>
            </w:pPr>
          </w:p>
        </w:tc>
        <w:tc>
          <w:tcPr>
            <w:tcW w:w="396" w:type="dxa"/>
            <w:tcBorders>
              <w:top w:val="nil"/>
              <w:left w:val="nil"/>
              <w:bottom w:val="nil"/>
              <w:right w:val="nil"/>
            </w:tcBorders>
            <w:noWrap w:val="0"/>
            <w:vAlign w:val="center"/>
          </w:tcPr>
          <w:p w14:paraId="67009CAF">
            <w:pPr>
              <w:rPr>
                <w:rFonts w:hint="eastAsia" w:ascii="宋体" w:hAnsi="宋体" w:cs="宋体"/>
                <w:color w:val="000000"/>
                <w:sz w:val="18"/>
                <w:szCs w:val="18"/>
              </w:rPr>
            </w:pPr>
          </w:p>
        </w:tc>
        <w:tc>
          <w:tcPr>
            <w:tcW w:w="1402" w:type="dxa"/>
            <w:tcBorders>
              <w:top w:val="nil"/>
              <w:left w:val="nil"/>
              <w:bottom w:val="nil"/>
              <w:right w:val="nil"/>
            </w:tcBorders>
            <w:noWrap w:val="0"/>
            <w:vAlign w:val="center"/>
          </w:tcPr>
          <w:p w14:paraId="2D6D8E16">
            <w:pPr>
              <w:rPr>
                <w:rFonts w:hint="eastAsia" w:ascii="宋体" w:hAnsi="宋体" w:cs="宋体"/>
                <w:color w:val="000000"/>
                <w:sz w:val="18"/>
                <w:szCs w:val="18"/>
              </w:rPr>
            </w:pPr>
          </w:p>
        </w:tc>
      </w:tr>
      <w:tr w14:paraId="2DCC77AC">
        <w:tblPrEx>
          <w:tblCellMar>
            <w:top w:w="0" w:type="dxa"/>
            <w:left w:w="108" w:type="dxa"/>
            <w:bottom w:w="0" w:type="dxa"/>
            <w:right w:w="108" w:type="dxa"/>
          </w:tblCellMar>
        </w:tblPrEx>
        <w:trPr>
          <w:trHeight w:val="480" w:hRule="atLeast"/>
          <w:jc w:val="center"/>
        </w:trPr>
        <w:tc>
          <w:tcPr>
            <w:tcW w:w="9060" w:type="dxa"/>
            <w:gridSpan w:val="11"/>
            <w:tcBorders>
              <w:top w:val="single" w:color="000000" w:sz="4" w:space="0"/>
              <w:left w:val="single" w:color="000000" w:sz="4" w:space="0"/>
              <w:bottom w:val="single" w:color="000000" w:sz="4" w:space="0"/>
              <w:right w:val="single" w:color="000000" w:sz="4" w:space="0"/>
            </w:tcBorders>
            <w:noWrap w:val="0"/>
            <w:vAlign w:val="center"/>
          </w:tcPr>
          <w:p w14:paraId="6AA97A86">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lang w:bidi="ar"/>
              </w:rPr>
              <w:t>部门预算项目支出绩效自评表（2023年度）</w:t>
            </w:r>
          </w:p>
        </w:tc>
      </w:tr>
      <w:tr w14:paraId="26996B22">
        <w:tblPrEx>
          <w:tblCellMar>
            <w:top w:w="0" w:type="dxa"/>
            <w:left w:w="108" w:type="dxa"/>
            <w:bottom w:w="0" w:type="dxa"/>
            <w:right w:w="108" w:type="dxa"/>
          </w:tblCellMar>
        </w:tblPrEx>
        <w:trPr>
          <w:trHeight w:val="244" w:hRule="atLeast"/>
          <w:jc w:val="center"/>
        </w:trPr>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40C5775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254" w:type="dxa"/>
            <w:gridSpan w:val="9"/>
            <w:tcBorders>
              <w:top w:val="single" w:color="000000" w:sz="4" w:space="0"/>
              <w:left w:val="single" w:color="000000" w:sz="4" w:space="0"/>
              <w:bottom w:val="single" w:color="000000" w:sz="4" w:space="0"/>
              <w:right w:val="single" w:color="000000" w:sz="4" w:space="0"/>
            </w:tcBorders>
            <w:noWrap w:val="0"/>
            <w:vAlign w:val="center"/>
          </w:tcPr>
          <w:p w14:paraId="3D03F35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51090423T000008948029-2019年省级学前教育发展专项资金（激励奖补部分）1</w:t>
            </w:r>
          </w:p>
        </w:tc>
      </w:tr>
      <w:tr w14:paraId="492A43AF">
        <w:tblPrEx>
          <w:tblCellMar>
            <w:top w:w="0" w:type="dxa"/>
            <w:left w:w="108" w:type="dxa"/>
            <w:bottom w:w="0" w:type="dxa"/>
            <w:right w:w="108" w:type="dxa"/>
          </w:tblCellMar>
        </w:tblPrEx>
        <w:trPr>
          <w:trHeight w:val="716" w:hRule="atLeast"/>
          <w:jc w:val="center"/>
        </w:trPr>
        <w:tc>
          <w:tcPr>
            <w:tcW w:w="1806" w:type="dxa"/>
            <w:gridSpan w:val="2"/>
            <w:tcBorders>
              <w:top w:val="single" w:color="000000" w:sz="4" w:space="0"/>
              <w:left w:val="single" w:color="000000" w:sz="4" w:space="0"/>
              <w:bottom w:val="single" w:color="000000" w:sz="4" w:space="0"/>
              <w:right w:val="single" w:color="000000" w:sz="4" w:space="0"/>
            </w:tcBorders>
            <w:noWrap w:val="0"/>
            <w:vAlign w:val="center"/>
          </w:tcPr>
          <w:p w14:paraId="0E7973F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124" w:type="dxa"/>
            <w:gridSpan w:val="5"/>
            <w:tcBorders>
              <w:top w:val="single" w:color="000000" w:sz="4" w:space="0"/>
              <w:left w:val="single" w:color="000000" w:sz="4" w:space="0"/>
              <w:bottom w:val="single" w:color="000000" w:sz="4" w:space="0"/>
              <w:right w:val="single" w:color="000000" w:sz="4" w:space="0"/>
            </w:tcBorders>
            <w:noWrap w:val="0"/>
            <w:vAlign w:val="center"/>
          </w:tcPr>
          <w:p w14:paraId="37BE5920">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遂宁市安居区东禅镇中心幼儿园部门</w:t>
            </w:r>
          </w:p>
        </w:tc>
        <w:tc>
          <w:tcPr>
            <w:tcW w:w="846" w:type="dxa"/>
            <w:tcBorders>
              <w:top w:val="nil"/>
              <w:left w:val="nil"/>
              <w:bottom w:val="nil"/>
              <w:right w:val="nil"/>
            </w:tcBorders>
            <w:noWrap w:val="0"/>
            <w:vAlign w:val="center"/>
          </w:tcPr>
          <w:p w14:paraId="2563A689">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实施单位 （盖章）</w:t>
            </w:r>
          </w:p>
        </w:tc>
        <w:tc>
          <w:tcPr>
            <w:tcW w:w="2284" w:type="dxa"/>
            <w:gridSpan w:val="3"/>
            <w:tcBorders>
              <w:top w:val="single" w:color="000000" w:sz="4" w:space="0"/>
              <w:left w:val="single" w:color="000000" w:sz="4" w:space="0"/>
              <w:bottom w:val="single" w:color="000000" w:sz="4" w:space="0"/>
              <w:right w:val="single" w:color="000000" w:sz="4" w:space="0"/>
            </w:tcBorders>
            <w:noWrap w:val="0"/>
            <w:vAlign w:val="center"/>
          </w:tcPr>
          <w:p w14:paraId="6BE26E0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遂宁市安居区东禅镇中心幼儿园</w:t>
            </w:r>
          </w:p>
        </w:tc>
      </w:tr>
      <w:tr w14:paraId="6A4DAA50">
        <w:tblPrEx>
          <w:tblCellMar>
            <w:top w:w="0" w:type="dxa"/>
            <w:left w:w="108" w:type="dxa"/>
            <w:bottom w:w="0" w:type="dxa"/>
            <w:right w:w="108" w:type="dxa"/>
          </w:tblCellMar>
        </w:tblPrEx>
        <w:trPr>
          <w:trHeight w:val="244"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DF5B4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C4167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124" w:type="dxa"/>
            <w:gridSpan w:val="5"/>
            <w:tcBorders>
              <w:top w:val="single" w:color="000000" w:sz="4" w:space="0"/>
              <w:left w:val="single" w:color="000000" w:sz="4" w:space="0"/>
              <w:bottom w:val="single" w:color="000000" w:sz="4" w:space="0"/>
              <w:right w:val="single" w:color="000000" w:sz="4" w:space="0"/>
            </w:tcBorders>
            <w:noWrap w:val="0"/>
            <w:vAlign w:val="center"/>
          </w:tcPr>
          <w:p w14:paraId="09041E2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30" w:type="dxa"/>
            <w:gridSpan w:val="4"/>
            <w:tcBorders>
              <w:top w:val="single" w:color="000000" w:sz="4" w:space="0"/>
              <w:left w:val="single" w:color="000000" w:sz="4" w:space="0"/>
              <w:bottom w:val="single" w:color="000000" w:sz="4" w:space="0"/>
              <w:right w:val="single" w:color="000000" w:sz="4" w:space="0"/>
            </w:tcBorders>
            <w:noWrap w:val="0"/>
            <w:vAlign w:val="center"/>
          </w:tcPr>
          <w:p w14:paraId="5D822B34">
            <w:pPr>
              <w:widowControl/>
              <w:jc w:val="center"/>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年度目标完成情况</w:t>
            </w:r>
          </w:p>
        </w:tc>
      </w:tr>
      <w:tr w14:paraId="1C1A8C04">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77F41">
            <w:pPr>
              <w:rPr>
                <w:rFonts w:hint="eastAsia" w:ascii="宋体" w:hAnsi="宋体" w:cs="宋体"/>
                <w:color w:val="000000"/>
                <w:sz w:val="18"/>
                <w:szCs w:val="18"/>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BD187">
            <w:pPr>
              <w:rPr>
                <w:rFonts w:hint="eastAsia" w:ascii="宋体" w:hAnsi="宋体" w:cs="宋体"/>
                <w:color w:val="000000"/>
                <w:sz w:val="18"/>
                <w:szCs w:val="18"/>
              </w:rPr>
            </w:pPr>
          </w:p>
        </w:tc>
        <w:tc>
          <w:tcPr>
            <w:tcW w:w="4124" w:type="dxa"/>
            <w:gridSpan w:val="5"/>
            <w:tcBorders>
              <w:top w:val="single" w:color="000000" w:sz="4" w:space="0"/>
              <w:left w:val="single" w:color="000000" w:sz="4" w:space="0"/>
              <w:bottom w:val="single" w:color="000000" w:sz="4" w:space="0"/>
              <w:right w:val="single" w:color="000000" w:sz="4" w:space="0"/>
            </w:tcBorders>
            <w:noWrap w:val="0"/>
            <w:vAlign w:val="center"/>
          </w:tcPr>
          <w:p w14:paraId="44769FE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促进幼儿园健康发展，提高预算编制质量，严格执行预算，减少结余资金。</w:t>
            </w:r>
          </w:p>
        </w:tc>
        <w:tc>
          <w:tcPr>
            <w:tcW w:w="3130" w:type="dxa"/>
            <w:gridSpan w:val="4"/>
            <w:tcBorders>
              <w:top w:val="single" w:color="000000" w:sz="4" w:space="0"/>
              <w:left w:val="single" w:color="000000" w:sz="4" w:space="0"/>
              <w:bottom w:val="single" w:color="000000" w:sz="4" w:space="0"/>
              <w:right w:val="single" w:color="000000" w:sz="4" w:space="0"/>
            </w:tcBorders>
            <w:noWrap w:val="0"/>
            <w:vAlign w:val="center"/>
          </w:tcPr>
          <w:p w14:paraId="71BD612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严格执行预算，及时申请支付资金，促进幼儿园健康发展。</w:t>
            </w:r>
          </w:p>
        </w:tc>
      </w:tr>
      <w:tr w14:paraId="4AE1BAA3">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20DB1">
            <w:pP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0A44CD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254" w:type="dxa"/>
            <w:gridSpan w:val="9"/>
            <w:tcBorders>
              <w:top w:val="single" w:color="000000" w:sz="4" w:space="0"/>
              <w:left w:val="single" w:color="000000" w:sz="4" w:space="0"/>
              <w:bottom w:val="single" w:color="000000" w:sz="4" w:space="0"/>
              <w:right w:val="single" w:color="000000" w:sz="4" w:space="0"/>
            </w:tcBorders>
            <w:noWrap w:val="0"/>
            <w:vAlign w:val="center"/>
          </w:tcPr>
          <w:p w14:paraId="2D6B514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及时申报经费，促进幼儿园健康发展。</w:t>
            </w:r>
          </w:p>
        </w:tc>
      </w:tr>
      <w:tr w14:paraId="64214EB1">
        <w:tblPrEx>
          <w:tblCellMar>
            <w:top w:w="0" w:type="dxa"/>
            <w:left w:w="108" w:type="dxa"/>
            <w:bottom w:w="0" w:type="dxa"/>
            <w:right w:w="108" w:type="dxa"/>
          </w:tblCellMar>
        </w:tblPrEx>
        <w:trPr>
          <w:trHeight w:val="480"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32B456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0C9574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C8ACE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621D53B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7E078F4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6CA0F7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CB9D2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809A9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1781CE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67B34485">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0E64C">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14E15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36B3C4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1DDEDB0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17.00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5C506E5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17.00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D316E6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AF69B9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84E3AD7">
            <w:pPr>
              <w:jc w:val="center"/>
              <w:rPr>
                <w:rFonts w:hint="eastAsia" w:ascii="宋体" w:hAnsi="宋体" w:cs="宋体"/>
                <w:color w:val="000000"/>
                <w:sz w:val="18"/>
                <w:szCs w:val="18"/>
              </w:rPr>
            </w:pPr>
          </w:p>
        </w:tc>
        <w:tc>
          <w:tcPr>
            <w:tcW w:w="1402" w:type="dxa"/>
            <w:vMerge w:val="restart"/>
            <w:tcBorders>
              <w:top w:val="single" w:color="000000" w:sz="4" w:space="0"/>
              <w:left w:val="single" w:color="000000" w:sz="4" w:space="0"/>
              <w:bottom w:val="single" w:color="000000" w:sz="4" w:space="0"/>
              <w:right w:val="single" w:color="000000" w:sz="4" w:space="0"/>
            </w:tcBorders>
            <w:noWrap w:val="0"/>
            <w:vAlign w:val="center"/>
          </w:tcPr>
          <w:p w14:paraId="26C913D6">
            <w:pPr>
              <w:rPr>
                <w:rFonts w:ascii="黑体" w:hAnsi="黑体" w:eastAsia="黑体" w:cs="黑体"/>
                <w:i/>
                <w:iCs/>
                <w:color w:val="000000"/>
                <w:sz w:val="18"/>
                <w:szCs w:val="18"/>
              </w:rPr>
            </w:pPr>
          </w:p>
        </w:tc>
      </w:tr>
      <w:tr w14:paraId="61EAFB66">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FA2BA">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C7F05C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F9D80C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50B49C4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17.00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0A48A3B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17.00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8654DB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2DC9B0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6CFB53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76C64">
            <w:pPr>
              <w:rPr>
                <w:rFonts w:ascii="黑体" w:hAnsi="黑体" w:eastAsia="黑体" w:cs="黑体"/>
                <w:i/>
                <w:iCs/>
                <w:color w:val="000000"/>
                <w:sz w:val="18"/>
                <w:szCs w:val="18"/>
              </w:rPr>
            </w:pPr>
          </w:p>
        </w:tc>
      </w:tr>
      <w:tr w14:paraId="45F447F4">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438F8">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6CB979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8CA82E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4DD297B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5E239C2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06F2FC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D2085A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29CDC0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FF665">
            <w:pPr>
              <w:rPr>
                <w:rFonts w:ascii="黑体" w:hAnsi="黑体" w:eastAsia="黑体" w:cs="黑体"/>
                <w:i/>
                <w:iCs/>
                <w:color w:val="000000"/>
                <w:sz w:val="18"/>
                <w:szCs w:val="18"/>
              </w:rPr>
            </w:pPr>
          </w:p>
        </w:tc>
      </w:tr>
      <w:tr w14:paraId="5FFA3B74">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F0AA2">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7038D4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333B66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70338F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67E1D33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74C95F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B2452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D815B1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EA7FC">
            <w:pPr>
              <w:rPr>
                <w:rFonts w:ascii="黑体" w:hAnsi="黑体" w:eastAsia="黑体" w:cs="黑体"/>
                <w:i/>
                <w:iCs/>
                <w:color w:val="000000"/>
                <w:sz w:val="18"/>
                <w:szCs w:val="18"/>
              </w:rPr>
            </w:pPr>
          </w:p>
        </w:tc>
      </w:tr>
      <w:tr w14:paraId="0270C308">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C4844">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AD8AC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9911858">
            <w:pPr>
              <w:jc w:val="center"/>
              <w:rPr>
                <w:rFonts w:hint="eastAsia" w:ascii="微软雅黑" w:hAnsi="微软雅黑" w:eastAsia="微软雅黑" w:cs="微软雅黑"/>
                <w:i/>
                <w:iCs/>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1C217C61">
            <w:pPr>
              <w:jc w:val="center"/>
              <w:rPr>
                <w:rFonts w:hint="eastAsia" w:ascii="微软雅黑" w:hAnsi="微软雅黑" w:eastAsia="微软雅黑" w:cs="微软雅黑"/>
                <w:i/>
                <w:iCs/>
                <w:color w:val="000000"/>
                <w:sz w:val="16"/>
                <w:szCs w:val="16"/>
              </w:rPr>
            </w:pPr>
          </w:p>
        </w:tc>
        <w:tc>
          <w:tcPr>
            <w:tcW w:w="1608" w:type="dxa"/>
            <w:gridSpan w:val="3"/>
            <w:tcBorders>
              <w:top w:val="single" w:color="000000" w:sz="4" w:space="0"/>
              <w:left w:val="single" w:color="000000" w:sz="4" w:space="0"/>
              <w:bottom w:val="single" w:color="000000" w:sz="4" w:space="0"/>
              <w:right w:val="single" w:color="000000" w:sz="4" w:space="0"/>
            </w:tcBorders>
            <w:noWrap w:val="0"/>
            <w:vAlign w:val="center"/>
          </w:tcPr>
          <w:p w14:paraId="79490D3C">
            <w:pPr>
              <w:jc w:val="center"/>
              <w:rPr>
                <w:rFonts w:hint="eastAsia" w:ascii="微软雅黑" w:hAns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8D0BB5E">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AFB76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1DABF3A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93625">
            <w:pPr>
              <w:rPr>
                <w:rFonts w:ascii="黑体" w:hAnsi="黑体" w:eastAsia="黑体" w:cs="黑体"/>
                <w:i/>
                <w:iCs/>
                <w:color w:val="000000"/>
                <w:sz w:val="18"/>
                <w:szCs w:val="18"/>
              </w:rPr>
            </w:pPr>
          </w:p>
        </w:tc>
      </w:tr>
      <w:tr w14:paraId="23A8B45A">
        <w:tblPrEx>
          <w:tblCellMar>
            <w:top w:w="0" w:type="dxa"/>
            <w:left w:w="108" w:type="dxa"/>
            <w:bottom w:w="0" w:type="dxa"/>
            <w:right w:w="108" w:type="dxa"/>
          </w:tblCellMar>
        </w:tblPrEx>
        <w:trPr>
          <w:trHeight w:val="9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9A068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FC7B21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68A17D9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77D07CA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05BADC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3B760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18D7A4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76F30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1B3EE9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171CB2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219037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50C02546">
        <w:tblPrEx>
          <w:tblCellMar>
            <w:top w:w="0" w:type="dxa"/>
            <w:left w:w="108" w:type="dxa"/>
            <w:bottom w:w="0" w:type="dxa"/>
            <w:right w:w="108" w:type="dxa"/>
          </w:tblCellMar>
        </w:tblPrEx>
        <w:trPr>
          <w:trHeight w:val="244"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22181">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BBC78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产出指标</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F21CEE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质量指标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268ADC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项目通过率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6E7262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B7261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23500A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006C933">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A0B7B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D5157D8">
            <w:pPr>
              <w:jc w:val="cente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6AD98281">
            <w:pPr>
              <w:jc w:val="center"/>
              <w:rPr>
                <w:rFonts w:hint="eastAsia" w:ascii="宋体" w:hAnsi="宋体" w:cs="宋体"/>
                <w:color w:val="000000"/>
                <w:sz w:val="18"/>
                <w:szCs w:val="18"/>
              </w:rPr>
            </w:pPr>
          </w:p>
        </w:tc>
      </w:tr>
      <w:tr w14:paraId="6ADA8096">
        <w:tblPrEx>
          <w:tblCellMar>
            <w:top w:w="0" w:type="dxa"/>
            <w:left w:w="108" w:type="dxa"/>
            <w:bottom w:w="0" w:type="dxa"/>
            <w:right w:w="108" w:type="dxa"/>
          </w:tblCellMar>
        </w:tblPrEx>
        <w:trPr>
          <w:trHeight w:val="48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F3595">
            <w:pPr>
              <w:jc w:val="center"/>
              <w:rPr>
                <w:rFonts w:hint="eastAsia" w:ascii="宋体"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4104B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效益指标</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12916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15A826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足额保障率</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909B6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0FF63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3B1FF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B3411F1">
            <w:pPr>
              <w:jc w:val="center"/>
              <w:rPr>
                <w:rFonts w:hint="eastAsia" w:ascii="微软雅黑" w:hAns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D9700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260BD87">
            <w:pPr>
              <w:jc w:val="cente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66F5D7B7">
            <w:pPr>
              <w:jc w:val="center"/>
              <w:rPr>
                <w:rFonts w:hint="eastAsia" w:ascii="微软雅黑" w:hAnsi="微软雅黑" w:eastAsia="微软雅黑" w:cs="微软雅黑"/>
                <w:i/>
                <w:iCs/>
                <w:color w:val="000000"/>
                <w:sz w:val="16"/>
                <w:szCs w:val="16"/>
              </w:rPr>
            </w:pPr>
          </w:p>
        </w:tc>
      </w:tr>
      <w:tr w14:paraId="4B7E66F5">
        <w:tblPrEx>
          <w:tblCellMar>
            <w:top w:w="0" w:type="dxa"/>
            <w:left w:w="108" w:type="dxa"/>
            <w:bottom w:w="0" w:type="dxa"/>
            <w:right w:w="108" w:type="dxa"/>
          </w:tblCellMar>
        </w:tblPrEx>
        <w:trPr>
          <w:trHeight w:val="244" w:hRule="atLeast"/>
          <w:jc w:val="center"/>
        </w:trPr>
        <w:tc>
          <w:tcPr>
            <w:tcW w:w="6776" w:type="dxa"/>
            <w:gridSpan w:val="8"/>
            <w:tcBorders>
              <w:top w:val="single" w:color="000000" w:sz="4" w:space="0"/>
              <w:left w:val="single" w:color="000000" w:sz="4" w:space="0"/>
              <w:bottom w:val="single" w:color="000000" w:sz="4" w:space="0"/>
              <w:right w:val="single" w:color="000000" w:sz="4" w:space="0"/>
            </w:tcBorders>
            <w:noWrap w:val="0"/>
            <w:vAlign w:val="center"/>
          </w:tcPr>
          <w:p w14:paraId="5EB29AE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55EC82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610FC5C">
            <w:pPr>
              <w:rPr>
                <w:rFonts w:hint="eastAsia" w:ascii="宋体" w:hAnsi="宋体" w:cs="宋体"/>
                <w:color w:val="000000"/>
                <w:sz w:val="18"/>
                <w:szCs w:val="18"/>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558415F0">
            <w:pPr>
              <w:rPr>
                <w:rFonts w:hint="eastAsia" w:ascii="宋体" w:hAnsi="宋体" w:cs="宋体"/>
                <w:color w:val="000000"/>
                <w:sz w:val="18"/>
                <w:szCs w:val="18"/>
              </w:rPr>
            </w:pPr>
          </w:p>
        </w:tc>
      </w:tr>
      <w:tr w14:paraId="15556DE9">
        <w:tblPrEx>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C0AF3C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484" w:type="dxa"/>
            <w:gridSpan w:val="10"/>
            <w:tcBorders>
              <w:top w:val="single" w:color="000000" w:sz="4" w:space="0"/>
              <w:left w:val="single" w:color="000000" w:sz="4" w:space="0"/>
              <w:bottom w:val="single" w:color="000000" w:sz="4" w:space="0"/>
              <w:right w:val="single" w:color="000000" w:sz="4" w:space="0"/>
            </w:tcBorders>
            <w:noWrap w:val="0"/>
            <w:vAlign w:val="center"/>
          </w:tcPr>
          <w:p w14:paraId="47D31F3B">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根据该项目预算执行率、 绩效目标实现指标自评得分100.00分，自评等次为：优，严格执行相关政策，按要求支付，促进幼儿园健康发展。</w:t>
            </w:r>
          </w:p>
        </w:tc>
      </w:tr>
      <w:tr w14:paraId="54CA7726">
        <w:tblPrEx>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3513A35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484" w:type="dxa"/>
            <w:gridSpan w:val="10"/>
            <w:tcBorders>
              <w:top w:val="single" w:color="000000" w:sz="4" w:space="0"/>
              <w:left w:val="single" w:color="000000" w:sz="4" w:space="0"/>
              <w:bottom w:val="single" w:color="000000" w:sz="4" w:space="0"/>
              <w:right w:val="single" w:color="000000" w:sz="4" w:space="0"/>
            </w:tcBorders>
            <w:noWrap w:val="0"/>
            <w:vAlign w:val="center"/>
          </w:tcPr>
          <w:p w14:paraId="3F95DDC6">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76F94BAF">
        <w:tblPrEx>
          <w:tblCellMar>
            <w:top w:w="0" w:type="dxa"/>
            <w:left w:w="108" w:type="dxa"/>
            <w:bottom w:w="0" w:type="dxa"/>
            <w:right w:w="108" w:type="dxa"/>
          </w:tblCellMar>
        </w:tblPrEx>
        <w:trPr>
          <w:trHeight w:val="480" w:hRule="atLeast"/>
          <w:jc w:val="center"/>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2B5CD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484" w:type="dxa"/>
            <w:gridSpan w:val="10"/>
            <w:tcBorders>
              <w:top w:val="single" w:color="000000" w:sz="4" w:space="0"/>
              <w:left w:val="single" w:color="000000" w:sz="4" w:space="0"/>
              <w:bottom w:val="single" w:color="000000" w:sz="4" w:space="0"/>
              <w:right w:val="single" w:color="000000" w:sz="4" w:space="0"/>
            </w:tcBorders>
            <w:noWrap w:val="0"/>
            <w:vAlign w:val="center"/>
          </w:tcPr>
          <w:p w14:paraId="276D3F1A">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按需申报资金、及时发放。</w:t>
            </w:r>
          </w:p>
        </w:tc>
      </w:tr>
      <w:tr w14:paraId="279849ED">
        <w:tblPrEx>
          <w:tblCellMar>
            <w:top w:w="0" w:type="dxa"/>
            <w:left w:w="108" w:type="dxa"/>
            <w:bottom w:w="0" w:type="dxa"/>
            <w:right w:w="108" w:type="dxa"/>
          </w:tblCellMar>
        </w:tblPrEx>
        <w:trPr>
          <w:trHeight w:val="252" w:hRule="atLeast"/>
          <w:jc w:val="center"/>
        </w:trPr>
        <w:tc>
          <w:tcPr>
            <w:tcW w:w="4718" w:type="dxa"/>
            <w:gridSpan w:val="5"/>
            <w:tcBorders>
              <w:top w:val="single" w:color="000000" w:sz="4" w:space="0"/>
              <w:left w:val="single" w:color="000000" w:sz="4" w:space="0"/>
              <w:bottom w:val="single" w:color="000000" w:sz="4" w:space="0"/>
              <w:right w:val="single" w:color="000000" w:sz="4" w:space="0"/>
            </w:tcBorders>
            <w:noWrap w:val="0"/>
            <w:vAlign w:val="center"/>
          </w:tcPr>
          <w:p w14:paraId="71F8F1E5">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项目负责人：谢金华</w:t>
            </w:r>
          </w:p>
        </w:tc>
        <w:tc>
          <w:tcPr>
            <w:tcW w:w="4342" w:type="dxa"/>
            <w:gridSpan w:val="6"/>
            <w:tcBorders>
              <w:top w:val="single" w:color="000000" w:sz="4" w:space="0"/>
              <w:left w:val="single" w:color="000000" w:sz="4" w:space="0"/>
              <w:bottom w:val="single" w:color="000000" w:sz="4" w:space="0"/>
              <w:right w:val="single" w:color="000000" w:sz="4" w:space="0"/>
            </w:tcBorders>
            <w:noWrap w:val="0"/>
            <w:vAlign w:val="center"/>
          </w:tcPr>
          <w:p w14:paraId="431CA705">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财务负责人：杨文武</w:t>
            </w:r>
          </w:p>
        </w:tc>
      </w:tr>
    </w:tbl>
    <w:p w14:paraId="31ED3782">
      <w:pPr>
        <w:pStyle w:val="3"/>
        <w:spacing w:line="560" w:lineRule="exact"/>
        <w:ind w:leftChars="0" w:firstLine="640"/>
        <w:rPr>
          <w:rFonts w:hint="eastAsia" w:hAnsi="Times New Roman"/>
          <w:sz w:val="32"/>
        </w:rPr>
      </w:pPr>
    </w:p>
    <w:p w14:paraId="70864EF5">
      <w:pPr>
        <w:pStyle w:val="9"/>
        <w:rPr>
          <w:rFonts w:hint="eastAsia" w:ascii="仿宋_GB2312" w:eastAsia="仿宋_GB2312" w:cs="仿宋"/>
          <w:kern w:val="0"/>
          <w:sz w:val="32"/>
          <w:szCs w:val="32"/>
        </w:rPr>
      </w:pPr>
    </w:p>
    <w:p w14:paraId="027C1367">
      <w:pPr>
        <w:pStyle w:val="9"/>
        <w:rPr>
          <w:rFonts w:hint="eastAsia" w:ascii="仿宋_GB2312" w:eastAsia="仿宋_GB2312" w:cs="仿宋"/>
          <w:kern w:val="0"/>
          <w:sz w:val="32"/>
          <w:szCs w:val="32"/>
        </w:rPr>
      </w:pPr>
    </w:p>
    <w:p w14:paraId="7990C9C0">
      <w:pPr>
        <w:pStyle w:val="9"/>
        <w:rPr>
          <w:rFonts w:hint="eastAsia" w:ascii="仿宋_GB2312" w:eastAsia="仿宋_GB2312" w:cs="仿宋"/>
          <w:kern w:val="0"/>
          <w:sz w:val="32"/>
          <w:szCs w:val="32"/>
        </w:rPr>
      </w:pPr>
    </w:p>
    <w:p w14:paraId="63ABAD9F">
      <w:pPr>
        <w:pStyle w:val="9"/>
        <w:rPr>
          <w:rFonts w:hint="eastAsia" w:ascii="仿宋_GB2312" w:eastAsia="仿宋_GB2312" w:cs="仿宋"/>
          <w:kern w:val="0"/>
          <w:sz w:val="32"/>
          <w:szCs w:val="32"/>
        </w:rPr>
      </w:pPr>
    </w:p>
    <w:p w14:paraId="3CF135A0">
      <w:pPr>
        <w:pStyle w:val="9"/>
        <w:rPr>
          <w:rFonts w:hint="eastAsia" w:ascii="仿宋_GB2312" w:eastAsia="仿宋_GB2312" w:cs="仿宋"/>
          <w:kern w:val="0"/>
          <w:sz w:val="32"/>
          <w:szCs w:val="32"/>
        </w:rPr>
      </w:pPr>
    </w:p>
    <w:p w14:paraId="0AFFBC36">
      <w:pPr>
        <w:pStyle w:val="9"/>
        <w:rPr>
          <w:rFonts w:hint="eastAsia" w:ascii="仿宋_GB2312" w:eastAsia="仿宋_GB2312" w:cs="仿宋"/>
          <w:kern w:val="0"/>
          <w:sz w:val="32"/>
          <w:szCs w:val="32"/>
        </w:rPr>
      </w:pPr>
    </w:p>
    <w:p w14:paraId="428FDAD9">
      <w:pPr>
        <w:pStyle w:val="9"/>
        <w:rPr>
          <w:rFonts w:hint="eastAsia" w:ascii="仿宋_GB2312" w:eastAsia="仿宋_GB2312" w:cs="仿宋"/>
          <w:kern w:val="0"/>
          <w:sz w:val="32"/>
          <w:szCs w:val="32"/>
        </w:rPr>
      </w:pPr>
    </w:p>
    <w:p w14:paraId="21560E8A">
      <w:pPr>
        <w:pStyle w:val="9"/>
        <w:rPr>
          <w:rFonts w:hint="eastAsia" w:ascii="仿宋_GB2312" w:eastAsia="仿宋_GB2312" w:cs="仿宋"/>
          <w:kern w:val="0"/>
          <w:sz w:val="32"/>
          <w:szCs w:val="32"/>
        </w:rPr>
      </w:pPr>
    </w:p>
    <w:p w14:paraId="4C821D67">
      <w:pPr>
        <w:rPr>
          <w:rFonts w:hint="eastAsia" w:ascii="黑体" w:hAnsi="黑体" w:eastAsia="黑体"/>
          <w:sz w:val="44"/>
          <w:szCs w:val="44"/>
        </w:rPr>
      </w:pPr>
      <w:r>
        <w:rPr>
          <w:rFonts w:hint="eastAsia" w:ascii="黑体" w:hAnsi="黑体" w:eastAsia="黑体"/>
          <w:sz w:val="44"/>
          <w:szCs w:val="44"/>
        </w:rPr>
        <w:br w:type="page"/>
      </w:r>
    </w:p>
    <w:p w14:paraId="6D51FE63">
      <w:pPr>
        <w:spacing w:line="600" w:lineRule="exact"/>
        <w:jc w:val="center"/>
        <w:outlineLvl w:val="0"/>
        <w:rPr>
          <w:rFonts w:hint="eastAsia" w:ascii="仿宋" w:hAnsi="仿宋" w:eastAsia="仿宋"/>
        </w:rPr>
      </w:pPr>
      <w:r>
        <w:rPr>
          <w:rFonts w:hint="eastAsia" w:ascii="黑体" w:hAnsi="黑体" w:eastAsia="黑体"/>
          <w:sz w:val="44"/>
          <w:szCs w:val="44"/>
        </w:rPr>
        <w:t>第</w:t>
      </w:r>
      <w:r>
        <w:rPr>
          <w:rStyle w:val="18"/>
          <w:rFonts w:hint="eastAsia" w:ascii="黑体" w:hAnsi="黑体" w:eastAsia="黑体"/>
          <w:b w:val="0"/>
        </w:rPr>
        <w:t>五部分 附表</w:t>
      </w:r>
    </w:p>
    <w:p w14:paraId="0A7AF5EB">
      <w:pPr>
        <w:pStyle w:val="6"/>
        <w:rPr>
          <w:rFonts w:ascii="仿宋" w:hAnsi="仿宋" w:eastAsia="仿宋"/>
        </w:rPr>
      </w:pPr>
      <w:r>
        <w:rPr>
          <w:rFonts w:hint="eastAsia" w:ascii="仿宋" w:hAnsi="仿宋" w:eastAsia="仿宋"/>
          <w:b w:val="0"/>
        </w:rPr>
        <w:t>一、收</w:t>
      </w:r>
      <w:r>
        <w:rPr>
          <w:rStyle w:val="19"/>
          <w:rFonts w:hint="eastAsia" w:ascii="仿宋" w:hAnsi="仿宋" w:eastAsia="仿宋"/>
        </w:rPr>
        <w:t>入支出决算总表</w:t>
      </w:r>
    </w:p>
    <w:p w14:paraId="4D02BF2A">
      <w:pPr>
        <w:pStyle w:val="6"/>
        <w:rPr>
          <w:rFonts w:ascii="仿宋" w:hAnsi="仿宋" w:eastAsia="仿宋"/>
        </w:rPr>
      </w:pPr>
      <w:r>
        <w:rPr>
          <w:rFonts w:hint="eastAsia" w:ascii="仿宋" w:hAnsi="仿宋" w:eastAsia="仿宋"/>
          <w:b w:val="0"/>
        </w:rPr>
        <w:t>二、收</w:t>
      </w:r>
      <w:r>
        <w:rPr>
          <w:rStyle w:val="19"/>
          <w:rFonts w:hint="eastAsia" w:ascii="仿宋" w:hAnsi="仿宋" w:eastAsia="仿宋"/>
        </w:rPr>
        <w:t>入决算表</w:t>
      </w:r>
    </w:p>
    <w:p w14:paraId="0F88558C">
      <w:pPr>
        <w:pStyle w:val="6"/>
        <w:rPr>
          <w:rFonts w:ascii="仿宋" w:hAnsi="仿宋" w:eastAsia="仿宋"/>
        </w:rPr>
      </w:pPr>
      <w:r>
        <w:rPr>
          <w:rStyle w:val="19"/>
          <w:rFonts w:hint="eastAsia" w:ascii="仿宋" w:hAnsi="仿宋" w:eastAsia="仿宋"/>
        </w:rPr>
        <w:t>三、</w:t>
      </w:r>
      <w:r>
        <w:rPr>
          <w:rFonts w:hint="eastAsia" w:ascii="仿宋" w:hAnsi="仿宋" w:eastAsia="仿宋"/>
          <w:b w:val="0"/>
        </w:rPr>
        <w:t>支</w:t>
      </w:r>
      <w:r>
        <w:rPr>
          <w:rStyle w:val="19"/>
          <w:rFonts w:hint="eastAsia" w:ascii="仿宋" w:hAnsi="仿宋" w:eastAsia="仿宋"/>
        </w:rPr>
        <w:t>出决算表</w:t>
      </w:r>
    </w:p>
    <w:p w14:paraId="09D49367">
      <w:pPr>
        <w:pStyle w:val="6"/>
        <w:rPr>
          <w:rFonts w:ascii="仿宋" w:hAnsi="仿宋" w:eastAsia="仿宋"/>
          <w:b w:val="0"/>
        </w:rPr>
      </w:pPr>
      <w:r>
        <w:rPr>
          <w:rStyle w:val="19"/>
          <w:rFonts w:hint="eastAsia" w:ascii="仿宋" w:hAnsi="仿宋" w:eastAsia="仿宋"/>
        </w:rPr>
        <w:t>四、</w:t>
      </w:r>
      <w:r>
        <w:rPr>
          <w:rFonts w:hint="eastAsia" w:ascii="仿宋" w:hAnsi="仿宋" w:eastAsia="仿宋"/>
          <w:b w:val="0"/>
        </w:rPr>
        <w:t>财</w:t>
      </w:r>
      <w:r>
        <w:rPr>
          <w:rStyle w:val="19"/>
          <w:rFonts w:hint="eastAsia" w:ascii="仿宋" w:hAnsi="仿宋" w:eastAsia="仿宋"/>
        </w:rPr>
        <w:t>政拨款收入支出决算总表</w:t>
      </w:r>
    </w:p>
    <w:p w14:paraId="55AB8218">
      <w:pPr>
        <w:pStyle w:val="6"/>
        <w:rPr>
          <w:rStyle w:val="19"/>
          <w:rFonts w:ascii="仿宋" w:hAnsi="仿宋" w:eastAsia="仿宋"/>
        </w:rPr>
      </w:pPr>
      <w:r>
        <w:rPr>
          <w:rStyle w:val="19"/>
          <w:rFonts w:hint="eastAsia" w:ascii="仿宋" w:hAnsi="仿宋" w:eastAsia="仿宋"/>
        </w:rPr>
        <w:t>五、</w:t>
      </w:r>
      <w:r>
        <w:rPr>
          <w:rFonts w:hint="eastAsia" w:ascii="仿宋" w:hAnsi="仿宋" w:eastAsia="仿宋"/>
          <w:b w:val="0"/>
        </w:rPr>
        <w:t>财</w:t>
      </w:r>
      <w:r>
        <w:rPr>
          <w:rStyle w:val="19"/>
          <w:rFonts w:hint="eastAsia" w:ascii="仿宋" w:hAnsi="仿宋" w:eastAsia="仿宋"/>
        </w:rPr>
        <w:t>政拨款支出决算明细表</w:t>
      </w:r>
    </w:p>
    <w:p w14:paraId="1C4B2F82">
      <w:pPr>
        <w:pStyle w:val="6"/>
        <w:rPr>
          <w:rFonts w:ascii="仿宋" w:hAnsi="仿宋" w:eastAsia="仿宋"/>
        </w:rPr>
      </w:pPr>
      <w:r>
        <w:rPr>
          <w:rStyle w:val="19"/>
          <w:rFonts w:hint="eastAsia" w:ascii="仿宋" w:hAnsi="仿宋" w:eastAsia="仿宋"/>
        </w:rPr>
        <w:t>六、</w:t>
      </w:r>
      <w:r>
        <w:rPr>
          <w:rFonts w:hint="eastAsia" w:ascii="仿宋" w:hAnsi="仿宋" w:eastAsia="仿宋"/>
          <w:b w:val="0"/>
        </w:rPr>
        <w:t>一</w:t>
      </w:r>
      <w:r>
        <w:rPr>
          <w:rStyle w:val="19"/>
          <w:rFonts w:hint="eastAsia" w:ascii="仿宋" w:hAnsi="仿宋" w:eastAsia="仿宋"/>
        </w:rPr>
        <w:t>般公共预算财政拨款支出决算表</w:t>
      </w:r>
    </w:p>
    <w:p w14:paraId="0D94C5A2">
      <w:pPr>
        <w:pStyle w:val="6"/>
        <w:rPr>
          <w:rFonts w:ascii="仿宋" w:hAnsi="仿宋" w:eastAsia="仿宋"/>
        </w:rPr>
      </w:pPr>
      <w:r>
        <w:rPr>
          <w:rStyle w:val="19"/>
          <w:rFonts w:hint="eastAsia" w:ascii="仿宋" w:hAnsi="仿宋" w:eastAsia="仿宋"/>
        </w:rPr>
        <w:t>七、</w:t>
      </w:r>
      <w:r>
        <w:rPr>
          <w:rFonts w:hint="eastAsia" w:ascii="仿宋" w:hAnsi="仿宋" w:eastAsia="仿宋"/>
          <w:b w:val="0"/>
        </w:rPr>
        <w:t>一</w:t>
      </w:r>
      <w:r>
        <w:rPr>
          <w:rStyle w:val="19"/>
          <w:rFonts w:hint="eastAsia" w:ascii="仿宋" w:hAnsi="仿宋" w:eastAsia="仿宋"/>
        </w:rPr>
        <w:t>般公共预算财政拨款支出决算明细表</w:t>
      </w:r>
    </w:p>
    <w:p w14:paraId="5664823A">
      <w:pPr>
        <w:pStyle w:val="6"/>
        <w:rPr>
          <w:rFonts w:ascii="仿宋" w:hAnsi="仿宋" w:eastAsia="仿宋"/>
        </w:rPr>
      </w:pPr>
      <w:r>
        <w:rPr>
          <w:rStyle w:val="19"/>
          <w:rFonts w:hint="eastAsia" w:ascii="仿宋" w:hAnsi="仿宋" w:eastAsia="仿宋"/>
        </w:rPr>
        <w:t>八、</w:t>
      </w:r>
      <w:r>
        <w:rPr>
          <w:rFonts w:hint="eastAsia" w:ascii="仿宋" w:hAnsi="仿宋" w:eastAsia="仿宋"/>
          <w:b w:val="0"/>
        </w:rPr>
        <w:t>一</w:t>
      </w:r>
      <w:r>
        <w:rPr>
          <w:rStyle w:val="19"/>
          <w:rFonts w:hint="eastAsia" w:ascii="仿宋" w:hAnsi="仿宋" w:eastAsia="仿宋"/>
        </w:rPr>
        <w:t>般公共预算财政拨款基本支出决算表</w:t>
      </w:r>
    </w:p>
    <w:p w14:paraId="3DB9E4DD">
      <w:pPr>
        <w:pStyle w:val="6"/>
        <w:rPr>
          <w:rFonts w:ascii="仿宋" w:hAnsi="仿宋" w:eastAsia="仿宋"/>
        </w:rPr>
      </w:pPr>
      <w:r>
        <w:rPr>
          <w:rStyle w:val="19"/>
          <w:rFonts w:hint="eastAsia" w:ascii="仿宋" w:hAnsi="仿宋" w:eastAsia="仿宋"/>
        </w:rPr>
        <w:t>九、</w:t>
      </w:r>
      <w:r>
        <w:rPr>
          <w:rFonts w:hint="eastAsia" w:ascii="仿宋" w:hAnsi="仿宋" w:eastAsia="仿宋"/>
          <w:b w:val="0"/>
        </w:rPr>
        <w:t>一</w:t>
      </w:r>
      <w:r>
        <w:rPr>
          <w:rStyle w:val="19"/>
          <w:rFonts w:hint="eastAsia" w:ascii="仿宋" w:hAnsi="仿宋" w:eastAsia="仿宋"/>
        </w:rPr>
        <w:t>般公共预算财政拨款项目支出决算表</w:t>
      </w:r>
    </w:p>
    <w:p w14:paraId="78D1A848">
      <w:pPr>
        <w:pStyle w:val="6"/>
        <w:rPr>
          <w:rFonts w:ascii="仿宋" w:hAnsi="仿宋" w:eastAsia="仿宋"/>
        </w:rPr>
      </w:pPr>
      <w:r>
        <w:rPr>
          <w:rStyle w:val="19"/>
          <w:rFonts w:hint="eastAsia" w:ascii="仿宋" w:hAnsi="仿宋" w:eastAsia="仿宋"/>
        </w:rPr>
        <w:t>十、</w:t>
      </w:r>
      <w:r>
        <w:rPr>
          <w:rFonts w:hint="eastAsia" w:ascii="仿宋" w:hAnsi="仿宋" w:eastAsia="仿宋"/>
          <w:b w:val="0"/>
        </w:rPr>
        <w:t>政</w:t>
      </w:r>
      <w:r>
        <w:rPr>
          <w:rStyle w:val="19"/>
          <w:rFonts w:hint="eastAsia" w:ascii="仿宋" w:hAnsi="仿宋" w:eastAsia="仿宋"/>
        </w:rPr>
        <w:t>府性基金预算财政拨款收入支出决算表</w:t>
      </w:r>
    </w:p>
    <w:p w14:paraId="3DD49373">
      <w:pPr>
        <w:pStyle w:val="6"/>
        <w:rPr>
          <w:rFonts w:ascii="仿宋" w:hAnsi="仿宋" w:eastAsia="仿宋"/>
        </w:rPr>
      </w:pPr>
      <w:r>
        <w:rPr>
          <w:rStyle w:val="19"/>
          <w:rFonts w:hint="eastAsia" w:ascii="仿宋" w:hAnsi="仿宋" w:eastAsia="仿宋"/>
        </w:rPr>
        <w:t>十一、</w:t>
      </w:r>
      <w:r>
        <w:rPr>
          <w:rFonts w:hint="eastAsia" w:ascii="仿宋" w:hAnsi="仿宋" w:eastAsia="仿宋"/>
          <w:b w:val="0"/>
        </w:rPr>
        <w:t>国</w:t>
      </w:r>
      <w:r>
        <w:rPr>
          <w:rStyle w:val="19"/>
          <w:rFonts w:hint="eastAsia" w:ascii="仿宋" w:hAnsi="仿宋" w:eastAsia="仿宋"/>
        </w:rPr>
        <w:t>有资本经营预算财政拨款收入支出决算表</w:t>
      </w:r>
    </w:p>
    <w:p w14:paraId="5D598AE2">
      <w:pPr>
        <w:pStyle w:val="6"/>
        <w:rPr>
          <w:rFonts w:ascii="仿宋" w:hAnsi="仿宋" w:eastAsia="仿宋"/>
        </w:rPr>
      </w:pPr>
      <w:r>
        <w:rPr>
          <w:rStyle w:val="19"/>
          <w:rFonts w:hint="eastAsia" w:ascii="仿宋" w:hAnsi="仿宋" w:eastAsia="仿宋"/>
        </w:rPr>
        <w:t>十二、国有资本经营预算财政拨款支出决算表</w:t>
      </w:r>
    </w:p>
    <w:p w14:paraId="17AE0CB0">
      <w:pPr>
        <w:pStyle w:val="6"/>
        <w:rPr>
          <w:rFonts w:hint="eastAsia" w:eastAsia="仿宋"/>
        </w:rPr>
      </w:pPr>
      <w:r>
        <w:rPr>
          <w:rStyle w:val="19"/>
          <w:rFonts w:hint="eastAsia" w:ascii="仿宋" w:hAnsi="仿宋" w:eastAsia="仿宋"/>
        </w:rPr>
        <w:t>十三、财政拨款“三公”经费支出决算表</w:t>
      </w:r>
    </w:p>
    <w:p w14:paraId="6D1CDFD3"/>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34905">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77520" cy="1397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477520" cy="139700"/>
                      </a:xfrm>
                      <a:prstGeom prst="rect">
                        <a:avLst/>
                      </a:prstGeom>
                      <a:noFill/>
                      <a:ln>
                        <a:noFill/>
                      </a:ln>
                    </wps:spPr>
                    <wps:txbx>
                      <w:txbxContent>
                        <w:p w14:paraId="2D90CFBB">
                          <w:pPr>
                            <w:pStyle w:val="10"/>
                          </w:pPr>
                          <w:r>
                            <w:fldChar w:fldCharType="begin"/>
                          </w:r>
                          <w:r>
                            <w:instrText xml:space="preserve"> PAGE  \* MERGEFORMAT </w:instrText>
                          </w:r>
                          <w:r>
                            <w:fldChar w:fldCharType="separate"/>
                          </w:r>
                          <w:r>
                            <w:t>1</w:t>
                          </w:r>
                          <w:r>
                            <w:fldChar w:fldCharType="end"/>
                          </w:r>
                        </w:p>
                      </w:txbxContent>
                    </wps:txbx>
                    <wps:bodyPr wrap="square" lIns="0" tIns="0" rIns="0" bIns="0" upright="0">
                      <a:spAutoFit/>
                    </wps:bodyPr>
                  </wps:wsp>
                </a:graphicData>
              </a:graphic>
            </wp:anchor>
          </w:drawing>
        </mc:Choice>
        <mc:Fallback>
          <w:pict>
            <v:shape id="文本框 1" o:spid="_x0000_s1026" o:spt="202" type="#_x0000_t202" style="position:absolute;left:0pt;margin-top:0pt;height:11pt;width:37.6pt;mso-position-horizontal:center;mso-position-horizontal-relative:margin;z-index:251659264;mso-width-relative:page;mso-height-relative:page;" filled="f" stroked="f" coordsize="21600,21600" o:gfxdata="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TDwK3SAAAAAwEAAA8AAAAAAAAAAQAgAAAAIgAAAGRycy9k&#10;b3ducmV2LnhtbFBLAQIUABQAAAAIAIdO4kBVcJvrzwEAAJkDAAAOAAAAAAAAAAEAIAAAACEBAABk&#10;cnMvZTJvRG9jLnhtbFBLBQYAAAAABgAGAFkBAABiBQAAAAA=&#10;">
              <v:fill on="f" focussize="0,0"/>
              <v:stroke on="f"/>
              <v:imagedata o:title=""/>
              <o:lock v:ext="edit" aspectratio="f"/>
              <v:textbox inset="0mm,0mm,0mm,0mm" style="mso-fit-shape-to-text:t;">
                <w:txbxContent>
                  <w:p w14:paraId="2D90CFB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0E127DD8"/>
    <w:multiLevelType w:val="multilevel"/>
    <w:tmpl w:val="0E127DD8"/>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D72EDE9"/>
    <w:multiLevelType w:val="singleLevel"/>
    <w:tmpl w:val="2D72EDE9"/>
    <w:lvl w:ilvl="0" w:tentative="0">
      <w:start w:val="3"/>
      <w:numFmt w:val="decimal"/>
      <w:lvlText w:val="%1."/>
      <w:lvlJc w:val="left"/>
      <w:pPr>
        <w:tabs>
          <w:tab w:val="left" w:pos="312"/>
        </w:tabs>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TczMjk0ODJmNzkxZTIyMDk2OWU3NWIzNzE1NWMifQ=="/>
  </w:docVars>
  <w:rsids>
    <w:rsidRoot w:val="003E3070"/>
    <w:rsid w:val="0011240E"/>
    <w:rsid w:val="0024446B"/>
    <w:rsid w:val="003E3070"/>
    <w:rsid w:val="004C74D6"/>
    <w:rsid w:val="00504E28"/>
    <w:rsid w:val="007502E6"/>
    <w:rsid w:val="007C48FC"/>
    <w:rsid w:val="0097270E"/>
    <w:rsid w:val="00B3708B"/>
    <w:rsid w:val="00C23387"/>
    <w:rsid w:val="00C2370C"/>
    <w:rsid w:val="01771768"/>
    <w:rsid w:val="024E29FC"/>
    <w:rsid w:val="030B2604"/>
    <w:rsid w:val="03BA4C08"/>
    <w:rsid w:val="04DF7408"/>
    <w:rsid w:val="053B48FF"/>
    <w:rsid w:val="0817778D"/>
    <w:rsid w:val="0A4F754B"/>
    <w:rsid w:val="0D95362E"/>
    <w:rsid w:val="0E5708CB"/>
    <w:rsid w:val="0E7A7CAA"/>
    <w:rsid w:val="0EA6430D"/>
    <w:rsid w:val="0FC93FB4"/>
    <w:rsid w:val="10FC0F6F"/>
    <w:rsid w:val="12F11F4C"/>
    <w:rsid w:val="135E7334"/>
    <w:rsid w:val="13EE5F5C"/>
    <w:rsid w:val="15672A4E"/>
    <w:rsid w:val="19410E12"/>
    <w:rsid w:val="1A4B476B"/>
    <w:rsid w:val="1B7963F6"/>
    <w:rsid w:val="1CE96869"/>
    <w:rsid w:val="1EB04002"/>
    <w:rsid w:val="1EEB433C"/>
    <w:rsid w:val="1F0F4454"/>
    <w:rsid w:val="1FEB5FF5"/>
    <w:rsid w:val="20647389"/>
    <w:rsid w:val="2479609D"/>
    <w:rsid w:val="253A2D39"/>
    <w:rsid w:val="26230D49"/>
    <w:rsid w:val="27A40BE5"/>
    <w:rsid w:val="28533431"/>
    <w:rsid w:val="2BBD1F0C"/>
    <w:rsid w:val="2C4219EE"/>
    <w:rsid w:val="2FFA2D7B"/>
    <w:rsid w:val="30984CB0"/>
    <w:rsid w:val="32487229"/>
    <w:rsid w:val="32D84123"/>
    <w:rsid w:val="33570078"/>
    <w:rsid w:val="348119C9"/>
    <w:rsid w:val="35C80195"/>
    <w:rsid w:val="35FC420F"/>
    <w:rsid w:val="36D72B72"/>
    <w:rsid w:val="37457B83"/>
    <w:rsid w:val="3871569E"/>
    <w:rsid w:val="3B4E24F1"/>
    <w:rsid w:val="3B665B45"/>
    <w:rsid w:val="3B800B90"/>
    <w:rsid w:val="3BF97CCF"/>
    <w:rsid w:val="3CD4186B"/>
    <w:rsid w:val="3ECE5700"/>
    <w:rsid w:val="41DB6285"/>
    <w:rsid w:val="42507013"/>
    <w:rsid w:val="44E93C84"/>
    <w:rsid w:val="46426D37"/>
    <w:rsid w:val="472C0E7C"/>
    <w:rsid w:val="47885FD9"/>
    <w:rsid w:val="47FC4B37"/>
    <w:rsid w:val="482777E3"/>
    <w:rsid w:val="48F705A4"/>
    <w:rsid w:val="4BBC0AAB"/>
    <w:rsid w:val="4BF32EF2"/>
    <w:rsid w:val="4C4D76C9"/>
    <w:rsid w:val="4E977924"/>
    <w:rsid w:val="4F094CAC"/>
    <w:rsid w:val="4F215B4B"/>
    <w:rsid w:val="4FB83AA6"/>
    <w:rsid w:val="504F23A6"/>
    <w:rsid w:val="525F55DA"/>
    <w:rsid w:val="57544F8D"/>
    <w:rsid w:val="5BD112A2"/>
    <w:rsid w:val="5D972077"/>
    <w:rsid w:val="5EF67277"/>
    <w:rsid w:val="5F4955F3"/>
    <w:rsid w:val="5FB825B3"/>
    <w:rsid w:val="605775B8"/>
    <w:rsid w:val="607E751E"/>
    <w:rsid w:val="60AA3E6F"/>
    <w:rsid w:val="60E95450"/>
    <w:rsid w:val="615C7BEE"/>
    <w:rsid w:val="61B20E66"/>
    <w:rsid w:val="62BE5348"/>
    <w:rsid w:val="62FE2F69"/>
    <w:rsid w:val="63EA73A4"/>
    <w:rsid w:val="63ED6228"/>
    <w:rsid w:val="63EF723E"/>
    <w:rsid w:val="6BAA005F"/>
    <w:rsid w:val="6BAD1E89"/>
    <w:rsid w:val="6C7739CB"/>
    <w:rsid w:val="6D317E99"/>
    <w:rsid w:val="6D3A315F"/>
    <w:rsid w:val="6DEE13F4"/>
    <w:rsid w:val="6E285839"/>
    <w:rsid w:val="6E2A78B2"/>
    <w:rsid w:val="6E2B423E"/>
    <w:rsid w:val="6E847086"/>
    <w:rsid w:val="6F4162E7"/>
    <w:rsid w:val="6F946AD6"/>
    <w:rsid w:val="707860F1"/>
    <w:rsid w:val="72337E0B"/>
    <w:rsid w:val="725637FE"/>
    <w:rsid w:val="73291692"/>
    <w:rsid w:val="73343E97"/>
    <w:rsid w:val="75210715"/>
    <w:rsid w:val="752E5D51"/>
    <w:rsid w:val="76DD68A1"/>
    <w:rsid w:val="77FC13A6"/>
    <w:rsid w:val="7873336F"/>
    <w:rsid w:val="7BFFE41D"/>
    <w:rsid w:val="7C2862A8"/>
    <w:rsid w:val="7CE66BBE"/>
    <w:rsid w:val="7D5C301D"/>
    <w:rsid w:val="7D73659F"/>
    <w:rsid w:val="7D8F2DB7"/>
    <w:rsid w:val="7E3B60EE"/>
    <w:rsid w:val="7EC24F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kern w:val="2"/>
      <w:sz w:val="21"/>
      <w:szCs w:val="24"/>
      <w:lang w:val="en-US" w:eastAsia="zh-CN" w:bidi="ar-SA"/>
    </w:rPr>
  </w:style>
  <w:style w:type="paragraph" w:styleId="5">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9"/>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6">
    <w:name w:val="Default Paragraph Font"/>
    <w:uiPriority w:val="0"/>
  </w:style>
  <w:style w:type="table" w:default="1" w:styleId="15">
    <w:name w:val="Normal Table"/>
    <w:semiHidden/>
    <w:qFormat/>
    <w:uiPriority w:val="0"/>
    <w:tblPr>
      <w:tblStyle w:val="15"/>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caption"/>
    <w:basedOn w:val="1"/>
    <w:qFormat/>
    <w:uiPriority w:val="0"/>
    <w:pPr>
      <w:widowControl w:val="0"/>
      <w:suppressLineNumbers/>
      <w:suppressAutoHyphens/>
      <w:spacing w:before="120" w:after="120"/>
    </w:pPr>
    <w:rPr>
      <w:i/>
      <w:iCs/>
      <w:sz w:val="24"/>
      <w:szCs w:val="24"/>
    </w:rPr>
  </w:style>
  <w:style w:type="paragraph" w:styleId="8">
    <w:name w:val="annotation text"/>
    <w:basedOn w:val="1"/>
    <w:uiPriority w:val="0"/>
    <w:pPr>
      <w:jc w:val="left"/>
    </w:pPr>
  </w:style>
  <w:style w:type="paragraph" w:styleId="9">
    <w:name w:val="Body Text"/>
    <w:basedOn w:val="1"/>
    <w:uiPriority w:val="0"/>
    <w:pPr>
      <w:spacing w:before="0" w:after="140" w:line="276" w:lineRule="auto"/>
    </w:p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List"/>
    <w:basedOn w:val="9"/>
    <w:uiPriority w:val="0"/>
  </w:style>
  <w:style w:type="paragraph" w:styleId="14">
    <w:name w:val="toc 2"/>
    <w:basedOn w:val="1"/>
    <w:next w:val="1"/>
    <w:unhideWhenUsed/>
    <w:qFormat/>
    <w:uiPriority w:val="39"/>
    <w:pPr>
      <w:tabs>
        <w:tab w:val="right" w:leader="dot" w:pos="8296"/>
      </w:tabs>
      <w:ind w:left="420" w:leftChars="200"/>
    </w:pPr>
  </w:style>
  <w:style w:type="character" w:styleId="17">
    <w:name w:val="Strong"/>
    <w:qFormat/>
    <w:uiPriority w:val="99"/>
    <w:rPr>
      <w:b/>
    </w:rPr>
  </w:style>
  <w:style w:type="character" w:customStyle="1" w:styleId="18">
    <w:name w:val="标题 1 字符"/>
    <w:link w:val="5"/>
    <w:qFormat/>
    <w:uiPriority w:val="9"/>
    <w:rPr>
      <w:b/>
      <w:bCs/>
      <w:kern w:val="44"/>
      <w:sz w:val="44"/>
      <w:szCs w:val="44"/>
    </w:rPr>
  </w:style>
  <w:style w:type="character" w:customStyle="1" w:styleId="19">
    <w:name w:val="标题 2 字符"/>
    <w:link w:val="6"/>
    <w:qFormat/>
    <w:uiPriority w:val="9"/>
    <w:rPr>
      <w:rFonts w:ascii="Cambria" w:hAnsi="Cambria" w:eastAsia="宋体" w:cs="Times New Roman"/>
      <w:b/>
      <w:bCs/>
      <w:sz w:val="32"/>
      <w:szCs w:val="32"/>
    </w:rPr>
  </w:style>
  <w:style w:type="character" w:customStyle="1" w:styleId="20">
    <w:name w:val="默认段落字体1"/>
    <w:uiPriority w:val="0"/>
  </w:style>
  <w:style w:type="paragraph" w:customStyle="1" w:styleId="21">
    <w:name w:val="Heading"/>
    <w:basedOn w:val="1"/>
    <w:next w:val="9"/>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2">
    <w:name w:val="Index"/>
    <w:basedOn w:val="1"/>
    <w:uiPriority w:val="0"/>
    <w:pPr>
      <w:widowControl w:val="0"/>
      <w:suppressLineNumbers/>
      <w:suppressAutoHyphens/>
    </w:pPr>
  </w:style>
  <w:style w:type="paragraph" w:styleId="23">
    <w:name w:val="List Paragraph"/>
    <w:basedOn w:val="1"/>
    <w:qFormat/>
    <w:uiPriority w:val="34"/>
    <w:pPr>
      <w:ind w:firstLine="420" w:firstLineChars="200"/>
    </w:pPr>
  </w:style>
  <w:style w:type="paragraph" w:customStyle="1" w:styleId="24">
    <w:name w:val="标题 5（有编号）（绿盟科技）"/>
    <w:next w:val="1"/>
    <w:qFormat/>
    <w:uiPriority w:val="99"/>
    <w:pPr>
      <w:keepNext/>
      <w:keepLines/>
      <w:widowControl w:val="0"/>
      <w:spacing w:before="280" w:after="156" w:line="377" w:lineRule="auto"/>
      <w:outlineLvl w:val="4"/>
    </w:pPr>
    <w:rPr>
      <w:rFonts w:ascii="Arial" w:hAnsi="Arial" w:eastAsia="黑体"/>
      <w:b/>
      <w:kern w:val="2"/>
      <w:sz w:val="24"/>
      <w:szCs w:val="28"/>
      <w:lang w:val="en-US" w:eastAsia="zh-CN" w:bidi="ar-SA"/>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23&#24180;&#20915;&#31639;&#20844;&#24320;\0&#19979;&#21457;&#30340;&#27169;&#26495;\&#38468;&#20214;3(&#25968;&#25454;&#34920;)&#65306;2023&#24180;&#24230;&#25968;&#25454;&#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24&#24180;&#36130;&#21153;\2024&#24180;&#25253;&#34920;\2023&#20915;&#31639;&#20844;&#24320;\2023&#24180;&#20915;&#31639;&#25209;&#22797;&#20844;&#24320;&#19968;&#20307;&#21270;&#31995;&#32479;&#23548;&#20986;\2022&#20915;&#31639;&#20844;&#24320;\&#24037;&#20316;&#31807;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23&#24180;&#20915;&#31639;&#20844;&#24320;\0&#19979;&#21457;&#30340;&#27169;&#26495;\&#38468;&#20214;3(&#25968;&#25454;&#34920;)&#65306;2023&#24180;&#24230;&#25968;&#25454;&#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23&#24180;&#20915;&#31639;&#20844;&#24320;\0&#19979;&#21457;&#30340;&#27169;&#26495;\&#38468;&#20214;3(&#25968;&#25454;&#34920;)&#65306;2023&#24180;&#24230;&#25968;&#25454;&#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23&#24180;&#20915;&#31639;&#20844;&#24320;\0&#19979;&#21457;&#30340;&#27169;&#26495;\&#38468;&#20214;3(&#25968;&#25454;&#34920;)&#65306;2023&#24180;&#24230;&#25968;&#25454;&#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23&#24180;&#20915;&#31639;&#20844;&#24320;\0&#19979;&#21457;&#30340;&#27169;&#26495;\&#38468;&#20214;3(&#25968;&#25454;&#34920;)&#65306;2023&#24180;&#24230;&#25968;&#25454;&#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en-US" altLang="zh-CN" sz="1800" b="1" i="0" u="none" strike="noStrike" baseline="0">
                <a:solidFill>
                  <a:srgbClr val="333333">
                    <a:alpha val="100000"/>
                  </a:srgbClr>
                </a:solidFill>
                <a:effectLst/>
                <a:latin typeface="宋体" panose="02010600030101010101" charset="-122"/>
                <a:ea typeface="宋体" panose="02010600030101010101" charset="-122"/>
                <a:cs typeface="宋体" panose="02010600030101010101" charset="-122"/>
              </a:rPr>
              <a:t>2022</a:t>
            </a:r>
            <a:r>
              <a:rPr altLang="en-US" sz="1800" b="1" i="0" u="none" strike="noStrike" baseline="0">
                <a:solidFill>
                  <a:srgbClr val="333333">
                    <a:alpha val="100000"/>
                  </a:srgbClr>
                </a:solidFill>
                <a:effectLst/>
                <a:latin typeface="宋体" panose="02010600030101010101" charset="-122"/>
                <a:ea typeface="宋体" panose="02010600030101010101" charset="-122"/>
                <a:cs typeface="宋体" panose="02010600030101010101" charset="-122"/>
              </a:rPr>
              <a:t>、</a:t>
            </a:r>
            <a:r>
              <a:rPr lang="en-US" altLang="zh-CN" sz="1800" b="1" i="0" u="none" strike="noStrike" baseline="0">
                <a:solidFill>
                  <a:srgbClr val="333333">
                    <a:alpha val="100000"/>
                  </a:srgbClr>
                </a:solidFill>
                <a:effectLst/>
                <a:latin typeface="宋体" panose="02010600030101010101" charset="-122"/>
                <a:ea typeface="宋体" panose="02010600030101010101" charset="-122"/>
                <a:cs typeface="宋体" panose="02010600030101010101" charset="-122"/>
              </a:rPr>
              <a:t>2023</a:t>
            </a:r>
            <a:r>
              <a:rPr altLang="en-US" sz="1800" b="1" i="0" u="none" strike="noStrike" baseline="0">
                <a:solidFill>
                  <a:srgbClr val="333333">
                    <a:alpha val="100000"/>
                  </a:srgbClr>
                </a:solidFill>
                <a:effectLst/>
                <a:latin typeface="宋体" panose="02010600030101010101" charset="-122"/>
                <a:ea typeface="宋体" panose="02010600030101010101" charset="-122"/>
                <a:cs typeface="宋体" panose="02010600030101010101" charset="-122"/>
              </a:rPr>
              <a:t>年收</a:t>
            </a:r>
            <a:r>
              <a:rPr lang="zh-CN" altLang="en-US" sz="1800" b="1" i="0" u="none" strike="noStrike" baseline="0">
                <a:solidFill>
                  <a:srgbClr val="333333">
                    <a:alpha val="100000"/>
                  </a:srgbClr>
                </a:solidFill>
                <a:effectLst/>
                <a:latin typeface="宋体" panose="02010600030101010101" charset="-122"/>
                <a:ea typeface="宋体" panose="02010600030101010101" charset="-122"/>
                <a:cs typeface="宋体" panose="02010600030101010101" charset="-122"/>
              </a:rPr>
              <a:t>支决算总计变动情况图</a:t>
            </a:r>
            <a:endParaRPr lang="zh-CN" altLang="en-US" sz="1800" b="1" i="0" u="none" strike="noStrike" baseline="0">
              <a:solidFill>
                <a:srgbClr val="333333">
                  <a:alpha val="100000"/>
                </a:srgbClr>
              </a:solidFill>
              <a:effectLst/>
              <a:latin typeface="宋体" panose="02010600030101010101" charset="-122"/>
              <a:ea typeface="宋体" panose="02010600030101010101" charset="-122"/>
              <a:cs typeface="宋体" panose="02010600030101010101" charset="-122"/>
            </a:endParaRPr>
          </a:p>
        </c:rich>
      </c:tx>
      <c:layout>
        <c:manualLayout>
          <c:xMode val="edge"/>
          <c:yMode val="edge"/>
          <c:x val="0.131962403004709"/>
          <c:y val="0.0296296296296296"/>
        </c:manualLayout>
      </c:layout>
      <c:overlay val="0"/>
    </c:title>
    <c:autoTitleDeleted val="0"/>
    <c:plotArea>
      <c:layout/>
      <c:barChart>
        <c:barDir val="col"/>
        <c:grouping val="clustered"/>
        <c:varyColors val="0"/>
        <c:ser>
          <c:idx val="1"/>
          <c:order val="0"/>
          <c:tx>
            <c:strRef>
              <c:f>'[附件3(数据表)：2023年度数据表.xls]需删除的表'!$K$9</c:f>
              <c:strCache>
                <c:ptCount val="1"/>
                <c:pt idx="0">
                  <c:v>2022年度收、支总额</c:v>
                </c:pt>
              </c:strCache>
            </c:strRef>
          </c:tx>
          <c:spPr>
            <a:solidFill>
              <a:srgbClr val="C0504D"/>
            </a:solidFill>
            <a:ln w="12700" cap="flat" cmpd="sng" algn="ctr">
              <a:solidFill>
                <a:srgbClr val="8C3836">
                  <a:shade val="50000"/>
                </a:srgbClr>
              </a:solidFill>
              <a:prstDash val="solid"/>
              <a:miter lim="800000"/>
            </a:ln>
            <a:sp3d>
              <a:extrusionClr>
                <a:srgbClr val="FFFFFF"/>
              </a:extrusionClr>
              <a:contourClr>
                <a:srgbClr val="FFFFFF"/>
              </a:contourClr>
            </a:sp3d>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'[附件3(数据表)：2023年度数据表.xls]需删除的表'!$L$8:$M$8</c:f>
              <c:strCache>
                <c:ptCount val="2"/>
                <c:pt idx="0">
                  <c:v>收入</c:v>
                </c:pt>
                <c:pt idx="1">
                  <c:v>支出</c:v>
                </c:pt>
              </c:strCache>
            </c:strRef>
          </c:cat>
          <c:val>
            <c:numRef>
              <c:f>'[附件3(数据表)：2023年度数据表.xls]需删除的表'!$L$9:$M$9</c:f>
              <c:numCache>
                <c:formatCode>General</c:formatCode>
                <c:ptCount val="2"/>
                <c:pt idx="0">
                  <c:v>316.6</c:v>
                </c:pt>
                <c:pt idx="1">
                  <c:v>316.6</c:v>
                </c:pt>
              </c:numCache>
            </c:numRef>
          </c:val>
        </c:ser>
        <c:ser>
          <c:idx val="2"/>
          <c:order val="1"/>
          <c:tx>
            <c:strRef>
              <c:f>'[附件3(数据表)：2023年度数据表.xls]需删除的表'!$K$10</c:f>
              <c:strCache>
                <c:ptCount val="1"/>
                <c:pt idx="0">
                  <c:v>2023年度收、支总额</c:v>
                </c:pt>
              </c:strCache>
            </c:strRef>
          </c:tx>
          <c:spPr>
            <a:gradFill>
              <a:gsLst>
                <a:gs pos="0">
                  <a:srgbClr val="14CD68"/>
                </a:gs>
                <a:gs pos="100000">
                  <a:srgbClr val="0B6E38"/>
                </a:gs>
              </a:gsLst>
              <a:lin ang="5400000" scaled="0"/>
            </a:gradFill>
          </c:spPr>
          <c:invertIfNegative val="0"/>
          <c:dLbls>
            <c:numFmt formatCode="General" sourceLinked="1"/>
            <c:spPr>
              <a:noFill/>
              <a:ln w="12700" cmpd="sng">
                <a:noFill/>
                <a:prstDash val="solid"/>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'[附件3(数据表)：2023年度数据表.xls]需删除的表'!$L$8:$M$8</c:f>
              <c:strCache>
                <c:ptCount val="2"/>
                <c:pt idx="0">
                  <c:v>收入</c:v>
                </c:pt>
                <c:pt idx="1">
                  <c:v>支出</c:v>
                </c:pt>
              </c:strCache>
            </c:strRef>
          </c:cat>
          <c:val>
            <c:numRef>
              <c:f>'[附件3(数据表)：2023年度数据表.xls]需删除的表'!$L$10:$M$10</c:f>
              <c:numCache>
                <c:formatCode>General</c:formatCode>
                <c:ptCount val="2"/>
                <c:pt idx="0">
                  <c:v>360.34</c:v>
                </c:pt>
                <c:pt idx="1">
                  <c:v>360.34</c:v>
                </c:pt>
              </c:numCache>
            </c:numRef>
          </c:val>
        </c:ser>
        <c:dLbls>
          <c:showLegendKey val="0"/>
          <c:showVal val="1"/>
          <c:showCatName val="0"/>
          <c:showSerName val="0"/>
          <c:showPercent val="0"/>
          <c:showBubbleSize val="0"/>
        </c:dLbls>
        <c:gapWidth val="246"/>
        <c:overlap val="-28"/>
        <c:axId val="835142037"/>
        <c:axId val="615022232"/>
      </c:barChart>
      <c:catAx>
        <c:axId val="835142037"/>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15022232"/>
        <c:crosses val="autoZero"/>
        <c:auto val="1"/>
        <c:lblAlgn val="ctr"/>
        <c:lblOffset val="100"/>
        <c:noMultiLvlLbl val="0"/>
      </c:catAx>
      <c:valAx>
        <c:axId val="615022232"/>
        <c:scaling>
          <c:orientation val="minMax"/>
        </c:scaling>
        <c:delete val="0"/>
        <c:axPos val="l"/>
        <c:majorGridlines>
          <c:spPr>
            <a:ln w="9525" cap="flat" cmpd="sng" algn="ctr">
              <a:solidFill>
                <a:srgbClr val="E6E6E6">
                  <a:lumMod val="90200"/>
                </a:srgb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835142037"/>
        <c:crosses val="autoZero"/>
        <c:crossBetween val="between"/>
      </c:valAx>
      <c:spPr>
        <a:noFill/>
        <a:ln w="3175">
          <a:noFill/>
        </a:ln>
      </c:spPr>
    </c:plotArea>
    <c:legend>
      <c:legendPos val="r"/>
      <c:layout>
        <c:manualLayout>
          <c:xMode val="edge"/>
          <c:yMode val="edge"/>
          <c:x val="0.72226368159204"/>
          <c:y val="0.481764206955047"/>
        </c:manualLayout>
      </c:layout>
      <c:overlay val="0"/>
      <c:spPr>
        <a:solidFill>
          <a:srgbClr val="FFFFFF">
            <a:alpha val="90000"/>
          </a:srgbClr>
        </a:solidFill>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0"/>
    <c:dispBlanksAs val="gap"/>
    <c:showDLblsOverMax val="0"/>
  </c:chart>
  <c:spPr>
    <a:solidFill>
      <a:srgbClr val="FFFFFF"/>
    </a:solidFill>
    <a:ln w="9525" cap="flat" cmpd="sng" algn="ctr">
      <a:solidFill>
        <a:srgbClr val="D9D9D9">
          <a:lumMod val="15000"/>
          <a:lumOff val="85000"/>
        </a:srgb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rgbClr val="000000"/>
                </a:solidFill>
                <a:latin typeface="+mn-lt"/>
                <a:ea typeface="+mn-ea"/>
                <a:cs typeface="+mn-cs"/>
              </a:defRPr>
            </a:pPr>
            <a:r>
              <a:rPr sz="1800" b="1" i="0" u="none" strike="noStrike" baseline="0">
                <a:solidFill>
                  <a:srgbClr val="000000"/>
                </a:solidFill>
                <a:latin typeface="宋体" panose="02010600030101010101" charset="-122"/>
                <a:ea typeface="宋体" panose="02010600030101010101" charset="-122"/>
                <a:cs typeface="宋体" panose="02010600030101010101" charset="-122"/>
              </a:rPr>
              <a:t>202</a:t>
            </a:r>
            <a:r>
              <a:rPr lang="en-US" altLang="zh-CN" sz="1800" b="1" i="0" u="none" strike="noStrike" baseline="0">
                <a:solidFill>
                  <a:srgbClr val="000000"/>
                </a:solidFill>
                <a:latin typeface="宋体" panose="02010600030101010101" charset="-122"/>
                <a:ea typeface="宋体" panose="02010600030101010101" charset="-122"/>
                <a:cs typeface="宋体" panose="02010600030101010101" charset="-122"/>
              </a:rPr>
              <a:t>3</a:t>
            </a:r>
            <a:r>
              <a:rPr sz="1800" b="1" i="0" u="none" strike="noStrike" baseline="0">
                <a:solidFill>
                  <a:srgbClr val="000000"/>
                </a:solidFill>
                <a:latin typeface="宋体" panose="02010600030101010101" charset="-122"/>
                <a:ea typeface="宋体" panose="02010600030101010101" charset="-122"/>
                <a:cs typeface="宋体" panose="02010600030101010101" charset="-122"/>
              </a:rPr>
              <a:t>年收入决算结构图</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31515055967208"/>
          <c:y val="0.00680117887100431"/>
        </c:manualLayout>
      </c:layout>
      <c:overlay val="0"/>
    </c:title>
    <c:autoTitleDeleted val="0"/>
    <c:plotArea>
      <c:layout/>
      <c:pieChart>
        <c:varyColors val="1"/>
        <c:ser>
          <c:idx val="0"/>
          <c:order val="0"/>
          <c:explosion val="0"/>
          <c:dPt>
            <c:idx val="0"/>
            <c:bubble3D val="0"/>
            <c:explosion val="0"/>
          </c:dPt>
          <c:dPt>
            <c:idx val="1"/>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multiLvlStrRef>
              <c:f>[工作簿1.xls]Sheet1!$A$15:$B$16</c:f>
              <c:multiLvlStrCache>
                <c:ptCount val="2"/>
                <c:lvl>
                  <c:pt idx="0">
                    <c:v>一般公共预算财政拨款收入</c:v>
                  </c:pt>
                  <c:pt idx="1">
                    <c:v>政府性基金预算财政拨款收入</c:v>
                  </c:pt>
                </c:lvl>
                <c:lvl>
                  <c:pt idx="0">
                    <c:v>2023年收入决算结构图</c:v>
                  </c:pt>
                </c:lvl>
              </c:multiLvlStrCache>
            </c:multiLvlStrRef>
          </c:cat>
          <c:val>
            <c:numRef>
              <c:f>[工作簿1.xls]Sheet1!$A$17:$B$17</c:f>
              <c:numCache>
                <c:formatCode>General</c:formatCode>
                <c:ptCount val="2"/>
                <c:pt idx="0">
                  <c:v>507.52</c:v>
                </c:pt>
                <c:pt idx="1">
                  <c:v>0</c:v>
                </c:pt>
              </c:numCache>
            </c:numRef>
          </c:val>
        </c:ser>
        <c:ser>
          <c:idx val="1"/>
          <c:order val="1"/>
          <c:explosion val="0"/>
          <c:dPt>
            <c:idx val="0"/>
            <c:bubble3D val="0"/>
            <c:explosion val="0"/>
          </c:dPt>
          <c:dPt>
            <c:idx val="1"/>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multiLvlStrRef>
              <c:f>[工作簿1.xls]Sheet1!$A$15:$B$16</c:f>
              <c:multiLvlStrCache>
                <c:ptCount val="2"/>
                <c:lvl>
                  <c:pt idx="0">
                    <c:v>一般公共预算财政拨款收入</c:v>
                  </c:pt>
                  <c:pt idx="1">
                    <c:v>政府性基金预算财政拨款收入</c:v>
                  </c:pt>
                </c:lvl>
                <c:lvl>
                  <c:pt idx="0">
                    <c:v>2023年收入决算结构图</c:v>
                  </c:pt>
                </c:lvl>
              </c:multiLvlStrCache>
            </c:multiLvlStrRef>
          </c:cat>
          <c:val>
            <c:numRef>
              <c:f>[工作簿1.xls]Sheet1!$A$18:$B$18</c:f>
              <c:numCache>
                <c:formatCode>General</c:formatCode>
                <c:ptCount val="2"/>
                <c:pt idx="0">
                  <c:v>1</c:v>
                </c:pt>
                <c:pt idx="1">
                  <c:v>0</c:v>
                </c:pt>
              </c:numCache>
            </c:numRef>
          </c:val>
        </c:ser>
        <c:dLbls>
          <c:showLegendKey val="0"/>
          <c:showVal val="0"/>
          <c:showCatName val="0"/>
          <c:showSerName val="0"/>
          <c:showPercent val="0"/>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chart>
  <c:spPr>
    <a:noFill/>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r>
              <a:rPr lang="en-US" altLang="zh-CN" sz="1800">
                <a:effectLst/>
              </a:rPr>
              <a:t>2023</a:t>
            </a:r>
            <a:r>
              <a:rPr altLang="en-US" sz="1800">
                <a:effectLst/>
              </a:rPr>
              <a:t>年</a:t>
            </a:r>
            <a:r>
              <a:rPr lang="zh-CN" altLang="en-US" sz="1800">
                <a:effectLst/>
              </a:rPr>
              <a:t>支出决算结构图</a:t>
            </a:r>
            <a:endParaRPr lang="zh-CN" altLang="en-US" sz="1800" b="0" i="0" u="none" strike="noStrike" baseline="0">
              <a:solidFill>
                <a:srgbClr val="333333">
                  <a:alpha val="100000"/>
                </a:srgbClr>
              </a:solidFill>
              <a:effectLst/>
              <a:latin typeface="宋体" panose="02010600030101010101" charset="-122"/>
              <a:ea typeface="宋体" panose="02010600030101010101" charset="-122"/>
              <a:cs typeface="宋体" panose="02010600030101010101" charset="-122"/>
            </a:endParaRPr>
          </a:p>
        </c:rich>
      </c:tx>
      <c:layout>
        <c:manualLayout>
          <c:xMode val="edge"/>
          <c:yMode val="edge"/>
          <c:x val="0.270081188460874"/>
          <c:y val="0.0234061524743647"/>
        </c:manualLayout>
      </c:layout>
      <c:overlay val="0"/>
      <c:spPr>
        <a:noFill/>
        <a:ln>
          <a:noFill/>
        </a:ln>
        <a:effectLst/>
      </c:spPr>
    </c:title>
    <c:autoTitleDeleted val="0"/>
    <c:plotArea>
      <c:layout>
        <c:manualLayout>
          <c:layoutTarget val="inner"/>
          <c:xMode val="edge"/>
          <c:yMode val="edge"/>
          <c:x val="0.277476898901737"/>
          <c:y val="0.0952380952380952"/>
          <c:w val="0.445045974459266"/>
          <c:h val="0.666124007226369"/>
        </c:manualLayout>
      </c:layout>
      <c:pieChart>
        <c:varyColors val="1"/>
        <c:ser>
          <c:idx val="0"/>
          <c:order val="0"/>
          <c:explosion val="0"/>
          <c:dPt>
            <c:idx val="0"/>
            <c:bubble3D val="0"/>
            <c:explosion val="0"/>
            <c:spPr>
              <a:solidFill>
                <a:srgbClr val="4F81BD"/>
              </a:solidFill>
              <a:ln w="19050">
                <a:solidFill>
                  <a:srgbClr val="FFFFFF"/>
                </a:solidFill>
              </a:ln>
              <a:effectLst/>
            </c:spPr>
          </c:dPt>
          <c:dPt>
            <c:idx val="1"/>
            <c:bubble3D val="0"/>
            <c:explosion val="0"/>
            <c:spPr>
              <a:solidFill>
                <a:srgbClr val="C0504D"/>
              </a:solidFill>
              <a:ln w="19050">
                <a:solidFill>
                  <a:srgbClr val="FFFFFF"/>
                </a:solidFill>
              </a:ln>
              <a:effectLst/>
            </c:spPr>
          </c:dPt>
          <c:dPt>
            <c:idx val="2"/>
            <c:bubble3D val="0"/>
            <c:explosion val="0"/>
            <c:spPr>
              <a:solidFill>
                <a:srgbClr val="9BBB59"/>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'[附件3(数据表)：2023年度数据表.xls]需删除的表'!$K$26:$K$28</c:f>
              <c:strCache>
                <c:ptCount val="3"/>
                <c:pt idx="0">
                  <c:v>基本支出</c:v>
                </c:pt>
                <c:pt idx="1">
                  <c:v>项目支出</c:v>
                </c:pt>
                <c:pt idx="2">
                  <c:v>上缴上级支出</c:v>
                </c:pt>
              </c:strCache>
            </c:strRef>
          </c:cat>
          <c:val>
            <c:numRef>
              <c:f>'[附件3(数据表)：2023年度数据表.xls]需删除的表'!$M$26:$M$28</c:f>
              <c:numCache>
                <c:formatCode>0.00%</c:formatCode>
                <c:ptCount val="3"/>
                <c:pt idx="0">
                  <c:v>0.883665427096631</c:v>
                </c:pt>
                <c:pt idx="1">
                  <c:v>0.116334572903369</c:v>
                </c:pt>
                <c:pt idx="2">
                  <c:v>0</c:v>
                </c:pt>
              </c:numCache>
            </c:numRef>
          </c:val>
        </c:ser>
        <c:dLbls>
          <c:showLegendKey val="0"/>
          <c:showVal val="1"/>
          <c:showCatName val="0"/>
          <c:showSerName val="0"/>
          <c:showPercent val="0"/>
          <c:showBubbleSize val="0"/>
          <c:showLeaderLines val="1"/>
        </c:dLbls>
        <c:firstSliceAng val="0"/>
      </c:pieChart>
      <c:spPr>
        <a:noFill/>
        <a:ln w="3175">
          <a:noFill/>
        </a:ln>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en-US" altLang="zh-CN" sz="1800">
                <a:effectLst/>
              </a:rPr>
              <a:t>2022</a:t>
            </a:r>
            <a:r>
              <a:rPr altLang="en-US" sz="1800">
                <a:effectLst/>
              </a:rPr>
              <a:t>、</a:t>
            </a:r>
            <a:r>
              <a:rPr lang="en-US" altLang="zh-CN" sz="1800">
                <a:effectLst/>
              </a:rPr>
              <a:t>2023</a:t>
            </a:r>
            <a:r>
              <a:rPr altLang="en-US" sz="1800">
                <a:effectLst/>
              </a:rPr>
              <a:t>年</a:t>
            </a:r>
            <a:r>
              <a:rPr lang="zh-CN" altLang="en-US" sz="1800">
                <a:effectLst/>
              </a:rPr>
              <a:t>财政拨款收、支决算总计变动情况</a:t>
            </a:r>
            <a:endParaRPr lang="zh-CN" altLang="en-US" sz="1800" b="1" i="0" u="none" strike="noStrike" baseline="0">
              <a:solidFill>
                <a:srgbClr val="333333">
                  <a:alpha val="100000"/>
                </a:srgbClr>
              </a:solidFill>
              <a:effectLst/>
              <a:latin typeface="宋体" panose="02010600030101010101" charset="-122"/>
              <a:ea typeface="宋体" panose="02010600030101010101" charset="-122"/>
              <a:cs typeface="宋体" panose="02010600030101010101" charset="-122"/>
            </a:endParaRPr>
          </a:p>
        </c:rich>
      </c:tx>
      <c:layout>
        <c:manualLayout>
          <c:xMode val="edge"/>
          <c:yMode val="edge"/>
          <c:x val="0.131962403004709"/>
          <c:y val="0.0296296296296296"/>
        </c:manualLayout>
      </c:layout>
      <c:overlay val="0"/>
    </c:title>
    <c:autoTitleDeleted val="0"/>
    <c:plotArea>
      <c:layout/>
      <c:barChart>
        <c:barDir val="col"/>
        <c:grouping val="clustered"/>
        <c:varyColors val="0"/>
        <c:ser>
          <c:idx val="0"/>
          <c:order val="0"/>
          <c:tx>
            <c:strRef>
              <c:f>'[附件3(数据表)：2023年度数据表.xls]需删除的表'!$K$33</c:f>
              <c:strCache>
                <c:ptCount val="1"/>
                <c:pt idx="0">
                  <c:v>2022财政拨款收支</c:v>
                </c:pt>
              </c:strCache>
            </c:strRef>
          </c:tx>
          <c:spPr>
            <a:solidFill>
              <a:srgbClr val="5B9BD5">
                <a:alpha val="100000"/>
              </a:srgbClr>
            </a:solidFill>
            <a:ln w="3175">
              <a:noFill/>
            </a:ln>
          </c:spPr>
          <c:invertIfNegative val="0"/>
          <c:dLbls>
            <c:delete val="1"/>
          </c:dLbls>
          <c:cat>
            <c:strRef>
              <c:f>'[附件3(数据表)：2023年度数据表.xls]需删除的表'!$L$32:$M$32</c:f>
              <c:strCache>
                <c:ptCount val="2"/>
                <c:pt idx="0">
                  <c:v>收入</c:v>
                </c:pt>
                <c:pt idx="1">
                  <c:v>支出</c:v>
                </c:pt>
              </c:strCache>
            </c:strRef>
          </c:cat>
          <c:val>
            <c:numRef>
              <c:f>'[附件3(数据表)：2023年度数据表.xls]需删除的表'!$L$9:$L$10</c:f>
              <c:numCache>
                <c:formatCode>General</c:formatCode>
                <c:ptCount val="2"/>
                <c:pt idx="0">
                  <c:v>316.6</c:v>
                </c:pt>
                <c:pt idx="1">
                  <c:v>360.34</c:v>
                </c:pt>
              </c:numCache>
            </c:numRef>
          </c:val>
        </c:ser>
        <c:ser>
          <c:idx val="1"/>
          <c:order val="1"/>
          <c:tx>
            <c:strRef>
              <c:f>'[附件3(数据表)：2023年度数据表.xls]需删除的表'!$K$34</c:f>
              <c:strCache>
                <c:ptCount val="1"/>
                <c:pt idx="0">
                  <c:v>2023财政拨款收支</c:v>
                </c:pt>
              </c:strCache>
            </c:strRef>
          </c:tx>
          <c:invertIfNegative val="0"/>
          <c:dLbls>
            <c:delete val="1"/>
          </c:dLbls>
          <c:cat>
            <c:strRef>
              <c:f>'[附件3(数据表)：2023年度数据表.xls]需删除的表'!$L$32:$M$32</c:f>
              <c:strCache>
                <c:ptCount val="2"/>
                <c:pt idx="0">
                  <c:v>收入</c:v>
                </c:pt>
                <c:pt idx="1">
                  <c:v>支出</c:v>
                </c:pt>
              </c:strCache>
            </c:strRef>
          </c:cat>
          <c:val>
            <c:numRef>
              <c:f>'[附件3(数据表)：2023年度数据表.xls]需删除的表'!$L$34:$M$34</c:f>
              <c:numCache>
                <c:formatCode>General</c:formatCode>
                <c:ptCount val="2"/>
                <c:pt idx="0">
                  <c:v>360.34</c:v>
                </c:pt>
                <c:pt idx="1">
                  <c:v>316.6</c:v>
                </c:pt>
              </c:numCache>
            </c:numRef>
          </c:val>
        </c:ser>
        <c:dLbls>
          <c:showLegendKey val="0"/>
          <c:showVal val="0"/>
          <c:showCatName val="0"/>
          <c:showSerName val="0"/>
          <c:showPercent val="0"/>
          <c:showBubbleSize val="0"/>
        </c:dLbls>
        <c:gapWidth val="246"/>
        <c:overlap val="-28"/>
        <c:axId val="835142037"/>
        <c:axId val="615022232"/>
      </c:barChart>
      <c:catAx>
        <c:axId val="835142037"/>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15022232"/>
        <c:crosses val="autoZero"/>
        <c:auto val="1"/>
        <c:lblAlgn val="ctr"/>
        <c:lblOffset val="100"/>
        <c:noMultiLvlLbl val="0"/>
      </c:catAx>
      <c:valAx>
        <c:axId val="615022232"/>
        <c:scaling>
          <c:orientation val="minMax"/>
        </c:scaling>
        <c:delete val="0"/>
        <c:axPos val="l"/>
        <c:majorGridlines>
          <c:spPr>
            <a:ln w="9525" cap="flat" cmpd="sng" algn="ctr">
              <a:solidFill>
                <a:srgbClr val="E6E6E6">
                  <a:lumMod val="90200"/>
                </a:srgb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835142037"/>
        <c:crosses val="autoZero"/>
        <c:crossBetween val="between"/>
      </c:valAx>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en-US" altLang="zh-CN" sz="1800">
                <a:effectLst/>
              </a:rPr>
              <a:t>2022</a:t>
            </a:r>
            <a:r>
              <a:rPr altLang="en-US" sz="1800">
                <a:effectLst/>
              </a:rPr>
              <a:t>、</a:t>
            </a:r>
            <a:r>
              <a:rPr lang="en-US" altLang="zh-CN" sz="1800">
                <a:effectLst/>
              </a:rPr>
              <a:t>2023</a:t>
            </a:r>
            <a:r>
              <a:rPr altLang="en-US" sz="1800">
                <a:effectLst/>
              </a:rPr>
              <a:t>年一般公共预算财政拨款支出决算变动情况</a:t>
            </a:r>
            <a:endParaRPr lang="zh-CN" altLang="en-US" sz="1800" b="1" i="0" u="none" strike="noStrike" baseline="0">
              <a:solidFill>
                <a:srgbClr val="333333">
                  <a:alpha val="100000"/>
                </a:srgbClr>
              </a:solidFill>
              <a:effectLst/>
              <a:latin typeface="宋体" panose="02010600030101010101" charset="-122"/>
              <a:ea typeface="宋体" panose="02010600030101010101" charset="-122"/>
              <a:cs typeface="宋体" panose="02010600030101010101" charset="-122"/>
            </a:endParaRPr>
          </a:p>
        </c:rich>
      </c:tx>
      <c:layout>
        <c:manualLayout>
          <c:xMode val="edge"/>
          <c:yMode val="edge"/>
          <c:x val="0.131962403004709"/>
          <c:y val="0.0296296296296296"/>
        </c:manualLayout>
      </c:layout>
      <c:overlay val="0"/>
    </c:title>
    <c:autoTitleDeleted val="0"/>
    <c:plotArea>
      <c:layout/>
      <c:barChart>
        <c:barDir val="col"/>
        <c:grouping val="clustered"/>
        <c:varyColors val="0"/>
        <c:ser>
          <c:idx val="0"/>
          <c:order val="0"/>
          <c:tx>
            <c:strRef>
              <c:f>'[附件3(数据表)：2023年度数据表.xls]需删除的表'!$K$33</c:f>
              <c:strCache>
                <c:ptCount val="1"/>
                <c:pt idx="0">
                  <c:v>2022财政拨款支出</c:v>
                </c:pt>
              </c:strCache>
            </c:strRef>
          </c:tx>
          <c:spPr>
            <a:solidFill>
              <a:srgbClr val="5B9BD5">
                <a:alpha val="100000"/>
              </a:srgbClr>
            </a:solidFill>
            <a:ln w="3175">
              <a:noFill/>
            </a:ln>
          </c:spPr>
          <c:invertIfNegative val="0"/>
          <c:dLbls>
            <c:delete val="1"/>
          </c:dLbls>
          <c:cat>
            <c:strRef>
              <c:f>'[附件3(数据表)：2023年度数据表.xls]需删除的表'!$L$32:$M$32</c:f>
              <c:strCache>
                <c:ptCount val="2"/>
                <c:pt idx="0">
                  <c:v>收入</c:v>
                </c:pt>
                <c:pt idx="1">
                  <c:v>支出</c:v>
                </c:pt>
              </c:strCache>
            </c:strRef>
          </c:cat>
          <c:val>
            <c:numRef>
              <c:f>'[附件3(数据表)：2023年度数据表.xls]需删除的表'!$L$9:$L$10</c:f>
              <c:numCache>
                <c:formatCode>General</c:formatCode>
                <c:ptCount val="2"/>
                <c:pt idx="0">
                  <c:v>316.6</c:v>
                </c:pt>
                <c:pt idx="1">
                  <c:v>360.34</c:v>
                </c:pt>
              </c:numCache>
            </c:numRef>
          </c:val>
        </c:ser>
        <c:ser>
          <c:idx val="1"/>
          <c:order val="1"/>
          <c:tx>
            <c:strRef>
              <c:f>'[附件3(数据表)：2023年度数据表.xls]需删除的表'!$K$34</c:f>
              <c:strCache>
                <c:ptCount val="1"/>
                <c:pt idx="0">
                  <c:v>2023财政拨款支出</c:v>
                </c:pt>
              </c:strCache>
            </c:strRef>
          </c:tx>
          <c:invertIfNegative val="0"/>
          <c:dLbls>
            <c:delete val="1"/>
          </c:dLbls>
          <c:cat>
            <c:strRef>
              <c:f>'[附件3(数据表)：2023年度数据表.xls]需删除的表'!$L$32:$M$32</c:f>
              <c:strCache>
                <c:ptCount val="2"/>
                <c:pt idx="0">
                  <c:v>收入</c:v>
                </c:pt>
                <c:pt idx="1">
                  <c:v>支出</c:v>
                </c:pt>
              </c:strCache>
            </c:strRef>
          </c:cat>
          <c:val>
            <c:numRef>
              <c:f>'[附件3(数据表)：2023年度数据表.xls]需删除的表'!$L$34:$M$34</c:f>
              <c:numCache>
                <c:formatCode>General</c:formatCode>
                <c:ptCount val="2"/>
                <c:pt idx="0">
                  <c:v>360.34</c:v>
                </c:pt>
                <c:pt idx="1">
                  <c:v>316.6</c:v>
                </c:pt>
              </c:numCache>
            </c:numRef>
          </c:val>
        </c:ser>
        <c:dLbls>
          <c:showLegendKey val="0"/>
          <c:showVal val="0"/>
          <c:showCatName val="0"/>
          <c:showSerName val="0"/>
          <c:showPercent val="0"/>
          <c:showBubbleSize val="0"/>
        </c:dLbls>
        <c:gapWidth val="246"/>
        <c:overlap val="-28"/>
        <c:axId val="835142037"/>
        <c:axId val="615022232"/>
      </c:barChart>
      <c:catAx>
        <c:axId val="835142037"/>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15022232"/>
        <c:crosses val="autoZero"/>
        <c:auto val="1"/>
        <c:lblAlgn val="ctr"/>
        <c:lblOffset val="100"/>
        <c:noMultiLvlLbl val="0"/>
      </c:catAx>
      <c:valAx>
        <c:axId val="615022232"/>
        <c:scaling>
          <c:orientation val="minMax"/>
        </c:scaling>
        <c:delete val="0"/>
        <c:axPos val="l"/>
        <c:majorGridlines>
          <c:spPr>
            <a:ln w="9525" cap="flat" cmpd="sng" algn="ctr">
              <a:solidFill>
                <a:srgbClr val="E6E6E6">
                  <a:lumMod val="90200"/>
                </a:srgb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835142037"/>
        <c:crosses val="autoZero"/>
        <c:crossBetween val="between"/>
      </c:valAx>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r>
              <a:rPr lang="en-US" altLang="zh-CN">
                <a:effectLst/>
                <a:latin typeface="华文中宋" panose="02010600040101010101" charset="-122"/>
                <a:ea typeface="华文中宋" panose="02010600040101010101" charset="-122"/>
                <a:cs typeface="华文中宋" panose="02010600040101010101" charset="-122"/>
              </a:rPr>
              <a:t>2023</a:t>
            </a:r>
            <a:r>
              <a:rPr altLang="en-US">
                <a:effectLst/>
                <a:latin typeface="华文中宋" panose="02010600040101010101" charset="-122"/>
                <a:ea typeface="华文中宋" panose="02010600040101010101" charset="-122"/>
                <a:cs typeface="华文中宋" panose="02010600040101010101" charset="-122"/>
              </a:rPr>
              <a:t>年一般公共预算财政拨款支出决算变动情况</a:t>
            </a:r>
            <a:endParaRPr lang="zh-CN" altLang="en-US" b="0" i="0" u="none" strike="noStrike" baseline="0">
              <a:solidFill>
                <a:srgbClr val="333333">
                  <a:alpha val="100000"/>
                </a:srgbClr>
              </a:solidFill>
              <a:effectLst/>
              <a:latin typeface="华文中宋" panose="02010600040101010101" charset="-122"/>
              <a:ea typeface="华文中宋" panose="02010600040101010101" charset="-122"/>
              <a:cs typeface="华文中宋" panose="02010600040101010101" charset="-122"/>
            </a:endParaRPr>
          </a:p>
        </c:rich>
      </c:tx>
      <c:layout>
        <c:manualLayout>
          <c:xMode val="edge"/>
          <c:yMode val="edge"/>
          <c:x val="0.147016592214422"/>
          <c:y val="0.0117132594096517"/>
        </c:manualLayout>
      </c:layout>
      <c:overlay val="0"/>
      <c:spPr>
        <a:noFill/>
        <a:ln>
          <a:noFill/>
        </a:ln>
        <a:effectLst/>
      </c:spPr>
    </c:title>
    <c:autoTitleDeleted val="0"/>
    <c:plotArea>
      <c:layout>
        <c:manualLayout>
          <c:layoutTarget val="inner"/>
          <c:xMode val="edge"/>
          <c:yMode val="edge"/>
          <c:x val="0.277476898901737"/>
          <c:y val="0.0952380952380952"/>
          <c:w val="0.445045974459266"/>
          <c:h val="0.666124007226369"/>
        </c:manualLayout>
      </c:layout>
      <c:pieChart>
        <c:varyColors val="1"/>
        <c:ser>
          <c:idx val="0"/>
          <c:order val="0"/>
          <c:explosion val="0"/>
          <c:dPt>
            <c:idx val="0"/>
            <c:bubble3D val="0"/>
            <c:explosion val="0"/>
            <c:spPr>
              <a:solidFill>
                <a:srgbClr val="4F81BD"/>
              </a:solidFill>
              <a:ln w="19050">
                <a:solidFill>
                  <a:srgbClr val="FFFFFF"/>
                </a:solidFill>
              </a:ln>
              <a:effectLst/>
            </c:spPr>
          </c:dPt>
          <c:dPt>
            <c:idx val="1"/>
            <c:bubble3D val="0"/>
            <c:explosion val="0"/>
            <c:spPr>
              <a:solidFill>
                <a:srgbClr val="C0504D"/>
              </a:solidFill>
              <a:ln w="19050">
                <a:solidFill>
                  <a:srgbClr val="FFFFFF"/>
                </a:solidFill>
              </a:ln>
              <a:effectLst/>
            </c:spPr>
          </c:dPt>
          <c:dPt>
            <c:idx val="2"/>
            <c:bubble3D val="0"/>
            <c:explosion val="0"/>
            <c:spPr>
              <a:solidFill>
                <a:srgbClr val="9BBB59"/>
              </a:solidFill>
              <a:ln w="19050">
                <a:solidFill>
                  <a:srgbClr val="FFFFFF"/>
                </a:solidFill>
              </a:ln>
              <a:effectLst/>
            </c:spPr>
          </c:dPt>
          <c:dPt>
            <c:idx val="3"/>
            <c:bubble3D val="0"/>
            <c:explosion val="0"/>
            <c:spPr>
              <a:solidFill>
                <a:srgbClr val="8064A2"/>
              </a:solidFill>
              <a:ln w="19050">
                <a:solidFill>
                  <a:srgbClr val="FFFFFF"/>
                </a:solidFill>
              </a:ln>
              <a:effectLst/>
            </c:spPr>
          </c:dPt>
          <c:dPt>
            <c:idx val="4"/>
            <c:bubble3D val="0"/>
            <c:explosion val="0"/>
            <c:spPr>
              <a:solidFill>
                <a:srgbClr val="4BACC6"/>
              </a:solidFill>
              <a:ln w="19050">
                <a:solidFill>
                  <a:srgbClr val="FFFFFF"/>
                </a:solidFill>
              </a:ln>
              <a:effectLst/>
            </c:spPr>
          </c:dPt>
          <c:dPt>
            <c:idx val="5"/>
            <c:bubble3D val="0"/>
          </c:dPt>
          <c:dPt>
            <c:idx val="6"/>
            <c:bubble3D val="0"/>
          </c:dPt>
          <c:dLbls>
            <c:dLbl>
              <c:idx val="0"/>
              <c:layout>
                <c:manualLayout>
                  <c:x val="0.0705966815571155"/>
                  <c:y val="0.04216773387474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81258888168749"/>
                  <c:y val="0.09703780351069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'[附件3(数据表)：2023年度数据表.xls]需删除的表'!$K$46:$K$52</c:f>
              <c:strCache>
                <c:ptCount val="7"/>
                <c:pt idx="0">
                  <c:v>一般公共服务支出</c:v>
                </c:pt>
                <c:pt idx="1">
                  <c:v>教育支出</c:v>
                </c:pt>
                <c:pt idx="2">
                  <c:v>科学技术</c:v>
                </c:pt>
                <c:pt idx="3">
                  <c:v>文化旅游</c:v>
                </c:pt>
                <c:pt idx="4">
                  <c:v>社会保障</c:v>
                </c:pt>
                <c:pt idx="5">
                  <c:v>卫生健康</c:v>
                </c:pt>
                <c:pt idx="6">
                  <c:v>住房保障</c:v>
                </c:pt>
              </c:strCache>
            </c:strRef>
          </c:cat>
          <c:val>
            <c:numRef>
              <c:f>'[附件3(数据表)：2023年度数据表.xls]需删除的表'!$M$46:$M$52</c:f>
              <c:numCache>
                <c:formatCode>0.00%</c:formatCode>
                <c:ptCount val="7"/>
                <c:pt idx="0">
                  <c:v>0</c:v>
                </c:pt>
                <c:pt idx="1">
                  <c:v>0.80859743575512</c:v>
                </c:pt>
                <c:pt idx="2">
                  <c:v>0</c:v>
                </c:pt>
                <c:pt idx="3">
                  <c:v>0</c:v>
                </c:pt>
                <c:pt idx="4">
                  <c:v>0.0928289948382084</c:v>
                </c:pt>
                <c:pt idx="5">
                  <c:v>0.0350779819059777</c:v>
                </c:pt>
                <c:pt idx="6">
                  <c:v>0.0634955875006938</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10805</Words>
  <Characters>11925</Characters>
  <Lines>91</Lines>
  <Paragraphs>25</Paragraphs>
  <TotalTime>3</TotalTime>
  <ScaleCrop>false</ScaleCrop>
  <LinksUpToDate>false</LinksUpToDate>
  <CharactersWithSpaces>11973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2018-11-27T01:47:00Z</dcterms:created>
  <dc:creator>user</dc:creator>
  <cp:lastModifiedBy>Administrator</cp:lastModifiedBy>
  <dcterms:modified xsi:type="dcterms:W3CDTF">2024-08-29T06:03:52Z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648ED9125DCC4868A9BE82A56AF915E0</vt:lpwstr>
  </property>
</Properties>
</file>