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1949">
      <w:pPr>
        <w:spacing w:line="600" w:lineRule="auto"/>
        <w:jc w:val="both"/>
        <w:rPr>
          <w:rFonts w:ascii="方正小标宋简体" w:hAnsi="方正小标宋简体" w:eastAsia="方正小标宋简体" w:cs="方正小标宋简体"/>
          <w:sz w:val="72"/>
        </w:rPr>
      </w:pPr>
    </w:p>
    <w:p w14:paraId="598EAF45">
      <w:pPr>
        <w:spacing w:line="360" w:lineRule="auto"/>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2023</w:t>
      </w:r>
      <w:r>
        <w:rPr>
          <w:rFonts w:ascii="宋体" w:hAnsi="宋体" w:eastAsia="宋体" w:cs="宋体"/>
          <w:sz w:val="44"/>
          <w:szCs w:val="44"/>
        </w:rPr>
        <w:t>年度</w:t>
      </w:r>
    </w:p>
    <w:p w14:paraId="6B0CAA17">
      <w:pPr>
        <w:spacing w:line="360" w:lineRule="auto"/>
        <w:jc w:val="center"/>
        <w:rPr>
          <w:rFonts w:ascii="方正小标宋简体" w:hAnsi="方正小标宋简体" w:eastAsia="方正小标宋简体" w:cs="方正小标宋简体"/>
          <w:sz w:val="44"/>
          <w:szCs w:val="44"/>
        </w:rPr>
      </w:pPr>
      <w:r>
        <w:rPr>
          <w:rFonts w:ascii="宋体" w:hAnsi="宋体" w:eastAsia="宋体" w:cs="宋体"/>
          <w:sz w:val="44"/>
          <w:szCs w:val="44"/>
        </w:rPr>
        <w:t>四川省</w:t>
      </w:r>
      <w:r>
        <w:rPr>
          <w:rFonts w:hint="eastAsia" w:ascii="方正小标宋简体" w:hAnsi="方正小标宋简体" w:eastAsia="方正小标宋简体" w:cs="方正小标宋简体"/>
          <w:sz w:val="44"/>
          <w:szCs w:val="44"/>
        </w:rPr>
        <w:t>遂宁</w:t>
      </w:r>
      <w:r>
        <w:rPr>
          <w:rFonts w:ascii="方正小标宋简体" w:hAnsi="方正小标宋简体" w:eastAsia="方正小标宋简体" w:cs="方正小标宋简体"/>
          <w:sz w:val="44"/>
          <w:szCs w:val="44"/>
        </w:rPr>
        <w:t>市安居区安居镇安平</w:t>
      </w:r>
      <w:r>
        <w:rPr>
          <w:rFonts w:hint="eastAsia" w:ascii="方正小标宋简体" w:hAnsi="方正小标宋简体" w:eastAsia="方正小标宋简体" w:cs="方正小标宋简体"/>
          <w:sz w:val="44"/>
          <w:szCs w:val="44"/>
        </w:rPr>
        <w:t>小</w:t>
      </w:r>
      <w:r>
        <w:rPr>
          <w:rFonts w:ascii="方正小标宋简体" w:hAnsi="方正小标宋简体" w:eastAsia="方正小标宋简体" w:cs="方正小标宋简体"/>
          <w:sz w:val="44"/>
          <w:szCs w:val="44"/>
        </w:rPr>
        <w:t>学校</w:t>
      </w:r>
    </w:p>
    <w:p w14:paraId="38C7E778">
      <w:pPr>
        <w:spacing w:line="360" w:lineRule="auto"/>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部门</w:t>
      </w:r>
      <w:r>
        <w:rPr>
          <w:rFonts w:ascii="宋体" w:hAnsi="宋体" w:eastAsia="宋体" w:cs="宋体"/>
          <w:color w:val="000000" w:themeColor="text1"/>
          <w:sz w:val="44"/>
          <w:szCs w:val="44"/>
          <w14:textFill>
            <w14:solidFill>
              <w14:schemeClr w14:val="tx1"/>
            </w14:solidFill>
          </w14:textFill>
        </w:rPr>
        <w:t>决算</w:t>
      </w:r>
    </w:p>
    <w:p w14:paraId="4043C005">
      <w:pPr>
        <w:spacing w:line="360" w:lineRule="auto"/>
        <w:jc w:val="center"/>
        <w:rPr>
          <w:rFonts w:ascii="宋体" w:hAnsi="宋体" w:eastAsia="宋体" w:cs="宋体"/>
          <w:sz w:val="44"/>
          <w:szCs w:val="44"/>
        </w:rPr>
      </w:pPr>
    </w:p>
    <w:p w14:paraId="0D8730F3">
      <w:pPr>
        <w:spacing w:line="360" w:lineRule="auto"/>
        <w:jc w:val="center"/>
        <w:rPr>
          <w:rFonts w:ascii="宋体" w:hAnsi="宋体" w:eastAsia="宋体" w:cs="宋体"/>
          <w:sz w:val="44"/>
          <w:szCs w:val="44"/>
        </w:rPr>
      </w:pPr>
    </w:p>
    <w:p w14:paraId="0DD54B86">
      <w:pPr>
        <w:spacing w:line="360" w:lineRule="auto"/>
        <w:jc w:val="center"/>
        <w:rPr>
          <w:rFonts w:ascii="方正小标宋简体" w:hAnsi="方正小标宋简体" w:eastAsia="方正小标宋简体" w:cs="方正小标宋简体"/>
          <w:sz w:val="44"/>
          <w:szCs w:val="44"/>
        </w:rPr>
      </w:pPr>
    </w:p>
    <w:p w14:paraId="509C58A8">
      <w:pPr>
        <w:jc w:val="center"/>
        <w:rPr>
          <w:rFonts w:ascii="黑体" w:hAnsi="黑体" w:eastAsia="黑体" w:cs="黑体"/>
          <w:sz w:val="44"/>
          <w:szCs w:val="44"/>
        </w:rPr>
      </w:pPr>
    </w:p>
    <w:p w14:paraId="0833E2A8">
      <w:pPr>
        <w:jc w:val="center"/>
        <w:rPr>
          <w:rFonts w:ascii="黑体" w:hAnsi="黑体" w:eastAsia="黑体" w:cs="黑体"/>
          <w:sz w:val="44"/>
          <w:szCs w:val="44"/>
        </w:rPr>
      </w:pPr>
    </w:p>
    <w:p w14:paraId="00BDBFCB">
      <w:pPr>
        <w:jc w:val="center"/>
        <w:rPr>
          <w:rFonts w:ascii="黑体" w:hAnsi="黑体" w:eastAsia="黑体" w:cs="黑体"/>
          <w:sz w:val="44"/>
          <w:szCs w:val="44"/>
        </w:rPr>
      </w:pPr>
    </w:p>
    <w:p w14:paraId="092C96C8">
      <w:pPr>
        <w:jc w:val="center"/>
        <w:rPr>
          <w:rFonts w:ascii="黑体" w:hAnsi="黑体" w:eastAsia="黑体" w:cs="黑体"/>
          <w:sz w:val="44"/>
          <w:szCs w:val="44"/>
        </w:rPr>
      </w:pPr>
    </w:p>
    <w:p w14:paraId="2A47C266">
      <w:pPr>
        <w:jc w:val="center"/>
        <w:rPr>
          <w:rFonts w:ascii="黑体" w:hAnsi="黑体" w:eastAsia="黑体" w:cs="黑体"/>
          <w:sz w:val="44"/>
          <w:szCs w:val="44"/>
        </w:rPr>
      </w:pPr>
    </w:p>
    <w:p w14:paraId="7305ACAC">
      <w:pPr>
        <w:jc w:val="center"/>
        <w:rPr>
          <w:rFonts w:ascii="黑体" w:hAnsi="黑体" w:eastAsia="黑体" w:cs="黑体"/>
          <w:sz w:val="44"/>
          <w:szCs w:val="44"/>
        </w:rPr>
      </w:pPr>
    </w:p>
    <w:p w14:paraId="760E30E3">
      <w:pPr>
        <w:jc w:val="center"/>
        <w:rPr>
          <w:rFonts w:ascii="黑体" w:hAnsi="黑体" w:eastAsia="黑体" w:cs="黑体"/>
          <w:sz w:val="44"/>
          <w:szCs w:val="44"/>
        </w:rPr>
      </w:pPr>
    </w:p>
    <w:p w14:paraId="2319AF32">
      <w:pPr>
        <w:jc w:val="center"/>
        <w:rPr>
          <w:rFonts w:ascii="黑体" w:hAnsi="黑体" w:eastAsia="黑体" w:cs="黑体"/>
          <w:sz w:val="44"/>
          <w:szCs w:val="44"/>
        </w:rPr>
      </w:pPr>
    </w:p>
    <w:p w14:paraId="08372916">
      <w:pPr>
        <w:jc w:val="center"/>
        <w:rPr>
          <w:rFonts w:ascii="黑体" w:hAnsi="黑体" w:eastAsia="黑体" w:cs="黑体"/>
          <w:sz w:val="44"/>
          <w:szCs w:val="44"/>
        </w:rPr>
      </w:pPr>
    </w:p>
    <w:p w14:paraId="2C2D26B5">
      <w:pPr>
        <w:jc w:val="center"/>
        <w:rPr>
          <w:rFonts w:ascii="黑体" w:hAnsi="黑体" w:eastAsia="黑体" w:cs="黑体"/>
          <w:sz w:val="44"/>
          <w:szCs w:val="44"/>
        </w:rPr>
      </w:pPr>
    </w:p>
    <w:p w14:paraId="59C69157">
      <w:pPr>
        <w:jc w:val="center"/>
        <w:rPr>
          <w:rFonts w:ascii="黑体" w:hAnsi="黑体" w:eastAsia="黑体" w:cs="黑体"/>
          <w:sz w:val="44"/>
          <w:szCs w:val="44"/>
        </w:rPr>
      </w:pPr>
    </w:p>
    <w:p w14:paraId="52285B21">
      <w:pPr>
        <w:jc w:val="center"/>
        <w:rPr>
          <w:rFonts w:ascii="黑体" w:hAnsi="黑体" w:eastAsia="黑体" w:cs="黑体"/>
          <w:sz w:val="44"/>
          <w:szCs w:val="44"/>
        </w:rPr>
      </w:pPr>
    </w:p>
    <w:p w14:paraId="644D7EE4">
      <w:pPr>
        <w:pStyle w:val="2"/>
      </w:pPr>
    </w:p>
    <w:p w14:paraId="08095BE8">
      <w:pPr>
        <w:pStyle w:val="3"/>
        <w:ind w:left="420"/>
      </w:pPr>
    </w:p>
    <w:p w14:paraId="744176F8">
      <w:pPr>
        <w:pStyle w:val="3"/>
        <w:ind w:left="420"/>
      </w:pPr>
    </w:p>
    <w:p w14:paraId="63A42353">
      <w:pPr>
        <w:pStyle w:val="3"/>
        <w:ind w:left="420"/>
        <w:rPr>
          <w:rFonts w:hint="eastAsia" w:ascii="黑体" w:hAnsi="黑体" w:eastAsia="黑体" w:cs="黑体"/>
          <w:sz w:val="44"/>
          <w:szCs w:val="44"/>
        </w:rPr>
      </w:pPr>
    </w:p>
    <w:p w14:paraId="66F159C9">
      <w:pPr>
        <w:jc w:val="center"/>
        <w:rPr>
          <w:rFonts w:ascii="黑体" w:hAnsi="黑体" w:eastAsia="黑体" w:cs="黑体"/>
          <w:sz w:val="44"/>
          <w:szCs w:val="44"/>
        </w:rPr>
      </w:pPr>
      <w:r>
        <w:rPr>
          <w:rFonts w:ascii="黑体" w:hAnsi="黑体" w:eastAsia="黑体" w:cs="黑体"/>
          <w:sz w:val="44"/>
          <w:szCs w:val="44"/>
        </w:rPr>
        <w:t>目录</w:t>
      </w:r>
    </w:p>
    <w:p w14:paraId="4DD1E4F4">
      <w:pPr>
        <w:jc w:val="center"/>
        <w:rPr>
          <w:rFonts w:ascii="黑体" w:hAnsi="黑体" w:eastAsia="黑体" w:cs="黑体"/>
          <w:sz w:val="28"/>
        </w:rPr>
      </w:pPr>
    </w:p>
    <w:p w14:paraId="18DF850E">
      <w:pPr>
        <w:tabs>
          <w:tab w:val="right" w:leader="dot" w:pos="8296"/>
        </w:tabs>
        <w:spacing w:before="93"/>
        <w:jc w:val="center"/>
        <w:rPr>
          <w:rFonts w:ascii="仿宋" w:hAnsi="仿宋" w:eastAsia="仿宋" w:cs="仿宋"/>
          <w:sz w:val="28"/>
        </w:rPr>
      </w:pPr>
      <w:r>
        <w:rPr>
          <w:rFonts w:ascii="仿宋" w:hAnsi="仿宋" w:eastAsia="仿宋" w:cs="仿宋"/>
          <w:sz w:val="28"/>
        </w:rPr>
        <w:t>公开时间：2023年8月  日</w:t>
      </w:r>
    </w:p>
    <w:p w14:paraId="5E751914">
      <w:pPr>
        <w:rPr>
          <w:rFonts w:ascii="Times New Roman" w:hAnsi="Times New Roman" w:eastAsia="Times New Roman" w:cs="Times New Roman"/>
        </w:rPr>
      </w:pPr>
    </w:p>
    <w:p w14:paraId="1FA43C46">
      <w:pPr>
        <w:tabs>
          <w:tab w:val="right" w:leader="dot" w:pos="8296"/>
        </w:tabs>
        <w:spacing w:line="440" w:lineRule="auto"/>
        <w:jc w:val="left"/>
        <w:rPr>
          <w:rFonts w:ascii="仿宋" w:hAnsi="仿宋" w:eastAsia="仿宋" w:cs="仿宋"/>
          <w:sz w:val="24"/>
        </w:rPr>
      </w:pPr>
      <w:r>
        <w:rPr>
          <w:rFonts w:ascii="仿宋" w:hAnsi="仿宋" w:eastAsia="仿宋" w:cs="仿宋"/>
          <w:sz w:val="24"/>
        </w:rPr>
        <w:t>第一部分 部门概况…………………………………………………4</w:t>
      </w:r>
    </w:p>
    <w:p w14:paraId="4F3F3930">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一、部门职责</w:t>
      </w:r>
      <w:r>
        <w:rPr>
          <w:rFonts w:ascii="仿宋" w:hAnsi="仿宋" w:eastAsia="仿宋" w:cs="仿宋"/>
          <w:sz w:val="24"/>
        </w:rPr>
        <w:t>…………………………………………………..4</w:t>
      </w:r>
    </w:p>
    <w:p w14:paraId="50775544">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二、机构设置</w:t>
      </w:r>
      <w:r>
        <w:rPr>
          <w:rFonts w:ascii="仿宋" w:hAnsi="仿宋" w:eastAsia="仿宋" w:cs="仿宋"/>
          <w:sz w:val="24"/>
        </w:rPr>
        <w:t>………………………………………………..…4</w:t>
      </w:r>
    </w:p>
    <w:p w14:paraId="72FFBE87">
      <w:pPr>
        <w:tabs>
          <w:tab w:val="right" w:leader="dot" w:pos="8296"/>
        </w:tabs>
        <w:spacing w:line="440" w:lineRule="auto"/>
        <w:jc w:val="left"/>
        <w:rPr>
          <w:rFonts w:ascii="仿宋" w:hAnsi="仿宋" w:eastAsia="仿宋" w:cs="仿宋"/>
          <w:sz w:val="24"/>
        </w:rPr>
      </w:pPr>
      <w:r>
        <w:rPr>
          <w:rFonts w:ascii="仿宋" w:hAnsi="仿宋" w:eastAsia="仿宋" w:cs="仿宋"/>
          <w:sz w:val="24"/>
        </w:rPr>
        <w:t>第二部分 2023年度部门决算情况说明…………………………...5</w:t>
      </w:r>
    </w:p>
    <w:p w14:paraId="59F9284A">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一、收入支出决算总体情况说明</w:t>
      </w:r>
      <w:r>
        <w:rPr>
          <w:rFonts w:ascii="仿宋" w:hAnsi="仿宋" w:eastAsia="仿宋" w:cs="仿宋"/>
          <w:sz w:val="24"/>
        </w:rPr>
        <w:t>………………………………..5</w:t>
      </w:r>
    </w:p>
    <w:p w14:paraId="05E39312">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二、收入决算情况说明</w:t>
      </w:r>
      <w:r>
        <w:rPr>
          <w:rFonts w:ascii="仿宋" w:hAnsi="仿宋" w:eastAsia="仿宋" w:cs="仿宋"/>
          <w:sz w:val="24"/>
        </w:rPr>
        <w:t>…………………………………………..5</w:t>
      </w:r>
    </w:p>
    <w:p w14:paraId="20DF7D8B">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三、支出决算情况说明</w:t>
      </w:r>
      <w:r>
        <w:rPr>
          <w:rFonts w:ascii="仿宋" w:hAnsi="仿宋" w:eastAsia="仿宋" w:cs="仿宋"/>
          <w:sz w:val="24"/>
        </w:rPr>
        <w:t>………………………………………….6</w:t>
      </w:r>
    </w:p>
    <w:p w14:paraId="6E46B152">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四、财政拨款收入支出决算总体情况说明…………………....7</w:t>
      </w:r>
    </w:p>
    <w:p w14:paraId="45DE4280">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五、一般公共预算财政拨款支出决算情况说明………………..7</w:t>
      </w:r>
    </w:p>
    <w:p w14:paraId="149A93DB">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六、一般公共预算财政拨款基本支出决算情况说明………….10</w:t>
      </w:r>
    </w:p>
    <w:p w14:paraId="44D753F5">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七、财政拨款“三公”经费支出决算情况说明………………..10</w:t>
      </w:r>
    </w:p>
    <w:p w14:paraId="01FE0608">
      <w:pPr>
        <w:tabs>
          <w:tab w:val="right" w:leader="dot" w:pos="8296"/>
        </w:tabs>
        <w:spacing w:line="440" w:lineRule="auto"/>
        <w:ind w:left="420"/>
        <w:jc w:val="left"/>
        <w:rPr>
          <w:rFonts w:ascii="仿宋" w:hAnsi="仿宋" w:eastAsia="仿宋" w:cs="仿宋"/>
          <w:sz w:val="24"/>
        </w:rPr>
      </w:pPr>
      <w:r>
        <w:rPr>
          <w:rFonts w:ascii="宋体" w:hAnsi="宋体" w:eastAsia="宋体" w:cs="宋体"/>
          <w:sz w:val="24"/>
        </w:rPr>
        <w:t>八、政府性基金预算支出决算情况说明………………………..11</w:t>
      </w:r>
    </w:p>
    <w:p w14:paraId="392B22B9">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九、国有资本经营预算支出决算情况说明……………………..11</w:t>
      </w:r>
    </w:p>
    <w:p w14:paraId="402FD11C">
      <w:pPr>
        <w:spacing w:line="440" w:lineRule="auto"/>
        <w:ind w:firstLine="420"/>
        <w:jc w:val="left"/>
        <w:rPr>
          <w:rFonts w:ascii="Times New Roman" w:hAnsi="Times New Roman" w:eastAsia="Times New Roman" w:cs="Times New Roman"/>
          <w:sz w:val="24"/>
        </w:rPr>
      </w:pPr>
      <w:r>
        <w:rPr>
          <w:rFonts w:ascii="宋体" w:hAnsi="宋体" w:eastAsia="宋体" w:cs="宋体"/>
          <w:sz w:val="24"/>
          <w:u w:val="single"/>
        </w:rPr>
        <w:t>十、</w:t>
      </w:r>
      <w:r>
        <w:rPr>
          <w:rFonts w:ascii="宋体" w:hAnsi="宋体" w:eastAsia="宋体" w:cs="宋体"/>
          <w:sz w:val="24"/>
        </w:rPr>
        <w:t>其他重要事项的情况说明</w:t>
      </w:r>
      <w:r>
        <w:rPr>
          <w:rFonts w:ascii="Times New Roman" w:hAnsi="Times New Roman" w:eastAsia="Times New Roman" w:cs="Times New Roman"/>
          <w:sz w:val="24"/>
        </w:rPr>
        <w:tab/>
      </w:r>
      <w:r>
        <w:rPr>
          <w:rFonts w:ascii="Times New Roman" w:hAnsi="Times New Roman" w:eastAsia="Times New Roman" w:cs="Times New Roman"/>
          <w:sz w:val="24"/>
        </w:rPr>
        <w:t>…………………………………12</w:t>
      </w:r>
    </w:p>
    <w:p w14:paraId="45EB4B44">
      <w:pPr>
        <w:tabs>
          <w:tab w:val="right" w:leader="dot" w:pos="8296"/>
        </w:tabs>
        <w:spacing w:line="440" w:lineRule="auto"/>
        <w:jc w:val="left"/>
        <w:rPr>
          <w:rFonts w:ascii="仿宋" w:hAnsi="仿宋" w:eastAsia="仿宋" w:cs="仿宋"/>
          <w:sz w:val="24"/>
        </w:rPr>
      </w:pPr>
      <w:r>
        <w:rPr>
          <w:rFonts w:ascii="仿宋" w:hAnsi="仿宋" w:eastAsia="仿宋" w:cs="仿宋"/>
          <w:sz w:val="24"/>
        </w:rPr>
        <w:t>第三部分 名词解释……………………………………………………..14</w:t>
      </w:r>
    </w:p>
    <w:p w14:paraId="48FA77D0">
      <w:pPr>
        <w:tabs>
          <w:tab w:val="right" w:leader="dot" w:pos="8296"/>
        </w:tabs>
        <w:spacing w:line="440" w:lineRule="auto"/>
        <w:jc w:val="left"/>
        <w:rPr>
          <w:rFonts w:ascii="仿宋" w:hAnsi="仿宋" w:eastAsia="仿宋" w:cs="仿宋"/>
          <w:sz w:val="24"/>
        </w:rPr>
      </w:pPr>
      <w:r>
        <w:rPr>
          <w:rFonts w:ascii="仿宋" w:hAnsi="仿宋" w:eastAsia="仿宋" w:cs="仿宋"/>
          <w:sz w:val="24"/>
        </w:rPr>
        <w:t>第四部分 附件…………………………………………………………..16</w:t>
      </w:r>
    </w:p>
    <w:p w14:paraId="214F163A">
      <w:pPr>
        <w:tabs>
          <w:tab w:val="right" w:leader="dot" w:pos="8296"/>
        </w:tabs>
        <w:spacing w:line="440" w:lineRule="auto"/>
        <w:jc w:val="left"/>
        <w:rPr>
          <w:rFonts w:ascii="仿宋" w:hAnsi="仿宋" w:eastAsia="仿宋" w:cs="仿宋"/>
          <w:sz w:val="24"/>
        </w:rPr>
      </w:pPr>
      <w:r>
        <w:rPr>
          <w:rFonts w:ascii="仿宋" w:hAnsi="仿宋" w:eastAsia="仿宋" w:cs="仿宋"/>
          <w:sz w:val="24"/>
        </w:rPr>
        <w:t>第五部分 附表……………………………………………………………20</w:t>
      </w:r>
    </w:p>
    <w:p w14:paraId="75B18316">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一、收入支出决算总表</w:t>
      </w:r>
      <w:r>
        <w:rPr>
          <w:rFonts w:ascii="仿宋" w:hAnsi="仿宋" w:eastAsia="仿宋" w:cs="仿宋"/>
          <w:sz w:val="24"/>
        </w:rPr>
        <w:t>………………………………………….…20</w:t>
      </w:r>
    </w:p>
    <w:p w14:paraId="1EA56B47">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二、收入决算表</w:t>
      </w:r>
      <w:r>
        <w:rPr>
          <w:rFonts w:ascii="仿宋" w:hAnsi="仿宋" w:eastAsia="仿宋" w:cs="仿宋"/>
          <w:sz w:val="24"/>
        </w:rPr>
        <w:t>…………………………………………………….20</w:t>
      </w:r>
    </w:p>
    <w:p w14:paraId="3CB7A2AE">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三、支出决算表</w:t>
      </w:r>
      <w:r>
        <w:rPr>
          <w:rFonts w:ascii="仿宋" w:hAnsi="仿宋" w:eastAsia="仿宋" w:cs="仿宋"/>
          <w:sz w:val="24"/>
        </w:rPr>
        <w:t>…………………………………………………….20</w:t>
      </w:r>
    </w:p>
    <w:p w14:paraId="3AD4A345">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四、财政拨款收入支出决算总表</w:t>
      </w:r>
      <w:r>
        <w:rPr>
          <w:rFonts w:ascii="仿宋" w:hAnsi="仿宋" w:eastAsia="仿宋" w:cs="仿宋"/>
          <w:sz w:val="24"/>
        </w:rPr>
        <w:t>………………………………….20</w:t>
      </w:r>
    </w:p>
    <w:p w14:paraId="7A5AEDCA">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五、财政拨款支出决算明细表</w:t>
      </w:r>
      <w:r>
        <w:rPr>
          <w:rFonts w:ascii="仿宋" w:hAnsi="仿宋" w:eastAsia="仿宋" w:cs="仿宋"/>
          <w:sz w:val="24"/>
        </w:rPr>
        <w:t>……………………………………20</w:t>
      </w:r>
    </w:p>
    <w:p w14:paraId="463DCAE4">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六、一般公共预算财政拨款支出决算表………………………….</w:t>
      </w:r>
      <w:r>
        <w:rPr>
          <w:rFonts w:ascii="仿宋" w:hAnsi="仿宋" w:eastAsia="仿宋" w:cs="仿宋"/>
          <w:sz w:val="24"/>
        </w:rPr>
        <w:t>20</w:t>
      </w:r>
    </w:p>
    <w:p w14:paraId="16D3B6E9">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七、一般公共预算财政拨款支出决算明细表……………………</w:t>
      </w:r>
      <w:r>
        <w:rPr>
          <w:rFonts w:ascii="仿宋" w:hAnsi="仿宋" w:eastAsia="仿宋" w:cs="仿宋"/>
          <w:sz w:val="24"/>
        </w:rPr>
        <w:t>20</w:t>
      </w:r>
    </w:p>
    <w:p w14:paraId="3A8367E5">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八、一般公共预算财政拨款基本支出决算明细表……………….</w:t>
      </w:r>
      <w:r>
        <w:rPr>
          <w:rFonts w:ascii="仿宋" w:hAnsi="仿宋" w:eastAsia="仿宋" w:cs="仿宋"/>
          <w:sz w:val="24"/>
        </w:rPr>
        <w:t>20</w:t>
      </w:r>
    </w:p>
    <w:p w14:paraId="3A8C2781">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九、一般公共预算财政拨款项目支出决算表…………………...</w:t>
      </w:r>
      <w:r>
        <w:rPr>
          <w:rFonts w:ascii="仿宋" w:hAnsi="仿宋" w:eastAsia="仿宋" w:cs="仿宋"/>
          <w:sz w:val="24"/>
        </w:rPr>
        <w:t>20</w:t>
      </w:r>
    </w:p>
    <w:p w14:paraId="132264FF">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十、政府性基金预算财政拨款收入支出决算表………………….</w:t>
      </w:r>
      <w:r>
        <w:rPr>
          <w:rFonts w:ascii="仿宋" w:hAnsi="仿宋" w:eastAsia="仿宋" w:cs="仿宋"/>
          <w:sz w:val="24"/>
        </w:rPr>
        <w:t>20</w:t>
      </w:r>
    </w:p>
    <w:p w14:paraId="5C5ED672">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十一、国有资本经营预算财政拨款收入支出决算表……………</w:t>
      </w:r>
      <w:r>
        <w:rPr>
          <w:rFonts w:ascii="仿宋" w:hAnsi="仿宋" w:eastAsia="仿宋" w:cs="仿宋"/>
          <w:sz w:val="24"/>
        </w:rPr>
        <w:t>20</w:t>
      </w:r>
    </w:p>
    <w:p w14:paraId="744F31F1">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十二、国有资本经营预算财政拨款支出决算表………………….</w:t>
      </w:r>
      <w:r>
        <w:rPr>
          <w:rFonts w:ascii="仿宋" w:hAnsi="仿宋" w:eastAsia="仿宋" w:cs="仿宋"/>
          <w:sz w:val="24"/>
        </w:rPr>
        <w:t>20</w:t>
      </w:r>
    </w:p>
    <w:p w14:paraId="49920B89">
      <w:pPr>
        <w:tabs>
          <w:tab w:val="right" w:leader="dot" w:pos="8296"/>
        </w:tabs>
        <w:spacing w:line="440" w:lineRule="auto"/>
        <w:ind w:left="420"/>
        <w:jc w:val="left"/>
        <w:rPr>
          <w:rFonts w:ascii="Times New Roman" w:hAnsi="Times New Roman" w:eastAsia="Times New Roman" w:cs="Times New Roman"/>
          <w:sz w:val="24"/>
        </w:rPr>
      </w:pPr>
      <w:r>
        <w:rPr>
          <w:rFonts w:ascii="宋体" w:hAnsi="宋体" w:eastAsia="宋体" w:cs="宋体"/>
          <w:sz w:val="24"/>
        </w:rPr>
        <w:t>十三、财政拨款“三公”经费支出决算表………………………..</w:t>
      </w:r>
      <w:r>
        <w:rPr>
          <w:rFonts w:ascii="仿宋" w:hAnsi="仿宋" w:eastAsia="仿宋" w:cs="仿宋"/>
          <w:sz w:val="24"/>
        </w:rPr>
        <w:t>20</w:t>
      </w:r>
    </w:p>
    <w:p w14:paraId="6AE0C5BC">
      <w:pPr>
        <w:spacing w:line="440" w:lineRule="auto"/>
        <w:ind w:firstLine="1320"/>
        <w:jc w:val="left"/>
        <w:rPr>
          <w:rFonts w:ascii="仿宋" w:hAnsi="仿宋" w:eastAsia="仿宋" w:cs="仿宋"/>
          <w:b/>
          <w:sz w:val="24"/>
        </w:rPr>
      </w:pPr>
    </w:p>
    <w:p w14:paraId="38CC3205">
      <w:pPr>
        <w:spacing w:line="440" w:lineRule="auto"/>
        <w:jc w:val="left"/>
        <w:rPr>
          <w:rFonts w:ascii="仿宋" w:hAnsi="仿宋" w:eastAsia="仿宋" w:cs="仿宋"/>
          <w:sz w:val="24"/>
        </w:rPr>
      </w:pPr>
    </w:p>
    <w:p w14:paraId="293D399C">
      <w:pPr>
        <w:keepNext/>
        <w:keepLines/>
        <w:spacing w:before="340" w:after="330" w:line="578" w:lineRule="auto"/>
        <w:jc w:val="center"/>
        <w:rPr>
          <w:rFonts w:ascii="黑体" w:hAnsi="黑体" w:eastAsia="黑体" w:cs="黑体"/>
          <w:sz w:val="44"/>
        </w:rPr>
      </w:pPr>
    </w:p>
    <w:p w14:paraId="005E3610">
      <w:pPr>
        <w:keepNext/>
        <w:keepLines/>
        <w:spacing w:before="340" w:after="330" w:line="578" w:lineRule="auto"/>
        <w:jc w:val="center"/>
        <w:rPr>
          <w:rFonts w:ascii="黑体" w:hAnsi="黑体" w:eastAsia="黑体" w:cs="黑体"/>
          <w:sz w:val="44"/>
        </w:rPr>
      </w:pPr>
    </w:p>
    <w:p w14:paraId="25938A36">
      <w:pPr>
        <w:keepNext/>
        <w:keepLines/>
        <w:spacing w:before="340" w:after="330" w:line="578" w:lineRule="auto"/>
        <w:jc w:val="center"/>
        <w:rPr>
          <w:rFonts w:ascii="黑体" w:hAnsi="黑体" w:eastAsia="黑体" w:cs="黑体"/>
          <w:sz w:val="44"/>
        </w:rPr>
      </w:pPr>
    </w:p>
    <w:p w14:paraId="59A8551D">
      <w:pPr>
        <w:keepNext/>
        <w:keepLines/>
        <w:spacing w:before="340" w:after="330" w:line="578" w:lineRule="auto"/>
        <w:jc w:val="center"/>
        <w:rPr>
          <w:rFonts w:ascii="黑体" w:hAnsi="黑体" w:eastAsia="黑体" w:cs="黑体"/>
          <w:sz w:val="44"/>
        </w:rPr>
      </w:pPr>
    </w:p>
    <w:p w14:paraId="62A77C82">
      <w:pPr>
        <w:pStyle w:val="2"/>
      </w:pPr>
    </w:p>
    <w:p w14:paraId="4D6C4A0B">
      <w:pPr>
        <w:pStyle w:val="3"/>
        <w:ind w:left="420"/>
      </w:pPr>
    </w:p>
    <w:p w14:paraId="066D2A11">
      <w:pPr>
        <w:pStyle w:val="3"/>
        <w:ind w:left="420"/>
      </w:pPr>
    </w:p>
    <w:p w14:paraId="3D06890F">
      <w:pPr>
        <w:pStyle w:val="3"/>
        <w:ind w:left="420"/>
      </w:pPr>
    </w:p>
    <w:p w14:paraId="14A824B0">
      <w:pPr>
        <w:pStyle w:val="3"/>
        <w:ind w:left="420"/>
      </w:pPr>
    </w:p>
    <w:p w14:paraId="5339AD84">
      <w:pPr>
        <w:pStyle w:val="3"/>
        <w:ind w:left="420"/>
        <w:rPr>
          <w:rFonts w:ascii="黑体" w:hAnsi="黑体" w:eastAsia="黑体" w:cs="黑体"/>
          <w:sz w:val="44"/>
        </w:rPr>
      </w:pPr>
    </w:p>
    <w:p w14:paraId="7FD0B348">
      <w:pPr>
        <w:keepNext/>
        <w:keepLines/>
        <w:spacing w:before="340" w:after="330" w:line="578" w:lineRule="auto"/>
        <w:ind w:firstLine="2420" w:firstLineChars="550"/>
        <w:jc w:val="both"/>
        <w:rPr>
          <w:rFonts w:hint="eastAsia" w:ascii="黑体" w:hAnsi="黑体" w:eastAsia="黑体" w:cs="黑体"/>
          <w:sz w:val="32"/>
        </w:rPr>
      </w:pPr>
      <w:r>
        <w:rPr>
          <w:rFonts w:ascii="黑体" w:hAnsi="黑体" w:eastAsia="黑体" w:cs="黑体"/>
          <w:sz w:val="44"/>
        </w:rPr>
        <w:t xml:space="preserve">第一部分 </w:t>
      </w:r>
      <w:r>
        <w:rPr>
          <w:rFonts w:ascii="黑体" w:hAnsi="黑体" w:eastAsia="黑体" w:cs="黑体"/>
          <w:b/>
          <w:sz w:val="44"/>
        </w:rPr>
        <w:t>部门概况</w:t>
      </w:r>
    </w:p>
    <w:p w14:paraId="74E5C7F8">
      <w:pPr>
        <w:pStyle w:val="33"/>
        <w:keepNext/>
        <w:keepLines/>
        <w:numPr>
          <w:ilvl w:val="0"/>
          <w:numId w:val="1"/>
        </w:numPr>
        <w:spacing w:before="260" w:after="260" w:line="416" w:lineRule="auto"/>
        <w:ind w:firstLineChars="0"/>
        <w:rPr>
          <w:rFonts w:ascii="黑体" w:hAnsi="黑体" w:eastAsia="黑体" w:cs="黑体"/>
          <w:sz w:val="32"/>
        </w:rPr>
      </w:pPr>
      <w:r>
        <w:rPr>
          <w:rFonts w:ascii="黑体" w:hAnsi="黑体" w:eastAsia="黑体" w:cs="黑体"/>
          <w:sz w:val="32"/>
        </w:rPr>
        <w:t>部门职责</w:t>
      </w:r>
      <w:r>
        <w:rPr>
          <w:rFonts w:hint="eastAsia" w:ascii="黑体" w:hAnsi="黑体" w:eastAsia="黑体" w:cs="黑体"/>
          <w:sz w:val="32"/>
        </w:rPr>
        <w:t>:</w:t>
      </w:r>
    </w:p>
    <w:p w14:paraId="1EB54A8A">
      <w:pPr>
        <w:pStyle w:val="33"/>
        <w:keepNext/>
        <w:keepLines/>
        <w:spacing w:before="260" w:after="260" w:line="416" w:lineRule="auto"/>
        <w:ind w:left="720" w:firstLine="0" w:firstLineChars="0"/>
        <w:rPr>
          <w:rFonts w:ascii="黑体" w:hAnsi="黑体" w:eastAsia="黑体" w:cs="黑体"/>
          <w:sz w:val="32"/>
        </w:rPr>
      </w:pPr>
      <w:r>
        <w:rPr>
          <w:rFonts w:hint="eastAsia" w:ascii="仿宋" w:hAnsi="仿宋" w:eastAsia="仿宋" w:cs="黑体"/>
          <w:sz w:val="32"/>
        </w:rPr>
        <w:t>安</w:t>
      </w:r>
      <w:r>
        <w:rPr>
          <w:rFonts w:ascii="仿宋" w:hAnsi="仿宋" w:eastAsia="仿宋" w:cs="黑体"/>
          <w:sz w:val="32"/>
        </w:rPr>
        <w:t>平小学是1988</w:t>
      </w:r>
      <w:r>
        <w:rPr>
          <w:rFonts w:hint="eastAsia" w:ascii="仿宋" w:hAnsi="仿宋" w:eastAsia="仿宋" w:cs="黑体"/>
          <w:sz w:val="32"/>
        </w:rPr>
        <w:t>年</w:t>
      </w:r>
      <w:r>
        <w:rPr>
          <w:rFonts w:ascii="仿宋" w:hAnsi="仿宋" w:eastAsia="仿宋" w:cs="黑体"/>
          <w:sz w:val="32"/>
        </w:rPr>
        <w:t>与原安平中学分设而成，</w:t>
      </w:r>
      <w:r>
        <w:rPr>
          <w:rFonts w:hint="eastAsia" w:ascii="仿宋" w:hAnsi="仿宋" w:eastAsia="仿宋" w:cs="黑体"/>
          <w:color w:val="000000" w:themeColor="text1"/>
          <w:sz w:val="32"/>
          <w14:textFill>
            <w14:solidFill>
              <w14:schemeClr w14:val="tx1"/>
            </w14:solidFill>
          </w14:textFill>
        </w:rPr>
        <w:t>坐</w:t>
      </w:r>
      <w:r>
        <w:rPr>
          <w:rFonts w:ascii="仿宋" w:hAnsi="仿宋" w:eastAsia="仿宋" w:cs="黑体"/>
          <w:color w:val="000000" w:themeColor="text1"/>
          <w:sz w:val="32"/>
          <w14:textFill>
            <w14:solidFill>
              <w14:schemeClr w14:val="tx1"/>
            </w14:solidFill>
          </w14:textFill>
        </w:rPr>
        <w:t>落于</w:t>
      </w:r>
      <w:r>
        <w:rPr>
          <w:rFonts w:hint="eastAsia" w:ascii="仿宋" w:hAnsi="仿宋" w:eastAsia="仿宋" w:cs="黑体"/>
          <w:sz w:val="32"/>
        </w:rPr>
        <w:t>G</w:t>
      </w:r>
      <w:r>
        <w:rPr>
          <w:rFonts w:ascii="仿宋" w:hAnsi="仿宋" w:eastAsia="仿宋" w:cs="黑体"/>
          <w:sz w:val="32"/>
        </w:rPr>
        <w:t>247</w:t>
      </w:r>
      <w:r>
        <w:rPr>
          <w:rFonts w:hint="eastAsia" w:ascii="仿宋" w:hAnsi="仿宋" w:eastAsia="仿宋" w:cs="黑体"/>
          <w:sz w:val="32"/>
        </w:rPr>
        <w:t>国</w:t>
      </w:r>
      <w:r>
        <w:rPr>
          <w:rFonts w:ascii="仿宋" w:hAnsi="仿宋" w:eastAsia="仿宋" w:cs="黑体"/>
          <w:sz w:val="32"/>
        </w:rPr>
        <w:t>道旁，与资阳市毗邻，服务于七个行政村，辖区内有一万多人</w:t>
      </w:r>
      <w:r>
        <w:rPr>
          <w:rFonts w:hint="eastAsia" w:ascii="仿宋" w:hAnsi="仿宋" w:eastAsia="仿宋" w:cs="黑体"/>
          <w:sz w:val="32"/>
        </w:rPr>
        <w:t>，学</w:t>
      </w:r>
      <w:r>
        <w:rPr>
          <w:rFonts w:ascii="仿宋" w:hAnsi="仿宋" w:eastAsia="仿宋" w:cs="黑体"/>
          <w:sz w:val="32"/>
        </w:rPr>
        <w:t>校占地</w:t>
      </w:r>
      <w:r>
        <w:rPr>
          <w:rFonts w:hint="eastAsia" w:ascii="仿宋" w:hAnsi="仿宋" w:eastAsia="仿宋" w:cs="黑体"/>
          <w:sz w:val="32"/>
        </w:rPr>
        <w:t>4276平方</w:t>
      </w:r>
      <w:r>
        <w:rPr>
          <w:rFonts w:ascii="仿宋" w:hAnsi="仿宋" w:eastAsia="仿宋" w:cs="黑体"/>
          <w:sz w:val="32"/>
        </w:rPr>
        <w:t>米，</w:t>
      </w:r>
      <w:r>
        <w:rPr>
          <w:rFonts w:hint="eastAsia" w:ascii="仿宋" w:hAnsi="仿宋" w:eastAsia="仿宋" w:cs="黑体"/>
          <w:sz w:val="32"/>
        </w:rPr>
        <w:t>校舍4961平方</w:t>
      </w:r>
      <w:r>
        <w:rPr>
          <w:rFonts w:ascii="仿宋" w:hAnsi="仿宋" w:eastAsia="仿宋" w:cs="黑体"/>
          <w:sz w:val="32"/>
        </w:rPr>
        <w:t>米</w:t>
      </w:r>
      <w:r>
        <w:rPr>
          <w:rFonts w:hint="eastAsia" w:ascii="仿宋" w:hAnsi="仿宋" w:eastAsia="仿宋" w:cs="黑体"/>
          <w:sz w:val="32"/>
        </w:rPr>
        <w:t>；</w:t>
      </w:r>
      <w:r>
        <w:rPr>
          <w:rFonts w:ascii="仿宋" w:hAnsi="仿宋" w:eastAsia="仿宋" w:cs="黑体"/>
          <w:sz w:val="32"/>
        </w:rPr>
        <w:t>现有教学</w:t>
      </w:r>
      <w:r>
        <w:rPr>
          <w:rFonts w:hint="eastAsia" w:ascii="仿宋" w:hAnsi="仿宋" w:eastAsia="仿宋" w:cs="黑体"/>
          <w:sz w:val="32"/>
        </w:rPr>
        <w:t>、</w:t>
      </w:r>
      <w:r>
        <w:rPr>
          <w:rFonts w:ascii="仿宋" w:hAnsi="仿宋" w:eastAsia="仿宋" w:cs="黑体"/>
          <w:sz w:val="32"/>
        </w:rPr>
        <w:t>师生宿舍各一幢，学生食堂一幢</w:t>
      </w:r>
      <w:r>
        <w:rPr>
          <w:rFonts w:hint="eastAsia" w:ascii="仿宋" w:hAnsi="仿宋" w:eastAsia="仿宋" w:cs="黑体"/>
          <w:sz w:val="32"/>
        </w:rPr>
        <w:t>。</w:t>
      </w:r>
      <w:r>
        <w:rPr>
          <w:rFonts w:ascii="仿宋" w:hAnsi="仿宋" w:eastAsia="仿宋" w:cs="黑体"/>
          <w:sz w:val="32"/>
        </w:rPr>
        <w:t>现</w:t>
      </w:r>
      <w:r>
        <w:rPr>
          <w:rFonts w:hint="eastAsia" w:ascii="仿宋" w:hAnsi="仿宋" w:eastAsia="仿宋" w:cs="黑体"/>
          <w:sz w:val="32"/>
        </w:rPr>
        <w:t>有6个</w:t>
      </w:r>
      <w:r>
        <w:rPr>
          <w:rFonts w:ascii="仿宋" w:hAnsi="仿宋" w:eastAsia="仿宋" w:cs="黑体"/>
          <w:sz w:val="32"/>
        </w:rPr>
        <w:t>教学班，一个</w:t>
      </w:r>
      <w:r>
        <w:rPr>
          <w:rFonts w:hint="eastAsia" w:ascii="仿宋" w:hAnsi="仿宋" w:eastAsia="仿宋" w:cs="黑体"/>
          <w:sz w:val="32"/>
        </w:rPr>
        <w:t>附设</w:t>
      </w:r>
      <w:r>
        <w:rPr>
          <w:rFonts w:ascii="仿宋" w:hAnsi="仿宋" w:eastAsia="仿宋" w:cs="黑体"/>
          <w:sz w:val="32"/>
        </w:rPr>
        <w:t>幼儿园</w:t>
      </w:r>
      <w:r>
        <w:rPr>
          <w:rFonts w:hint="eastAsia" w:ascii="仿宋" w:hAnsi="仿宋" w:eastAsia="仿宋" w:cs="黑体"/>
          <w:sz w:val="32"/>
        </w:rPr>
        <w:t>，</w:t>
      </w:r>
      <w:r>
        <w:rPr>
          <w:rFonts w:ascii="仿宋" w:hAnsi="仿宋" w:eastAsia="仿宋" w:cs="黑体"/>
          <w:sz w:val="32"/>
        </w:rPr>
        <w:t>学</w:t>
      </w:r>
      <w:r>
        <w:rPr>
          <w:rFonts w:hint="eastAsia" w:ascii="仿宋" w:hAnsi="仿宋" w:eastAsia="仿宋" w:cs="黑体"/>
          <w:sz w:val="32"/>
        </w:rPr>
        <w:t xml:space="preserve"> 生115人</w:t>
      </w:r>
      <w:r>
        <w:rPr>
          <w:rFonts w:ascii="仿宋" w:hAnsi="仿宋" w:eastAsia="仿宋" w:cs="黑体"/>
          <w:sz w:val="32"/>
        </w:rPr>
        <w:t>，教师</w:t>
      </w:r>
      <w:r>
        <w:rPr>
          <w:rFonts w:hint="eastAsia" w:ascii="仿宋" w:hAnsi="仿宋" w:eastAsia="仿宋" w:cs="黑体"/>
          <w:sz w:val="32"/>
        </w:rPr>
        <w:t>33人</w:t>
      </w:r>
      <w:r>
        <w:rPr>
          <w:rFonts w:ascii="仿宋" w:hAnsi="仿宋" w:eastAsia="仿宋" w:cs="黑体"/>
          <w:sz w:val="32"/>
        </w:rPr>
        <w:t>，学历</w:t>
      </w:r>
      <w:r>
        <w:rPr>
          <w:rFonts w:hint="eastAsia" w:ascii="仿宋" w:hAnsi="仿宋" w:eastAsia="仿宋" w:cs="黑体"/>
          <w:sz w:val="32"/>
        </w:rPr>
        <w:t>都</w:t>
      </w:r>
      <w:r>
        <w:rPr>
          <w:rFonts w:ascii="仿宋" w:hAnsi="仿宋" w:eastAsia="仿宋" w:cs="黑体"/>
          <w:sz w:val="32"/>
        </w:rPr>
        <w:t>达标</w:t>
      </w:r>
      <w:r>
        <w:rPr>
          <w:rFonts w:hint="eastAsia" w:ascii="仿宋" w:hAnsi="仿宋" w:eastAsia="仿宋" w:cs="黑体"/>
          <w:sz w:val="32"/>
        </w:rPr>
        <w:t>。</w:t>
      </w:r>
      <w:r>
        <w:rPr>
          <w:rFonts w:ascii="仿宋" w:hAnsi="仿宋" w:eastAsia="仿宋" w:cs="黑体"/>
          <w:sz w:val="32"/>
        </w:rPr>
        <w:t>学</w:t>
      </w:r>
      <w:r>
        <w:rPr>
          <w:rFonts w:hint="eastAsia" w:ascii="仿宋" w:hAnsi="仿宋" w:eastAsia="仿宋" w:cs="黑体"/>
          <w:sz w:val="32"/>
        </w:rPr>
        <w:t>校</w:t>
      </w:r>
      <w:r>
        <w:rPr>
          <w:rFonts w:ascii="仿宋" w:hAnsi="仿宋" w:eastAsia="仿宋" w:cs="黑体"/>
          <w:sz w:val="32"/>
        </w:rPr>
        <w:t>坚持“做真实教育，为</w:t>
      </w:r>
      <w:r>
        <w:rPr>
          <w:rFonts w:hint="eastAsia" w:ascii="仿宋" w:hAnsi="仿宋" w:eastAsia="仿宋" w:cs="黑体"/>
          <w:sz w:val="32"/>
          <w:lang w:eastAsia="zh-CN"/>
        </w:rPr>
        <w:t>学生发展奠基</w:t>
      </w:r>
      <w:r>
        <w:rPr>
          <w:rFonts w:ascii="仿宋" w:hAnsi="仿宋" w:eastAsia="仿宋" w:cs="黑体"/>
          <w:sz w:val="32"/>
        </w:rPr>
        <w:t>”</w:t>
      </w:r>
      <w:r>
        <w:rPr>
          <w:rFonts w:hint="eastAsia" w:ascii="仿宋" w:hAnsi="仿宋" w:eastAsia="仿宋" w:cs="黑体"/>
          <w:sz w:val="32"/>
        </w:rPr>
        <w:t>的</w:t>
      </w:r>
      <w:r>
        <w:rPr>
          <w:rFonts w:ascii="仿宋" w:hAnsi="仿宋" w:eastAsia="仿宋" w:cs="黑体"/>
          <w:sz w:val="32"/>
        </w:rPr>
        <w:t>办学理念，学校多次获得</w:t>
      </w:r>
      <w:r>
        <w:rPr>
          <w:rFonts w:hint="eastAsia" w:ascii="仿宋" w:hAnsi="仿宋" w:eastAsia="仿宋" w:cs="黑体"/>
          <w:sz w:val="32"/>
        </w:rPr>
        <w:t>全</w:t>
      </w:r>
      <w:r>
        <w:rPr>
          <w:rFonts w:ascii="仿宋" w:hAnsi="仿宋" w:eastAsia="仿宋" w:cs="黑体"/>
          <w:sz w:val="32"/>
        </w:rPr>
        <w:t>区教育系统业绩评估“一等奖”。</w:t>
      </w:r>
    </w:p>
    <w:p w14:paraId="758CB686">
      <w:pPr>
        <w:keepNext/>
        <w:keepLines/>
        <w:spacing w:before="260" w:after="260" w:line="416" w:lineRule="auto"/>
        <w:rPr>
          <w:rFonts w:ascii="Cambria" w:hAnsi="Cambria" w:eastAsia="Cambria" w:cs="Cambria"/>
          <w:b/>
          <w:sz w:val="32"/>
        </w:rPr>
      </w:pPr>
      <w:r>
        <w:rPr>
          <w:rFonts w:ascii="黑体" w:hAnsi="黑体" w:eastAsia="黑体" w:cs="黑体"/>
          <w:sz w:val="32"/>
        </w:rPr>
        <w:t>二、机</w:t>
      </w:r>
      <w:r>
        <w:rPr>
          <w:rFonts w:ascii="黑体" w:hAnsi="黑体" w:eastAsia="黑体" w:cs="黑体"/>
          <w:b/>
          <w:sz w:val="32"/>
        </w:rPr>
        <w:t>构设置</w:t>
      </w:r>
    </w:p>
    <w:p w14:paraId="05928A2C">
      <w:pPr>
        <w:ind w:firstLine="800" w:firstLineChars="250"/>
        <w:jc w:val="both"/>
        <w:rPr>
          <w:rFonts w:hint="eastAsia" w:ascii="仿宋" w:hAnsi="仿宋" w:eastAsia="仿宋" w:cs="仿宋"/>
          <w:sz w:val="32"/>
        </w:rPr>
      </w:pPr>
      <w:r>
        <w:rPr>
          <w:rFonts w:hint="eastAsia" w:ascii="仿宋" w:hAnsi="仿宋" w:eastAsia="仿宋"/>
          <w:sz w:val="32"/>
          <w:szCs w:val="32"/>
        </w:rPr>
        <w:t>我校</w:t>
      </w:r>
      <w:r>
        <w:rPr>
          <w:rFonts w:ascii="仿宋" w:hAnsi="仿宋" w:eastAsia="仿宋"/>
          <w:sz w:val="32"/>
          <w:szCs w:val="32"/>
        </w:rPr>
        <w:t>为</w:t>
      </w:r>
      <w:r>
        <w:rPr>
          <w:rFonts w:hint="eastAsia" w:ascii="仿宋" w:hAnsi="仿宋" w:eastAsia="仿宋"/>
          <w:sz w:val="32"/>
          <w:szCs w:val="32"/>
        </w:rPr>
        <w:t>独</w:t>
      </w:r>
      <w:r>
        <w:rPr>
          <w:rFonts w:ascii="仿宋" w:hAnsi="仿宋" w:eastAsia="仿宋"/>
          <w:sz w:val="32"/>
          <w:szCs w:val="32"/>
        </w:rPr>
        <w:t>立编制机构</w:t>
      </w:r>
      <w:r>
        <w:rPr>
          <w:rFonts w:hint="eastAsia" w:ascii="仿宋" w:hAnsi="仿宋" w:eastAsia="仿宋"/>
          <w:sz w:val="32"/>
          <w:szCs w:val="32"/>
        </w:rPr>
        <w:t>1个</w:t>
      </w:r>
      <w:r>
        <w:rPr>
          <w:rFonts w:ascii="仿宋" w:hAnsi="仿宋" w:eastAsia="仿宋"/>
          <w:sz w:val="32"/>
          <w:szCs w:val="32"/>
        </w:rPr>
        <w:t>，独立核算机构</w:t>
      </w:r>
      <w:r>
        <w:rPr>
          <w:rFonts w:hint="eastAsia" w:ascii="仿宋" w:hAnsi="仿宋" w:eastAsia="仿宋"/>
          <w:sz w:val="32"/>
          <w:szCs w:val="32"/>
        </w:rPr>
        <w:t>1个</w:t>
      </w:r>
      <w:r>
        <w:rPr>
          <w:rFonts w:ascii="仿宋" w:hAnsi="仿宋" w:eastAsia="仿宋"/>
          <w:sz w:val="32"/>
          <w:szCs w:val="32"/>
        </w:rPr>
        <w:t>，我校现有在编</w:t>
      </w:r>
      <w:r>
        <w:rPr>
          <w:rFonts w:hint="eastAsia" w:ascii="仿宋" w:hAnsi="仿宋" w:eastAsia="仿宋"/>
          <w:sz w:val="32"/>
          <w:szCs w:val="32"/>
        </w:rPr>
        <w:t>教师33人</w:t>
      </w:r>
      <w:r>
        <w:rPr>
          <w:rFonts w:ascii="仿宋" w:hAnsi="仿宋" w:eastAsia="仿宋"/>
          <w:sz w:val="32"/>
          <w:szCs w:val="32"/>
        </w:rPr>
        <w:t>，遗属</w:t>
      </w:r>
      <w:r>
        <w:rPr>
          <w:rFonts w:hint="eastAsia" w:ascii="仿宋" w:hAnsi="仿宋" w:eastAsia="仿宋"/>
          <w:sz w:val="32"/>
          <w:szCs w:val="32"/>
        </w:rPr>
        <w:t>6人，</w:t>
      </w:r>
      <w:r>
        <w:rPr>
          <w:rFonts w:ascii="仿宋" w:hAnsi="仿宋" w:eastAsia="仿宋"/>
          <w:sz w:val="32"/>
          <w:szCs w:val="32"/>
        </w:rPr>
        <w:t>退休</w:t>
      </w:r>
      <w:r>
        <w:rPr>
          <w:rFonts w:hint="eastAsia" w:ascii="仿宋" w:hAnsi="仿宋" w:eastAsia="仿宋"/>
          <w:sz w:val="32"/>
          <w:szCs w:val="32"/>
        </w:rPr>
        <w:t>教师59人</w:t>
      </w:r>
      <w:r>
        <w:rPr>
          <w:rFonts w:ascii="仿宋" w:hAnsi="仿宋" w:eastAsia="仿宋"/>
          <w:sz w:val="32"/>
          <w:szCs w:val="32"/>
        </w:rPr>
        <w:t>，学生</w:t>
      </w:r>
      <w:r>
        <w:rPr>
          <w:rFonts w:hint="eastAsia" w:ascii="仿宋" w:hAnsi="仿宋" w:eastAsia="仿宋"/>
          <w:sz w:val="32"/>
          <w:szCs w:val="32"/>
        </w:rPr>
        <w:t>115人</w:t>
      </w:r>
      <w:r>
        <w:rPr>
          <w:rFonts w:ascii="仿宋" w:hAnsi="仿宋" w:eastAsia="仿宋"/>
          <w:sz w:val="32"/>
          <w:szCs w:val="32"/>
        </w:rPr>
        <w:t>，现设有行政办，德育处，教导</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后勤</w:t>
      </w:r>
      <w:r>
        <w:rPr>
          <w:rFonts w:ascii="仿宋" w:hAnsi="仿宋" w:eastAsia="仿宋"/>
          <w:sz w:val="32"/>
          <w:szCs w:val="32"/>
        </w:rPr>
        <w:t>处等部门</w:t>
      </w:r>
      <w:r>
        <w:rPr>
          <w:rFonts w:hint="eastAsia" w:ascii="仿宋" w:hAnsi="仿宋" w:eastAsia="仿宋"/>
          <w:sz w:val="32"/>
          <w:szCs w:val="32"/>
        </w:rPr>
        <w:t>。</w:t>
      </w:r>
    </w:p>
    <w:p w14:paraId="5D82D150">
      <w:pPr>
        <w:keepNext/>
        <w:keepLines/>
        <w:spacing w:before="340" w:after="330" w:line="578" w:lineRule="auto"/>
        <w:ind w:right="440"/>
        <w:jc w:val="center"/>
        <w:rPr>
          <w:rFonts w:hint="eastAsia" w:ascii="Times New Roman" w:hAnsi="Times New Roman" w:cs="Times New Roman" w:eastAsiaTheme="minorEastAsia"/>
        </w:rPr>
      </w:pPr>
      <w:r>
        <w:rPr>
          <w:rFonts w:ascii="黑体" w:hAnsi="黑体" w:eastAsia="黑体" w:cs="黑体"/>
          <w:sz w:val="44"/>
        </w:rPr>
        <w:t>第二部分 2023年度</w:t>
      </w:r>
      <w:r>
        <w:rPr>
          <w:rFonts w:ascii="黑体" w:hAnsi="黑体" w:eastAsia="黑体" w:cs="黑体"/>
          <w:b/>
          <w:sz w:val="44"/>
        </w:rPr>
        <w:t>部门决算情况说明</w:t>
      </w:r>
    </w:p>
    <w:p w14:paraId="23313F24">
      <w:pPr>
        <w:pStyle w:val="33"/>
        <w:numPr>
          <w:ilvl w:val="0"/>
          <w:numId w:val="1"/>
        </w:numPr>
        <w:spacing w:line="600" w:lineRule="auto"/>
        <w:ind w:firstLineChars="0"/>
        <w:rPr>
          <w:rFonts w:ascii="黑体" w:hAnsi="黑体" w:eastAsia="黑体" w:cs="黑体"/>
          <w:sz w:val="32"/>
        </w:rPr>
      </w:pPr>
      <w:r>
        <w:rPr>
          <w:rFonts w:ascii="黑体" w:hAnsi="黑体" w:eastAsia="黑体" w:cs="黑体"/>
          <w:sz w:val="32"/>
        </w:rPr>
        <w:t>收入支出决算总体情况说明</w:t>
      </w:r>
    </w:p>
    <w:p w14:paraId="7E01EAD2">
      <w:pPr>
        <w:spacing w:line="600" w:lineRule="auto"/>
        <w:ind w:firstLine="640"/>
        <w:jc w:val="left"/>
        <w:rPr>
          <w:rFonts w:ascii="仿宋" w:hAnsi="仿宋" w:eastAsia="仿宋" w:cs="仿宋"/>
          <w:sz w:val="32"/>
        </w:rPr>
      </w:pPr>
      <w:r>
        <w:rPr>
          <w:rFonts w:ascii="仿宋" w:hAnsi="仿宋" w:eastAsia="仿宋" w:cs="仿宋"/>
          <w:sz w:val="32"/>
        </w:rPr>
        <w:t>2023年度收、支总计均为</w:t>
      </w:r>
      <w:r>
        <w:rPr>
          <w:rFonts w:ascii="Times New Roman" w:hAnsi="Times New Roman" w:eastAsia="Times New Roman" w:cs="Times New Roman"/>
          <w:sz w:val="32"/>
        </w:rPr>
        <w:t>623</w:t>
      </w:r>
      <w:r>
        <w:rPr>
          <w:rFonts w:ascii="仿宋" w:hAnsi="仿宋" w:eastAsia="仿宋" w:cs="仿宋"/>
          <w:sz w:val="32"/>
        </w:rPr>
        <w:t>万元。与2022年度相比，收、支总计各增加15.3万元，增长2.45%。主要变动原因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r>
        <w:rPr>
          <w:rFonts w:ascii="仿宋" w:hAnsi="仿宋" w:eastAsia="仿宋" w:cs="仿宋"/>
          <w:sz w:val="32"/>
        </w:rPr>
        <w:t>。</w:t>
      </w:r>
    </w:p>
    <w:p w14:paraId="7D169EFB">
      <w:pPr>
        <w:spacing w:line="600" w:lineRule="auto"/>
        <w:ind w:firstLine="640"/>
        <w:jc w:val="left"/>
        <w:rPr>
          <w:rFonts w:ascii="仿宋" w:hAnsi="仿宋" w:eastAsia="仿宋" w:cs="仿宋"/>
          <w:sz w:val="32"/>
        </w:rPr>
      </w:pPr>
      <w:r>
        <w:drawing>
          <wp:inline distT="0" distB="0" distL="114300" distR="114300">
            <wp:extent cx="4210050" cy="1671955"/>
            <wp:effectExtent l="0" t="0" r="0"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4210050" cy="1671955"/>
                    </a:xfrm>
                    <a:prstGeom prst="rect">
                      <a:avLst/>
                    </a:prstGeom>
                    <a:noFill/>
                    <a:ln>
                      <a:noFill/>
                    </a:ln>
                  </pic:spPr>
                </pic:pic>
              </a:graphicData>
            </a:graphic>
          </wp:inline>
        </w:drawing>
      </w:r>
    </w:p>
    <w:p w14:paraId="1DA9B9FF">
      <w:pPr>
        <w:spacing w:line="600" w:lineRule="exact"/>
        <w:ind w:firstLine="640" w:firstLineChars="200"/>
        <w:jc w:val="both"/>
        <w:rPr>
          <w:rFonts w:ascii="仿宋" w:hAnsi="仿宋" w:eastAsia="仿宋" w:cstheme="minorBidi"/>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869619D">
      <w:pPr>
        <w:pStyle w:val="33"/>
        <w:numPr>
          <w:ilvl w:val="0"/>
          <w:numId w:val="2"/>
        </w:numPr>
        <w:spacing w:line="600" w:lineRule="auto"/>
        <w:ind w:firstLineChars="0"/>
        <w:rPr>
          <w:rFonts w:ascii="黑体" w:hAnsi="黑体" w:eastAsia="黑体" w:cs="黑体"/>
          <w:sz w:val="32"/>
        </w:rPr>
      </w:pPr>
      <w:r>
        <w:rPr>
          <w:rFonts w:ascii="黑体" w:hAnsi="黑体" w:eastAsia="黑体" w:cs="黑体"/>
          <w:sz w:val="32"/>
        </w:rPr>
        <w:t>收入决算情况说明</w:t>
      </w:r>
    </w:p>
    <w:p w14:paraId="796C9F01">
      <w:pPr>
        <w:spacing w:line="600" w:lineRule="auto"/>
        <w:ind w:firstLine="640"/>
        <w:rPr>
          <w:rFonts w:ascii="仿宋_GB2312" w:hAnsi="仿宋_GB2312" w:eastAsia="仿宋_GB2312" w:cs="仿宋_GB2312"/>
          <w:sz w:val="32"/>
        </w:rPr>
      </w:pPr>
      <w:r>
        <w:rPr>
          <w:rFonts w:ascii="仿宋" w:hAnsi="仿宋" w:eastAsia="仿宋"/>
          <w:b/>
          <w:sz w:val="32"/>
          <w:szCs w:val="32"/>
        </w:rPr>
        <w:drawing>
          <wp:anchor distT="0" distB="0" distL="114300" distR="114300" simplePos="0" relativeHeight="251660288" behindDoc="0" locked="0" layoutInCell="1" allowOverlap="1">
            <wp:simplePos x="0" y="0"/>
            <wp:positionH relativeFrom="margin">
              <wp:posOffset>454025</wp:posOffset>
            </wp:positionH>
            <wp:positionV relativeFrom="paragraph">
              <wp:posOffset>1054735</wp:posOffset>
            </wp:positionV>
            <wp:extent cx="3457575" cy="2476500"/>
            <wp:effectExtent l="0" t="0" r="9525" b="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仿宋" w:hAnsi="仿宋" w:eastAsia="仿宋" w:cs="仿宋"/>
          <w:sz w:val="32"/>
        </w:rPr>
        <w:t>2023年度本年收入合计</w:t>
      </w:r>
      <w:r>
        <w:rPr>
          <w:rFonts w:ascii="Times New Roman" w:hAnsi="Times New Roman" w:eastAsia="Times New Roman" w:cs="Times New Roman"/>
          <w:sz w:val="32"/>
        </w:rPr>
        <w:t>623</w:t>
      </w:r>
      <w:r>
        <w:rPr>
          <w:rFonts w:ascii="仿宋" w:hAnsi="仿宋" w:eastAsia="仿宋" w:cs="仿宋"/>
          <w:sz w:val="32"/>
        </w:rPr>
        <w:t>万元，其中：一般公共预算财政拨款收入</w:t>
      </w:r>
      <w:r>
        <w:rPr>
          <w:rFonts w:ascii="Times New Roman" w:hAnsi="Times New Roman" w:eastAsia="Times New Roman" w:cs="Times New Roman"/>
          <w:sz w:val="32"/>
        </w:rPr>
        <w:t>623</w:t>
      </w:r>
      <w:r>
        <w:rPr>
          <w:rFonts w:ascii="仿宋" w:hAnsi="仿宋" w:eastAsia="仿宋" w:cs="仿宋"/>
          <w:sz w:val="32"/>
        </w:rPr>
        <w:t>万元，占</w:t>
      </w:r>
      <w:r>
        <w:rPr>
          <w:rFonts w:ascii="Times New Roman" w:hAnsi="Times New Roman" w:eastAsia="Times New Roman" w:cs="Times New Roman"/>
          <w:sz w:val="32"/>
        </w:rPr>
        <w:t>100</w:t>
      </w:r>
      <w:r>
        <w:rPr>
          <w:rFonts w:ascii="仿宋" w:hAnsi="仿宋" w:eastAsia="仿宋" w:cs="仿宋"/>
          <w:sz w:val="32"/>
        </w:rPr>
        <w:t>%；</w:t>
      </w:r>
    </w:p>
    <w:p w14:paraId="6CE3301F">
      <w:pPr>
        <w:spacing w:line="600" w:lineRule="exact"/>
        <w:ind w:firstLine="2240" w:firstLineChars="700"/>
        <w:jc w:val="both"/>
        <w:rPr>
          <w:rFonts w:ascii="仿宋_GB2312" w:hAnsi="仿宋_GB2312" w:eastAsia="仿宋_GB2312" w:cs="仿宋_GB2312"/>
          <w:sz w:val="32"/>
        </w:rPr>
      </w:pPr>
      <w:r>
        <w:rPr>
          <w:rFonts w:hint="eastAsia" w:ascii="仿宋" w:hAnsi="仿宋" w:eastAsia="仿宋"/>
          <w:sz w:val="32"/>
          <w:szCs w:val="32"/>
        </w:rPr>
        <w:t>（图2：收入决算结构图）</w:t>
      </w:r>
    </w:p>
    <w:p w14:paraId="62F5E9FD">
      <w:pPr>
        <w:spacing w:line="600" w:lineRule="auto"/>
        <w:rPr>
          <w:rFonts w:ascii="黑体" w:hAnsi="黑体" w:eastAsia="黑体" w:cs="黑体"/>
          <w:sz w:val="32"/>
        </w:rPr>
      </w:pPr>
      <w:r>
        <w:rPr>
          <w:rFonts w:hint="eastAsia" w:ascii="黑体" w:hAnsi="黑体" w:eastAsia="黑体" w:cs="黑体"/>
          <w:sz w:val="32"/>
        </w:rPr>
        <w:t>三、</w:t>
      </w:r>
      <w:r>
        <w:rPr>
          <w:rFonts w:ascii="黑体" w:hAnsi="黑体" w:eastAsia="黑体" w:cs="黑体"/>
          <w:sz w:val="32"/>
        </w:rPr>
        <w:t>支出决算情况说明</w:t>
      </w:r>
    </w:p>
    <w:p w14:paraId="000AB3DB">
      <w:pPr>
        <w:spacing w:line="600" w:lineRule="auto"/>
        <w:ind w:firstLine="640"/>
        <w:rPr>
          <w:rFonts w:ascii="仿宋" w:hAnsi="仿宋" w:eastAsia="仿宋" w:cs="仿宋"/>
          <w:sz w:val="32"/>
        </w:rPr>
      </w:pPr>
      <w:r>
        <w:rPr>
          <w:rFonts w:ascii="仿宋" w:hAnsi="仿宋" w:eastAsia="仿宋" w:cs="仿宋"/>
          <w:sz w:val="32"/>
        </w:rPr>
        <w:t>2023年度本年支出合计</w:t>
      </w:r>
      <w:r>
        <w:rPr>
          <w:rFonts w:ascii="Times New Roman" w:hAnsi="Times New Roman" w:eastAsia="Times New Roman" w:cs="Times New Roman"/>
          <w:sz w:val="32"/>
        </w:rPr>
        <w:t>623</w:t>
      </w:r>
      <w:r>
        <w:rPr>
          <w:rFonts w:ascii="仿宋" w:hAnsi="仿宋" w:eastAsia="仿宋" w:cs="仿宋"/>
          <w:sz w:val="32"/>
        </w:rPr>
        <w:t>万元，其中：基本支出</w:t>
      </w:r>
      <w:r>
        <w:rPr>
          <w:rFonts w:ascii="Times New Roman" w:hAnsi="Times New Roman" w:eastAsia="Times New Roman" w:cs="Times New Roman"/>
          <w:sz w:val="32"/>
        </w:rPr>
        <w:t>579.92</w:t>
      </w:r>
      <w:r>
        <w:rPr>
          <w:rFonts w:ascii="仿宋" w:hAnsi="仿宋" w:eastAsia="仿宋" w:cs="仿宋"/>
          <w:sz w:val="32"/>
        </w:rPr>
        <w:t>万元，占</w:t>
      </w:r>
      <w:r>
        <w:rPr>
          <w:rFonts w:ascii="Times New Roman" w:hAnsi="Times New Roman" w:eastAsia="Times New Roman" w:cs="Times New Roman"/>
          <w:sz w:val="32"/>
        </w:rPr>
        <w:t>93.08</w:t>
      </w:r>
      <w:r>
        <w:rPr>
          <w:rFonts w:ascii="仿宋" w:hAnsi="仿宋" w:eastAsia="仿宋" w:cs="仿宋"/>
          <w:sz w:val="32"/>
        </w:rPr>
        <w:t>%；项目支出</w:t>
      </w:r>
      <w:r>
        <w:rPr>
          <w:rFonts w:ascii="Times New Roman" w:hAnsi="Times New Roman" w:eastAsia="Times New Roman" w:cs="Times New Roman"/>
          <w:sz w:val="32"/>
        </w:rPr>
        <w:t>43.08</w:t>
      </w:r>
      <w:r>
        <w:rPr>
          <w:rFonts w:ascii="仿宋" w:hAnsi="仿宋" w:eastAsia="仿宋" w:cs="仿宋"/>
          <w:sz w:val="32"/>
        </w:rPr>
        <w:t>万元，占</w:t>
      </w:r>
      <w:r>
        <w:rPr>
          <w:rFonts w:ascii="Times New Roman" w:hAnsi="Times New Roman" w:eastAsia="Times New Roman" w:cs="Times New Roman"/>
          <w:sz w:val="32"/>
        </w:rPr>
        <w:t>7</w:t>
      </w:r>
      <w:r>
        <w:rPr>
          <w:rFonts w:ascii="仿宋" w:hAnsi="仿宋" w:eastAsia="仿宋" w:cs="仿宋"/>
          <w:sz w:val="32"/>
        </w:rPr>
        <w:t xml:space="preserve">%； </w:t>
      </w:r>
    </w:p>
    <w:p w14:paraId="24C1612A">
      <w:pPr>
        <w:spacing w:line="600" w:lineRule="auto"/>
        <w:ind w:firstLine="643"/>
        <w:rPr>
          <w:rFonts w:ascii="仿宋" w:hAnsi="仿宋" w:eastAsia="仿宋" w:cs="仿宋"/>
          <w:b/>
          <w:sz w:val="32"/>
        </w:rPr>
      </w:pPr>
      <w:r>
        <w:rPr>
          <w:rFonts w:ascii="仿宋" w:hAnsi="仿宋" w:eastAsia="仿宋" w:cs="仿宋"/>
          <w:b/>
          <w:sz w:val="32"/>
        </w:rPr>
        <w:drawing>
          <wp:inline distT="0" distB="0" distL="0" distR="0">
            <wp:extent cx="4584700" cy="275590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1C99127A">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319F12C9">
      <w:pPr>
        <w:spacing w:line="600" w:lineRule="auto"/>
        <w:ind w:firstLine="1622" w:firstLineChars="505"/>
        <w:rPr>
          <w:rFonts w:ascii="仿宋" w:hAnsi="仿宋" w:eastAsia="仿宋" w:cs="仿宋"/>
          <w:b/>
          <w:sz w:val="32"/>
        </w:rPr>
      </w:pPr>
    </w:p>
    <w:p w14:paraId="36D6B545">
      <w:pPr>
        <w:spacing w:line="600" w:lineRule="auto"/>
        <w:ind w:firstLine="640" w:firstLineChars="200"/>
        <w:rPr>
          <w:rFonts w:ascii="黑体" w:hAnsi="黑体" w:eastAsia="黑体" w:cs="黑体"/>
          <w:sz w:val="32"/>
        </w:rPr>
      </w:pPr>
      <w:r>
        <w:rPr>
          <w:rFonts w:ascii="黑体" w:hAnsi="黑体" w:eastAsia="黑体" w:cs="黑体"/>
          <w:sz w:val="32"/>
        </w:rPr>
        <w:t>四、财政拨款收入支出决算总体情况说明</w:t>
      </w:r>
    </w:p>
    <w:p w14:paraId="2BF31539">
      <w:pPr>
        <w:spacing w:line="600" w:lineRule="auto"/>
        <w:ind w:firstLine="640"/>
        <w:rPr>
          <w:rFonts w:ascii="仿宋" w:hAnsi="仿宋" w:eastAsia="仿宋" w:cs="仿宋"/>
          <w:sz w:val="32"/>
        </w:rPr>
      </w:pPr>
      <w:r>
        <w:rPr>
          <w:rFonts w:ascii="仿宋" w:hAnsi="仿宋" w:eastAsia="仿宋" w:cs="仿宋"/>
          <w:sz w:val="32"/>
        </w:rPr>
        <w:t>2023年度财政拨款收、支总计均为</w:t>
      </w:r>
      <w:r>
        <w:rPr>
          <w:rFonts w:ascii="Times New Roman" w:hAnsi="Times New Roman" w:eastAsia="Times New Roman" w:cs="Times New Roman"/>
          <w:sz w:val="32"/>
        </w:rPr>
        <w:t>623</w:t>
      </w:r>
      <w:r>
        <w:rPr>
          <w:rFonts w:ascii="仿宋" w:hAnsi="仿宋" w:eastAsia="仿宋" w:cs="仿宋"/>
          <w:sz w:val="32"/>
        </w:rPr>
        <w:t>万元。与2022年度相比，财政拨款收、支总计各增加15.3万元，增长2.45%。主要变动原因是</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p>
    <w:p w14:paraId="669CE6F6">
      <w:pPr>
        <w:spacing w:line="600" w:lineRule="auto"/>
        <w:ind w:firstLine="640"/>
        <w:rPr>
          <w:rFonts w:ascii="黑体" w:hAnsi="黑体" w:eastAsia="黑体" w:cs="黑体"/>
          <w:sz w:val="32"/>
        </w:rPr>
      </w:pPr>
    </w:p>
    <w:p w14:paraId="5E7DAAA0">
      <w:pPr>
        <w:spacing w:line="600" w:lineRule="auto"/>
        <w:ind w:firstLine="640"/>
        <w:rPr>
          <w:rFonts w:ascii="黑体" w:hAnsi="黑体" w:eastAsia="黑体" w:cs="黑体"/>
          <w:sz w:val="32"/>
        </w:rPr>
      </w:pPr>
      <w:r>
        <w:drawing>
          <wp:inline distT="0" distB="0" distL="114300" distR="114300">
            <wp:extent cx="4488180" cy="2548255"/>
            <wp:effectExtent l="0" t="0" r="762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4488180" cy="2548255"/>
                    </a:xfrm>
                    <a:prstGeom prst="rect">
                      <a:avLst/>
                    </a:prstGeom>
                    <a:noFill/>
                    <a:ln>
                      <a:noFill/>
                    </a:ln>
                  </pic:spPr>
                </pic:pic>
              </a:graphicData>
            </a:graphic>
          </wp:inline>
        </w:drawing>
      </w:r>
    </w:p>
    <w:p w14:paraId="4072DE33">
      <w:pPr>
        <w:spacing w:line="600" w:lineRule="exact"/>
        <w:ind w:firstLine="0" w:firstLineChars="0"/>
        <w:rPr>
          <w:rFonts w:ascii="仿宋" w:hAnsi="仿宋" w:eastAsia="仿宋"/>
          <w:sz w:val="32"/>
          <w:szCs w:val="32"/>
        </w:rPr>
      </w:pPr>
      <w:r>
        <w:rPr>
          <w:rFonts w:hint="eastAsia" w:ascii="仿宋" w:hAnsi="仿宋" w:eastAsia="仿宋"/>
          <w:sz w:val="32"/>
          <w:szCs w:val="32"/>
        </w:rPr>
        <w:t>（图4：财政拨款收、支决算总计变动情况）</w:t>
      </w:r>
    </w:p>
    <w:p w14:paraId="5A5D0619">
      <w:pPr>
        <w:spacing w:line="600" w:lineRule="auto"/>
        <w:rPr>
          <w:rFonts w:ascii="黑体" w:hAnsi="黑体" w:eastAsia="黑体" w:cs="黑体"/>
          <w:sz w:val="32"/>
        </w:rPr>
      </w:pPr>
    </w:p>
    <w:p w14:paraId="0DF549DE">
      <w:pPr>
        <w:spacing w:line="600" w:lineRule="auto"/>
        <w:ind w:firstLine="640"/>
        <w:rPr>
          <w:rFonts w:ascii="黑体" w:hAnsi="黑体" w:eastAsia="黑体" w:cs="黑体"/>
          <w:sz w:val="32"/>
        </w:rPr>
      </w:pPr>
      <w:r>
        <w:rPr>
          <w:rFonts w:ascii="黑体" w:hAnsi="黑体" w:eastAsia="黑体" w:cs="黑体"/>
          <w:sz w:val="32"/>
        </w:rPr>
        <w:t>五、</w:t>
      </w:r>
      <w:r>
        <w:rPr>
          <w:rFonts w:ascii="黑体" w:hAnsi="黑体" w:eastAsia="黑体" w:cs="黑体"/>
          <w:b/>
          <w:sz w:val="32"/>
        </w:rPr>
        <w:t>一</w:t>
      </w:r>
      <w:r>
        <w:rPr>
          <w:rFonts w:ascii="黑体" w:hAnsi="黑体" w:eastAsia="黑体" w:cs="黑体"/>
          <w:sz w:val="32"/>
        </w:rPr>
        <w:t>般公共预算财政拨款支出决算情况说明</w:t>
      </w:r>
    </w:p>
    <w:p w14:paraId="24714852">
      <w:pPr>
        <w:spacing w:line="600" w:lineRule="auto"/>
        <w:ind w:firstLine="643"/>
        <w:rPr>
          <w:rFonts w:ascii="仿宋" w:hAnsi="仿宋" w:eastAsia="仿宋" w:cs="仿宋"/>
          <w:b/>
          <w:sz w:val="32"/>
        </w:rPr>
      </w:pPr>
      <w:r>
        <w:rPr>
          <w:rFonts w:ascii="仿宋" w:hAnsi="仿宋" w:eastAsia="仿宋" w:cs="仿宋"/>
          <w:b/>
          <w:sz w:val="32"/>
        </w:rPr>
        <w:t>（一）一般公共预算财政拨款支出决算总体情况</w:t>
      </w:r>
    </w:p>
    <w:p w14:paraId="0D117FBA">
      <w:pPr>
        <w:spacing w:line="600" w:lineRule="auto"/>
        <w:ind w:firstLine="640"/>
        <w:rPr>
          <w:rFonts w:ascii="仿宋" w:hAnsi="仿宋" w:eastAsia="仿宋" w:cs="仿宋"/>
          <w:sz w:val="32"/>
        </w:rPr>
      </w:pPr>
      <w:r>
        <w:rPr>
          <w:rFonts w:ascii="仿宋" w:hAnsi="仿宋" w:eastAsia="仿宋" w:cs="仿宋"/>
          <w:sz w:val="32"/>
        </w:rPr>
        <w:t>2023年度一般公共预算财政拨款支出</w:t>
      </w:r>
      <w:r>
        <w:rPr>
          <w:rFonts w:ascii="Times New Roman" w:hAnsi="Times New Roman" w:eastAsia="Times New Roman" w:cs="Times New Roman"/>
          <w:sz w:val="32"/>
        </w:rPr>
        <w:t>623</w:t>
      </w:r>
      <w:r>
        <w:rPr>
          <w:rFonts w:ascii="仿宋" w:hAnsi="仿宋" w:eastAsia="仿宋" w:cs="仿宋"/>
          <w:sz w:val="32"/>
        </w:rPr>
        <w:t>万元，占本年支出合计的</w:t>
      </w:r>
      <w:r>
        <w:rPr>
          <w:rFonts w:ascii="Times New Roman" w:hAnsi="Times New Roman" w:eastAsia="Times New Roman" w:cs="Times New Roman"/>
          <w:sz w:val="32"/>
        </w:rPr>
        <w:t>100</w:t>
      </w:r>
      <w:r>
        <w:rPr>
          <w:rFonts w:ascii="仿宋" w:hAnsi="仿宋" w:eastAsia="仿宋" w:cs="仿宋"/>
          <w:sz w:val="32"/>
        </w:rPr>
        <w:t>%。与2022年度相比，一般公共预算财政拨款支出增加15.3万元，增长2.45%。主要变动原因是主要变动原因</w:t>
      </w:r>
      <w:r>
        <w:rPr>
          <w:rFonts w:hint="eastAsia" w:ascii="仿宋" w:hAnsi="仿宋" w:eastAsia="仿宋" w:cs="仿宋"/>
          <w:sz w:val="32"/>
        </w:rPr>
        <w:t>人员</w:t>
      </w:r>
      <w:r>
        <w:rPr>
          <w:rFonts w:ascii="仿宋" w:hAnsi="仿宋" w:eastAsia="仿宋" w:cs="仿宋"/>
          <w:sz w:val="32"/>
        </w:rPr>
        <w:t>经费</w:t>
      </w:r>
      <w:r>
        <w:rPr>
          <w:rFonts w:hint="eastAsia" w:ascii="仿宋" w:hAnsi="仿宋" w:eastAsia="仿宋" w:cs="仿宋"/>
          <w:sz w:val="32"/>
        </w:rPr>
        <w:t>、</w:t>
      </w:r>
      <w:r>
        <w:rPr>
          <w:rFonts w:ascii="仿宋" w:hAnsi="仿宋" w:eastAsia="仿宋" w:cs="仿宋"/>
          <w:sz w:val="32"/>
        </w:rPr>
        <w:t>工资福利、学生资助等</w:t>
      </w:r>
      <w:r>
        <w:rPr>
          <w:rFonts w:hint="eastAsia" w:ascii="仿宋" w:hAnsi="仿宋" w:eastAsia="仿宋"/>
          <w:sz w:val="32"/>
          <w:szCs w:val="32"/>
        </w:rPr>
        <w:t>增加</w:t>
      </w:r>
    </w:p>
    <w:p w14:paraId="3DA72CA8">
      <w:pPr>
        <w:pStyle w:val="2"/>
        <w:spacing w:line="600" w:lineRule="auto"/>
        <w:rPr>
          <w:rFonts w:ascii="仿宋" w:hAnsi="仿宋" w:eastAsia="仿宋" w:cs="仿宋"/>
          <w:sz w:val="32"/>
        </w:rPr>
      </w:pPr>
      <w:r>
        <w:drawing>
          <wp:inline distT="0" distB="0" distL="114300" distR="114300">
            <wp:extent cx="4284980" cy="2061845"/>
            <wp:effectExtent l="0" t="0" r="1270" b="146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9"/>
                    <a:stretch>
                      <a:fillRect/>
                    </a:stretch>
                  </pic:blipFill>
                  <pic:spPr>
                    <a:xfrm>
                      <a:off x="0" y="0"/>
                      <a:ext cx="4284980" cy="2061845"/>
                    </a:xfrm>
                    <a:prstGeom prst="rect">
                      <a:avLst/>
                    </a:prstGeom>
                    <a:noFill/>
                    <a:ln>
                      <a:noFill/>
                    </a:ln>
                  </pic:spPr>
                </pic:pic>
              </a:graphicData>
            </a:graphic>
          </wp:inline>
        </w:drawing>
      </w:r>
    </w:p>
    <w:p w14:paraId="785BC908">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5E359763">
      <w:pPr>
        <w:spacing w:line="600" w:lineRule="auto"/>
        <w:rPr>
          <w:rFonts w:ascii="仿宋" w:hAnsi="仿宋" w:eastAsia="仿宋" w:cs="仿宋"/>
          <w:sz w:val="32"/>
        </w:rPr>
      </w:pPr>
    </w:p>
    <w:p w14:paraId="7C40D421">
      <w:pPr>
        <w:spacing w:line="600" w:lineRule="auto"/>
        <w:ind w:firstLine="643"/>
        <w:rPr>
          <w:rFonts w:ascii="仿宋" w:hAnsi="仿宋" w:eastAsia="仿宋" w:cs="仿宋"/>
          <w:b/>
          <w:sz w:val="32"/>
        </w:rPr>
      </w:pPr>
      <w:r>
        <w:rPr>
          <w:rFonts w:ascii="仿宋" w:hAnsi="仿宋" w:eastAsia="仿宋" w:cs="仿宋"/>
          <w:b/>
          <w:sz w:val="32"/>
        </w:rPr>
        <w:t>（二）一般公共预算财政拨款支出决算结构情况</w:t>
      </w:r>
    </w:p>
    <w:p w14:paraId="43DCC578">
      <w:pPr>
        <w:spacing w:line="600" w:lineRule="auto"/>
        <w:ind w:firstLine="640"/>
        <w:rPr>
          <w:rFonts w:ascii="仿宋" w:hAnsi="仿宋" w:eastAsia="仿宋" w:cs="仿宋"/>
          <w:sz w:val="32"/>
        </w:rPr>
      </w:pPr>
      <w:r>
        <w:rPr>
          <w:rFonts w:ascii="仿宋" w:hAnsi="仿宋" w:eastAsia="仿宋" w:cs="仿宋"/>
          <w:sz w:val="32"/>
        </w:rPr>
        <w:t>2023年度一般公共预算财政拨款支出</w:t>
      </w:r>
      <w:r>
        <w:rPr>
          <w:rFonts w:ascii="Times New Roman" w:hAnsi="Times New Roman" w:eastAsia="Times New Roman" w:cs="Times New Roman"/>
          <w:sz w:val="32"/>
        </w:rPr>
        <w:t>623</w:t>
      </w:r>
      <w:r>
        <w:rPr>
          <w:rFonts w:ascii="仿宋" w:hAnsi="仿宋" w:eastAsia="仿宋" w:cs="仿宋"/>
          <w:sz w:val="32"/>
        </w:rPr>
        <w:t>万元，主要用于以下方面:</w:t>
      </w:r>
      <w:r>
        <w:rPr>
          <w:rFonts w:ascii="仿宋" w:hAnsi="仿宋" w:eastAsia="仿宋" w:cs="仿宋"/>
          <w:b/>
          <w:sz w:val="32"/>
        </w:rPr>
        <w:t>教育支出</w:t>
      </w:r>
      <w:r>
        <w:rPr>
          <w:rFonts w:ascii="仿宋" w:hAnsi="仿宋" w:eastAsia="仿宋" w:cs="仿宋"/>
          <w:sz w:val="32"/>
        </w:rPr>
        <w:t>489.66万元，占78.5%；</w:t>
      </w:r>
      <w:r>
        <w:rPr>
          <w:rFonts w:ascii="仿宋" w:hAnsi="仿宋" w:eastAsia="仿宋" w:cs="仿宋"/>
          <w:b/>
          <w:sz w:val="32"/>
        </w:rPr>
        <w:t>社会保障和就业支出</w:t>
      </w:r>
      <w:r>
        <w:rPr>
          <w:rFonts w:ascii="仿宋" w:hAnsi="仿宋" w:eastAsia="仿宋" w:cs="仿宋"/>
          <w:sz w:val="32"/>
        </w:rPr>
        <w:t>70.25万元，占11.2%；</w:t>
      </w:r>
      <w:r>
        <w:rPr>
          <w:rFonts w:ascii="仿宋" w:hAnsi="仿宋" w:eastAsia="仿宋" w:cs="仿宋"/>
          <w:b/>
          <w:sz w:val="32"/>
        </w:rPr>
        <w:t>卫生健康支出</w:t>
      </w:r>
      <w:r>
        <w:rPr>
          <w:rFonts w:ascii="仿宋" w:hAnsi="仿宋" w:eastAsia="仿宋" w:cs="仿宋"/>
          <w:sz w:val="32"/>
        </w:rPr>
        <w:t>20.12万元，占3.2%；</w:t>
      </w:r>
      <w:r>
        <w:rPr>
          <w:rFonts w:ascii="仿宋" w:hAnsi="仿宋" w:eastAsia="仿宋" w:cs="仿宋"/>
          <w:b/>
          <w:sz w:val="32"/>
        </w:rPr>
        <w:t>住房保障支出</w:t>
      </w:r>
      <w:r>
        <w:rPr>
          <w:rFonts w:ascii="仿宋" w:hAnsi="仿宋" w:eastAsia="仿宋" w:cs="仿宋"/>
          <w:sz w:val="32"/>
        </w:rPr>
        <w:t>42.96万元，占7.1%；。</w:t>
      </w:r>
    </w:p>
    <w:p w14:paraId="0A50D079">
      <w:pPr>
        <w:spacing w:line="600" w:lineRule="auto"/>
        <w:ind w:firstLine="640"/>
        <w:rPr>
          <w:rFonts w:ascii="仿宋" w:hAnsi="仿宋" w:eastAsia="仿宋" w:cs="仿宋"/>
          <w:sz w:val="32"/>
        </w:rPr>
      </w:pPr>
    </w:p>
    <w:p w14:paraId="4616AF3B">
      <w:pPr>
        <w:spacing w:line="600" w:lineRule="exact"/>
        <w:ind w:firstLine="0" w:firstLineChars="0"/>
        <w:rPr>
          <w:rFonts w:ascii="仿宋" w:hAnsi="仿宋" w:eastAsia="仿宋"/>
          <w:sz w:val="32"/>
          <w:szCs w:val="32"/>
        </w:rPr>
      </w:pPr>
    </w:p>
    <w:p w14:paraId="02EB5CF5">
      <w:pPr>
        <w:pStyle w:val="2"/>
        <w:spacing w:line="600" w:lineRule="exact"/>
        <w:ind w:firstLineChars="200"/>
      </w:pPr>
    </w:p>
    <w:p w14:paraId="07768985">
      <w:pPr>
        <w:pStyle w:val="3"/>
        <w:spacing w:line="600" w:lineRule="exact"/>
        <w:ind w:left="420" w:firstLineChars="200"/>
      </w:pPr>
    </w:p>
    <w:p w14:paraId="1CD97DDC">
      <w:pPr>
        <w:pStyle w:val="3"/>
        <w:spacing w:line="600" w:lineRule="exact"/>
        <w:ind w:left="420" w:firstLineChars="200"/>
      </w:pPr>
    </w:p>
    <w:p w14:paraId="21CA9935">
      <w:pPr>
        <w:pStyle w:val="3"/>
        <w:spacing w:line="600" w:lineRule="exact"/>
        <w:ind w:left="420" w:firstLineChars="200"/>
      </w:pPr>
    </w:p>
    <w:p w14:paraId="4F8107BF">
      <w:pPr>
        <w:pStyle w:val="3"/>
        <w:spacing w:line="600" w:lineRule="exact"/>
        <w:ind w:left="420" w:firstLine="643" w:firstLineChars="200"/>
        <w:rPr>
          <w:rFonts w:hint="eastAsia" w:ascii="仿宋" w:hAnsi="仿宋" w:eastAsia="仿宋"/>
          <w:sz w:val="32"/>
          <w:szCs w:val="32"/>
        </w:rPr>
      </w:pPr>
      <w:r>
        <w:rPr>
          <w:rFonts w:hint="eastAsia" w:ascii="仿宋" w:hAnsi="仿宋" w:eastAsia="仿宋"/>
          <w:b/>
          <w:sz w:val="32"/>
        </w:rPr>
        <w:drawing>
          <wp:anchor distT="0" distB="0" distL="114300" distR="114300" simplePos="0" relativeHeight="251659264" behindDoc="0" locked="0" layoutInCell="1" allowOverlap="1">
            <wp:simplePos x="0" y="0"/>
            <wp:positionH relativeFrom="margin">
              <wp:posOffset>0</wp:posOffset>
            </wp:positionH>
            <wp:positionV relativeFrom="paragraph">
              <wp:posOffset>276225</wp:posOffset>
            </wp:positionV>
            <wp:extent cx="4181475" cy="2343150"/>
            <wp:effectExtent l="0" t="0" r="9525"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3267AC1">
      <w:pPr>
        <w:spacing w:line="600" w:lineRule="exact"/>
        <w:ind w:firstLine="0" w:firstLineChars="0"/>
        <w:rPr>
          <w:rFonts w:ascii="仿宋" w:hAnsi="仿宋" w:eastAsia="仿宋"/>
          <w:sz w:val="32"/>
          <w:szCs w:val="32"/>
        </w:rPr>
      </w:pPr>
      <w:r>
        <w:rPr>
          <w:rFonts w:hint="eastAsia" w:ascii="仿宋" w:hAnsi="仿宋" w:eastAsia="仿宋"/>
          <w:sz w:val="32"/>
          <w:szCs w:val="32"/>
        </w:rPr>
        <w:t>（图6：一般公共预算财政拨款支出决算结构）</w:t>
      </w:r>
    </w:p>
    <w:p w14:paraId="5A563E59">
      <w:pPr>
        <w:spacing w:line="600" w:lineRule="auto"/>
        <w:ind w:firstLine="640"/>
        <w:rPr>
          <w:rFonts w:ascii="仿宋" w:hAnsi="仿宋" w:eastAsia="仿宋" w:cs="仿宋"/>
          <w:sz w:val="32"/>
        </w:rPr>
      </w:pPr>
    </w:p>
    <w:p w14:paraId="6108CFA7">
      <w:pPr>
        <w:spacing w:line="600" w:lineRule="auto"/>
        <w:ind w:firstLine="643"/>
        <w:rPr>
          <w:rFonts w:ascii="仿宋" w:hAnsi="仿宋" w:eastAsia="仿宋" w:cs="仿宋"/>
          <w:b/>
          <w:sz w:val="32"/>
        </w:rPr>
      </w:pPr>
      <w:r>
        <w:rPr>
          <w:rFonts w:ascii="仿宋" w:hAnsi="仿宋" w:eastAsia="仿宋" w:cs="仿宋"/>
          <w:b/>
          <w:sz w:val="32"/>
        </w:rPr>
        <w:t>（三）一般公共预算财政拨款支出决算具体情况</w:t>
      </w:r>
    </w:p>
    <w:p w14:paraId="06229B92">
      <w:pPr>
        <w:spacing w:line="600" w:lineRule="auto"/>
        <w:ind w:firstLine="643"/>
        <w:rPr>
          <w:rFonts w:ascii="仿宋" w:hAnsi="仿宋" w:eastAsia="仿宋" w:cs="仿宋"/>
          <w:sz w:val="32"/>
        </w:rPr>
      </w:pPr>
      <w:r>
        <w:rPr>
          <w:rFonts w:ascii="仿宋" w:hAnsi="仿宋" w:eastAsia="仿宋" w:cs="仿宋"/>
          <w:b/>
          <w:sz w:val="32"/>
        </w:rPr>
        <w:t>2023年度一般公共预算支出决算数为</w:t>
      </w:r>
      <w:r>
        <w:rPr>
          <w:rFonts w:ascii="Times New Roman" w:hAnsi="Times New Roman" w:eastAsia="Times New Roman" w:cs="Times New Roman"/>
          <w:sz w:val="32"/>
        </w:rPr>
        <w:t>623</w:t>
      </w:r>
      <w:r>
        <w:rPr>
          <w:rFonts w:ascii="仿宋" w:hAnsi="仿宋" w:eastAsia="仿宋" w:cs="仿宋"/>
          <w:sz w:val="32"/>
        </w:rPr>
        <w:t>，</w:t>
      </w:r>
      <w:r>
        <w:rPr>
          <w:rFonts w:ascii="仿宋" w:hAnsi="仿宋" w:eastAsia="仿宋" w:cs="仿宋"/>
          <w:b/>
          <w:sz w:val="32"/>
        </w:rPr>
        <w:t>完成预算100%。其中：</w:t>
      </w:r>
    </w:p>
    <w:p w14:paraId="0EC41335">
      <w:pPr>
        <w:spacing w:line="600" w:lineRule="auto"/>
        <w:ind w:firstLine="643"/>
        <w:rPr>
          <w:rFonts w:ascii="仿宋" w:hAnsi="仿宋" w:eastAsia="仿宋" w:cs="仿宋"/>
          <w:b/>
          <w:sz w:val="32"/>
        </w:rPr>
      </w:pPr>
      <w:r>
        <w:rPr>
          <w:rFonts w:ascii="仿宋" w:hAnsi="仿宋" w:eastAsia="仿宋" w:cs="仿宋"/>
          <w:b/>
          <w:sz w:val="32"/>
        </w:rPr>
        <w:t>1.教育（类）205（款）02（项）01:</w:t>
      </w:r>
      <w:r>
        <w:rPr>
          <w:rFonts w:ascii="仿宋" w:hAnsi="仿宋" w:eastAsia="仿宋" w:cs="仿宋"/>
          <w:sz w:val="32"/>
        </w:rPr>
        <w:t xml:space="preserve"> 支出决算为8.63万元，完成预算100%，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766C51FE">
      <w:pPr>
        <w:pStyle w:val="2"/>
      </w:pPr>
    </w:p>
    <w:p w14:paraId="6DB1A91C">
      <w:pPr>
        <w:spacing w:line="600" w:lineRule="auto"/>
        <w:ind w:firstLine="643"/>
        <w:rPr>
          <w:rFonts w:ascii="仿宋" w:hAnsi="仿宋" w:eastAsia="仿宋" w:cs="仿宋"/>
          <w:b/>
          <w:sz w:val="32"/>
        </w:rPr>
      </w:pPr>
      <w:r>
        <w:rPr>
          <w:rFonts w:ascii="仿宋" w:hAnsi="仿宋" w:eastAsia="仿宋" w:cs="仿宋"/>
          <w:b/>
          <w:sz w:val="32"/>
        </w:rPr>
        <w:t>2.教育（类）205（款）02（项）02:</w:t>
      </w:r>
      <w:r>
        <w:rPr>
          <w:rFonts w:ascii="仿宋" w:hAnsi="仿宋" w:eastAsia="仿宋" w:cs="仿宋"/>
          <w:sz w:val="32"/>
        </w:rPr>
        <w:t xml:space="preserve"> 支出决算为442.36万元，完成预算100%，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6C71C4C8">
      <w:pPr>
        <w:spacing w:line="600" w:lineRule="auto"/>
        <w:ind w:firstLine="643"/>
        <w:rPr>
          <w:rFonts w:ascii="仿宋" w:hAnsi="仿宋" w:eastAsia="仿宋" w:cs="仿宋"/>
          <w:b/>
          <w:sz w:val="32"/>
        </w:rPr>
      </w:pPr>
      <w:r>
        <w:rPr>
          <w:rFonts w:ascii="仿宋" w:hAnsi="仿宋" w:eastAsia="仿宋" w:cs="仿宋"/>
          <w:b/>
          <w:sz w:val="32"/>
        </w:rPr>
        <w:t>3.教育（类）205（款）02（项）99</w:t>
      </w:r>
      <w:r>
        <w:rPr>
          <w:rFonts w:ascii="仿宋" w:hAnsi="仿宋" w:eastAsia="仿宋" w:cs="仿宋"/>
          <w:sz w:val="32"/>
        </w:rPr>
        <w:t xml:space="preserve"> 支出决算为34.92万元，完成预算100%，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168BBAC7">
      <w:pPr>
        <w:spacing w:line="600" w:lineRule="auto"/>
        <w:ind w:firstLine="643"/>
        <w:rPr>
          <w:rFonts w:ascii="仿宋" w:hAnsi="仿宋" w:eastAsia="仿宋" w:cs="仿宋"/>
          <w:b/>
          <w:sz w:val="32"/>
        </w:rPr>
      </w:pPr>
      <w:r>
        <w:rPr>
          <w:rFonts w:ascii="仿宋" w:hAnsi="仿宋" w:eastAsia="仿宋" w:cs="仿宋"/>
          <w:b/>
          <w:sz w:val="32"/>
        </w:rPr>
        <w:t>4.教育（类）205（款）99（项）99</w:t>
      </w:r>
      <w:r>
        <w:rPr>
          <w:rFonts w:ascii="仿宋" w:hAnsi="仿宋" w:eastAsia="仿宋" w:cs="仿宋"/>
          <w:sz w:val="32"/>
        </w:rPr>
        <w:t xml:space="preserve"> 支出决算为3.76万元，完成预算100%，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75324860">
      <w:pPr>
        <w:pStyle w:val="3"/>
        <w:spacing w:line="600" w:lineRule="auto"/>
        <w:ind w:left="0" w:leftChars="0" w:firstLine="0" w:firstLineChars="0"/>
        <w:rPr>
          <w:rFonts w:ascii="仿宋" w:hAnsi="仿宋" w:eastAsia="仿宋" w:cs="仿宋"/>
          <w:b/>
          <w:sz w:val="32"/>
        </w:rPr>
      </w:pPr>
    </w:p>
    <w:p w14:paraId="4CE55EDC">
      <w:pPr>
        <w:spacing w:line="600" w:lineRule="auto"/>
        <w:ind w:firstLine="643"/>
        <w:rPr>
          <w:rFonts w:ascii="仿宋" w:hAnsi="仿宋" w:eastAsia="仿宋" w:cs="仿宋"/>
          <w:sz w:val="32"/>
        </w:rPr>
      </w:pPr>
      <w:r>
        <w:rPr>
          <w:rFonts w:ascii="仿宋" w:hAnsi="仿宋" w:eastAsia="仿宋" w:cs="仿宋"/>
          <w:b/>
          <w:sz w:val="32"/>
        </w:rPr>
        <w:t>5.社会保障和就业（类）208（款）05（项）</w:t>
      </w:r>
      <w:r>
        <w:rPr>
          <w:rFonts w:hint="eastAsia" w:ascii="仿宋" w:hAnsi="仿宋" w:eastAsia="仿宋" w:cs="仿宋"/>
          <w:b/>
          <w:sz w:val="32"/>
        </w:rPr>
        <w:t>0</w:t>
      </w:r>
      <w:r>
        <w:rPr>
          <w:rFonts w:ascii="仿宋" w:hAnsi="仿宋" w:eastAsia="仿宋" w:cs="仿宋"/>
          <w:b/>
          <w:sz w:val="32"/>
        </w:rPr>
        <w:t>5:</w:t>
      </w:r>
      <w:r>
        <w:rPr>
          <w:rFonts w:ascii="仿宋" w:hAnsi="仿宋" w:eastAsia="仿宋" w:cs="仿宋"/>
          <w:sz w:val="32"/>
        </w:rPr>
        <w:t xml:space="preserve"> 支出决算为51.85万元，完成预算100%，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698ECD49">
      <w:pPr>
        <w:pStyle w:val="2"/>
      </w:pPr>
    </w:p>
    <w:p w14:paraId="5B4638B0">
      <w:pPr>
        <w:spacing w:line="600" w:lineRule="auto"/>
        <w:ind w:firstLine="643"/>
        <w:rPr>
          <w:rFonts w:ascii="仿宋" w:hAnsi="仿宋" w:eastAsia="仿宋" w:cs="仿宋"/>
          <w:sz w:val="32"/>
        </w:rPr>
      </w:pPr>
      <w:r>
        <w:rPr>
          <w:rFonts w:ascii="仿宋" w:hAnsi="仿宋" w:eastAsia="仿宋" w:cs="仿宋"/>
          <w:b/>
          <w:sz w:val="32"/>
        </w:rPr>
        <w:t>6.社会保障和就业（类）208（款）05（项）</w:t>
      </w:r>
      <w:r>
        <w:rPr>
          <w:rFonts w:hint="eastAsia" w:ascii="仿宋" w:hAnsi="仿宋" w:eastAsia="仿宋" w:cs="仿宋"/>
          <w:b/>
          <w:sz w:val="32"/>
        </w:rPr>
        <w:t>9</w:t>
      </w:r>
      <w:r>
        <w:rPr>
          <w:rFonts w:ascii="仿宋" w:hAnsi="仿宋" w:eastAsia="仿宋" w:cs="仿宋"/>
          <w:b/>
          <w:sz w:val="32"/>
        </w:rPr>
        <w:t>9:</w:t>
      </w:r>
      <w:r>
        <w:rPr>
          <w:rFonts w:ascii="仿宋" w:hAnsi="仿宋" w:eastAsia="仿宋" w:cs="仿宋"/>
          <w:sz w:val="32"/>
        </w:rPr>
        <w:t xml:space="preserve"> 支出决算为7.35万元，完成预算100%，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3CC86B5F">
      <w:pPr>
        <w:pStyle w:val="3"/>
        <w:ind w:left="420" w:firstLine="321" w:firstLineChars="100"/>
      </w:pPr>
      <w:r>
        <w:rPr>
          <w:rFonts w:ascii="仿宋" w:hAnsi="仿宋" w:eastAsia="仿宋" w:cs="仿宋"/>
          <w:b/>
          <w:sz w:val="32"/>
        </w:rPr>
        <w:t>7.社会保障和就业（类）208（款）08（项）01:</w:t>
      </w:r>
      <w:r>
        <w:rPr>
          <w:rFonts w:ascii="仿宋" w:hAnsi="仿宋" w:eastAsia="仿宋" w:cs="仿宋"/>
          <w:sz w:val="32"/>
        </w:rPr>
        <w:t xml:space="preserve"> 支出决算为9.12万元，完成预算100%,</w:t>
      </w:r>
      <w:r>
        <w:rPr>
          <w:rStyle w:val="13"/>
          <w:rFonts w:hint="eastAsia" w:ascii="仿宋" w:hAnsi="仿宋" w:eastAsia="仿宋"/>
          <w:b w:val="0"/>
          <w:bCs/>
          <w:sz w:val="32"/>
        </w:rPr>
        <w:t>决算数等于预算数</w:t>
      </w:r>
      <w:r>
        <w:rPr>
          <w:rFonts w:hint="eastAsia" w:ascii="仿宋" w:hAnsi="仿宋" w:eastAsia="仿宋" w:cs="仿宋"/>
          <w:b/>
          <w:sz w:val="32"/>
        </w:rPr>
        <w:t>。</w:t>
      </w:r>
    </w:p>
    <w:p w14:paraId="5CCD7863">
      <w:pPr>
        <w:pStyle w:val="3"/>
        <w:spacing w:line="600" w:lineRule="auto"/>
        <w:ind w:left="420" w:firstLine="321" w:firstLineChars="100"/>
        <w:rPr>
          <w:rFonts w:ascii="仿宋" w:hAnsi="仿宋" w:eastAsia="仿宋" w:cs="仿宋"/>
          <w:sz w:val="32"/>
        </w:rPr>
      </w:pPr>
      <w:r>
        <w:rPr>
          <w:rFonts w:ascii="仿宋" w:hAnsi="仿宋" w:eastAsia="仿宋" w:cs="仿宋"/>
          <w:b/>
          <w:sz w:val="32"/>
        </w:rPr>
        <w:t>8.社会保障和就业（类）208（款）99（项）99:</w:t>
      </w:r>
      <w:r>
        <w:rPr>
          <w:rFonts w:ascii="仿宋" w:hAnsi="仿宋" w:eastAsia="仿宋" w:cs="仿宋"/>
          <w:sz w:val="32"/>
        </w:rPr>
        <w:t xml:space="preserve"> 支出决算为1.93万元，完成预算100%,</w:t>
      </w:r>
      <w:r>
        <w:rPr>
          <w:rStyle w:val="13"/>
          <w:rFonts w:hint="eastAsia" w:ascii="仿宋" w:hAnsi="仿宋" w:eastAsia="仿宋"/>
          <w:b w:val="0"/>
          <w:bCs/>
          <w:sz w:val="32"/>
        </w:rPr>
        <w:t>决算数等于预算数</w:t>
      </w:r>
      <w:r>
        <w:rPr>
          <w:rFonts w:hint="eastAsia" w:ascii="仿宋" w:hAnsi="仿宋" w:eastAsia="仿宋" w:cs="仿宋"/>
          <w:b/>
          <w:sz w:val="32"/>
        </w:rPr>
        <w:t>。</w:t>
      </w:r>
    </w:p>
    <w:p w14:paraId="2156108D">
      <w:pPr>
        <w:spacing w:line="600" w:lineRule="auto"/>
        <w:ind w:firstLine="643"/>
        <w:rPr>
          <w:rFonts w:ascii="仿宋" w:hAnsi="仿宋" w:eastAsia="仿宋" w:cs="仿宋"/>
          <w:b/>
          <w:sz w:val="32"/>
        </w:rPr>
      </w:pPr>
      <w:r>
        <w:rPr>
          <w:rFonts w:ascii="仿宋" w:hAnsi="仿宋" w:eastAsia="仿宋" w:cs="仿宋"/>
          <w:b/>
          <w:sz w:val="32"/>
        </w:rPr>
        <w:t>9.卫生健康（类）210（款）11（项）</w:t>
      </w:r>
      <w:r>
        <w:rPr>
          <w:rFonts w:hint="eastAsia" w:ascii="仿宋" w:hAnsi="仿宋" w:eastAsia="仿宋" w:cs="仿宋"/>
          <w:b/>
          <w:sz w:val="32"/>
        </w:rPr>
        <w:t>02</w:t>
      </w:r>
      <w:r>
        <w:rPr>
          <w:rFonts w:ascii="仿宋" w:hAnsi="仿宋" w:eastAsia="仿宋" w:cs="仿宋"/>
          <w:b/>
          <w:sz w:val="32"/>
        </w:rPr>
        <w:t>:</w:t>
      </w:r>
      <w:r>
        <w:rPr>
          <w:rFonts w:ascii="仿宋" w:hAnsi="仿宋" w:eastAsia="仿宋" w:cs="仿宋"/>
          <w:sz w:val="32"/>
        </w:rPr>
        <w:t>支出决算为20.12万元，完成预算100%，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p>
    <w:p w14:paraId="0D348A95">
      <w:pPr>
        <w:spacing w:line="600" w:lineRule="auto"/>
        <w:ind w:firstLine="643"/>
        <w:rPr>
          <w:rFonts w:ascii="仿宋" w:hAnsi="仿宋" w:eastAsia="仿宋" w:cs="仿宋"/>
          <w:b/>
          <w:sz w:val="32"/>
        </w:rPr>
      </w:pPr>
      <w:r>
        <w:rPr>
          <w:rFonts w:ascii="仿宋" w:hAnsi="仿宋" w:eastAsia="仿宋" w:cs="仿宋"/>
          <w:b/>
          <w:sz w:val="32"/>
        </w:rPr>
        <w:t>10.</w:t>
      </w:r>
      <w:r>
        <w:rPr>
          <w:rFonts w:hint="eastAsia" w:ascii="仿宋" w:hAnsi="仿宋" w:eastAsia="仿宋" w:cs="仿宋"/>
          <w:b/>
          <w:sz w:val="32"/>
        </w:rPr>
        <w:t>住房</w:t>
      </w:r>
      <w:r>
        <w:rPr>
          <w:rFonts w:ascii="仿宋" w:hAnsi="仿宋" w:eastAsia="仿宋" w:cs="仿宋"/>
          <w:b/>
          <w:sz w:val="32"/>
        </w:rPr>
        <w:t>保障（类）221（款）02（项）</w:t>
      </w:r>
      <w:r>
        <w:rPr>
          <w:rFonts w:hint="eastAsia" w:ascii="仿宋" w:hAnsi="仿宋" w:eastAsia="仿宋" w:cs="仿宋"/>
          <w:b/>
          <w:sz w:val="32"/>
        </w:rPr>
        <w:t>01</w:t>
      </w:r>
      <w:r>
        <w:rPr>
          <w:rFonts w:ascii="仿宋" w:hAnsi="仿宋" w:eastAsia="仿宋" w:cs="仿宋"/>
          <w:b/>
          <w:sz w:val="32"/>
        </w:rPr>
        <w:t>:</w:t>
      </w:r>
      <w:r>
        <w:rPr>
          <w:rFonts w:ascii="仿宋" w:hAnsi="仿宋" w:eastAsia="仿宋" w:cs="仿宋"/>
          <w:sz w:val="32"/>
        </w:rPr>
        <w:t>支出决算为42.96万元，完成预算100%，</w:t>
      </w:r>
      <w:r>
        <w:rPr>
          <w:rStyle w:val="13"/>
          <w:rFonts w:hint="eastAsia" w:ascii="仿宋" w:hAnsi="仿宋" w:eastAsia="仿宋"/>
          <w:b w:val="0"/>
          <w:bCs/>
          <w:sz w:val="32"/>
          <w:szCs w:val="32"/>
        </w:rPr>
        <w:t>决算数等于预算数</w:t>
      </w:r>
      <w:r>
        <w:rPr>
          <w:rFonts w:hint="eastAsia" w:ascii="仿宋" w:hAnsi="仿宋" w:eastAsia="仿宋" w:cs="仿宋"/>
          <w:b/>
          <w:sz w:val="32"/>
        </w:rPr>
        <w:t>。</w:t>
      </w:r>
      <w:r>
        <w:rPr>
          <w:rFonts w:ascii="仿宋" w:hAnsi="仿宋" w:eastAsia="仿宋" w:cs="仿宋"/>
          <w:b/>
          <w:sz w:val="32"/>
        </w:rPr>
        <w:t xml:space="preserve"> </w:t>
      </w:r>
    </w:p>
    <w:p w14:paraId="7B1151EC">
      <w:pPr>
        <w:spacing w:line="600" w:lineRule="auto"/>
        <w:ind w:firstLine="640"/>
        <w:rPr>
          <w:rFonts w:ascii="仿宋" w:hAnsi="仿宋" w:eastAsia="仿宋" w:cs="仿宋"/>
          <w:b/>
          <w:sz w:val="32"/>
        </w:rPr>
      </w:pPr>
    </w:p>
    <w:p w14:paraId="45C97B5D">
      <w:pPr>
        <w:tabs>
          <w:tab w:val="right" w:pos="8306"/>
        </w:tabs>
        <w:spacing w:line="600" w:lineRule="auto"/>
        <w:ind w:firstLine="640"/>
        <w:rPr>
          <w:rFonts w:ascii="Cambria" w:hAnsi="Cambria" w:eastAsia="Cambria" w:cs="Cambria"/>
          <w:b/>
          <w:sz w:val="32"/>
        </w:rPr>
      </w:pPr>
      <w:r>
        <w:rPr>
          <w:rFonts w:ascii="黑体" w:hAnsi="黑体" w:eastAsia="黑体" w:cs="黑体"/>
          <w:sz w:val="32"/>
        </w:rPr>
        <w:t>六</w:t>
      </w:r>
      <w:r>
        <w:rPr>
          <w:rFonts w:ascii="黑体" w:hAnsi="黑体" w:eastAsia="黑体" w:cs="黑体"/>
          <w:b/>
          <w:sz w:val="32"/>
        </w:rPr>
        <w:t>、一</w:t>
      </w:r>
      <w:r>
        <w:rPr>
          <w:rFonts w:ascii="黑体" w:hAnsi="黑体" w:eastAsia="黑体" w:cs="黑体"/>
          <w:sz w:val="32"/>
        </w:rPr>
        <w:t>般公共预算财政拨款基本支出决算情况说明</w:t>
      </w:r>
      <w:r>
        <w:rPr>
          <w:rFonts w:ascii="黑体" w:hAnsi="黑体" w:eastAsia="黑体" w:cs="黑体"/>
          <w:sz w:val="32"/>
        </w:rPr>
        <w:tab/>
      </w:r>
    </w:p>
    <w:p w14:paraId="48293F33">
      <w:pPr>
        <w:spacing w:line="600" w:lineRule="auto"/>
        <w:ind w:firstLine="645"/>
        <w:rPr>
          <w:rFonts w:ascii="仿宋" w:hAnsi="仿宋" w:eastAsia="仿宋" w:cs="仿宋"/>
          <w:sz w:val="32"/>
        </w:rPr>
      </w:pPr>
      <w:r>
        <w:rPr>
          <w:rFonts w:ascii="仿宋" w:hAnsi="仿宋" w:eastAsia="仿宋" w:cs="仿宋"/>
          <w:sz w:val="32"/>
        </w:rPr>
        <w:t>2023年度一般公共预算财政拨款基本支出</w:t>
      </w:r>
      <w:r>
        <w:rPr>
          <w:rFonts w:ascii="Times New Roman" w:hAnsi="Times New Roman" w:eastAsia="Times New Roman" w:cs="Times New Roman"/>
          <w:sz w:val="32"/>
        </w:rPr>
        <w:t>579.92</w:t>
      </w:r>
      <w:r>
        <w:rPr>
          <w:rFonts w:ascii="仿宋" w:hAnsi="仿宋" w:eastAsia="仿宋" w:cs="仿宋"/>
          <w:sz w:val="32"/>
        </w:rPr>
        <w:t>万元，其中：</w:t>
      </w:r>
    </w:p>
    <w:p w14:paraId="46FA6605">
      <w:pPr>
        <w:spacing w:line="600" w:lineRule="auto"/>
        <w:ind w:firstLine="645"/>
        <w:rPr>
          <w:rFonts w:ascii="仿宋" w:hAnsi="仿宋" w:eastAsia="仿宋" w:cs="仿宋"/>
          <w:sz w:val="32"/>
        </w:rPr>
      </w:pPr>
      <w:r>
        <w:rPr>
          <w:rFonts w:ascii="仿宋" w:hAnsi="仿宋" w:eastAsia="仿宋" w:cs="仿宋"/>
          <w:sz w:val="32"/>
        </w:rPr>
        <w:t>人员经费</w:t>
      </w:r>
      <w:r>
        <w:rPr>
          <w:rFonts w:ascii="Times New Roman" w:hAnsi="Times New Roman" w:eastAsia="Times New Roman" w:cs="Times New Roman"/>
          <w:sz w:val="32"/>
        </w:rPr>
        <w:t>557.4</w:t>
      </w:r>
      <w:r>
        <w:rPr>
          <w:rFonts w:ascii="仿宋" w:hAnsi="仿宋" w:eastAsia="仿宋" w:cs="仿宋"/>
          <w:sz w:val="32"/>
        </w:rPr>
        <w:t>万元，主要包括：基本工资</w:t>
      </w:r>
      <w:r>
        <w:rPr>
          <w:rFonts w:hint="eastAsia" w:ascii="仿宋" w:hAnsi="仿宋" w:eastAsia="仿宋" w:cs="仿宋"/>
          <w:sz w:val="32"/>
        </w:rPr>
        <w:t>180.14</w:t>
      </w:r>
      <w:r>
        <w:rPr>
          <w:rFonts w:ascii="仿宋" w:hAnsi="仿宋" w:eastAsia="仿宋" w:cs="仿宋"/>
          <w:sz w:val="32"/>
        </w:rPr>
        <w:t>万元、津贴补贴17.36万元、绩效工资226.57万元、机关事业单位基本养老保险缴费</w:t>
      </w:r>
      <w:r>
        <w:rPr>
          <w:rFonts w:hint="eastAsia" w:ascii="仿宋" w:hAnsi="仿宋" w:eastAsia="仿宋" w:cs="仿宋"/>
          <w:sz w:val="32"/>
        </w:rPr>
        <w:t>59.2</w:t>
      </w:r>
      <w:r>
        <w:rPr>
          <w:rFonts w:ascii="仿宋" w:hAnsi="仿宋" w:eastAsia="仿宋" w:cs="仿宋"/>
          <w:sz w:val="32"/>
        </w:rPr>
        <w:t>万元、其他社会保障缴费</w:t>
      </w:r>
      <w:r>
        <w:rPr>
          <w:rFonts w:hint="eastAsia" w:ascii="仿宋" w:hAnsi="仿宋" w:eastAsia="仿宋" w:cs="仿宋"/>
          <w:sz w:val="32"/>
        </w:rPr>
        <w:t>1.93</w:t>
      </w:r>
      <w:r>
        <w:rPr>
          <w:rFonts w:ascii="仿宋" w:hAnsi="仿宋" w:eastAsia="仿宋" w:cs="仿宋"/>
          <w:sz w:val="32"/>
        </w:rPr>
        <w:t>万元、抚恤金9.12万元、医疗费补助</w:t>
      </w:r>
      <w:r>
        <w:rPr>
          <w:rFonts w:hint="eastAsia" w:ascii="仿宋" w:hAnsi="仿宋" w:eastAsia="仿宋" w:cs="仿宋"/>
          <w:sz w:val="32"/>
        </w:rPr>
        <w:t>20.12</w:t>
      </w:r>
      <w:r>
        <w:rPr>
          <w:rFonts w:ascii="仿宋" w:hAnsi="仿宋" w:eastAsia="仿宋" w:cs="仿宋"/>
          <w:sz w:val="32"/>
        </w:rPr>
        <w:t>万元、</w:t>
      </w:r>
      <w:r>
        <w:rPr>
          <w:rFonts w:hint="eastAsia" w:ascii="仿宋" w:hAnsi="仿宋" w:eastAsia="仿宋" w:cs="仿宋"/>
          <w:sz w:val="32"/>
        </w:rPr>
        <w:t>住房公积金4</w:t>
      </w:r>
      <w:r>
        <w:rPr>
          <w:rFonts w:ascii="仿宋" w:hAnsi="仿宋" w:eastAsia="仿宋" w:cs="仿宋"/>
          <w:sz w:val="32"/>
        </w:rPr>
        <w:t>2.96</w:t>
      </w:r>
      <w:r>
        <w:rPr>
          <w:rFonts w:hint="eastAsia" w:ascii="仿宋" w:hAnsi="仿宋" w:eastAsia="仿宋" w:cs="仿宋"/>
          <w:sz w:val="32"/>
        </w:rPr>
        <w:t>万元，</w:t>
      </w:r>
      <w:r>
        <w:rPr>
          <w:rFonts w:ascii="仿宋" w:hAnsi="仿宋" w:eastAsia="仿宋" w:cs="仿宋"/>
          <w:sz w:val="32"/>
        </w:rPr>
        <w:t>用经费</w:t>
      </w:r>
      <w:r>
        <w:rPr>
          <w:rFonts w:ascii="Times New Roman" w:hAnsi="Times New Roman" w:eastAsia="Times New Roman" w:cs="Times New Roman"/>
          <w:sz w:val="32"/>
        </w:rPr>
        <w:t>22.52</w:t>
      </w:r>
      <w:r>
        <w:rPr>
          <w:rFonts w:ascii="仿宋" w:hAnsi="仿宋" w:eastAsia="仿宋" w:cs="仿宋"/>
          <w:sz w:val="32"/>
        </w:rPr>
        <w:t>万元，主要包括：办公费</w:t>
      </w:r>
      <w:r>
        <w:rPr>
          <w:rFonts w:hint="eastAsia" w:ascii="仿宋" w:hAnsi="仿宋" w:eastAsia="仿宋" w:cs="仿宋"/>
          <w:sz w:val="32"/>
        </w:rPr>
        <w:t>6.98</w:t>
      </w:r>
      <w:r>
        <w:rPr>
          <w:rFonts w:ascii="仿宋" w:hAnsi="仿宋" w:eastAsia="仿宋" w:cs="仿宋"/>
          <w:sz w:val="32"/>
        </w:rPr>
        <w:t>万元、印刷费</w:t>
      </w:r>
      <w:r>
        <w:rPr>
          <w:rFonts w:hint="eastAsia" w:ascii="仿宋" w:hAnsi="仿宋" w:eastAsia="仿宋" w:cs="仿宋"/>
          <w:sz w:val="32"/>
        </w:rPr>
        <w:t>0.23</w:t>
      </w:r>
      <w:r>
        <w:rPr>
          <w:rFonts w:ascii="仿宋" w:hAnsi="仿宋" w:eastAsia="仿宋" w:cs="仿宋"/>
          <w:sz w:val="32"/>
        </w:rPr>
        <w:t>万元、手续费</w:t>
      </w:r>
      <w:r>
        <w:rPr>
          <w:rFonts w:hint="eastAsia" w:ascii="仿宋" w:hAnsi="仿宋" w:eastAsia="仿宋" w:cs="仿宋"/>
          <w:sz w:val="32"/>
        </w:rPr>
        <w:t>0.18</w:t>
      </w:r>
      <w:r>
        <w:rPr>
          <w:rFonts w:ascii="仿宋" w:hAnsi="仿宋" w:eastAsia="仿宋" w:cs="仿宋"/>
          <w:sz w:val="32"/>
        </w:rPr>
        <w:t>万元、水费</w:t>
      </w:r>
      <w:r>
        <w:rPr>
          <w:rFonts w:hint="eastAsia" w:ascii="仿宋" w:hAnsi="仿宋" w:eastAsia="仿宋" w:cs="仿宋"/>
          <w:sz w:val="32"/>
        </w:rPr>
        <w:t>0.15</w:t>
      </w:r>
      <w:r>
        <w:rPr>
          <w:rFonts w:ascii="仿宋" w:hAnsi="仿宋" w:eastAsia="仿宋" w:cs="仿宋"/>
          <w:sz w:val="32"/>
        </w:rPr>
        <w:t>万元、邮电费</w:t>
      </w:r>
      <w:r>
        <w:rPr>
          <w:rFonts w:hint="eastAsia" w:ascii="仿宋" w:hAnsi="仿宋" w:eastAsia="仿宋" w:cs="仿宋"/>
          <w:sz w:val="32"/>
        </w:rPr>
        <w:t>0.71</w:t>
      </w:r>
      <w:r>
        <w:rPr>
          <w:rFonts w:ascii="仿宋" w:hAnsi="仿宋" w:eastAsia="仿宋" w:cs="仿宋"/>
          <w:sz w:val="32"/>
        </w:rPr>
        <w:t>万元、物业管理费</w:t>
      </w:r>
      <w:r>
        <w:rPr>
          <w:rFonts w:hint="eastAsia" w:ascii="仿宋" w:hAnsi="仿宋" w:eastAsia="仿宋" w:cs="仿宋"/>
          <w:sz w:val="32"/>
        </w:rPr>
        <w:t>0.86</w:t>
      </w:r>
      <w:r>
        <w:rPr>
          <w:rFonts w:ascii="仿宋" w:hAnsi="仿宋" w:eastAsia="仿宋" w:cs="仿宋"/>
          <w:sz w:val="32"/>
        </w:rPr>
        <w:t>万元、差旅费</w:t>
      </w:r>
      <w:r>
        <w:rPr>
          <w:rFonts w:hint="eastAsia" w:ascii="仿宋" w:hAnsi="仿宋" w:eastAsia="仿宋" w:cs="仿宋"/>
          <w:sz w:val="32"/>
        </w:rPr>
        <w:t>2.16</w:t>
      </w:r>
      <w:r>
        <w:rPr>
          <w:rFonts w:ascii="仿宋" w:hAnsi="仿宋" w:eastAsia="仿宋" w:cs="仿宋"/>
          <w:sz w:val="32"/>
        </w:rPr>
        <w:t>万元、维修（护）费4.98万元、会议费</w:t>
      </w:r>
      <w:r>
        <w:rPr>
          <w:rFonts w:hint="eastAsia" w:ascii="仿宋" w:hAnsi="仿宋" w:eastAsia="仿宋" w:cs="仿宋"/>
          <w:sz w:val="32"/>
        </w:rPr>
        <w:t>2.28</w:t>
      </w:r>
      <w:r>
        <w:rPr>
          <w:rFonts w:ascii="仿宋" w:hAnsi="仿宋" w:eastAsia="仿宋" w:cs="仿宋"/>
          <w:sz w:val="32"/>
        </w:rPr>
        <w:t>万元、培训费</w:t>
      </w:r>
      <w:r>
        <w:rPr>
          <w:rFonts w:hint="eastAsia" w:ascii="仿宋" w:hAnsi="仿宋" w:eastAsia="仿宋" w:cs="仿宋"/>
          <w:sz w:val="32"/>
        </w:rPr>
        <w:t>0.37</w:t>
      </w:r>
      <w:r>
        <w:rPr>
          <w:rFonts w:ascii="仿宋" w:hAnsi="仿宋" w:eastAsia="仿宋" w:cs="仿宋"/>
          <w:sz w:val="32"/>
        </w:rPr>
        <w:t>万元、劳务费</w:t>
      </w:r>
      <w:r>
        <w:rPr>
          <w:rFonts w:hint="eastAsia" w:ascii="仿宋" w:hAnsi="仿宋" w:eastAsia="仿宋" w:cs="仿宋"/>
          <w:sz w:val="32"/>
        </w:rPr>
        <w:t>2.77</w:t>
      </w:r>
      <w:r>
        <w:rPr>
          <w:rFonts w:ascii="仿宋" w:hAnsi="仿宋" w:eastAsia="仿宋" w:cs="仿宋"/>
          <w:sz w:val="32"/>
        </w:rPr>
        <w:t>万元、其他商品和服务支出</w:t>
      </w:r>
      <w:r>
        <w:rPr>
          <w:rFonts w:hint="eastAsia" w:ascii="仿宋" w:hAnsi="仿宋" w:eastAsia="仿宋" w:cs="仿宋"/>
          <w:sz w:val="32"/>
        </w:rPr>
        <w:t>0.85</w:t>
      </w:r>
      <w:r>
        <w:rPr>
          <w:rFonts w:ascii="仿宋" w:hAnsi="仿宋" w:eastAsia="仿宋" w:cs="仿宋"/>
          <w:sz w:val="32"/>
        </w:rPr>
        <w:t>万元、。</w:t>
      </w:r>
    </w:p>
    <w:p w14:paraId="7A6F2191">
      <w:pPr>
        <w:spacing w:line="600" w:lineRule="exact"/>
        <w:outlineLvl w:val="1"/>
        <w:rPr>
          <w:rStyle w:val="17"/>
          <w:rFonts w:ascii="黑体" w:hAnsi="黑体" w:eastAsia="黑体"/>
          <w:b w:val="0"/>
        </w:rPr>
      </w:pPr>
      <w:bookmarkStart w:id="0" w:name="_Toc15396609"/>
      <w:bookmarkStart w:id="1" w:name="_Toc15377215"/>
      <w:r>
        <w:rPr>
          <w:rFonts w:hint="eastAsia" w:ascii="黑体" w:eastAsia="黑体"/>
          <w:sz w:val="32"/>
          <w:szCs w:val="32"/>
        </w:rPr>
        <w:t>七、</w:t>
      </w:r>
      <w:r>
        <w:rPr>
          <w:rStyle w:val="17"/>
          <w:rFonts w:hint="eastAsia" w:ascii="黑体" w:hAnsi="黑体" w:eastAsia="黑体"/>
        </w:rPr>
        <w:t>财政拨款“三公”经费支出决算情况说明</w:t>
      </w:r>
    </w:p>
    <w:p w14:paraId="1467BAA7">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6A705F9F">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7411577C">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5856327F">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eastAsia="宋体" w:cs="宋体"/>
          <w:sz w:val="24"/>
          <w:szCs w:val="24"/>
        </w:rPr>
        <w:t>具体情况如下：</w:t>
      </w:r>
    </w:p>
    <w:p w14:paraId="7DDC151D">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3"/>
          <w:rFonts w:hint="eastAsia" w:ascii="仿宋" w:hAnsi="仿宋" w:eastAsia="仿宋"/>
          <w:bCs/>
          <w:sz w:val="32"/>
          <w:szCs w:val="32"/>
        </w:rPr>
        <w:t>完成预算</w:t>
      </w:r>
      <w:r>
        <w:rPr>
          <w:sz w:val="32"/>
          <w:szCs w:val="32"/>
        </w:rPr>
        <w:t>0</w:t>
      </w:r>
      <w:r>
        <w:rPr>
          <w:rStyle w:val="13"/>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F22F7B6">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3"/>
          <w:rFonts w:hint="eastAsia" w:ascii="仿宋" w:hAnsi="仿宋" w:eastAsia="仿宋"/>
          <w:bCs/>
          <w:sz w:val="32"/>
          <w:szCs w:val="32"/>
        </w:rPr>
        <w:t>完成预算</w:t>
      </w:r>
      <w:r>
        <w:rPr>
          <w:sz w:val="32"/>
          <w:szCs w:val="32"/>
        </w:rPr>
        <w:t>0</w:t>
      </w:r>
      <w:r>
        <w:rPr>
          <w:rStyle w:val="13"/>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B85FCD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5E41004B">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7EB52EC2">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14:paraId="07CFCFCD">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14:paraId="4A63A0BF">
      <w:pPr>
        <w:spacing w:line="600" w:lineRule="exact"/>
        <w:ind w:firstLine="480" w:firstLineChars="150"/>
        <w:outlineLvl w:val="1"/>
        <w:rPr>
          <w:rStyle w:val="17"/>
          <w:rFonts w:ascii="黑体" w:hAnsi="黑体" w:eastAsia="黑体"/>
        </w:rPr>
      </w:pPr>
      <w:r>
        <w:rPr>
          <w:rFonts w:hint="eastAsia" w:ascii="黑体" w:eastAsia="黑体"/>
          <w:sz w:val="32"/>
          <w:szCs w:val="32"/>
        </w:rPr>
        <w:t>八、</w:t>
      </w:r>
      <w:r>
        <w:rPr>
          <w:rStyle w:val="17"/>
          <w:rFonts w:hint="eastAsia" w:ascii="黑体" w:hAnsi="黑体" w:eastAsia="黑体"/>
        </w:rPr>
        <w:t>政府性基金预算支出决算情况说明</w:t>
      </w:r>
    </w:p>
    <w:p w14:paraId="6B1A9ED8">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2023年政府性基金预算财政拨款支出0</w:t>
      </w:r>
      <w:r>
        <w:rPr>
          <w:rFonts w:hint="eastAsia" w:ascii="仿宋_GB2312" w:eastAsia="仿宋_GB2312"/>
          <w:color w:val="000000" w:themeColor="text1"/>
          <w:sz w:val="32"/>
          <w:szCs w:val="32"/>
          <w14:textFill>
            <w14:solidFill>
              <w14:schemeClr w14:val="tx1"/>
            </w14:solidFill>
          </w14:textFill>
        </w:rPr>
        <w:t>万元</w:t>
      </w:r>
    </w:p>
    <w:p w14:paraId="774CAE0A">
      <w:pPr>
        <w:numPr>
          <w:ilvl w:val="0"/>
          <w:numId w:val="4"/>
        </w:numPr>
        <w:spacing w:line="600" w:lineRule="exact"/>
        <w:ind w:firstLine="640"/>
        <w:outlineLvl w:val="1"/>
        <w:rPr>
          <w:rStyle w:val="17"/>
          <w:rFonts w:ascii="黑体" w:hAnsi="黑体" w:eastAsia="黑体"/>
          <w:b w:val="0"/>
        </w:rPr>
      </w:pPr>
      <w:r>
        <w:rPr>
          <w:rStyle w:val="17"/>
          <w:rFonts w:hint="eastAsia" w:ascii="黑体" w:hAnsi="黑体" w:eastAsia="黑体"/>
        </w:rPr>
        <w:t>国有资本经营预算支出决算情况说明</w:t>
      </w:r>
    </w:p>
    <w:p w14:paraId="53BDB349">
      <w:pPr>
        <w:pStyle w:val="33"/>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2F93E8E3">
      <w:pPr>
        <w:pStyle w:val="33"/>
        <w:spacing w:line="600" w:lineRule="exact"/>
        <w:ind w:left="360" w:firstLine="321" w:firstLineChars="100"/>
        <w:outlineLvl w:val="1"/>
        <w:rPr>
          <w:rStyle w:val="17"/>
          <w:rFonts w:ascii="黑体" w:hAnsi="黑体" w:eastAsia="黑体"/>
          <w:b w:val="0"/>
        </w:rPr>
      </w:pPr>
      <w:r>
        <w:rPr>
          <w:rStyle w:val="17"/>
          <w:rFonts w:hint="eastAsia" w:ascii="黑体" w:hAnsi="黑体" w:eastAsia="黑体"/>
        </w:rPr>
        <w:t>十</w:t>
      </w:r>
      <w:r>
        <w:rPr>
          <w:rStyle w:val="17"/>
          <w:rFonts w:ascii="黑体" w:hAnsi="黑体" w:eastAsia="黑体"/>
        </w:rPr>
        <w:t>、</w:t>
      </w:r>
      <w:r>
        <w:rPr>
          <w:rStyle w:val="17"/>
          <w:rFonts w:hint="eastAsia" w:ascii="黑体" w:hAnsi="黑体" w:eastAsia="黑体"/>
        </w:rPr>
        <w:t>其他重要事项的情况说明</w:t>
      </w:r>
    </w:p>
    <w:p w14:paraId="585A1F7C">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1476BBC8">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14:textFill>
            <w14:solidFill>
              <w14:schemeClr w14:val="tx1"/>
            </w14:solidFill>
          </w14:textFill>
        </w:rPr>
        <w:t>遂宁市安居区安居镇安平小学校机</w:t>
      </w:r>
      <w:r>
        <w:rPr>
          <w:rFonts w:hint="eastAsia" w:ascii="仿宋_GB2312" w:eastAsia="仿宋_GB2312"/>
          <w:sz w:val="32"/>
          <w:szCs w:val="32"/>
        </w:rPr>
        <w:t>关运行经费支出0万元。与2022年度决算数持平。</w:t>
      </w:r>
    </w:p>
    <w:p w14:paraId="2A0E921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0C0668AD">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遂宁市安居区安居镇安平小学校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6CEA67C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779CEAB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遂宁市安居区安居镇安平小学校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59E5D7E1">
      <w:pPr>
        <w:pStyle w:val="6"/>
        <w:rPr>
          <w:rFonts w:eastAsia="仿宋"/>
        </w:rPr>
      </w:pPr>
    </w:p>
    <w:bookmarkEnd w:id="0"/>
    <w:bookmarkEnd w:id="1"/>
    <w:p w14:paraId="5DF4BDC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6D7595F">
      <w:pPr>
        <w:spacing w:line="576" w:lineRule="exact"/>
        <w:ind w:firstLine="643"/>
        <w:rPr>
          <w:rFonts w:ascii="宋体" w:hAnsi="宋体" w:eastAsia="宋体" w:cs="宋体"/>
          <w:sz w:val="32"/>
          <w:szCs w:val="24"/>
        </w:rPr>
      </w:pPr>
      <w:r>
        <w:rPr>
          <w:rFonts w:hint="eastAsia" w:ascii="宋体" w:hAnsi="宋体" w:eastAsia="宋体" w:cs="宋体"/>
          <w:sz w:val="32"/>
          <w:szCs w:val="24"/>
        </w:rPr>
        <w:t>根据预算绩效管理要求，本单位在202</w:t>
      </w:r>
      <w:r>
        <w:rPr>
          <w:rFonts w:hint="eastAsia" w:ascii="宋体" w:hAnsi="宋体" w:cs="宋体"/>
          <w:sz w:val="32"/>
          <w:szCs w:val="24"/>
        </w:rPr>
        <w:t>3</w:t>
      </w:r>
      <w:r>
        <w:rPr>
          <w:rFonts w:hint="eastAsia" w:ascii="宋体" w:hAnsi="宋体" w:eastAsia="宋体" w:cs="宋体"/>
          <w:sz w:val="32"/>
          <w:szCs w:val="24"/>
        </w:rPr>
        <w:t>年度预算编制阶段，组织</w:t>
      </w:r>
      <w:r>
        <w:rPr>
          <w:rFonts w:hint="eastAsia" w:ascii="宋体" w:hAnsi="宋体" w:eastAsia="宋体" w:cs="宋体"/>
          <w:sz w:val="32"/>
          <w:szCs w:val="32"/>
        </w:rPr>
        <w:t>教贫困生生活补助、幼儿资助及幼儿发展资金、</w:t>
      </w:r>
      <w:r>
        <w:rPr>
          <w:rFonts w:hint="eastAsia" w:ascii="宋体" w:hAnsi="宋体" w:cs="宋体"/>
          <w:sz w:val="32"/>
          <w:szCs w:val="32"/>
        </w:rPr>
        <w:t>校舍维修、</w:t>
      </w:r>
      <w:r>
        <w:rPr>
          <w:rFonts w:hint="eastAsia" w:ascii="宋体" w:hAnsi="宋体" w:eastAsia="宋体" w:cs="宋体"/>
          <w:sz w:val="32"/>
          <w:szCs w:val="32"/>
        </w:rPr>
        <w:t>义务教育免作业本费</w:t>
      </w:r>
      <w:r>
        <w:rPr>
          <w:rFonts w:hint="eastAsia" w:ascii="宋体" w:hAnsi="宋体" w:cs="宋体"/>
          <w:sz w:val="32"/>
          <w:szCs w:val="32"/>
        </w:rPr>
        <w:t>等4</w:t>
      </w:r>
      <w:r>
        <w:rPr>
          <w:rFonts w:hint="eastAsia" w:ascii="宋体" w:hAnsi="宋体" w:eastAsia="宋体" w:cs="宋体"/>
          <w:sz w:val="32"/>
          <w:szCs w:val="24"/>
        </w:rPr>
        <w:t>个项目开展了预算事前绩效评估，对</w:t>
      </w:r>
      <w:r>
        <w:rPr>
          <w:rFonts w:ascii="宋体" w:hAnsi="宋体" w:cs="宋体"/>
          <w:sz w:val="32"/>
          <w:szCs w:val="24"/>
        </w:rPr>
        <w:t>4</w:t>
      </w:r>
      <w:r>
        <w:rPr>
          <w:rFonts w:hint="eastAsia" w:ascii="宋体" w:hAnsi="宋体" w:eastAsia="宋体" w:cs="宋体"/>
          <w:sz w:val="32"/>
          <w:szCs w:val="24"/>
        </w:rPr>
        <w:t>个项目编制了绩效目标，预算执行过程中，选取</w:t>
      </w:r>
      <w:r>
        <w:rPr>
          <w:rFonts w:ascii="宋体" w:hAnsi="宋体" w:cs="宋体"/>
          <w:sz w:val="32"/>
          <w:szCs w:val="24"/>
        </w:rPr>
        <w:t>4</w:t>
      </w:r>
      <w:r>
        <w:rPr>
          <w:rFonts w:hint="eastAsia" w:ascii="宋体" w:hAnsi="宋体" w:eastAsia="宋体" w:cs="宋体"/>
          <w:sz w:val="32"/>
          <w:szCs w:val="24"/>
        </w:rPr>
        <w:t>个项目开展绩效监控，组织对</w:t>
      </w:r>
      <w:r>
        <w:rPr>
          <w:rFonts w:ascii="宋体" w:hAnsi="宋体" w:cs="宋体"/>
          <w:sz w:val="32"/>
          <w:szCs w:val="24"/>
        </w:rPr>
        <w:t>4</w:t>
      </w:r>
      <w:r>
        <w:rPr>
          <w:rFonts w:hint="eastAsia" w:ascii="宋体" w:hAnsi="宋体" w:eastAsia="宋体" w:cs="宋体"/>
          <w:sz w:val="32"/>
          <w:szCs w:val="24"/>
        </w:rPr>
        <w:t>个项目开展绩效自评，绩效自评表详见第四部分附件。</w:t>
      </w:r>
    </w:p>
    <w:p w14:paraId="7E1BCFD9">
      <w:pPr>
        <w:pStyle w:val="2"/>
        <w:rPr>
          <w:rFonts w:ascii="仿宋_GB2312" w:hAnsi="仿宋_GB2312" w:eastAsia="仿宋_GB2312" w:cs="仿宋_GB2312"/>
          <w:sz w:val="32"/>
          <w:szCs w:val="32"/>
        </w:rPr>
      </w:pPr>
    </w:p>
    <w:p w14:paraId="15308106">
      <w:pPr>
        <w:pStyle w:val="3"/>
        <w:ind w:left="420" w:firstLine="640"/>
        <w:rPr>
          <w:rFonts w:hAnsi="仿宋_GB2312" w:eastAsia="仿宋_GB2312" w:cs="仿宋_GB2312"/>
          <w:sz w:val="32"/>
        </w:rPr>
      </w:pPr>
    </w:p>
    <w:p w14:paraId="01E77A99">
      <w:pPr>
        <w:pStyle w:val="3"/>
        <w:ind w:left="420" w:firstLine="640"/>
        <w:rPr>
          <w:rFonts w:hAnsi="仿宋_GB2312" w:eastAsia="仿宋_GB2312" w:cs="仿宋_GB2312"/>
          <w:sz w:val="32"/>
        </w:rPr>
      </w:pPr>
    </w:p>
    <w:p w14:paraId="0E3FADA9">
      <w:pPr>
        <w:pStyle w:val="3"/>
        <w:ind w:left="420" w:firstLine="640"/>
        <w:rPr>
          <w:rFonts w:hAnsi="仿宋_GB2312" w:eastAsia="仿宋_GB2312" w:cs="仿宋_GB2312"/>
          <w:sz w:val="32"/>
        </w:rPr>
      </w:pPr>
    </w:p>
    <w:p w14:paraId="62A3E9FB">
      <w:pPr>
        <w:pStyle w:val="3"/>
        <w:ind w:left="420" w:firstLine="640"/>
        <w:rPr>
          <w:rFonts w:hAnsi="仿宋_GB2312" w:eastAsia="仿宋_GB2312" w:cs="仿宋_GB2312"/>
          <w:sz w:val="32"/>
        </w:rPr>
      </w:pPr>
    </w:p>
    <w:p w14:paraId="1EDE942D">
      <w:pPr>
        <w:pStyle w:val="3"/>
        <w:ind w:left="420" w:firstLine="640"/>
        <w:rPr>
          <w:rFonts w:hAnsi="仿宋_GB2312" w:eastAsia="仿宋_GB2312" w:cs="仿宋_GB2312"/>
          <w:sz w:val="32"/>
        </w:rPr>
      </w:pPr>
    </w:p>
    <w:p w14:paraId="6AB69E3E">
      <w:pPr>
        <w:pStyle w:val="3"/>
        <w:ind w:left="420" w:firstLine="640"/>
        <w:rPr>
          <w:rFonts w:hAnsi="仿宋_GB2312" w:eastAsia="仿宋_GB2312" w:cs="仿宋_GB2312"/>
          <w:sz w:val="32"/>
        </w:rPr>
      </w:pPr>
    </w:p>
    <w:p w14:paraId="641F4946">
      <w:pPr>
        <w:pStyle w:val="3"/>
        <w:ind w:left="420" w:firstLine="640"/>
        <w:rPr>
          <w:rFonts w:hAnsi="仿宋_GB2312" w:eastAsia="仿宋_GB2312" w:cs="仿宋_GB2312"/>
          <w:sz w:val="32"/>
        </w:rPr>
      </w:pPr>
    </w:p>
    <w:p w14:paraId="0043450F">
      <w:pPr>
        <w:pStyle w:val="3"/>
        <w:ind w:left="420" w:firstLine="640"/>
        <w:rPr>
          <w:rFonts w:hAnsi="仿宋_GB2312" w:eastAsia="仿宋_GB2312" w:cs="仿宋_GB2312"/>
          <w:sz w:val="32"/>
        </w:rPr>
      </w:pPr>
    </w:p>
    <w:p w14:paraId="651EC898">
      <w:pPr>
        <w:pStyle w:val="3"/>
        <w:ind w:left="420" w:firstLine="640"/>
        <w:rPr>
          <w:rFonts w:hAnsi="仿宋_GB2312" w:eastAsia="仿宋_GB2312" w:cs="仿宋_GB2312"/>
          <w:sz w:val="32"/>
        </w:rPr>
      </w:pPr>
    </w:p>
    <w:p w14:paraId="595AD858">
      <w:pPr>
        <w:pStyle w:val="3"/>
        <w:ind w:left="420" w:firstLine="640"/>
        <w:rPr>
          <w:rFonts w:hAnsi="仿宋_GB2312" w:eastAsia="仿宋_GB2312" w:cs="仿宋_GB2312"/>
          <w:sz w:val="32"/>
        </w:rPr>
      </w:pPr>
    </w:p>
    <w:p w14:paraId="3EE7FA29">
      <w:pPr>
        <w:pStyle w:val="3"/>
        <w:ind w:left="420" w:firstLine="640"/>
        <w:rPr>
          <w:rFonts w:hAnsi="仿宋_GB2312" w:eastAsia="仿宋_GB2312" w:cs="仿宋_GB2312"/>
          <w:sz w:val="32"/>
        </w:rPr>
      </w:pPr>
    </w:p>
    <w:p w14:paraId="1ED70AC8">
      <w:pPr>
        <w:keepNext/>
        <w:keepLines/>
        <w:spacing w:before="340" w:after="330" w:line="578" w:lineRule="auto"/>
        <w:jc w:val="center"/>
        <w:rPr>
          <w:rFonts w:ascii="宋体" w:hAnsi="宋体" w:eastAsia="宋体" w:cs="宋体"/>
          <w:b/>
          <w:sz w:val="44"/>
          <w:szCs w:val="44"/>
        </w:rPr>
      </w:pPr>
      <w:r>
        <w:rPr>
          <w:rFonts w:ascii="宋体" w:hAnsi="宋体" w:eastAsia="宋体" w:cs="宋体"/>
          <w:b/>
          <w:sz w:val="44"/>
        </w:rPr>
        <w:t>第三部分</w:t>
      </w:r>
      <w:r>
        <w:rPr>
          <w:rFonts w:ascii="Times New Roman" w:hAnsi="Times New Roman" w:eastAsia="Times New Roman" w:cs="Times New Roman"/>
          <w:b/>
          <w:sz w:val="44"/>
        </w:rPr>
        <w:t xml:space="preserve"> </w:t>
      </w:r>
      <w:r>
        <w:rPr>
          <w:rFonts w:ascii="宋体" w:hAnsi="宋体" w:eastAsia="宋体" w:cs="宋体"/>
          <w:b/>
          <w:sz w:val="44"/>
        </w:rPr>
        <w:t>名词解释</w:t>
      </w:r>
    </w:p>
    <w:p w14:paraId="1C47628B">
      <w:pPr>
        <w:pStyle w:val="37"/>
        <w:spacing w:line="560" w:lineRule="exact"/>
        <w:ind w:left="420"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99C3DEB">
      <w:pPr>
        <w:pStyle w:val="37"/>
        <w:spacing w:line="560" w:lineRule="exact"/>
        <w:ind w:left="420" w:firstLine="640" w:firstLineChars="20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14:paraId="7A004EE3">
      <w:pPr>
        <w:pStyle w:val="37"/>
        <w:spacing w:line="560" w:lineRule="exact"/>
        <w:ind w:left="420" w:firstLine="640" w:firstLineChars="200"/>
        <w:rPr>
          <w:rFonts w:hAnsi="仿宋"/>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p>
    <w:p w14:paraId="78DF57AB">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2B33290B">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14:paraId="64BA5074">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14:paraId="5AAD5A97">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r>
        <w:rPr>
          <w:rFonts w:hint="eastAsia" w:ascii="仿宋" w:hAnsi="仿宋" w:eastAsia="仿宋"/>
          <w:sz w:val="32"/>
          <w:szCs w:val="32"/>
        </w:rPr>
        <w:t>。</w:t>
      </w:r>
    </w:p>
    <w:p w14:paraId="477934A3">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基本支出：指为保障机构正常运转、完成日常工作任务而发生的人员支出和公用支出。</w:t>
      </w:r>
    </w:p>
    <w:p w14:paraId="0FE52CA1">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项目支出：指在基本支出之外为完成特定行政任务和事业发展目标所发生的支出。</w:t>
      </w:r>
    </w:p>
    <w:p w14:paraId="65EDE70A">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4CE6B6">
      <w:pPr>
        <w:keepNext/>
        <w:keepLines/>
        <w:spacing w:before="340" w:after="330" w:line="578" w:lineRule="auto"/>
        <w:ind w:firstLine="0" w:firstLineChars="0"/>
        <w:jc w:val="both"/>
        <w:rPr>
          <w:rFonts w:ascii="黑体" w:hAnsi="黑体" w:eastAsia="黑体" w:cs="黑体"/>
          <w:sz w:val="44"/>
        </w:rPr>
      </w:pPr>
    </w:p>
    <w:p w14:paraId="585D5CB4">
      <w:pPr>
        <w:keepNext/>
        <w:keepLines/>
        <w:spacing w:before="340" w:after="330" w:line="578" w:lineRule="auto"/>
        <w:ind w:firstLine="2640" w:firstLineChars="600"/>
        <w:jc w:val="both"/>
        <w:rPr>
          <w:rFonts w:ascii="黑体" w:hAnsi="黑体" w:eastAsia="黑体" w:cs="黑体"/>
          <w:sz w:val="44"/>
        </w:rPr>
      </w:pPr>
      <w:r>
        <w:rPr>
          <w:rFonts w:ascii="黑体" w:hAnsi="黑体" w:eastAsia="黑体" w:cs="黑体"/>
          <w:sz w:val="44"/>
        </w:rPr>
        <w:t>第四部分 附件</w:t>
      </w:r>
    </w:p>
    <w:tbl>
      <w:tblPr>
        <w:tblStyle w:val="11"/>
        <w:tblpPr w:leftFromText="180" w:rightFromText="180" w:vertAnchor="text" w:tblpY="1"/>
        <w:tblOverlap w:val="never"/>
        <w:tblW w:w="8605" w:type="dxa"/>
        <w:tblInd w:w="0" w:type="dxa"/>
        <w:tblLayout w:type="fixed"/>
        <w:tblCellMar>
          <w:top w:w="0" w:type="dxa"/>
          <w:left w:w="108" w:type="dxa"/>
          <w:bottom w:w="0" w:type="dxa"/>
          <w:right w:w="108" w:type="dxa"/>
        </w:tblCellMar>
      </w:tblPr>
      <w:tblGrid>
        <w:gridCol w:w="676"/>
        <w:gridCol w:w="1021"/>
        <w:gridCol w:w="907"/>
        <w:gridCol w:w="852"/>
        <w:gridCol w:w="768"/>
        <w:gridCol w:w="775"/>
        <w:gridCol w:w="796"/>
        <w:gridCol w:w="846"/>
        <w:gridCol w:w="517"/>
        <w:gridCol w:w="497"/>
        <w:gridCol w:w="950"/>
      </w:tblGrid>
      <w:tr w14:paraId="02C39C08">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8F281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686104C">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956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6479371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51090422T000006815845-义务教育家庭经济困难学生生活补助</w:t>
            </w:r>
          </w:p>
        </w:tc>
      </w:tr>
      <w:tr w14:paraId="5F87450C">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178F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561D2ED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遂宁市安居区安居镇安平小学校部门</w:t>
            </w:r>
          </w:p>
        </w:tc>
        <w:tc>
          <w:tcPr>
            <w:tcW w:w="846" w:type="dxa"/>
            <w:tcBorders>
              <w:top w:val="nil"/>
              <w:left w:val="nil"/>
              <w:bottom w:val="nil"/>
              <w:right w:val="nil"/>
            </w:tcBorders>
            <w:shd w:val="clear" w:color="auto" w:fill="auto"/>
            <w:vAlign w:val="center"/>
          </w:tcPr>
          <w:p w14:paraId="70205CBB">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3E5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w:t>
            </w:r>
          </w:p>
        </w:tc>
      </w:tr>
      <w:tr w14:paraId="62AF88CE">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55FDF39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shd w:val="clear" w:color="auto" w:fill="auto"/>
            <w:vAlign w:val="center"/>
          </w:tcPr>
          <w:p w14:paraId="43269EB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52C3A86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3B2AD242">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5A025769">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D2DF9B8">
            <w:pPr>
              <w:widowControl/>
              <w:jc w:val="left"/>
              <w:rPr>
                <w:rFonts w:ascii="宋体" w:hAnsi="宋体" w:eastAsia="宋体" w:cs="宋体"/>
                <w:color w:val="000000"/>
                <w:kern w:val="0"/>
                <w:sz w:val="18"/>
                <w:szCs w:val="18"/>
              </w:rPr>
            </w:pPr>
          </w:p>
        </w:tc>
        <w:tc>
          <w:tcPr>
            <w:tcW w:w="1021" w:type="dxa"/>
            <w:vMerge w:val="continue"/>
            <w:tcBorders>
              <w:top w:val="nil"/>
              <w:left w:val="single" w:color="000000" w:sz="4" w:space="0"/>
              <w:bottom w:val="single" w:color="000000" w:sz="4" w:space="0"/>
              <w:right w:val="single" w:color="000000" w:sz="4" w:space="0"/>
            </w:tcBorders>
            <w:vAlign w:val="center"/>
          </w:tcPr>
          <w:p w14:paraId="0785B04F">
            <w:pPr>
              <w:widowControl/>
              <w:jc w:val="left"/>
              <w:rPr>
                <w:rFonts w:ascii="宋体" w:hAnsi="宋体" w:eastAsia="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37A8F58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保障了学校家庭经济困难学生正常入学，减轻其家庭经济负担。</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37948D9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 xml:space="preserve"> 保障了学校家庭经济困难学生正常入学，减轻其家庭经济负担。</w:t>
            </w:r>
          </w:p>
        </w:tc>
      </w:tr>
      <w:tr w14:paraId="56C838ED">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7928FBE4">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59E216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77F1712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加强民生资金专项管理，提高民生资金使用效益，确保专款专用，按程序及时兑现给学生（或监护人），及时报送资助政策落实情况及相关资料。</w:t>
            </w:r>
          </w:p>
        </w:tc>
      </w:tr>
      <w:tr w14:paraId="10FE5279">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7951077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shd w:val="clear" w:color="auto" w:fill="auto"/>
            <w:vAlign w:val="center"/>
          </w:tcPr>
          <w:p w14:paraId="467126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shd w:val="clear" w:color="auto" w:fill="auto"/>
            <w:vAlign w:val="center"/>
          </w:tcPr>
          <w:p w14:paraId="7919A7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852" w:type="dxa"/>
            <w:tcBorders>
              <w:top w:val="nil"/>
              <w:left w:val="nil"/>
              <w:bottom w:val="single" w:color="000000" w:sz="4" w:space="0"/>
              <w:right w:val="single" w:color="000000" w:sz="4" w:space="0"/>
            </w:tcBorders>
            <w:shd w:val="clear" w:color="auto" w:fill="auto"/>
            <w:vAlign w:val="center"/>
          </w:tcPr>
          <w:p w14:paraId="467EFE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486169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538B34A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17" w:type="dxa"/>
            <w:tcBorders>
              <w:top w:val="nil"/>
              <w:left w:val="nil"/>
              <w:bottom w:val="single" w:color="000000" w:sz="4" w:space="0"/>
              <w:right w:val="single" w:color="000000" w:sz="4" w:space="0"/>
            </w:tcBorders>
            <w:shd w:val="clear" w:color="auto" w:fill="auto"/>
            <w:vAlign w:val="center"/>
          </w:tcPr>
          <w:p w14:paraId="5BE8E5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359DF6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550097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63876776">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B1B1E51">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23509B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907" w:type="dxa"/>
            <w:tcBorders>
              <w:top w:val="nil"/>
              <w:left w:val="nil"/>
              <w:bottom w:val="single" w:color="000000" w:sz="4" w:space="0"/>
              <w:right w:val="single" w:color="000000" w:sz="4" w:space="0"/>
            </w:tcBorders>
            <w:shd w:val="clear" w:color="auto" w:fill="auto"/>
            <w:vAlign w:val="center"/>
          </w:tcPr>
          <w:p w14:paraId="1DBF2B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496C8E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2B7EE1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846" w:type="dxa"/>
            <w:tcBorders>
              <w:top w:val="nil"/>
              <w:left w:val="nil"/>
              <w:bottom w:val="single" w:color="000000" w:sz="4" w:space="0"/>
              <w:right w:val="single" w:color="000000" w:sz="4" w:space="0"/>
            </w:tcBorders>
            <w:shd w:val="clear" w:color="auto" w:fill="auto"/>
            <w:vAlign w:val="center"/>
          </w:tcPr>
          <w:p w14:paraId="5161CF7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6285A7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97" w:type="dxa"/>
            <w:tcBorders>
              <w:top w:val="nil"/>
              <w:left w:val="nil"/>
              <w:bottom w:val="single" w:color="000000" w:sz="4" w:space="0"/>
              <w:right w:val="single" w:color="000000" w:sz="4" w:space="0"/>
            </w:tcBorders>
            <w:shd w:val="clear" w:color="auto" w:fill="auto"/>
            <w:vAlign w:val="center"/>
          </w:tcPr>
          <w:p w14:paraId="5D3B3A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shd w:val="clear" w:color="auto" w:fill="auto"/>
            <w:vAlign w:val="center"/>
          </w:tcPr>
          <w:p w14:paraId="6173817C">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655EFF7A">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76DCC739">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5F13B2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907" w:type="dxa"/>
            <w:tcBorders>
              <w:top w:val="nil"/>
              <w:left w:val="nil"/>
              <w:bottom w:val="single" w:color="000000" w:sz="4" w:space="0"/>
              <w:right w:val="single" w:color="000000" w:sz="4" w:space="0"/>
            </w:tcBorders>
            <w:shd w:val="clear" w:color="auto" w:fill="auto"/>
            <w:vAlign w:val="center"/>
          </w:tcPr>
          <w:p w14:paraId="60565B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1D7CB6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7888DE4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846" w:type="dxa"/>
            <w:tcBorders>
              <w:top w:val="nil"/>
              <w:left w:val="nil"/>
              <w:bottom w:val="single" w:color="000000" w:sz="4" w:space="0"/>
              <w:right w:val="single" w:color="000000" w:sz="4" w:space="0"/>
            </w:tcBorders>
            <w:shd w:val="clear" w:color="auto" w:fill="auto"/>
            <w:vAlign w:val="center"/>
          </w:tcPr>
          <w:p w14:paraId="3C1B0B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274505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0547A43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7218581E">
            <w:pPr>
              <w:widowControl/>
              <w:jc w:val="left"/>
              <w:rPr>
                <w:rFonts w:ascii="Courier New" w:hAnsi="Courier New" w:eastAsia="等线" w:cs="Courier New"/>
                <w:i/>
                <w:iCs/>
                <w:color w:val="000000"/>
                <w:kern w:val="0"/>
                <w:sz w:val="18"/>
                <w:szCs w:val="18"/>
              </w:rPr>
            </w:pPr>
          </w:p>
        </w:tc>
      </w:tr>
      <w:tr w14:paraId="2608E985">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4455270C">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A9888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shd w:val="clear" w:color="auto" w:fill="auto"/>
            <w:vAlign w:val="center"/>
          </w:tcPr>
          <w:p w14:paraId="2CD7F7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01C280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7E16EE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31BF9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6251FC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26CEB4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0CF93555">
            <w:pPr>
              <w:widowControl/>
              <w:jc w:val="left"/>
              <w:rPr>
                <w:rFonts w:ascii="Courier New" w:hAnsi="Courier New" w:eastAsia="等线" w:cs="Courier New"/>
                <w:i/>
                <w:iCs/>
                <w:color w:val="000000"/>
                <w:kern w:val="0"/>
                <w:sz w:val="18"/>
                <w:szCs w:val="18"/>
              </w:rPr>
            </w:pPr>
          </w:p>
        </w:tc>
      </w:tr>
      <w:tr w14:paraId="1E357E49">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33B48C40">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572760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907" w:type="dxa"/>
            <w:tcBorders>
              <w:top w:val="nil"/>
              <w:left w:val="nil"/>
              <w:bottom w:val="single" w:color="000000" w:sz="4" w:space="0"/>
              <w:right w:val="single" w:color="000000" w:sz="4" w:space="0"/>
            </w:tcBorders>
            <w:shd w:val="clear" w:color="auto" w:fill="auto"/>
            <w:vAlign w:val="center"/>
          </w:tcPr>
          <w:p w14:paraId="1CA2175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303C51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21278A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1CE7C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63ABB0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5F4967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66834165">
            <w:pPr>
              <w:widowControl/>
              <w:jc w:val="left"/>
              <w:rPr>
                <w:rFonts w:ascii="Courier New" w:hAnsi="Courier New" w:eastAsia="等线" w:cs="Courier New"/>
                <w:i/>
                <w:iCs/>
                <w:color w:val="000000"/>
                <w:kern w:val="0"/>
                <w:sz w:val="18"/>
                <w:szCs w:val="18"/>
              </w:rPr>
            </w:pPr>
          </w:p>
        </w:tc>
      </w:tr>
      <w:tr w14:paraId="4DA1F2C2">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068CD30C">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2B1965C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907" w:type="dxa"/>
            <w:tcBorders>
              <w:top w:val="nil"/>
              <w:left w:val="nil"/>
              <w:bottom w:val="single" w:color="000000" w:sz="4" w:space="0"/>
              <w:right w:val="single" w:color="000000" w:sz="4" w:space="0"/>
            </w:tcBorders>
            <w:shd w:val="clear" w:color="auto" w:fill="auto"/>
            <w:vAlign w:val="center"/>
          </w:tcPr>
          <w:p w14:paraId="7DAF45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shd w:val="clear" w:color="auto" w:fill="auto"/>
            <w:vAlign w:val="center"/>
          </w:tcPr>
          <w:p w14:paraId="1B34AA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0C197FC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302E7AC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1F8A1E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391E4B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35DB045D">
            <w:pPr>
              <w:widowControl/>
              <w:jc w:val="left"/>
              <w:rPr>
                <w:rFonts w:ascii="Courier New" w:hAnsi="Courier New" w:eastAsia="等线" w:cs="Courier New"/>
                <w:i/>
                <w:iCs/>
                <w:color w:val="000000"/>
                <w:kern w:val="0"/>
                <w:sz w:val="18"/>
                <w:szCs w:val="18"/>
              </w:rPr>
            </w:pPr>
          </w:p>
        </w:tc>
      </w:tr>
      <w:tr w14:paraId="3E11F4CF">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235D96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021" w:type="dxa"/>
            <w:tcBorders>
              <w:top w:val="nil"/>
              <w:left w:val="nil"/>
              <w:bottom w:val="single" w:color="000000" w:sz="4" w:space="0"/>
              <w:right w:val="single" w:color="000000" w:sz="4" w:space="0"/>
            </w:tcBorders>
            <w:shd w:val="clear" w:color="auto" w:fill="auto"/>
            <w:vAlign w:val="center"/>
          </w:tcPr>
          <w:p w14:paraId="209494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907" w:type="dxa"/>
            <w:tcBorders>
              <w:top w:val="nil"/>
              <w:left w:val="nil"/>
              <w:bottom w:val="single" w:color="000000" w:sz="4" w:space="0"/>
              <w:right w:val="single" w:color="000000" w:sz="4" w:space="0"/>
            </w:tcBorders>
            <w:shd w:val="clear" w:color="auto" w:fill="auto"/>
            <w:vAlign w:val="center"/>
          </w:tcPr>
          <w:p w14:paraId="35B177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852" w:type="dxa"/>
            <w:tcBorders>
              <w:top w:val="nil"/>
              <w:left w:val="nil"/>
              <w:bottom w:val="single" w:color="000000" w:sz="4" w:space="0"/>
              <w:right w:val="single" w:color="000000" w:sz="4" w:space="0"/>
            </w:tcBorders>
            <w:shd w:val="clear" w:color="auto" w:fill="auto"/>
            <w:vAlign w:val="center"/>
          </w:tcPr>
          <w:p w14:paraId="1C6472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768" w:type="dxa"/>
            <w:tcBorders>
              <w:top w:val="nil"/>
              <w:left w:val="nil"/>
              <w:bottom w:val="single" w:color="000000" w:sz="4" w:space="0"/>
              <w:right w:val="single" w:color="000000" w:sz="4" w:space="0"/>
            </w:tcBorders>
            <w:shd w:val="clear" w:color="auto" w:fill="auto"/>
            <w:vAlign w:val="center"/>
          </w:tcPr>
          <w:p w14:paraId="1E847F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775" w:type="dxa"/>
            <w:tcBorders>
              <w:top w:val="nil"/>
              <w:left w:val="nil"/>
              <w:bottom w:val="single" w:color="000000" w:sz="4" w:space="0"/>
              <w:right w:val="single" w:color="000000" w:sz="4" w:space="0"/>
            </w:tcBorders>
            <w:shd w:val="clear" w:color="auto" w:fill="auto"/>
            <w:vAlign w:val="center"/>
          </w:tcPr>
          <w:p w14:paraId="565CC9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796" w:type="dxa"/>
            <w:tcBorders>
              <w:top w:val="nil"/>
              <w:left w:val="nil"/>
              <w:bottom w:val="single" w:color="000000" w:sz="4" w:space="0"/>
              <w:right w:val="single" w:color="000000" w:sz="4" w:space="0"/>
            </w:tcBorders>
            <w:shd w:val="clear" w:color="auto" w:fill="auto"/>
            <w:vAlign w:val="center"/>
          </w:tcPr>
          <w:p w14:paraId="48C973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5A4815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17" w:type="dxa"/>
            <w:tcBorders>
              <w:top w:val="nil"/>
              <w:left w:val="nil"/>
              <w:bottom w:val="single" w:color="000000" w:sz="4" w:space="0"/>
              <w:right w:val="single" w:color="000000" w:sz="4" w:space="0"/>
            </w:tcBorders>
            <w:shd w:val="clear" w:color="auto" w:fill="auto"/>
            <w:vAlign w:val="center"/>
          </w:tcPr>
          <w:p w14:paraId="069A2D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244159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77AA5E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1A2AA208">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0669CC05">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23E6ED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07" w:type="dxa"/>
            <w:tcBorders>
              <w:top w:val="nil"/>
              <w:left w:val="nil"/>
              <w:bottom w:val="single" w:color="000000" w:sz="4" w:space="0"/>
              <w:right w:val="single" w:color="000000" w:sz="4" w:space="0"/>
            </w:tcBorders>
            <w:shd w:val="clear" w:color="auto" w:fill="auto"/>
            <w:vAlign w:val="center"/>
          </w:tcPr>
          <w:p w14:paraId="482F4A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2" w:type="dxa"/>
            <w:tcBorders>
              <w:top w:val="nil"/>
              <w:left w:val="nil"/>
              <w:bottom w:val="single" w:color="000000" w:sz="4" w:space="0"/>
              <w:right w:val="single" w:color="000000" w:sz="4" w:space="0"/>
            </w:tcBorders>
            <w:shd w:val="clear" w:color="auto" w:fill="auto"/>
            <w:vAlign w:val="center"/>
          </w:tcPr>
          <w:p w14:paraId="008244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68" w:type="dxa"/>
            <w:tcBorders>
              <w:top w:val="nil"/>
              <w:left w:val="nil"/>
              <w:bottom w:val="single" w:color="000000" w:sz="4" w:space="0"/>
              <w:right w:val="single" w:color="000000" w:sz="4" w:space="0"/>
            </w:tcBorders>
            <w:shd w:val="clear" w:color="auto" w:fill="auto"/>
            <w:vAlign w:val="center"/>
          </w:tcPr>
          <w:p w14:paraId="3F8EFAC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75" w:type="dxa"/>
            <w:tcBorders>
              <w:top w:val="nil"/>
              <w:left w:val="nil"/>
              <w:bottom w:val="single" w:color="000000" w:sz="4" w:space="0"/>
              <w:right w:val="single" w:color="000000" w:sz="4" w:space="0"/>
            </w:tcBorders>
            <w:shd w:val="clear" w:color="auto" w:fill="auto"/>
            <w:vAlign w:val="center"/>
          </w:tcPr>
          <w:p w14:paraId="05B303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96" w:type="dxa"/>
            <w:tcBorders>
              <w:top w:val="nil"/>
              <w:left w:val="nil"/>
              <w:bottom w:val="single" w:color="000000" w:sz="4" w:space="0"/>
              <w:right w:val="single" w:color="000000" w:sz="4" w:space="0"/>
            </w:tcBorders>
            <w:shd w:val="clear" w:color="auto" w:fill="auto"/>
            <w:vAlign w:val="center"/>
          </w:tcPr>
          <w:p w14:paraId="7FEBA3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2C3DEE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654674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7" w:type="dxa"/>
            <w:tcBorders>
              <w:top w:val="nil"/>
              <w:left w:val="nil"/>
              <w:bottom w:val="single" w:color="000000" w:sz="4" w:space="0"/>
              <w:right w:val="single" w:color="000000" w:sz="4" w:space="0"/>
            </w:tcBorders>
            <w:shd w:val="clear" w:color="auto" w:fill="auto"/>
            <w:vAlign w:val="center"/>
          </w:tcPr>
          <w:p w14:paraId="6201C1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　</w:t>
            </w:r>
          </w:p>
        </w:tc>
        <w:tc>
          <w:tcPr>
            <w:tcW w:w="950" w:type="dxa"/>
            <w:tcBorders>
              <w:top w:val="nil"/>
              <w:left w:val="nil"/>
              <w:bottom w:val="single" w:color="000000" w:sz="4" w:space="0"/>
              <w:right w:val="single" w:color="000000" w:sz="4" w:space="0"/>
            </w:tcBorders>
            <w:shd w:val="clear" w:color="auto" w:fill="auto"/>
            <w:vAlign w:val="center"/>
          </w:tcPr>
          <w:p w14:paraId="182605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DAAE3D">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BA01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17" w:type="dxa"/>
            <w:tcBorders>
              <w:top w:val="nil"/>
              <w:left w:val="nil"/>
              <w:bottom w:val="single" w:color="000000" w:sz="4" w:space="0"/>
              <w:right w:val="single" w:color="000000" w:sz="4" w:space="0"/>
            </w:tcBorders>
            <w:shd w:val="clear" w:color="auto" w:fill="auto"/>
            <w:vAlign w:val="center"/>
          </w:tcPr>
          <w:p w14:paraId="7063DF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7" w:type="dxa"/>
            <w:tcBorders>
              <w:top w:val="nil"/>
              <w:left w:val="nil"/>
              <w:bottom w:val="single" w:color="000000" w:sz="4" w:space="0"/>
              <w:right w:val="single" w:color="000000" w:sz="4" w:space="0"/>
            </w:tcBorders>
            <w:shd w:val="clear" w:color="auto" w:fill="auto"/>
            <w:vAlign w:val="center"/>
          </w:tcPr>
          <w:p w14:paraId="2F557D4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100</w:t>
            </w:r>
          </w:p>
        </w:tc>
        <w:tc>
          <w:tcPr>
            <w:tcW w:w="950" w:type="dxa"/>
            <w:tcBorders>
              <w:top w:val="nil"/>
              <w:left w:val="nil"/>
              <w:bottom w:val="single" w:color="000000" w:sz="4" w:space="0"/>
              <w:right w:val="single" w:color="000000" w:sz="4" w:space="0"/>
            </w:tcBorders>
            <w:shd w:val="clear" w:color="auto" w:fill="auto"/>
            <w:vAlign w:val="center"/>
          </w:tcPr>
          <w:p w14:paraId="71AD86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9C56A6">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3DB2284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51CC9750">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绩效目标实现指标自评得分100.00分，自评等次为：优，严格执行相关政策，按要求支付，切实提高扶贫成效。</w:t>
            </w:r>
          </w:p>
        </w:tc>
      </w:tr>
      <w:tr w14:paraId="54A3C04D">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4D8E0D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4D593D94">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因留守儿童多，父母外出务工，爷爷奶奶对银行卡记录</w:t>
            </w:r>
            <w:r>
              <w:rPr>
                <w:rFonts w:hint="eastAsia" w:ascii="仿宋" w:hAnsi="仿宋" w:eastAsia="仿宋" w:cs="宋体"/>
                <w:color w:val="000000"/>
                <w:kern w:val="0"/>
                <w:sz w:val="16"/>
                <w:szCs w:val="16"/>
                <w:lang w:eastAsia="zh-CN"/>
              </w:rPr>
              <w:t>不熟悉</w:t>
            </w:r>
            <w:r>
              <w:rPr>
                <w:rFonts w:hint="eastAsia" w:ascii="仿宋" w:hAnsi="仿宋" w:eastAsia="仿宋" w:cs="宋体"/>
                <w:color w:val="000000"/>
                <w:kern w:val="0"/>
                <w:sz w:val="16"/>
                <w:szCs w:val="16"/>
              </w:rPr>
              <w:t>，对自己孩子享有的助学金额不清楚。</w:t>
            </w:r>
          </w:p>
        </w:tc>
      </w:tr>
      <w:tr w14:paraId="0C8782BF">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270536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38EB5FEC">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进一步加强教育资助政策宣传及资助情况的反馈公示。</w:t>
            </w:r>
          </w:p>
        </w:tc>
      </w:tr>
      <w:tr w14:paraId="411A8361">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24DB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shd w:val="clear" w:color="auto" w:fill="auto"/>
            <w:vAlign w:val="center"/>
          </w:tcPr>
          <w:p w14:paraId="7D9ED9DD">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财务负责人：奉勇</w:t>
            </w:r>
          </w:p>
        </w:tc>
      </w:tr>
      <w:tr w14:paraId="4CBCA2BB">
        <w:tblPrEx>
          <w:tblCellMar>
            <w:top w:w="0" w:type="dxa"/>
            <w:left w:w="108" w:type="dxa"/>
            <w:bottom w:w="0" w:type="dxa"/>
            <w:right w:w="108" w:type="dxa"/>
          </w:tblCellMar>
        </w:tblPrEx>
        <w:trPr>
          <w:trHeight w:val="480" w:hRule="atLeast"/>
        </w:trPr>
        <w:tc>
          <w:tcPr>
            <w:tcW w:w="676" w:type="dxa"/>
            <w:tcBorders>
              <w:top w:val="nil"/>
              <w:left w:val="nil"/>
              <w:bottom w:val="nil"/>
              <w:right w:val="nil"/>
            </w:tcBorders>
            <w:shd w:val="clear" w:color="auto" w:fill="auto"/>
            <w:vAlign w:val="center"/>
          </w:tcPr>
          <w:p w14:paraId="6BC8AE45">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21" w:type="dxa"/>
            <w:tcBorders>
              <w:top w:val="nil"/>
              <w:left w:val="nil"/>
              <w:bottom w:val="nil"/>
              <w:right w:val="nil"/>
            </w:tcBorders>
            <w:shd w:val="clear" w:color="auto" w:fill="auto"/>
            <w:vAlign w:val="center"/>
          </w:tcPr>
          <w:p w14:paraId="4765329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p w14:paraId="3C5BDA30">
            <w:pPr>
              <w:widowControl/>
              <w:jc w:val="left"/>
              <w:rPr>
                <w:rFonts w:ascii="宋体" w:hAnsi="宋体" w:eastAsia="宋体" w:cs="宋体"/>
                <w:kern w:val="0"/>
                <w:sz w:val="18"/>
                <w:szCs w:val="18"/>
              </w:rPr>
            </w:pPr>
          </w:p>
          <w:p w14:paraId="4ED0137F">
            <w:pPr>
              <w:widowControl/>
              <w:jc w:val="left"/>
              <w:rPr>
                <w:rFonts w:ascii="宋体" w:hAnsi="宋体" w:eastAsia="宋体" w:cs="宋体"/>
                <w:kern w:val="0"/>
                <w:sz w:val="18"/>
                <w:szCs w:val="18"/>
              </w:rPr>
            </w:pPr>
          </w:p>
          <w:p w14:paraId="382DBAC9">
            <w:pPr>
              <w:widowControl/>
              <w:jc w:val="left"/>
              <w:rPr>
                <w:rFonts w:ascii="宋体" w:hAnsi="宋体" w:eastAsia="宋体" w:cs="宋体"/>
                <w:kern w:val="0"/>
                <w:sz w:val="18"/>
                <w:szCs w:val="18"/>
              </w:rPr>
            </w:pPr>
          </w:p>
          <w:p w14:paraId="0F235086">
            <w:pPr>
              <w:widowControl/>
              <w:jc w:val="left"/>
              <w:rPr>
                <w:rFonts w:ascii="宋体" w:hAnsi="宋体" w:eastAsia="宋体" w:cs="宋体"/>
                <w:kern w:val="0"/>
                <w:sz w:val="18"/>
                <w:szCs w:val="18"/>
              </w:rPr>
            </w:pPr>
          </w:p>
          <w:p w14:paraId="0E745C34">
            <w:pPr>
              <w:widowControl/>
              <w:jc w:val="left"/>
              <w:rPr>
                <w:rFonts w:ascii="宋体" w:hAnsi="宋体" w:eastAsia="宋体" w:cs="宋体"/>
                <w:kern w:val="0"/>
                <w:sz w:val="18"/>
                <w:szCs w:val="18"/>
              </w:rPr>
            </w:pPr>
          </w:p>
          <w:p w14:paraId="104DF99E">
            <w:pPr>
              <w:widowControl/>
              <w:jc w:val="left"/>
              <w:rPr>
                <w:rFonts w:ascii="宋体" w:hAnsi="宋体" w:eastAsia="宋体" w:cs="宋体"/>
                <w:kern w:val="0"/>
                <w:sz w:val="18"/>
                <w:szCs w:val="18"/>
              </w:rPr>
            </w:pPr>
          </w:p>
          <w:p w14:paraId="768D97CB">
            <w:pPr>
              <w:widowControl/>
              <w:jc w:val="left"/>
              <w:rPr>
                <w:rFonts w:ascii="宋体" w:hAnsi="宋体" w:eastAsia="宋体" w:cs="宋体"/>
                <w:kern w:val="0"/>
                <w:sz w:val="18"/>
                <w:szCs w:val="18"/>
              </w:rPr>
            </w:pPr>
          </w:p>
          <w:p w14:paraId="2467918C">
            <w:pPr>
              <w:widowControl/>
              <w:jc w:val="left"/>
              <w:rPr>
                <w:rFonts w:ascii="宋体" w:hAnsi="宋体" w:eastAsia="宋体" w:cs="宋体"/>
                <w:kern w:val="0"/>
                <w:sz w:val="18"/>
                <w:szCs w:val="18"/>
              </w:rPr>
            </w:pPr>
          </w:p>
          <w:p w14:paraId="539F45D0">
            <w:pPr>
              <w:widowControl/>
              <w:jc w:val="left"/>
              <w:rPr>
                <w:rFonts w:ascii="宋体" w:hAnsi="宋体" w:eastAsia="宋体" w:cs="宋体"/>
                <w:kern w:val="0"/>
                <w:sz w:val="18"/>
                <w:szCs w:val="18"/>
              </w:rPr>
            </w:pPr>
          </w:p>
          <w:p w14:paraId="4A897759">
            <w:pPr>
              <w:widowControl/>
              <w:jc w:val="left"/>
              <w:rPr>
                <w:rFonts w:ascii="宋体" w:hAnsi="宋体" w:eastAsia="宋体" w:cs="宋体"/>
                <w:kern w:val="0"/>
                <w:sz w:val="18"/>
                <w:szCs w:val="18"/>
              </w:rPr>
            </w:pPr>
          </w:p>
          <w:p w14:paraId="5532565D">
            <w:pPr>
              <w:widowControl/>
              <w:jc w:val="left"/>
              <w:rPr>
                <w:rFonts w:ascii="宋体" w:hAnsi="宋体" w:eastAsia="宋体" w:cs="宋体"/>
                <w:kern w:val="0"/>
                <w:sz w:val="18"/>
                <w:szCs w:val="18"/>
              </w:rPr>
            </w:pPr>
          </w:p>
          <w:p w14:paraId="7CC2D9D3">
            <w:pPr>
              <w:widowControl/>
              <w:jc w:val="left"/>
              <w:rPr>
                <w:rFonts w:ascii="宋体" w:hAnsi="宋体" w:eastAsia="宋体" w:cs="宋体"/>
                <w:kern w:val="0"/>
                <w:sz w:val="18"/>
                <w:szCs w:val="18"/>
              </w:rPr>
            </w:pPr>
          </w:p>
        </w:tc>
        <w:tc>
          <w:tcPr>
            <w:tcW w:w="907" w:type="dxa"/>
            <w:tcBorders>
              <w:top w:val="nil"/>
              <w:left w:val="nil"/>
              <w:bottom w:val="nil"/>
              <w:right w:val="nil"/>
            </w:tcBorders>
            <w:shd w:val="clear" w:color="auto" w:fill="auto"/>
            <w:vAlign w:val="center"/>
          </w:tcPr>
          <w:p w14:paraId="444E3CD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52" w:type="dxa"/>
            <w:tcBorders>
              <w:top w:val="nil"/>
              <w:left w:val="nil"/>
              <w:bottom w:val="nil"/>
              <w:right w:val="nil"/>
            </w:tcBorders>
            <w:shd w:val="clear" w:color="auto" w:fill="auto"/>
            <w:vAlign w:val="center"/>
          </w:tcPr>
          <w:p w14:paraId="48FF65A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8" w:type="dxa"/>
            <w:tcBorders>
              <w:top w:val="nil"/>
              <w:left w:val="nil"/>
              <w:bottom w:val="nil"/>
              <w:right w:val="nil"/>
            </w:tcBorders>
            <w:shd w:val="clear" w:color="auto" w:fill="auto"/>
            <w:vAlign w:val="center"/>
          </w:tcPr>
          <w:p w14:paraId="158E4E9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75" w:type="dxa"/>
            <w:tcBorders>
              <w:top w:val="nil"/>
              <w:left w:val="nil"/>
              <w:bottom w:val="nil"/>
              <w:right w:val="nil"/>
            </w:tcBorders>
            <w:shd w:val="clear" w:color="auto" w:fill="auto"/>
            <w:vAlign w:val="center"/>
          </w:tcPr>
          <w:p w14:paraId="3724F04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96" w:type="dxa"/>
            <w:tcBorders>
              <w:top w:val="nil"/>
              <w:left w:val="nil"/>
              <w:bottom w:val="nil"/>
              <w:right w:val="nil"/>
            </w:tcBorders>
            <w:shd w:val="clear" w:color="auto" w:fill="auto"/>
            <w:vAlign w:val="center"/>
          </w:tcPr>
          <w:p w14:paraId="53DE1C4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46" w:type="dxa"/>
            <w:tcBorders>
              <w:top w:val="nil"/>
              <w:left w:val="nil"/>
              <w:bottom w:val="nil"/>
              <w:right w:val="nil"/>
            </w:tcBorders>
            <w:shd w:val="clear" w:color="auto" w:fill="auto"/>
            <w:vAlign w:val="center"/>
          </w:tcPr>
          <w:p w14:paraId="68D6F90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17" w:type="dxa"/>
            <w:tcBorders>
              <w:top w:val="nil"/>
              <w:left w:val="nil"/>
              <w:bottom w:val="nil"/>
              <w:right w:val="nil"/>
            </w:tcBorders>
            <w:shd w:val="clear" w:color="auto" w:fill="auto"/>
            <w:vAlign w:val="center"/>
          </w:tcPr>
          <w:p w14:paraId="0DE1923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7" w:type="dxa"/>
            <w:tcBorders>
              <w:top w:val="nil"/>
              <w:left w:val="nil"/>
              <w:bottom w:val="nil"/>
              <w:right w:val="nil"/>
            </w:tcBorders>
            <w:shd w:val="clear" w:color="auto" w:fill="auto"/>
            <w:vAlign w:val="center"/>
          </w:tcPr>
          <w:p w14:paraId="2656A7D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50" w:type="dxa"/>
            <w:tcBorders>
              <w:top w:val="nil"/>
              <w:left w:val="nil"/>
              <w:bottom w:val="nil"/>
              <w:right w:val="nil"/>
            </w:tcBorders>
            <w:shd w:val="clear" w:color="auto" w:fill="auto"/>
            <w:vAlign w:val="center"/>
          </w:tcPr>
          <w:p w14:paraId="01F6983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11981FA2">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78FBC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65F33C40">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9159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32330CE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51090422T000006818424-幼儿资助及幼儿发展资金</w:t>
            </w:r>
          </w:p>
        </w:tc>
      </w:tr>
      <w:tr w14:paraId="23C24523">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AC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24C631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遂宁市安居区安居镇安平小学校部门</w:t>
            </w:r>
          </w:p>
        </w:tc>
        <w:tc>
          <w:tcPr>
            <w:tcW w:w="846" w:type="dxa"/>
            <w:tcBorders>
              <w:top w:val="nil"/>
              <w:left w:val="nil"/>
              <w:bottom w:val="nil"/>
              <w:right w:val="nil"/>
            </w:tcBorders>
            <w:shd w:val="clear" w:color="auto" w:fill="auto"/>
            <w:vAlign w:val="center"/>
          </w:tcPr>
          <w:p w14:paraId="078925EF">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2B5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w:t>
            </w:r>
          </w:p>
        </w:tc>
      </w:tr>
      <w:tr w14:paraId="744CC811">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68C8EB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shd w:val="clear" w:color="auto" w:fill="auto"/>
            <w:vAlign w:val="center"/>
          </w:tcPr>
          <w:p w14:paraId="74B0B95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2968A7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2BDB0DF7">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679C6EEE">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7F6E257">
            <w:pPr>
              <w:widowControl/>
              <w:jc w:val="left"/>
              <w:rPr>
                <w:rFonts w:ascii="宋体" w:hAnsi="宋体" w:eastAsia="宋体" w:cs="宋体"/>
                <w:color w:val="000000"/>
                <w:kern w:val="0"/>
                <w:sz w:val="18"/>
                <w:szCs w:val="18"/>
              </w:rPr>
            </w:pPr>
          </w:p>
        </w:tc>
        <w:tc>
          <w:tcPr>
            <w:tcW w:w="1021" w:type="dxa"/>
            <w:vMerge w:val="continue"/>
            <w:tcBorders>
              <w:top w:val="nil"/>
              <w:left w:val="single" w:color="000000" w:sz="4" w:space="0"/>
              <w:bottom w:val="single" w:color="000000" w:sz="4" w:space="0"/>
              <w:right w:val="single" w:color="000000" w:sz="4" w:space="0"/>
            </w:tcBorders>
            <w:vAlign w:val="center"/>
          </w:tcPr>
          <w:p w14:paraId="54AB7BFA">
            <w:pPr>
              <w:widowControl/>
              <w:jc w:val="left"/>
              <w:rPr>
                <w:rFonts w:ascii="宋体" w:hAnsi="宋体" w:eastAsia="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68DE409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促进附设幼儿园健康发展，提高预算编制质量，</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28E797F7">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严格执行预算，减少结余资金。 严格执行预算，及时申请支付资金，促进附设幼儿园健康发展。</w:t>
            </w:r>
          </w:p>
        </w:tc>
      </w:tr>
      <w:tr w14:paraId="4EE3C2DA">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3441BAA3">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67598FD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2A55CF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及时申报经费，促进附设幼儿园健康发展。</w:t>
            </w:r>
          </w:p>
        </w:tc>
      </w:tr>
      <w:tr w14:paraId="3A7D9210">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6E9201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shd w:val="clear" w:color="auto" w:fill="auto"/>
            <w:vAlign w:val="center"/>
          </w:tcPr>
          <w:p w14:paraId="228E2E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shd w:val="clear" w:color="auto" w:fill="auto"/>
            <w:vAlign w:val="center"/>
          </w:tcPr>
          <w:p w14:paraId="2B9437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852" w:type="dxa"/>
            <w:tcBorders>
              <w:top w:val="nil"/>
              <w:left w:val="nil"/>
              <w:bottom w:val="single" w:color="000000" w:sz="4" w:space="0"/>
              <w:right w:val="single" w:color="000000" w:sz="4" w:space="0"/>
            </w:tcBorders>
            <w:shd w:val="clear" w:color="auto" w:fill="auto"/>
            <w:vAlign w:val="center"/>
          </w:tcPr>
          <w:p w14:paraId="108FB2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08802D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2A022F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17" w:type="dxa"/>
            <w:tcBorders>
              <w:top w:val="nil"/>
              <w:left w:val="nil"/>
              <w:bottom w:val="single" w:color="000000" w:sz="4" w:space="0"/>
              <w:right w:val="single" w:color="000000" w:sz="4" w:space="0"/>
            </w:tcBorders>
            <w:shd w:val="clear" w:color="auto" w:fill="auto"/>
            <w:vAlign w:val="center"/>
          </w:tcPr>
          <w:p w14:paraId="26D2A11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52CF05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19D5463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04623E7B">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6F31F31">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58728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907" w:type="dxa"/>
            <w:tcBorders>
              <w:top w:val="nil"/>
              <w:left w:val="nil"/>
              <w:bottom w:val="single" w:color="000000" w:sz="4" w:space="0"/>
              <w:right w:val="single" w:color="000000" w:sz="4" w:space="0"/>
            </w:tcBorders>
            <w:shd w:val="clear" w:color="auto" w:fill="auto"/>
            <w:vAlign w:val="center"/>
          </w:tcPr>
          <w:p w14:paraId="2FF1C2B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852" w:type="dxa"/>
            <w:tcBorders>
              <w:top w:val="nil"/>
              <w:left w:val="nil"/>
              <w:bottom w:val="single" w:color="000000" w:sz="4" w:space="0"/>
              <w:right w:val="single" w:color="000000" w:sz="4" w:space="0"/>
            </w:tcBorders>
            <w:shd w:val="clear" w:color="auto" w:fill="auto"/>
            <w:vAlign w:val="center"/>
          </w:tcPr>
          <w:p w14:paraId="43B2CA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7.52</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0912E9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7.52</w:t>
            </w:r>
          </w:p>
        </w:tc>
        <w:tc>
          <w:tcPr>
            <w:tcW w:w="846" w:type="dxa"/>
            <w:tcBorders>
              <w:top w:val="nil"/>
              <w:left w:val="nil"/>
              <w:bottom w:val="single" w:color="000000" w:sz="4" w:space="0"/>
              <w:right w:val="single" w:color="000000" w:sz="4" w:space="0"/>
            </w:tcBorders>
            <w:shd w:val="clear" w:color="auto" w:fill="auto"/>
            <w:vAlign w:val="center"/>
          </w:tcPr>
          <w:p w14:paraId="03D163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7B7020B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97" w:type="dxa"/>
            <w:tcBorders>
              <w:top w:val="nil"/>
              <w:left w:val="nil"/>
              <w:bottom w:val="single" w:color="000000" w:sz="4" w:space="0"/>
              <w:right w:val="single" w:color="000000" w:sz="4" w:space="0"/>
            </w:tcBorders>
            <w:shd w:val="clear" w:color="auto" w:fill="auto"/>
            <w:vAlign w:val="center"/>
          </w:tcPr>
          <w:p w14:paraId="504226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shd w:val="clear" w:color="auto" w:fill="auto"/>
            <w:vAlign w:val="center"/>
          </w:tcPr>
          <w:p w14:paraId="7D6DE47A">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632963BF">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E2B10A2">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022290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907" w:type="dxa"/>
            <w:tcBorders>
              <w:top w:val="nil"/>
              <w:left w:val="nil"/>
              <w:bottom w:val="single" w:color="000000" w:sz="4" w:space="0"/>
              <w:right w:val="single" w:color="000000" w:sz="4" w:space="0"/>
            </w:tcBorders>
            <w:shd w:val="clear" w:color="auto" w:fill="auto"/>
            <w:vAlign w:val="center"/>
          </w:tcPr>
          <w:p w14:paraId="5FFCD7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7.00</w:t>
            </w:r>
          </w:p>
        </w:tc>
        <w:tc>
          <w:tcPr>
            <w:tcW w:w="852" w:type="dxa"/>
            <w:tcBorders>
              <w:top w:val="nil"/>
              <w:left w:val="nil"/>
              <w:bottom w:val="single" w:color="000000" w:sz="4" w:space="0"/>
              <w:right w:val="single" w:color="000000" w:sz="4" w:space="0"/>
            </w:tcBorders>
            <w:shd w:val="clear" w:color="auto" w:fill="auto"/>
            <w:vAlign w:val="center"/>
          </w:tcPr>
          <w:p w14:paraId="5B89AD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7.52</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2FF9A3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7.52</w:t>
            </w:r>
          </w:p>
        </w:tc>
        <w:tc>
          <w:tcPr>
            <w:tcW w:w="846" w:type="dxa"/>
            <w:tcBorders>
              <w:top w:val="nil"/>
              <w:left w:val="nil"/>
              <w:bottom w:val="single" w:color="000000" w:sz="4" w:space="0"/>
              <w:right w:val="single" w:color="000000" w:sz="4" w:space="0"/>
            </w:tcBorders>
            <w:shd w:val="clear" w:color="auto" w:fill="auto"/>
            <w:vAlign w:val="center"/>
          </w:tcPr>
          <w:p w14:paraId="345F2DD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4FC9F49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6F9910C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3F5C0B3B">
            <w:pPr>
              <w:widowControl/>
              <w:jc w:val="left"/>
              <w:rPr>
                <w:rFonts w:ascii="Courier New" w:hAnsi="Courier New" w:eastAsia="等线" w:cs="Courier New"/>
                <w:i/>
                <w:iCs/>
                <w:color w:val="000000"/>
                <w:kern w:val="0"/>
                <w:sz w:val="18"/>
                <w:szCs w:val="18"/>
              </w:rPr>
            </w:pPr>
          </w:p>
        </w:tc>
      </w:tr>
      <w:tr w14:paraId="57A47D79">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433859B2">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7EBC6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shd w:val="clear" w:color="auto" w:fill="auto"/>
            <w:vAlign w:val="center"/>
          </w:tcPr>
          <w:p w14:paraId="32AD6C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790E9D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68BDB8B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1768AB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72F58E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1AE3985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51512ED4">
            <w:pPr>
              <w:widowControl/>
              <w:jc w:val="left"/>
              <w:rPr>
                <w:rFonts w:ascii="Courier New" w:hAnsi="Courier New" w:eastAsia="等线" w:cs="Courier New"/>
                <w:i/>
                <w:iCs/>
                <w:color w:val="000000"/>
                <w:kern w:val="0"/>
                <w:sz w:val="18"/>
                <w:szCs w:val="18"/>
              </w:rPr>
            </w:pPr>
          </w:p>
        </w:tc>
      </w:tr>
      <w:tr w14:paraId="51FF0029">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6A0E8CD">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34A83C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907" w:type="dxa"/>
            <w:tcBorders>
              <w:top w:val="nil"/>
              <w:left w:val="nil"/>
              <w:bottom w:val="single" w:color="000000" w:sz="4" w:space="0"/>
              <w:right w:val="single" w:color="000000" w:sz="4" w:space="0"/>
            </w:tcBorders>
            <w:shd w:val="clear" w:color="auto" w:fill="auto"/>
            <w:vAlign w:val="center"/>
          </w:tcPr>
          <w:p w14:paraId="7C5CCEB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0D6C18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FAD1C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4C138CA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76D3D15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7ACD314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21D821EF">
            <w:pPr>
              <w:widowControl/>
              <w:jc w:val="left"/>
              <w:rPr>
                <w:rFonts w:ascii="Courier New" w:hAnsi="Courier New" w:eastAsia="等线" w:cs="Courier New"/>
                <w:i/>
                <w:iCs/>
                <w:color w:val="000000"/>
                <w:kern w:val="0"/>
                <w:sz w:val="18"/>
                <w:szCs w:val="18"/>
              </w:rPr>
            </w:pPr>
          </w:p>
        </w:tc>
      </w:tr>
      <w:tr w14:paraId="22576512">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74D36FDB">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48A306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907" w:type="dxa"/>
            <w:tcBorders>
              <w:top w:val="nil"/>
              <w:left w:val="nil"/>
              <w:bottom w:val="single" w:color="000000" w:sz="4" w:space="0"/>
              <w:right w:val="single" w:color="000000" w:sz="4" w:space="0"/>
            </w:tcBorders>
            <w:shd w:val="clear" w:color="auto" w:fill="auto"/>
            <w:vAlign w:val="center"/>
          </w:tcPr>
          <w:p w14:paraId="205B63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shd w:val="clear" w:color="auto" w:fill="auto"/>
            <w:vAlign w:val="center"/>
          </w:tcPr>
          <w:p w14:paraId="669988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190657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465066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243543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536A917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6C494873">
            <w:pPr>
              <w:widowControl/>
              <w:jc w:val="left"/>
              <w:rPr>
                <w:rFonts w:ascii="Courier New" w:hAnsi="Courier New" w:eastAsia="等线" w:cs="Courier New"/>
                <w:i/>
                <w:iCs/>
                <w:color w:val="000000"/>
                <w:kern w:val="0"/>
                <w:sz w:val="18"/>
                <w:szCs w:val="18"/>
              </w:rPr>
            </w:pPr>
          </w:p>
        </w:tc>
      </w:tr>
      <w:tr w14:paraId="77FCC238">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214EAF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021" w:type="dxa"/>
            <w:tcBorders>
              <w:top w:val="nil"/>
              <w:left w:val="nil"/>
              <w:bottom w:val="single" w:color="000000" w:sz="4" w:space="0"/>
              <w:right w:val="single" w:color="000000" w:sz="4" w:space="0"/>
            </w:tcBorders>
            <w:shd w:val="clear" w:color="auto" w:fill="auto"/>
            <w:vAlign w:val="center"/>
          </w:tcPr>
          <w:p w14:paraId="519165F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907" w:type="dxa"/>
            <w:tcBorders>
              <w:top w:val="nil"/>
              <w:left w:val="nil"/>
              <w:bottom w:val="single" w:color="000000" w:sz="4" w:space="0"/>
              <w:right w:val="single" w:color="000000" w:sz="4" w:space="0"/>
            </w:tcBorders>
            <w:shd w:val="clear" w:color="auto" w:fill="auto"/>
            <w:vAlign w:val="center"/>
          </w:tcPr>
          <w:p w14:paraId="211225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852" w:type="dxa"/>
            <w:tcBorders>
              <w:top w:val="nil"/>
              <w:left w:val="nil"/>
              <w:bottom w:val="single" w:color="000000" w:sz="4" w:space="0"/>
              <w:right w:val="single" w:color="000000" w:sz="4" w:space="0"/>
            </w:tcBorders>
            <w:shd w:val="clear" w:color="auto" w:fill="auto"/>
            <w:vAlign w:val="center"/>
          </w:tcPr>
          <w:p w14:paraId="68FB31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768" w:type="dxa"/>
            <w:tcBorders>
              <w:top w:val="nil"/>
              <w:left w:val="nil"/>
              <w:bottom w:val="single" w:color="000000" w:sz="4" w:space="0"/>
              <w:right w:val="single" w:color="000000" w:sz="4" w:space="0"/>
            </w:tcBorders>
            <w:shd w:val="clear" w:color="auto" w:fill="auto"/>
            <w:vAlign w:val="center"/>
          </w:tcPr>
          <w:p w14:paraId="652B19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775" w:type="dxa"/>
            <w:tcBorders>
              <w:top w:val="nil"/>
              <w:left w:val="nil"/>
              <w:bottom w:val="single" w:color="000000" w:sz="4" w:space="0"/>
              <w:right w:val="single" w:color="000000" w:sz="4" w:space="0"/>
            </w:tcBorders>
            <w:shd w:val="clear" w:color="auto" w:fill="auto"/>
            <w:vAlign w:val="center"/>
          </w:tcPr>
          <w:p w14:paraId="468EEB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796" w:type="dxa"/>
            <w:tcBorders>
              <w:top w:val="nil"/>
              <w:left w:val="nil"/>
              <w:bottom w:val="single" w:color="000000" w:sz="4" w:space="0"/>
              <w:right w:val="single" w:color="000000" w:sz="4" w:space="0"/>
            </w:tcBorders>
            <w:shd w:val="clear" w:color="auto" w:fill="auto"/>
            <w:vAlign w:val="center"/>
          </w:tcPr>
          <w:p w14:paraId="05DB2DF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559E51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17" w:type="dxa"/>
            <w:tcBorders>
              <w:top w:val="nil"/>
              <w:left w:val="nil"/>
              <w:bottom w:val="single" w:color="000000" w:sz="4" w:space="0"/>
              <w:right w:val="single" w:color="000000" w:sz="4" w:space="0"/>
            </w:tcBorders>
            <w:shd w:val="clear" w:color="auto" w:fill="auto"/>
            <w:vAlign w:val="center"/>
          </w:tcPr>
          <w:p w14:paraId="2E8F91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0AACF8F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1C6CFC2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4B568C45">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0CCDD19">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4A1753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07" w:type="dxa"/>
            <w:tcBorders>
              <w:top w:val="nil"/>
              <w:left w:val="nil"/>
              <w:bottom w:val="single" w:color="000000" w:sz="4" w:space="0"/>
              <w:right w:val="single" w:color="000000" w:sz="4" w:space="0"/>
            </w:tcBorders>
            <w:shd w:val="clear" w:color="auto" w:fill="auto"/>
            <w:vAlign w:val="center"/>
          </w:tcPr>
          <w:p w14:paraId="3B1206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2" w:type="dxa"/>
            <w:tcBorders>
              <w:top w:val="nil"/>
              <w:left w:val="nil"/>
              <w:bottom w:val="single" w:color="000000" w:sz="4" w:space="0"/>
              <w:right w:val="single" w:color="000000" w:sz="4" w:space="0"/>
            </w:tcBorders>
            <w:shd w:val="clear" w:color="auto" w:fill="auto"/>
            <w:vAlign w:val="center"/>
          </w:tcPr>
          <w:p w14:paraId="3C57C6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68" w:type="dxa"/>
            <w:tcBorders>
              <w:top w:val="nil"/>
              <w:left w:val="nil"/>
              <w:bottom w:val="single" w:color="000000" w:sz="4" w:space="0"/>
              <w:right w:val="single" w:color="000000" w:sz="4" w:space="0"/>
            </w:tcBorders>
            <w:shd w:val="clear" w:color="auto" w:fill="auto"/>
            <w:vAlign w:val="center"/>
          </w:tcPr>
          <w:p w14:paraId="0512C56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75" w:type="dxa"/>
            <w:tcBorders>
              <w:top w:val="nil"/>
              <w:left w:val="nil"/>
              <w:bottom w:val="single" w:color="000000" w:sz="4" w:space="0"/>
              <w:right w:val="single" w:color="000000" w:sz="4" w:space="0"/>
            </w:tcBorders>
            <w:shd w:val="clear" w:color="auto" w:fill="auto"/>
            <w:vAlign w:val="center"/>
          </w:tcPr>
          <w:p w14:paraId="21B5C52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96" w:type="dxa"/>
            <w:tcBorders>
              <w:top w:val="nil"/>
              <w:left w:val="nil"/>
              <w:bottom w:val="single" w:color="000000" w:sz="4" w:space="0"/>
              <w:right w:val="single" w:color="000000" w:sz="4" w:space="0"/>
            </w:tcBorders>
            <w:shd w:val="clear" w:color="auto" w:fill="auto"/>
            <w:vAlign w:val="center"/>
          </w:tcPr>
          <w:p w14:paraId="418A40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7A56C5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0A8B9C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7" w:type="dxa"/>
            <w:tcBorders>
              <w:top w:val="nil"/>
              <w:left w:val="nil"/>
              <w:bottom w:val="single" w:color="000000" w:sz="4" w:space="0"/>
              <w:right w:val="single" w:color="000000" w:sz="4" w:space="0"/>
            </w:tcBorders>
            <w:shd w:val="clear" w:color="auto" w:fill="auto"/>
            <w:vAlign w:val="center"/>
          </w:tcPr>
          <w:p w14:paraId="657856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　</w:t>
            </w:r>
          </w:p>
        </w:tc>
        <w:tc>
          <w:tcPr>
            <w:tcW w:w="950" w:type="dxa"/>
            <w:tcBorders>
              <w:top w:val="nil"/>
              <w:left w:val="nil"/>
              <w:bottom w:val="single" w:color="000000" w:sz="4" w:space="0"/>
              <w:right w:val="single" w:color="000000" w:sz="4" w:space="0"/>
            </w:tcBorders>
            <w:shd w:val="clear" w:color="auto" w:fill="auto"/>
            <w:vAlign w:val="center"/>
          </w:tcPr>
          <w:p w14:paraId="4800D0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0F55C4">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618B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17" w:type="dxa"/>
            <w:tcBorders>
              <w:top w:val="nil"/>
              <w:left w:val="nil"/>
              <w:bottom w:val="single" w:color="000000" w:sz="4" w:space="0"/>
              <w:right w:val="single" w:color="000000" w:sz="4" w:space="0"/>
            </w:tcBorders>
            <w:shd w:val="clear" w:color="auto" w:fill="auto"/>
            <w:vAlign w:val="center"/>
          </w:tcPr>
          <w:p w14:paraId="14C58F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7" w:type="dxa"/>
            <w:tcBorders>
              <w:top w:val="nil"/>
              <w:left w:val="nil"/>
              <w:bottom w:val="single" w:color="000000" w:sz="4" w:space="0"/>
              <w:right w:val="single" w:color="000000" w:sz="4" w:space="0"/>
            </w:tcBorders>
            <w:shd w:val="clear" w:color="auto" w:fill="auto"/>
            <w:vAlign w:val="center"/>
          </w:tcPr>
          <w:p w14:paraId="14CCC4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100</w:t>
            </w:r>
          </w:p>
        </w:tc>
        <w:tc>
          <w:tcPr>
            <w:tcW w:w="950" w:type="dxa"/>
            <w:tcBorders>
              <w:top w:val="nil"/>
              <w:left w:val="nil"/>
              <w:bottom w:val="single" w:color="000000" w:sz="4" w:space="0"/>
              <w:right w:val="single" w:color="000000" w:sz="4" w:space="0"/>
            </w:tcBorders>
            <w:shd w:val="clear" w:color="auto" w:fill="auto"/>
            <w:vAlign w:val="center"/>
          </w:tcPr>
          <w:p w14:paraId="3DF4556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C0EBE9">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15D7E5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57C58E45">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绩效目标实现指标自评得分100.00分，自评等次为：优，严格执行相关政策，按要求支付，促进附设幼儿园健康发展。</w:t>
            </w:r>
          </w:p>
        </w:tc>
      </w:tr>
      <w:tr w14:paraId="06660441">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0C708A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683904F1">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建设进度与申报资金计划不一致。</w:t>
            </w:r>
          </w:p>
        </w:tc>
      </w:tr>
      <w:tr w14:paraId="18972437">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0CC62B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6202CA63">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按需申报资金、及时发放。</w:t>
            </w:r>
          </w:p>
        </w:tc>
      </w:tr>
      <w:tr w14:paraId="3809F863">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567F3">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shd w:val="clear" w:color="auto" w:fill="auto"/>
            <w:vAlign w:val="center"/>
          </w:tcPr>
          <w:p w14:paraId="3D84992E">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财务负责人：奉勇</w:t>
            </w:r>
          </w:p>
        </w:tc>
      </w:tr>
      <w:tr w14:paraId="191C8FCD">
        <w:tblPrEx>
          <w:tblCellMar>
            <w:top w:w="0" w:type="dxa"/>
            <w:left w:w="108" w:type="dxa"/>
            <w:bottom w:w="0" w:type="dxa"/>
            <w:right w:w="108" w:type="dxa"/>
          </w:tblCellMar>
        </w:tblPrEx>
        <w:trPr>
          <w:trHeight w:val="480" w:hRule="atLeast"/>
        </w:trPr>
        <w:tc>
          <w:tcPr>
            <w:tcW w:w="676" w:type="dxa"/>
            <w:tcBorders>
              <w:top w:val="nil"/>
              <w:left w:val="nil"/>
              <w:bottom w:val="nil"/>
              <w:right w:val="nil"/>
            </w:tcBorders>
            <w:shd w:val="clear" w:color="auto" w:fill="auto"/>
            <w:vAlign w:val="center"/>
          </w:tcPr>
          <w:p w14:paraId="5869DED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21" w:type="dxa"/>
            <w:tcBorders>
              <w:top w:val="nil"/>
              <w:left w:val="nil"/>
              <w:bottom w:val="nil"/>
              <w:right w:val="nil"/>
            </w:tcBorders>
            <w:shd w:val="clear" w:color="auto" w:fill="auto"/>
            <w:vAlign w:val="center"/>
          </w:tcPr>
          <w:p w14:paraId="77146A43">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nil"/>
              <w:right w:val="nil"/>
            </w:tcBorders>
            <w:shd w:val="clear" w:color="auto" w:fill="auto"/>
            <w:vAlign w:val="center"/>
          </w:tcPr>
          <w:p w14:paraId="1EA6FD62">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p w14:paraId="75D137D0">
            <w:pPr>
              <w:widowControl/>
              <w:jc w:val="left"/>
              <w:rPr>
                <w:rFonts w:ascii="宋体" w:hAnsi="宋体" w:eastAsia="宋体" w:cs="宋体"/>
                <w:kern w:val="0"/>
                <w:sz w:val="18"/>
                <w:szCs w:val="18"/>
              </w:rPr>
            </w:pPr>
          </w:p>
          <w:p w14:paraId="46513842">
            <w:pPr>
              <w:widowControl/>
              <w:jc w:val="left"/>
              <w:rPr>
                <w:rFonts w:ascii="宋体" w:hAnsi="宋体" w:eastAsia="宋体" w:cs="宋体"/>
                <w:kern w:val="0"/>
                <w:sz w:val="18"/>
                <w:szCs w:val="18"/>
              </w:rPr>
            </w:pPr>
          </w:p>
          <w:p w14:paraId="34279520">
            <w:pPr>
              <w:widowControl/>
              <w:jc w:val="left"/>
              <w:rPr>
                <w:rFonts w:ascii="宋体" w:hAnsi="宋体" w:eastAsia="宋体" w:cs="宋体"/>
                <w:kern w:val="0"/>
                <w:sz w:val="18"/>
                <w:szCs w:val="18"/>
              </w:rPr>
            </w:pPr>
          </w:p>
          <w:p w14:paraId="6AAF9E1C">
            <w:pPr>
              <w:widowControl/>
              <w:jc w:val="left"/>
              <w:rPr>
                <w:rFonts w:ascii="宋体" w:hAnsi="宋体" w:eastAsia="宋体" w:cs="宋体"/>
                <w:kern w:val="0"/>
                <w:sz w:val="18"/>
                <w:szCs w:val="18"/>
              </w:rPr>
            </w:pPr>
          </w:p>
          <w:p w14:paraId="29676B99">
            <w:pPr>
              <w:widowControl/>
              <w:jc w:val="left"/>
              <w:rPr>
                <w:rFonts w:ascii="宋体" w:hAnsi="宋体" w:eastAsia="宋体" w:cs="宋体"/>
                <w:kern w:val="0"/>
                <w:sz w:val="18"/>
                <w:szCs w:val="18"/>
              </w:rPr>
            </w:pPr>
          </w:p>
          <w:p w14:paraId="38753143">
            <w:pPr>
              <w:widowControl/>
              <w:jc w:val="left"/>
              <w:rPr>
                <w:rFonts w:ascii="宋体" w:hAnsi="宋体" w:eastAsia="宋体" w:cs="宋体"/>
                <w:kern w:val="0"/>
                <w:sz w:val="18"/>
                <w:szCs w:val="18"/>
              </w:rPr>
            </w:pPr>
          </w:p>
          <w:p w14:paraId="0750D652">
            <w:pPr>
              <w:widowControl/>
              <w:jc w:val="left"/>
              <w:rPr>
                <w:rFonts w:ascii="宋体" w:hAnsi="宋体" w:eastAsia="宋体" w:cs="宋体"/>
                <w:kern w:val="0"/>
                <w:sz w:val="18"/>
                <w:szCs w:val="18"/>
              </w:rPr>
            </w:pPr>
          </w:p>
          <w:p w14:paraId="15815F6C">
            <w:pPr>
              <w:widowControl/>
              <w:jc w:val="left"/>
              <w:rPr>
                <w:rFonts w:ascii="宋体" w:hAnsi="宋体" w:eastAsia="宋体" w:cs="宋体"/>
                <w:kern w:val="0"/>
                <w:sz w:val="18"/>
                <w:szCs w:val="18"/>
              </w:rPr>
            </w:pPr>
          </w:p>
          <w:p w14:paraId="78AA9BC9">
            <w:pPr>
              <w:widowControl/>
              <w:jc w:val="left"/>
              <w:rPr>
                <w:rFonts w:ascii="宋体" w:hAnsi="宋体" w:eastAsia="宋体" w:cs="宋体"/>
                <w:kern w:val="0"/>
                <w:sz w:val="18"/>
                <w:szCs w:val="18"/>
              </w:rPr>
            </w:pPr>
          </w:p>
          <w:p w14:paraId="5409DAA1">
            <w:pPr>
              <w:widowControl/>
              <w:jc w:val="left"/>
              <w:rPr>
                <w:rFonts w:ascii="宋体" w:hAnsi="宋体" w:eastAsia="宋体" w:cs="宋体"/>
                <w:kern w:val="0"/>
                <w:sz w:val="18"/>
                <w:szCs w:val="18"/>
              </w:rPr>
            </w:pPr>
          </w:p>
          <w:p w14:paraId="2D2FD19E">
            <w:pPr>
              <w:widowControl/>
              <w:jc w:val="left"/>
              <w:rPr>
                <w:rFonts w:ascii="宋体" w:hAnsi="宋体" w:eastAsia="宋体" w:cs="宋体"/>
                <w:kern w:val="0"/>
                <w:sz w:val="18"/>
                <w:szCs w:val="18"/>
              </w:rPr>
            </w:pPr>
          </w:p>
          <w:p w14:paraId="70A73A9F">
            <w:pPr>
              <w:widowControl/>
              <w:jc w:val="left"/>
              <w:rPr>
                <w:rFonts w:ascii="宋体" w:hAnsi="宋体" w:eastAsia="宋体" w:cs="宋体"/>
                <w:kern w:val="0"/>
                <w:sz w:val="18"/>
                <w:szCs w:val="18"/>
              </w:rPr>
            </w:pPr>
          </w:p>
        </w:tc>
        <w:tc>
          <w:tcPr>
            <w:tcW w:w="852" w:type="dxa"/>
            <w:tcBorders>
              <w:top w:val="nil"/>
              <w:left w:val="nil"/>
              <w:bottom w:val="nil"/>
              <w:right w:val="nil"/>
            </w:tcBorders>
            <w:shd w:val="clear" w:color="auto" w:fill="auto"/>
            <w:vAlign w:val="center"/>
          </w:tcPr>
          <w:p w14:paraId="30FA7C4C">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8" w:type="dxa"/>
            <w:tcBorders>
              <w:top w:val="nil"/>
              <w:left w:val="nil"/>
              <w:bottom w:val="nil"/>
              <w:right w:val="nil"/>
            </w:tcBorders>
            <w:shd w:val="clear" w:color="auto" w:fill="auto"/>
            <w:vAlign w:val="center"/>
          </w:tcPr>
          <w:p w14:paraId="3E56D61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75" w:type="dxa"/>
            <w:tcBorders>
              <w:top w:val="nil"/>
              <w:left w:val="nil"/>
              <w:bottom w:val="nil"/>
              <w:right w:val="nil"/>
            </w:tcBorders>
            <w:shd w:val="clear" w:color="auto" w:fill="auto"/>
            <w:vAlign w:val="center"/>
          </w:tcPr>
          <w:p w14:paraId="7BE07E6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96" w:type="dxa"/>
            <w:tcBorders>
              <w:top w:val="nil"/>
              <w:left w:val="nil"/>
              <w:bottom w:val="nil"/>
              <w:right w:val="nil"/>
            </w:tcBorders>
            <w:shd w:val="clear" w:color="auto" w:fill="auto"/>
            <w:vAlign w:val="center"/>
          </w:tcPr>
          <w:p w14:paraId="152E315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46" w:type="dxa"/>
            <w:tcBorders>
              <w:top w:val="nil"/>
              <w:left w:val="nil"/>
              <w:bottom w:val="nil"/>
              <w:right w:val="nil"/>
            </w:tcBorders>
            <w:shd w:val="clear" w:color="auto" w:fill="auto"/>
            <w:vAlign w:val="center"/>
          </w:tcPr>
          <w:p w14:paraId="23E0626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17" w:type="dxa"/>
            <w:tcBorders>
              <w:top w:val="nil"/>
              <w:left w:val="nil"/>
              <w:bottom w:val="nil"/>
              <w:right w:val="nil"/>
            </w:tcBorders>
            <w:shd w:val="clear" w:color="auto" w:fill="auto"/>
            <w:vAlign w:val="center"/>
          </w:tcPr>
          <w:p w14:paraId="7B05628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7" w:type="dxa"/>
            <w:tcBorders>
              <w:top w:val="nil"/>
              <w:left w:val="nil"/>
              <w:bottom w:val="nil"/>
              <w:right w:val="nil"/>
            </w:tcBorders>
            <w:shd w:val="clear" w:color="auto" w:fill="auto"/>
            <w:vAlign w:val="center"/>
          </w:tcPr>
          <w:p w14:paraId="76848B8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50" w:type="dxa"/>
            <w:tcBorders>
              <w:top w:val="nil"/>
              <w:left w:val="nil"/>
              <w:bottom w:val="nil"/>
              <w:right w:val="nil"/>
            </w:tcBorders>
            <w:shd w:val="clear" w:color="auto" w:fill="auto"/>
            <w:vAlign w:val="center"/>
          </w:tcPr>
          <w:p w14:paraId="2F53288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7CF9D2C7">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F4842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4891DC1A">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1D2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2947323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51090422T000007203223-校舍维修</w:t>
            </w:r>
          </w:p>
        </w:tc>
      </w:tr>
      <w:tr w14:paraId="17D01C1C">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18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48DCB9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遂宁市安居区安居镇安平小学校部门</w:t>
            </w:r>
          </w:p>
        </w:tc>
        <w:tc>
          <w:tcPr>
            <w:tcW w:w="846" w:type="dxa"/>
            <w:tcBorders>
              <w:top w:val="nil"/>
              <w:left w:val="nil"/>
              <w:bottom w:val="nil"/>
              <w:right w:val="nil"/>
            </w:tcBorders>
            <w:shd w:val="clear" w:color="auto" w:fill="auto"/>
            <w:vAlign w:val="center"/>
          </w:tcPr>
          <w:p w14:paraId="375F594E">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29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w:t>
            </w:r>
          </w:p>
        </w:tc>
      </w:tr>
      <w:tr w14:paraId="05ADD16F">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363E5A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shd w:val="clear" w:color="auto" w:fill="auto"/>
            <w:vAlign w:val="center"/>
          </w:tcPr>
          <w:p w14:paraId="2A4A127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6627A6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44873604">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6524DD2C">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3BE483D3">
            <w:pPr>
              <w:widowControl/>
              <w:jc w:val="left"/>
              <w:rPr>
                <w:rFonts w:ascii="宋体" w:hAnsi="宋体" w:eastAsia="宋体" w:cs="宋体"/>
                <w:color w:val="000000"/>
                <w:kern w:val="0"/>
                <w:sz w:val="18"/>
                <w:szCs w:val="18"/>
              </w:rPr>
            </w:pPr>
          </w:p>
        </w:tc>
        <w:tc>
          <w:tcPr>
            <w:tcW w:w="1021" w:type="dxa"/>
            <w:vMerge w:val="continue"/>
            <w:tcBorders>
              <w:top w:val="nil"/>
              <w:left w:val="single" w:color="000000" w:sz="4" w:space="0"/>
              <w:bottom w:val="single" w:color="000000" w:sz="4" w:space="0"/>
              <w:right w:val="single" w:color="000000" w:sz="4" w:space="0"/>
            </w:tcBorders>
            <w:vAlign w:val="center"/>
          </w:tcPr>
          <w:p w14:paraId="2BCAE3A3">
            <w:pPr>
              <w:widowControl/>
              <w:jc w:val="left"/>
              <w:rPr>
                <w:rFonts w:ascii="宋体" w:hAnsi="宋体" w:eastAsia="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1128DDE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严格执行相关政策，保障资金使用到位，预算编制科学合理。</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7B008C0C">
            <w:pPr>
              <w:widowControl/>
              <w:jc w:val="left"/>
              <w:rPr>
                <w:rFonts w:hint="eastAsia" w:ascii="Courier New" w:hAnsi="Courier New" w:eastAsia="等线" w:cs="Courier New"/>
                <w:color w:val="000000"/>
                <w:kern w:val="0"/>
                <w:sz w:val="18"/>
                <w:szCs w:val="18"/>
                <w:lang w:eastAsia="zh-CN"/>
              </w:rPr>
            </w:pPr>
            <w:r>
              <w:rPr>
                <w:rFonts w:ascii="Courier New" w:hAnsi="Courier New" w:eastAsia="等线" w:cs="Courier New"/>
                <w:color w:val="000000"/>
                <w:kern w:val="0"/>
                <w:sz w:val="18"/>
                <w:szCs w:val="18"/>
              </w:rPr>
              <w:t>物尽其用，</w:t>
            </w:r>
            <w:r>
              <w:rPr>
                <w:rFonts w:hint="eastAsia" w:ascii="Courier New" w:hAnsi="Courier New" w:eastAsia="等线" w:cs="Courier New"/>
                <w:color w:val="000000"/>
                <w:kern w:val="0"/>
                <w:sz w:val="18"/>
                <w:szCs w:val="18"/>
                <w:lang w:eastAsia="zh-CN"/>
              </w:rPr>
              <w:t>不浪费国家资金</w:t>
            </w:r>
          </w:p>
        </w:tc>
      </w:tr>
      <w:tr w14:paraId="524EB876">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36CCF80">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0603A9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40CFAF0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及时申报</w:t>
            </w:r>
          </w:p>
        </w:tc>
      </w:tr>
      <w:tr w14:paraId="0C1F1E90">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31BA2B5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shd w:val="clear" w:color="auto" w:fill="auto"/>
            <w:vAlign w:val="center"/>
          </w:tcPr>
          <w:p w14:paraId="03F103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shd w:val="clear" w:color="auto" w:fill="auto"/>
            <w:vAlign w:val="center"/>
          </w:tcPr>
          <w:p w14:paraId="634205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852" w:type="dxa"/>
            <w:tcBorders>
              <w:top w:val="nil"/>
              <w:left w:val="nil"/>
              <w:bottom w:val="single" w:color="000000" w:sz="4" w:space="0"/>
              <w:right w:val="single" w:color="000000" w:sz="4" w:space="0"/>
            </w:tcBorders>
            <w:shd w:val="clear" w:color="auto" w:fill="auto"/>
            <w:vAlign w:val="center"/>
          </w:tcPr>
          <w:p w14:paraId="225557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4CE58EF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4A6D775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17" w:type="dxa"/>
            <w:tcBorders>
              <w:top w:val="nil"/>
              <w:left w:val="nil"/>
              <w:bottom w:val="single" w:color="000000" w:sz="4" w:space="0"/>
              <w:right w:val="single" w:color="000000" w:sz="4" w:space="0"/>
            </w:tcBorders>
            <w:shd w:val="clear" w:color="auto" w:fill="auto"/>
            <w:vAlign w:val="center"/>
          </w:tcPr>
          <w:p w14:paraId="182A4B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5FC9FD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2692448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2FB370D2">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A885EF8">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15E5D1C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907" w:type="dxa"/>
            <w:tcBorders>
              <w:top w:val="nil"/>
              <w:left w:val="nil"/>
              <w:bottom w:val="single" w:color="000000" w:sz="4" w:space="0"/>
              <w:right w:val="single" w:color="000000" w:sz="4" w:space="0"/>
            </w:tcBorders>
            <w:shd w:val="clear" w:color="auto" w:fill="auto"/>
            <w:vAlign w:val="center"/>
          </w:tcPr>
          <w:p w14:paraId="43A351E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0613950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7.98</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7E78C0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7.98</w:t>
            </w:r>
          </w:p>
        </w:tc>
        <w:tc>
          <w:tcPr>
            <w:tcW w:w="846" w:type="dxa"/>
            <w:tcBorders>
              <w:top w:val="nil"/>
              <w:left w:val="nil"/>
              <w:bottom w:val="single" w:color="000000" w:sz="4" w:space="0"/>
              <w:right w:val="single" w:color="000000" w:sz="4" w:space="0"/>
            </w:tcBorders>
            <w:shd w:val="clear" w:color="auto" w:fill="auto"/>
            <w:vAlign w:val="center"/>
          </w:tcPr>
          <w:p w14:paraId="56F4FE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770037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97" w:type="dxa"/>
            <w:tcBorders>
              <w:top w:val="nil"/>
              <w:left w:val="nil"/>
              <w:bottom w:val="single" w:color="000000" w:sz="4" w:space="0"/>
              <w:right w:val="single" w:color="000000" w:sz="4" w:space="0"/>
            </w:tcBorders>
            <w:shd w:val="clear" w:color="auto" w:fill="auto"/>
            <w:vAlign w:val="center"/>
          </w:tcPr>
          <w:p w14:paraId="00A21F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10</w:t>
            </w:r>
          </w:p>
        </w:tc>
        <w:tc>
          <w:tcPr>
            <w:tcW w:w="950" w:type="dxa"/>
            <w:vMerge w:val="restart"/>
            <w:tcBorders>
              <w:top w:val="nil"/>
              <w:left w:val="single" w:color="000000" w:sz="4" w:space="0"/>
              <w:bottom w:val="single" w:color="000000" w:sz="4" w:space="0"/>
              <w:right w:val="single" w:color="000000" w:sz="4" w:space="0"/>
            </w:tcBorders>
            <w:shd w:val="clear" w:color="auto" w:fill="auto"/>
            <w:vAlign w:val="center"/>
          </w:tcPr>
          <w:p w14:paraId="0C0D0265">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59DF30DE">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7AA3B681">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3E1EE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907" w:type="dxa"/>
            <w:tcBorders>
              <w:top w:val="nil"/>
              <w:left w:val="nil"/>
              <w:bottom w:val="single" w:color="000000" w:sz="4" w:space="0"/>
              <w:right w:val="single" w:color="000000" w:sz="4" w:space="0"/>
            </w:tcBorders>
            <w:shd w:val="clear" w:color="auto" w:fill="auto"/>
            <w:vAlign w:val="center"/>
          </w:tcPr>
          <w:p w14:paraId="208101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7638A87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7.98</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35A33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7.98</w:t>
            </w:r>
          </w:p>
        </w:tc>
        <w:tc>
          <w:tcPr>
            <w:tcW w:w="846" w:type="dxa"/>
            <w:tcBorders>
              <w:top w:val="nil"/>
              <w:left w:val="nil"/>
              <w:bottom w:val="single" w:color="000000" w:sz="4" w:space="0"/>
              <w:right w:val="single" w:color="000000" w:sz="4" w:space="0"/>
            </w:tcBorders>
            <w:shd w:val="clear" w:color="auto" w:fill="auto"/>
            <w:vAlign w:val="center"/>
          </w:tcPr>
          <w:p w14:paraId="3B2D34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1099EE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35CAC78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62104AAE">
            <w:pPr>
              <w:widowControl/>
              <w:jc w:val="left"/>
              <w:rPr>
                <w:rFonts w:ascii="Courier New" w:hAnsi="Courier New" w:eastAsia="等线" w:cs="Courier New"/>
                <w:i/>
                <w:iCs/>
                <w:color w:val="000000"/>
                <w:kern w:val="0"/>
                <w:sz w:val="18"/>
                <w:szCs w:val="18"/>
              </w:rPr>
            </w:pPr>
          </w:p>
        </w:tc>
      </w:tr>
      <w:tr w14:paraId="277A7B32">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2C65C770">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0D79EC0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shd w:val="clear" w:color="auto" w:fill="auto"/>
            <w:vAlign w:val="center"/>
          </w:tcPr>
          <w:p w14:paraId="1FA735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26C3D8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8C015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84629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2F99E8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528B9E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18627F32">
            <w:pPr>
              <w:widowControl/>
              <w:jc w:val="left"/>
              <w:rPr>
                <w:rFonts w:ascii="Courier New" w:hAnsi="Courier New" w:eastAsia="等线" w:cs="Courier New"/>
                <w:i/>
                <w:iCs/>
                <w:color w:val="000000"/>
                <w:kern w:val="0"/>
                <w:sz w:val="18"/>
                <w:szCs w:val="18"/>
              </w:rPr>
            </w:pPr>
          </w:p>
        </w:tc>
      </w:tr>
      <w:tr w14:paraId="41AC521E">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29861D3B">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4E6B8D9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907" w:type="dxa"/>
            <w:tcBorders>
              <w:top w:val="nil"/>
              <w:left w:val="nil"/>
              <w:bottom w:val="single" w:color="000000" w:sz="4" w:space="0"/>
              <w:right w:val="single" w:color="000000" w:sz="4" w:space="0"/>
            </w:tcBorders>
            <w:shd w:val="clear" w:color="auto" w:fill="auto"/>
            <w:vAlign w:val="center"/>
          </w:tcPr>
          <w:p w14:paraId="2D8194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6AB4EA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29A594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286B7C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2E0558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5AD99C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2296EBE4">
            <w:pPr>
              <w:widowControl/>
              <w:jc w:val="left"/>
              <w:rPr>
                <w:rFonts w:ascii="Courier New" w:hAnsi="Courier New" w:eastAsia="等线" w:cs="Courier New"/>
                <w:i/>
                <w:iCs/>
                <w:color w:val="000000"/>
                <w:kern w:val="0"/>
                <w:sz w:val="18"/>
                <w:szCs w:val="18"/>
              </w:rPr>
            </w:pPr>
          </w:p>
        </w:tc>
      </w:tr>
      <w:tr w14:paraId="6D1A8E68">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678DA056">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2550BA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907" w:type="dxa"/>
            <w:tcBorders>
              <w:top w:val="nil"/>
              <w:left w:val="nil"/>
              <w:bottom w:val="single" w:color="000000" w:sz="4" w:space="0"/>
              <w:right w:val="single" w:color="000000" w:sz="4" w:space="0"/>
            </w:tcBorders>
            <w:shd w:val="clear" w:color="auto" w:fill="auto"/>
            <w:vAlign w:val="center"/>
          </w:tcPr>
          <w:p w14:paraId="45D505F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shd w:val="clear" w:color="auto" w:fill="auto"/>
            <w:vAlign w:val="center"/>
          </w:tcPr>
          <w:p w14:paraId="3355B04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79097F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2B10F8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25C007C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7F516A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1F1CEA42">
            <w:pPr>
              <w:widowControl/>
              <w:jc w:val="left"/>
              <w:rPr>
                <w:rFonts w:ascii="Courier New" w:hAnsi="Courier New" w:eastAsia="等线" w:cs="Courier New"/>
                <w:i/>
                <w:iCs/>
                <w:color w:val="000000"/>
                <w:kern w:val="0"/>
                <w:sz w:val="18"/>
                <w:szCs w:val="18"/>
              </w:rPr>
            </w:pPr>
          </w:p>
        </w:tc>
      </w:tr>
      <w:tr w14:paraId="14924B9F">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723D7A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021" w:type="dxa"/>
            <w:tcBorders>
              <w:top w:val="nil"/>
              <w:left w:val="nil"/>
              <w:bottom w:val="single" w:color="000000" w:sz="4" w:space="0"/>
              <w:right w:val="single" w:color="000000" w:sz="4" w:space="0"/>
            </w:tcBorders>
            <w:shd w:val="clear" w:color="auto" w:fill="auto"/>
            <w:vAlign w:val="center"/>
          </w:tcPr>
          <w:p w14:paraId="779462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907" w:type="dxa"/>
            <w:tcBorders>
              <w:top w:val="nil"/>
              <w:left w:val="nil"/>
              <w:bottom w:val="single" w:color="000000" w:sz="4" w:space="0"/>
              <w:right w:val="single" w:color="000000" w:sz="4" w:space="0"/>
            </w:tcBorders>
            <w:shd w:val="clear" w:color="auto" w:fill="auto"/>
            <w:vAlign w:val="center"/>
          </w:tcPr>
          <w:p w14:paraId="6BBDD2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852" w:type="dxa"/>
            <w:tcBorders>
              <w:top w:val="nil"/>
              <w:left w:val="nil"/>
              <w:bottom w:val="single" w:color="000000" w:sz="4" w:space="0"/>
              <w:right w:val="single" w:color="000000" w:sz="4" w:space="0"/>
            </w:tcBorders>
            <w:shd w:val="clear" w:color="auto" w:fill="auto"/>
            <w:vAlign w:val="center"/>
          </w:tcPr>
          <w:p w14:paraId="3531AE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768" w:type="dxa"/>
            <w:tcBorders>
              <w:top w:val="nil"/>
              <w:left w:val="nil"/>
              <w:bottom w:val="single" w:color="000000" w:sz="4" w:space="0"/>
              <w:right w:val="single" w:color="000000" w:sz="4" w:space="0"/>
            </w:tcBorders>
            <w:shd w:val="clear" w:color="auto" w:fill="auto"/>
            <w:vAlign w:val="center"/>
          </w:tcPr>
          <w:p w14:paraId="2D3772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775" w:type="dxa"/>
            <w:tcBorders>
              <w:top w:val="nil"/>
              <w:left w:val="nil"/>
              <w:bottom w:val="single" w:color="000000" w:sz="4" w:space="0"/>
              <w:right w:val="single" w:color="000000" w:sz="4" w:space="0"/>
            </w:tcBorders>
            <w:shd w:val="clear" w:color="auto" w:fill="auto"/>
            <w:vAlign w:val="center"/>
          </w:tcPr>
          <w:p w14:paraId="713329C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796" w:type="dxa"/>
            <w:tcBorders>
              <w:top w:val="nil"/>
              <w:left w:val="nil"/>
              <w:bottom w:val="single" w:color="000000" w:sz="4" w:space="0"/>
              <w:right w:val="single" w:color="000000" w:sz="4" w:space="0"/>
            </w:tcBorders>
            <w:shd w:val="clear" w:color="auto" w:fill="auto"/>
            <w:vAlign w:val="center"/>
          </w:tcPr>
          <w:p w14:paraId="5D31FD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479E09E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17" w:type="dxa"/>
            <w:tcBorders>
              <w:top w:val="nil"/>
              <w:left w:val="nil"/>
              <w:bottom w:val="single" w:color="000000" w:sz="4" w:space="0"/>
              <w:right w:val="single" w:color="000000" w:sz="4" w:space="0"/>
            </w:tcBorders>
            <w:shd w:val="clear" w:color="auto" w:fill="auto"/>
            <w:vAlign w:val="center"/>
          </w:tcPr>
          <w:p w14:paraId="35C9C3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282E42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22A040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7BB0FF9C">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00032C1C">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682CFC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07" w:type="dxa"/>
            <w:tcBorders>
              <w:top w:val="nil"/>
              <w:left w:val="nil"/>
              <w:bottom w:val="single" w:color="000000" w:sz="4" w:space="0"/>
              <w:right w:val="single" w:color="000000" w:sz="4" w:space="0"/>
            </w:tcBorders>
            <w:shd w:val="clear" w:color="auto" w:fill="auto"/>
            <w:vAlign w:val="center"/>
          </w:tcPr>
          <w:p w14:paraId="67E266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2" w:type="dxa"/>
            <w:tcBorders>
              <w:top w:val="nil"/>
              <w:left w:val="nil"/>
              <w:bottom w:val="single" w:color="000000" w:sz="4" w:space="0"/>
              <w:right w:val="single" w:color="000000" w:sz="4" w:space="0"/>
            </w:tcBorders>
            <w:shd w:val="clear" w:color="auto" w:fill="auto"/>
            <w:vAlign w:val="center"/>
          </w:tcPr>
          <w:p w14:paraId="0A072CF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68" w:type="dxa"/>
            <w:tcBorders>
              <w:top w:val="nil"/>
              <w:left w:val="nil"/>
              <w:bottom w:val="single" w:color="000000" w:sz="4" w:space="0"/>
              <w:right w:val="single" w:color="000000" w:sz="4" w:space="0"/>
            </w:tcBorders>
            <w:shd w:val="clear" w:color="auto" w:fill="auto"/>
            <w:vAlign w:val="center"/>
          </w:tcPr>
          <w:p w14:paraId="350B44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75" w:type="dxa"/>
            <w:tcBorders>
              <w:top w:val="nil"/>
              <w:left w:val="nil"/>
              <w:bottom w:val="single" w:color="000000" w:sz="4" w:space="0"/>
              <w:right w:val="single" w:color="000000" w:sz="4" w:space="0"/>
            </w:tcBorders>
            <w:shd w:val="clear" w:color="auto" w:fill="auto"/>
            <w:vAlign w:val="center"/>
          </w:tcPr>
          <w:p w14:paraId="38231C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96" w:type="dxa"/>
            <w:tcBorders>
              <w:top w:val="nil"/>
              <w:left w:val="nil"/>
              <w:bottom w:val="single" w:color="000000" w:sz="4" w:space="0"/>
              <w:right w:val="single" w:color="000000" w:sz="4" w:space="0"/>
            </w:tcBorders>
            <w:shd w:val="clear" w:color="auto" w:fill="auto"/>
            <w:vAlign w:val="center"/>
          </w:tcPr>
          <w:p w14:paraId="145C810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6826BF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464B98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7" w:type="dxa"/>
            <w:tcBorders>
              <w:top w:val="nil"/>
              <w:left w:val="nil"/>
              <w:bottom w:val="single" w:color="000000" w:sz="4" w:space="0"/>
              <w:right w:val="single" w:color="000000" w:sz="4" w:space="0"/>
            </w:tcBorders>
            <w:shd w:val="clear" w:color="auto" w:fill="auto"/>
            <w:vAlign w:val="center"/>
          </w:tcPr>
          <w:p w14:paraId="0643AB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　</w:t>
            </w:r>
          </w:p>
        </w:tc>
        <w:tc>
          <w:tcPr>
            <w:tcW w:w="950" w:type="dxa"/>
            <w:tcBorders>
              <w:top w:val="nil"/>
              <w:left w:val="nil"/>
              <w:bottom w:val="single" w:color="000000" w:sz="4" w:space="0"/>
              <w:right w:val="single" w:color="000000" w:sz="4" w:space="0"/>
            </w:tcBorders>
            <w:shd w:val="clear" w:color="auto" w:fill="auto"/>
            <w:vAlign w:val="center"/>
          </w:tcPr>
          <w:p w14:paraId="5C1FAC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B75856">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9EA2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17" w:type="dxa"/>
            <w:tcBorders>
              <w:top w:val="nil"/>
              <w:left w:val="nil"/>
              <w:bottom w:val="single" w:color="000000" w:sz="4" w:space="0"/>
              <w:right w:val="single" w:color="000000" w:sz="4" w:space="0"/>
            </w:tcBorders>
            <w:shd w:val="clear" w:color="auto" w:fill="auto"/>
            <w:vAlign w:val="center"/>
          </w:tcPr>
          <w:p w14:paraId="6F0C218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7" w:type="dxa"/>
            <w:tcBorders>
              <w:top w:val="nil"/>
              <w:left w:val="nil"/>
              <w:bottom w:val="single" w:color="000000" w:sz="4" w:space="0"/>
              <w:right w:val="single" w:color="000000" w:sz="4" w:space="0"/>
            </w:tcBorders>
            <w:shd w:val="clear" w:color="auto" w:fill="auto"/>
            <w:vAlign w:val="center"/>
          </w:tcPr>
          <w:p w14:paraId="3028382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100</w:t>
            </w:r>
          </w:p>
        </w:tc>
        <w:tc>
          <w:tcPr>
            <w:tcW w:w="950" w:type="dxa"/>
            <w:tcBorders>
              <w:top w:val="nil"/>
              <w:left w:val="nil"/>
              <w:bottom w:val="single" w:color="000000" w:sz="4" w:space="0"/>
              <w:right w:val="single" w:color="000000" w:sz="4" w:space="0"/>
            </w:tcBorders>
            <w:shd w:val="clear" w:color="auto" w:fill="auto"/>
            <w:vAlign w:val="center"/>
          </w:tcPr>
          <w:p w14:paraId="41D255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81E35E">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63FEFA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13988ECB">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绩效目标实现指标自评得分100.00分，自评等次为：优，严格执行相关政策，按要求支付，保证资金不浪费。</w:t>
            </w:r>
          </w:p>
        </w:tc>
      </w:tr>
      <w:tr w14:paraId="0D8C246D">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169E13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340BC48A">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14:paraId="67364BCC">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7E2445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38393FEE">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14:paraId="26BE3660">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3BD9F">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shd w:val="clear" w:color="auto" w:fill="auto"/>
            <w:vAlign w:val="center"/>
          </w:tcPr>
          <w:p w14:paraId="0056C05B">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财务负责人：奉勇</w:t>
            </w:r>
          </w:p>
        </w:tc>
      </w:tr>
      <w:tr w14:paraId="7E24A52A">
        <w:tblPrEx>
          <w:tblCellMar>
            <w:top w:w="0" w:type="dxa"/>
            <w:left w:w="108" w:type="dxa"/>
            <w:bottom w:w="0" w:type="dxa"/>
            <w:right w:w="108" w:type="dxa"/>
          </w:tblCellMar>
        </w:tblPrEx>
        <w:trPr>
          <w:trHeight w:val="480" w:hRule="atLeast"/>
        </w:trPr>
        <w:tc>
          <w:tcPr>
            <w:tcW w:w="676" w:type="dxa"/>
            <w:tcBorders>
              <w:top w:val="nil"/>
              <w:left w:val="nil"/>
              <w:bottom w:val="nil"/>
              <w:right w:val="nil"/>
            </w:tcBorders>
            <w:shd w:val="clear" w:color="auto" w:fill="auto"/>
            <w:vAlign w:val="center"/>
          </w:tcPr>
          <w:p w14:paraId="57F47F2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21" w:type="dxa"/>
            <w:tcBorders>
              <w:top w:val="nil"/>
              <w:left w:val="nil"/>
              <w:bottom w:val="nil"/>
              <w:right w:val="nil"/>
            </w:tcBorders>
            <w:shd w:val="clear" w:color="auto" w:fill="auto"/>
            <w:vAlign w:val="center"/>
          </w:tcPr>
          <w:p w14:paraId="31678F5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nil"/>
              <w:right w:val="nil"/>
            </w:tcBorders>
            <w:shd w:val="clear" w:color="auto" w:fill="auto"/>
            <w:vAlign w:val="center"/>
          </w:tcPr>
          <w:p w14:paraId="2A90CD7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52" w:type="dxa"/>
            <w:tcBorders>
              <w:top w:val="nil"/>
              <w:left w:val="nil"/>
              <w:bottom w:val="nil"/>
              <w:right w:val="nil"/>
            </w:tcBorders>
            <w:shd w:val="clear" w:color="auto" w:fill="auto"/>
            <w:vAlign w:val="center"/>
          </w:tcPr>
          <w:p w14:paraId="79753D1F">
            <w:pPr>
              <w:widowControl/>
              <w:jc w:val="left"/>
              <w:rPr>
                <w:rFonts w:ascii="宋体" w:hAnsi="宋体" w:eastAsia="宋体" w:cs="宋体"/>
                <w:kern w:val="0"/>
                <w:sz w:val="18"/>
                <w:szCs w:val="18"/>
              </w:rPr>
            </w:pPr>
          </w:p>
          <w:p w14:paraId="523FE423">
            <w:pPr>
              <w:widowControl/>
              <w:jc w:val="left"/>
              <w:rPr>
                <w:rFonts w:ascii="宋体" w:hAnsi="宋体" w:eastAsia="宋体" w:cs="宋体"/>
                <w:kern w:val="0"/>
                <w:sz w:val="18"/>
                <w:szCs w:val="18"/>
              </w:rPr>
            </w:pPr>
          </w:p>
          <w:p w14:paraId="4920DBF9">
            <w:pPr>
              <w:widowControl/>
              <w:jc w:val="left"/>
              <w:rPr>
                <w:rFonts w:ascii="宋体" w:hAnsi="宋体" w:eastAsia="宋体" w:cs="宋体"/>
                <w:kern w:val="0"/>
                <w:sz w:val="18"/>
                <w:szCs w:val="18"/>
              </w:rPr>
            </w:pPr>
          </w:p>
          <w:p w14:paraId="35B10080">
            <w:pPr>
              <w:widowControl/>
              <w:jc w:val="left"/>
              <w:rPr>
                <w:rFonts w:ascii="宋体" w:hAnsi="宋体" w:eastAsia="宋体" w:cs="宋体"/>
                <w:kern w:val="0"/>
                <w:sz w:val="18"/>
                <w:szCs w:val="18"/>
              </w:rPr>
            </w:pPr>
          </w:p>
          <w:p w14:paraId="6804807D">
            <w:pPr>
              <w:widowControl/>
              <w:jc w:val="left"/>
              <w:rPr>
                <w:rFonts w:ascii="宋体" w:hAnsi="宋体" w:eastAsia="宋体" w:cs="宋体"/>
                <w:kern w:val="0"/>
                <w:sz w:val="18"/>
                <w:szCs w:val="18"/>
              </w:rPr>
            </w:pPr>
          </w:p>
          <w:p w14:paraId="2E434707">
            <w:pPr>
              <w:widowControl/>
              <w:jc w:val="left"/>
              <w:rPr>
                <w:rFonts w:ascii="宋体" w:hAnsi="宋体" w:eastAsia="宋体" w:cs="宋体"/>
                <w:kern w:val="0"/>
                <w:sz w:val="18"/>
                <w:szCs w:val="18"/>
              </w:rPr>
            </w:pPr>
          </w:p>
          <w:p w14:paraId="48727EF4">
            <w:pPr>
              <w:widowControl/>
              <w:jc w:val="left"/>
              <w:rPr>
                <w:rFonts w:ascii="宋体" w:hAnsi="宋体" w:eastAsia="宋体" w:cs="宋体"/>
                <w:kern w:val="0"/>
                <w:sz w:val="18"/>
                <w:szCs w:val="18"/>
              </w:rPr>
            </w:pPr>
          </w:p>
          <w:p w14:paraId="0D9A17C7">
            <w:pPr>
              <w:widowControl/>
              <w:jc w:val="left"/>
              <w:rPr>
                <w:rFonts w:ascii="宋体" w:hAnsi="宋体" w:eastAsia="宋体" w:cs="宋体"/>
                <w:kern w:val="0"/>
                <w:sz w:val="18"/>
                <w:szCs w:val="18"/>
              </w:rPr>
            </w:pPr>
          </w:p>
          <w:p w14:paraId="327C0A86">
            <w:pPr>
              <w:widowControl/>
              <w:jc w:val="left"/>
              <w:rPr>
                <w:rFonts w:ascii="宋体" w:hAnsi="宋体" w:eastAsia="宋体" w:cs="宋体"/>
                <w:kern w:val="0"/>
                <w:sz w:val="18"/>
                <w:szCs w:val="18"/>
              </w:rPr>
            </w:pPr>
          </w:p>
          <w:p w14:paraId="4BEFE3F7">
            <w:pPr>
              <w:widowControl/>
              <w:jc w:val="left"/>
              <w:rPr>
                <w:rFonts w:ascii="宋体" w:hAnsi="宋体" w:eastAsia="宋体" w:cs="宋体"/>
                <w:kern w:val="0"/>
                <w:sz w:val="18"/>
                <w:szCs w:val="18"/>
              </w:rPr>
            </w:pPr>
          </w:p>
          <w:p w14:paraId="47F6B96F">
            <w:pPr>
              <w:widowControl/>
              <w:jc w:val="left"/>
              <w:rPr>
                <w:rFonts w:ascii="宋体" w:hAnsi="宋体" w:eastAsia="宋体" w:cs="宋体"/>
                <w:kern w:val="0"/>
                <w:sz w:val="18"/>
                <w:szCs w:val="18"/>
              </w:rPr>
            </w:pPr>
          </w:p>
          <w:p w14:paraId="78707C9B">
            <w:pPr>
              <w:widowControl/>
              <w:jc w:val="left"/>
              <w:rPr>
                <w:rFonts w:ascii="宋体" w:hAnsi="宋体" w:eastAsia="宋体" w:cs="宋体"/>
                <w:kern w:val="0"/>
                <w:sz w:val="18"/>
                <w:szCs w:val="18"/>
              </w:rPr>
            </w:pPr>
          </w:p>
          <w:p w14:paraId="4EBBDDFA">
            <w:pPr>
              <w:widowControl/>
              <w:jc w:val="left"/>
              <w:rPr>
                <w:rFonts w:ascii="宋体" w:hAnsi="宋体" w:eastAsia="宋体" w:cs="宋体"/>
                <w:kern w:val="0"/>
                <w:sz w:val="18"/>
                <w:szCs w:val="18"/>
              </w:rPr>
            </w:pPr>
          </w:p>
          <w:p w14:paraId="1EE52F79">
            <w:pPr>
              <w:widowControl/>
              <w:jc w:val="left"/>
              <w:rPr>
                <w:rFonts w:ascii="宋体" w:hAnsi="宋体" w:eastAsia="宋体" w:cs="宋体"/>
                <w:kern w:val="0"/>
                <w:sz w:val="18"/>
                <w:szCs w:val="18"/>
              </w:rPr>
            </w:pPr>
          </w:p>
        </w:tc>
        <w:tc>
          <w:tcPr>
            <w:tcW w:w="768" w:type="dxa"/>
            <w:tcBorders>
              <w:top w:val="nil"/>
              <w:left w:val="nil"/>
              <w:bottom w:val="nil"/>
              <w:right w:val="nil"/>
            </w:tcBorders>
            <w:shd w:val="clear" w:color="auto" w:fill="auto"/>
            <w:vAlign w:val="center"/>
          </w:tcPr>
          <w:p w14:paraId="652E30D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75" w:type="dxa"/>
            <w:tcBorders>
              <w:top w:val="nil"/>
              <w:left w:val="nil"/>
              <w:bottom w:val="nil"/>
              <w:right w:val="nil"/>
            </w:tcBorders>
            <w:shd w:val="clear" w:color="auto" w:fill="auto"/>
            <w:vAlign w:val="center"/>
          </w:tcPr>
          <w:p w14:paraId="2F12128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96" w:type="dxa"/>
            <w:tcBorders>
              <w:top w:val="nil"/>
              <w:left w:val="nil"/>
              <w:bottom w:val="nil"/>
              <w:right w:val="nil"/>
            </w:tcBorders>
            <w:shd w:val="clear" w:color="auto" w:fill="auto"/>
            <w:vAlign w:val="center"/>
          </w:tcPr>
          <w:p w14:paraId="165DE94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46" w:type="dxa"/>
            <w:tcBorders>
              <w:top w:val="nil"/>
              <w:left w:val="nil"/>
              <w:bottom w:val="nil"/>
              <w:right w:val="nil"/>
            </w:tcBorders>
            <w:shd w:val="clear" w:color="auto" w:fill="auto"/>
            <w:vAlign w:val="center"/>
          </w:tcPr>
          <w:p w14:paraId="321AF46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17" w:type="dxa"/>
            <w:tcBorders>
              <w:top w:val="nil"/>
              <w:left w:val="nil"/>
              <w:bottom w:val="nil"/>
              <w:right w:val="nil"/>
            </w:tcBorders>
            <w:shd w:val="clear" w:color="auto" w:fill="auto"/>
            <w:vAlign w:val="center"/>
          </w:tcPr>
          <w:p w14:paraId="59E0D08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7" w:type="dxa"/>
            <w:tcBorders>
              <w:top w:val="nil"/>
              <w:left w:val="nil"/>
              <w:bottom w:val="nil"/>
              <w:right w:val="nil"/>
            </w:tcBorders>
            <w:shd w:val="clear" w:color="auto" w:fill="auto"/>
            <w:vAlign w:val="center"/>
          </w:tcPr>
          <w:p w14:paraId="5249EE9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50" w:type="dxa"/>
            <w:tcBorders>
              <w:top w:val="nil"/>
              <w:left w:val="nil"/>
              <w:bottom w:val="nil"/>
              <w:right w:val="nil"/>
            </w:tcBorders>
            <w:shd w:val="clear" w:color="auto" w:fill="auto"/>
            <w:vAlign w:val="center"/>
          </w:tcPr>
          <w:p w14:paraId="391A030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14:paraId="0B7C38BD">
        <w:tblPrEx>
          <w:tblCellMar>
            <w:top w:w="0" w:type="dxa"/>
            <w:left w:w="108" w:type="dxa"/>
            <w:bottom w:w="0" w:type="dxa"/>
            <w:right w:w="108" w:type="dxa"/>
          </w:tblCellMar>
        </w:tblPrEx>
        <w:trPr>
          <w:trHeight w:val="480" w:hRule="atLeast"/>
        </w:trPr>
        <w:tc>
          <w:tcPr>
            <w:tcW w:w="8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CA865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64535B5">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AF9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2C366D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51090423T000009404312-城乡义务教育-免作业本费</w:t>
            </w:r>
          </w:p>
        </w:tc>
      </w:tr>
      <w:tr w14:paraId="0CFDD573">
        <w:tblPrEx>
          <w:tblCellMar>
            <w:top w:w="0" w:type="dxa"/>
            <w:left w:w="108" w:type="dxa"/>
            <w:bottom w:w="0" w:type="dxa"/>
            <w:right w:w="108" w:type="dxa"/>
          </w:tblCellMar>
        </w:tblPrEx>
        <w:trPr>
          <w:trHeight w:val="480" w:hRule="atLeast"/>
        </w:trPr>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42D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1D697E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遂宁市安居区安居镇安平小学校部门</w:t>
            </w:r>
          </w:p>
        </w:tc>
        <w:tc>
          <w:tcPr>
            <w:tcW w:w="846" w:type="dxa"/>
            <w:tcBorders>
              <w:top w:val="nil"/>
              <w:left w:val="nil"/>
              <w:bottom w:val="nil"/>
              <w:right w:val="nil"/>
            </w:tcBorders>
            <w:shd w:val="clear" w:color="auto" w:fill="auto"/>
            <w:vAlign w:val="center"/>
          </w:tcPr>
          <w:p w14:paraId="5F2CEA6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1E4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遂宁市安居区安居镇安平小学校</w:t>
            </w:r>
          </w:p>
        </w:tc>
      </w:tr>
      <w:tr w14:paraId="73DC003C">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49B4010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021" w:type="dxa"/>
            <w:vMerge w:val="restart"/>
            <w:tcBorders>
              <w:top w:val="nil"/>
              <w:left w:val="single" w:color="000000" w:sz="4" w:space="0"/>
              <w:bottom w:val="single" w:color="000000" w:sz="4" w:space="0"/>
              <w:right w:val="single" w:color="000000" w:sz="4" w:space="0"/>
            </w:tcBorders>
            <w:shd w:val="clear" w:color="auto" w:fill="auto"/>
            <w:vAlign w:val="center"/>
          </w:tcPr>
          <w:p w14:paraId="7E1CE40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1C6FEF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247BD9A3">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5928F9C3">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324EF438">
            <w:pPr>
              <w:widowControl/>
              <w:jc w:val="left"/>
              <w:rPr>
                <w:rFonts w:ascii="宋体" w:hAnsi="宋体" w:eastAsia="宋体" w:cs="宋体"/>
                <w:color w:val="000000"/>
                <w:kern w:val="0"/>
                <w:sz w:val="18"/>
                <w:szCs w:val="18"/>
              </w:rPr>
            </w:pPr>
          </w:p>
        </w:tc>
        <w:tc>
          <w:tcPr>
            <w:tcW w:w="1021" w:type="dxa"/>
            <w:vMerge w:val="continue"/>
            <w:tcBorders>
              <w:top w:val="nil"/>
              <w:left w:val="single" w:color="000000" w:sz="4" w:space="0"/>
              <w:bottom w:val="single" w:color="000000" w:sz="4" w:space="0"/>
              <w:right w:val="single" w:color="000000" w:sz="4" w:space="0"/>
            </w:tcBorders>
            <w:vAlign w:val="center"/>
          </w:tcPr>
          <w:p w14:paraId="2FADFC9F">
            <w:pPr>
              <w:widowControl/>
              <w:jc w:val="left"/>
              <w:rPr>
                <w:rFonts w:ascii="宋体" w:hAnsi="宋体" w:eastAsia="宋体" w:cs="宋体"/>
                <w:color w:val="000000"/>
                <w:kern w:val="0"/>
                <w:sz w:val="18"/>
                <w:szCs w:val="18"/>
              </w:rPr>
            </w:pPr>
          </w:p>
        </w:tc>
        <w:tc>
          <w:tcPr>
            <w:tcW w:w="4098" w:type="dxa"/>
            <w:gridSpan w:val="5"/>
            <w:tcBorders>
              <w:top w:val="single" w:color="000000" w:sz="4" w:space="0"/>
              <w:left w:val="nil"/>
              <w:bottom w:val="single" w:color="000000" w:sz="4" w:space="0"/>
              <w:right w:val="single" w:color="000000" w:sz="4" w:space="0"/>
            </w:tcBorders>
            <w:shd w:val="clear" w:color="auto" w:fill="auto"/>
            <w:vAlign w:val="center"/>
          </w:tcPr>
          <w:p w14:paraId="3773A3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保障学校正常运转，提高预算编制质量，严格执行预算，减少结余资金。</w:t>
            </w:r>
          </w:p>
        </w:tc>
        <w:tc>
          <w:tcPr>
            <w:tcW w:w="2810" w:type="dxa"/>
            <w:gridSpan w:val="4"/>
            <w:tcBorders>
              <w:top w:val="single" w:color="000000" w:sz="4" w:space="0"/>
              <w:left w:val="nil"/>
              <w:bottom w:val="single" w:color="000000" w:sz="4" w:space="0"/>
              <w:right w:val="single" w:color="000000" w:sz="4" w:space="0"/>
            </w:tcBorders>
            <w:shd w:val="clear" w:color="auto" w:fill="auto"/>
            <w:vAlign w:val="center"/>
          </w:tcPr>
          <w:p w14:paraId="7B16293D">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严格执行预算，及时申请支付资金，保证学生作业本按时发放。</w:t>
            </w:r>
          </w:p>
        </w:tc>
      </w:tr>
      <w:tr w14:paraId="5ED212B1">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7A1A710">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9A07EE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6908" w:type="dxa"/>
            <w:gridSpan w:val="9"/>
            <w:tcBorders>
              <w:top w:val="single" w:color="000000" w:sz="4" w:space="0"/>
              <w:left w:val="nil"/>
              <w:bottom w:val="single" w:color="000000" w:sz="4" w:space="0"/>
              <w:right w:val="single" w:color="000000" w:sz="4" w:space="0"/>
            </w:tcBorders>
            <w:shd w:val="clear" w:color="auto" w:fill="auto"/>
            <w:vAlign w:val="center"/>
          </w:tcPr>
          <w:p w14:paraId="57F9B63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及时申报经费，保证学生作业本按时发放。</w:t>
            </w:r>
          </w:p>
        </w:tc>
      </w:tr>
      <w:tr w14:paraId="40ECE179">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21B0550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021" w:type="dxa"/>
            <w:tcBorders>
              <w:top w:val="nil"/>
              <w:left w:val="nil"/>
              <w:bottom w:val="single" w:color="000000" w:sz="4" w:space="0"/>
              <w:right w:val="single" w:color="000000" w:sz="4" w:space="0"/>
            </w:tcBorders>
            <w:shd w:val="clear" w:color="auto" w:fill="auto"/>
            <w:vAlign w:val="center"/>
          </w:tcPr>
          <w:p w14:paraId="5D117E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907" w:type="dxa"/>
            <w:tcBorders>
              <w:top w:val="nil"/>
              <w:left w:val="nil"/>
              <w:bottom w:val="single" w:color="000000" w:sz="4" w:space="0"/>
              <w:right w:val="single" w:color="000000" w:sz="4" w:space="0"/>
            </w:tcBorders>
            <w:shd w:val="clear" w:color="auto" w:fill="auto"/>
            <w:vAlign w:val="center"/>
          </w:tcPr>
          <w:p w14:paraId="4F4356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852" w:type="dxa"/>
            <w:tcBorders>
              <w:top w:val="nil"/>
              <w:left w:val="nil"/>
              <w:bottom w:val="single" w:color="000000" w:sz="4" w:space="0"/>
              <w:right w:val="single" w:color="000000" w:sz="4" w:space="0"/>
            </w:tcBorders>
            <w:shd w:val="clear" w:color="auto" w:fill="auto"/>
            <w:vAlign w:val="center"/>
          </w:tcPr>
          <w:p w14:paraId="37D7A40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7BB728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578DE4B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17" w:type="dxa"/>
            <w:tcBorders>
              <w:top w:val="nil"/>
              <w:left w:val="nil"/>
              <w:bottom w:val="single" w:color="000000" w:sz="4" w:space="0"/>
              <w:right w:val="single" w:color="000000" w:sz="4" w:space="0"/>
            </w:tcBorders>
            <w:shd w:val="clear" w:color="auto" w:fill="auto"/>
            <w:vAlign w:val="center"/>
          </w:tcPr>
          <w:p w14:paraId="0B4318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50A4CB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7ED832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72CC8A80">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18112A88">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19737B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907" w:type="dxa"/>
            <w:tcBorders>
              <w:top w:val="nil"/>
              <w:left w:val="nil"/>
              <w:bottom w:val="single" w:color="000000" w:sz="4" w:space="0"/>
              <w:right w:val="single" w:color="000000" w:sz="4" w:space="0"/>
            </w:tcBorders>
            <w:shd w:val="clear" w:color="auto" w:fill="auto"/>
            <w:vAlign w:val="center"/>
          </w:tcPr>
          <w:p w14:paraId="375EEC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004F60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0.30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078DF6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0.30</w:t>
            </w:r>
          </w:p>
        </w:tc>
        <w:tc>
          <w:tcPr>
            <w:tcW w:w="846" w:type="dxa"/>
            <w:tcBorders>
              <w:top w:val="nil"/>
              <w:left w:val="nil"/>
              <w:bottom w:val="single" w:color="000000" w:sz="4" w:space="0"/>
              <w:right w:val="single" w:color="000000" w:sz="4" w:space="0"/>
            </w:tcBorders>
            <w:shd w:val="clear" w:color="auto" w:fill="auto"/>
            <w:vAlign w:val="center"/>
          </w:tcPr>
          <w:p w14:paraId="539451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4073F50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97" w:type="dxa"/>
            <w:tcBorders>
              <w:top w:val="nil"/>
              <w:left w:val="nil"/>
              <w:bottom w:val="single" w:color="000000" w:sz="4" w:space="0"/>
              <w:right w:val="single" w:color="000000" w:sz="4" w:space="0"/>
            </w:tcBorders>
            <w:shd w:val="clear" w:color="auto" w:fill="auto"/>
            <w:vAlign w:val="center"/>
          </w:tcPr>
          <w:p w14:paraId="0FC7ECE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950" w:type="dxa"/>
            <w:vMerge w:val="restart"/>
            <w:tcBorders>
              <w:top w:val="nil"/>
              <w:left w:val="single" w:color="000000" w:sz="4" w:space="0"/>
              <w:bottom w:val="single" w:color="000000" w:sz="4" w:space="0"/>
              <w:right w:val="single" w:color="000000" w:sz="4" w:space="0"/>
            </w:tcBorders>
            <w:shd w:val="clear" w:color="auto" w:fill="auto"/>
            <w:vAlign w:val="center"/>
          </w:tcPr>
          <w:p w14:paraId="506F5D70">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41F34213">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0DCCDD7">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6EBA20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907" w:type="dxa"/>
            <w:tcBorders>
              <w:top w:val="nil"/>
              <w:left w:val="nil"/>
              <w:bottom w:val="single" w:color="000000" w:sz="4" w:space="0"/>
              <w:right w:val="single" w:color="000000" w:sz="4" w:space="0"/>
            </w:tcBorders>
            <w:shd w:val="clear" w:color="auto" w:fill="auto"/>
            <w:vAlign w:val="center"/>
          </w:tcPr>
          <w:p w14:paraId="7BFB68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3D6814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0.30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3DCAF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0.30</w:t>
            </w:r>
          </w:p>
        </w:tc>
        <w:tc>
          <w:tcPr>
            <w:tcW w:w="846" w:type="dxa"/>
            <w:tcBorders>
              <w:top w:val="nil"/>
              <w:left w:val="nil"/>
              <w:bottom w:val="single" w:color="000000" w:sz="4" w:space="0"/>
              <w:right w:val="single" w:color="000000" w:sz="4" w:space="0"/>
            </w:tcBorders>
            <w:shd w:val="clear" w:color="auto" w:fill="auto"/>
            <w:vAlign w:val="center"/>
          </w:tcPr>
          <w:p w14:paraId="661B21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17" w:type="dxa"/>
            <w:tcBorders>
              <w:top w:val="nil"/>
              <w:left w:val="nil"/>
              <w:bottom w:val="single" w:color="000000" w:sz="4" w:space="0"/>
              <w:right w:val="single" w:color="000000" w:sz="4" w:space="0"/>
            </w:tcBorders>
            <w:shd w:val="clear" w:color="auto" w:fill="auto"/>
            <w:vAlign w:val="center"/>
          </w:tcPr>
          <w:p w14:paraId="096618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291B2C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75DC2981">
            <w:pPr>
              <w:widowControl/>
              <w:jc w:val="left"/>
              <w:rPr>
                <w:rFonts w:ascii="Courier New" w:hAnsi="Courier New" w:eastAsia="等线" w:cs="Courier New"/>
                <w:i/>
                <w:iCs/>
                <w:color w:val="000000"/>
                <w:kern w:val="0"/>
                <w:sz w:val="18"/>
                <w:szCs w:val="18"/>
              </w:rPr>
            </w:pPr>
          </w:p>
        </w:tc>
      </w:tr>
      <w:tr w14:paraId="0329B4E5">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558D11D">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79E5AEB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907" w:type="dxa"/>
            <w:tcBorders>
              <w:top w:val="nil"/>
              <w:left w:val="nil"/>
              <w:bottom w:val="single" w:color="000000" w:sz="4" w:space="0"/>
              <w:right w:val="single" w:color="000000" w:sz="4" w:space="0"/>
            </w:tcBorders>
            <w:shd w:val="clear" w:color="auto" w:fill="auto"/>
            <w:vAlign w:val="center"/>
          </w:tcPr>
          <w:p w14:paraId="7ADB5F8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411915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49CD43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1EB36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55928F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62EE11D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394A7789">
            <w:pPr>
              <w:widowControl/>
              <w:jc w:val="left"/>
              <w:rPr>
                <w:rFonts w:ascii="Courier New" w:hAnsi="Courier New" w:eastAsia="等线" w:cs="Courier New"/>
                <w:i/>
                <w:iCs/>
                <w:color w:val="000000"/>
                <w:kern w:val="0"/>
                <w:sz w:val="18"/>
                <w:szCs w:val="18"/>
              </w:rPr>
            </w:pPr>
          </w:p>
        </w:tc>
      </w:tr>
      <w:tr w14:paraId="3C69BFDF">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79EDD8BD">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1B5330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907" w:type="dxa"/>
            <w:tcBorders>
              <w:top w:val="nil"/>
              <w:left w:val="nil"/>
              <w:bottom w:val="single" w:color="000000" w:sz="4" w:space="0"/>
              <w:right w:val="single" w:color="000000" w:sz="4" w:space="0"/>
            </w:tcBorders>
            <w:shd w:val="clear" w:color="auto" w:fill="auto"/>
            <w:vAlign w:val="center"/>
          </w:tcPr>
          <w:p w14:paraId="5B5328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52" w:type="dxa"/>
            <w:tcBorders>
              <w:top w:val="nil"/>
              <w:left w:val="nil"/>
              <w:bottom w:val="single" w:color="000000" w:sz="4" w:space="0"/>
              <w:right w:val="single" w:color="000000" w:sz="4" w:space="0"/>
            </w:tcBorders>
            <w:shd w:val="clear" w:color="auto" w:fill="auto"/>
            <w:vAlign w:val="center"/>
          </w:tcPr>
          <w:p w14:paraId="22CFB2B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1E0167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740F87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17" w:type="dxa"/>
            <w:tcBorders>
              <w:top w:val="nil"/>
              <w:left w:val="nil"/>
              <w:bottom w:val="single" w:color="000000" w:sz="4" w:space="0"/>
              <w:right w:val="single" w:color="000000" w:sz="4" w:space="0"/>
            </w:tcBorders>
            <w:shd w:val="clear" w:color="auto" w:fill="auto"/>
            <w:vAlign w:val="center"/>
          </w:tcPr>
          <w:p w14:paraId="53FD67D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3A86AD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7730F2E5">
            <w:pPr>
              <w:widowControl/>
              <w:jc w:val="left"/>
              <w:rPr>
                <w:rFonts w:ascii="Courier New" w:hAnsi="Courier New" w:eastAsia="等线" w:cs="Courier New"/>
                <w:i/>
                <w:iCs/>
                <w:color w:val="000000"/>
                <w:kern w:val="0"/>
                <w:sz w:val="18"/>
                <w:szCs w:val="18"/>
              </w:rPr>
            </w:pPr>
          </w:p>
        </w:tc>
      </w:tr>
      <w:tr w14:paraId="5A241944">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1C5E3ADF">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392CF5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907" w:type="dxa"/>
            <w:tcBorders>
              <w:top w:val="nil"/>
              <w:left w:val="nil"/>
              <w:bottom w:val="single" w:color="000000" w:sz="4" w:space="0"/>
              <w:right w:val="single" w:color="000000" w:sz="4" w:space="0"/>
            </w:tcBorders>
            <w:shd w:val="clear" w:color="auto" w:fill="auto"/>
            <w:vAlign w:val="center"/>
          </w:tcPr>
          <w:p w14:paraId="003F59F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2" w:type="dxa"/>
            <w:tcBorders>
              <w:top w:val="nil"/>
              <w:left w:val="nil"/>
              <w:bottom w:val="single" w:color="000000" w:sz="4" w:space="0"/>
              <w:right w:val="single" w:color="000000" w:sz="4" w:space="0"/>
            </w:tcBorders>
            <w:shd w:val="clear" w:color="auto" w:fill="auto"/>
            <w:vAlign w:val="center"/>
          </w:tcPr>
          <w:p w14:paraId="767A05E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39" w:type="dxa"/>
            <w:gridSpan w:val="3"/>
            <w:tcBorders>
              <w:top w:val="single" w:color="000000" w:sz="4" w:space="0"/>
              <w:left w:val="nil"/>
              <w:bottom w:val="single" w:color="000000" w:sz="4" w:space="0"/>
              <w:right w:val="single" w:color="000000" w:sz="4" w:space="0"/>
            </w:tcBorders>
            <w:shd w:val="clear" w:color="auto" w:fill="auto"/>
            <w:vAlign w:val="center"/>
          </w:tcPr>
          <w:p w14:paraId="54ABA9C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009403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2C2EEC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97" w:type="dxa"/>
            <w:tcBorders>
              <w:top w:val="nil"/>
              <w:left w:val="nil"/>
              <w:bottom w:val="single" w:color="000000" w:sz="4" w:space="0"/>
              <w:right w:val="single" w:color="000000" w:sz="4" w:space="0"/>
            </w:tcBorders>
            <w:shd w:val="clear" w:color="auto" w:fill="auto"/>
            <w:vAlign w:val="center"/>
          </w:tcPr>
          <w:p w14:paraId="4F12FD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50" w:type="dxa"/>
            <w:vMerge w:val="continue"/>
            <w:tcBorders>
              <w:top w:val="nil"/>
              <w:left w:val="single" w:color="000000" w:sz="4" w:space="0"/>
              <w:bottom w:val="single" w:color="000000" w:sz="4" w:space="0"/>
              <w:right w:val="single" w:color="000000" w:sz="4" w:space="0"/>
            </w:tcBorders>
            <w:vAlign w:val="center"/>
          </w:tcPr>
          <w:p w14:paraId="17AD4210">
            <w:pPr>
              <w:widowControl/>
              <w:jc w:val="left"/>
              <w:rPr>
                <w:rFonts w:ascii="Courier New" w:hAnsi="Courier New" w:eastAsia="等线" w:cs="Courier New"/>
                <w:i/>
                <w:iCs/>
                <w:color w:val="000000"/>
                <w:kern w:val="0"/>
                <w:sz w:val="18"/>
                <w:szCs w:val="18"/>
              </w:rPr>
            </w:pPr>
          </w:p>
        </w:tc>
      </w:tr>
      <w:tr w14:paraId="1E868753">
        <w:tblPrEx>
          <w:tblCellMar>
            <w:top w:w="0" w:type="dxa"/>
            <w:left w:w="108" w:type="dxa"/>
            <w:bottom w:w="0" w:type="dxa"/>
            <w:right w:w="108" w:type="dxa"/>
          </w:tblCellMar>
        </w:tblPrEx>
        <w:trPr>
          <w:trHeight w:val="48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49A80B9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021" w:type="dxa"/>
            <w:tcBorders>
              <w:top w:val="nil"/>
              <w:left w:val="nil"/>
              <w:bottom w:val="single" w:color="000000" w:sz="4" w:space="0"/>
              <w:right w:val="single" w:color="000000" w:sz="4" w:space="0"/>
            </w:tcBorders>
            <w:shd w:val="clear" w:color="auto" w:fill="auto"/>
            <w:vAlign w:val="center"/>
          </w:tcPr>
          <w:p w14:paraId="2C0705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907" w:type="dxa"/>
            <w:tcBorders>
              <w:top w:val="nil"/>
              <w:left w:val="nil"/>
              <w:bottom w:val="single" w:color="000000" w:sz="4" w:space="0"/>
              <w:right w:val="single" w:color="000000" w:sz="4" w:space="0"/>
            </w:tcBorders>
            <w:shd w:val="clear" w:color="auto" w:fill="auto"/>
            <w:vAlign w:val="center"/>
          </w:tcPr>
          <w:p w14:paraId="25E40B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852" w:type="dxa"/>
            <w:tcBorders>
              <w:top w:val="nil"/>
              <w:left w:val="nil"/>
              <w:bottom w:val="single" w:color="000000" w:sz="4" w:space="0"/>
              <w:right w:val="single" w:color="000000" w:sz="4" w:space="0"/>
            </w:tcBorders>
            <w:shd w:val="clear" w:color="auto" w:fill="auto"/>
            <w:vAlign w:val="center"/>
          </w:tcPr>
          <w:p w14:paraId="706C0D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768" w:type="dxa"/>
            <w:tcBorders>
              <w:top w:val="nil"/>
              <w:left w:val="nil"/>
              <w:bottom w:val="single" w:color="000000" w:sz="4" w:space="0"/>
              <w:right w:val="single" w:color="000000" w:sz="4" w:space="0"/>
            </w:tcBorders>
            <w:shd w:val="clear" w:color="auto" w:fill="auto"/>
            <w:vAlign w:val="center"/>
          </w:tcPr>
          <w:p w14:paraId="04FE9CA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775" w:type="dxa"/>
            <w:tcBorders>
              <w:top w:val="nil"/>
              <w:left w:val="nil"/>
              <w:bottom w:val="single" w:color="000000" w:sz="4" w:space="0"/>
              <w:right w:val="single" w:color="000000" w:sz="4" w:space="0"/>
            </w:tcBorders>
            <w:shd w:val="clear" w:color="auto" w:fill="auto"/>
            <w:vAlign w:val="center"/>
          </w:tcPr>
          <w:p w14:paraId="7819B9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796" w:type="dxa"/>
            <w:tcBorders>
              <w:top w:val="nil"/>
              <w:left w:val="nil"/>
              <w:bottom w:val="single" w:color="000000" w:sz="4" w:space="0"/>
              <w:right w:val="single" w:color="000000" w:sz="4" w:space="0"/>
            </w:tcBorders>
            <w:shd w:val="clear" w:color="auto" w:fill="auto"/>
            <w:vAlign w:val="center"/>
          </w:tcPr>
          <w:p w14:paraId="1D36FA2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608C6AA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17" w:type="dxa"/>
            <w:tcBorders>
              <w:top w:val="nil"/>
              <w:left w:val="nil"/>
              <w:bottom w:val="single" w:color="000000" w:sz="4" w:space="0"/>
              <w:right w:val="single" w:color="000000" w:sz="4" w:space="0"/>
            </w:tcBorders>
            <w:shd w:val="clear" w:color="auto" w:fill="auto"/>
            <w:vAlign w:val="center"/>
          </w:tcPr>
          <w:p w14:paraId="3B3141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97" w:type="dxa"/>
            <w:tcBorders>
              <w:top w:val="nil"/>
              <w:left w:val="nil"/>
              <w:bottom w:val="single" w:color="000000" w:sz="4" w:space="0"/>
              <w:right w:val="single" w:color="000000" w:sz="4" w:space="0"/>
            </w:tcBorders>
            <w:shd w:val="clear" w:color="auto" w:fill="auto"/>
            <w:vAlign w:val="center"/>
          </w:tcPr>
          <w:p w14:paraId="4BCDD3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50" w:type="dxa"/>
            <w:tcBorders>
              <w:top w:val="nil"/>
              <w:left w:val="nil"/>
              <w:bottom w:val="single" w:color="000000" w:sz="4" w:space="0"/>
              <w:right w:val="single" w:color="000000" w:sz="4" w:space="0"/>
            </w:tcBorders>
            <w:shd w:val="clear" w:color="auto" w:fill="auto"/>
            <w:vAlign w:val="center"/>
          </w:tcPr>
          <w:p w14:paraId="0B7AC1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790B9439">
        <w:tblPrEx>
          <w:tblCellMar>
            <w:top w:w="0" w:type="dxa"/>
            <w:left w:w="108" w:type="dxa"/>
            <w:bottom w:w="0" w:type="dxa"/>
            <w:right w:w="108" w:type="dxa"/>
          </w:tblCellMar>
        </w:tblPrEx>
        <w:trPr>
          <w:trHeight w:val="480" w:hRule="atLeast"/>
        </w:trPr>
        <w:tc>
          <w:tcPr>
            <w:tcW w:w="676" w:type="dxa"/>
            <w:vMerge w:val="continue"/>
            <w:tcBorders>
              <w:top w:val="nil"/>
              <w:left w:val="single" w:color="000000" w:sz="4" w:space="0"/>
              <w:bottom w:val="single" w:color="000000" w:sz="4" w:space="0"/>
              <w:right w:val="single" w:color="000000" w:sz="4" w:space="0"/>
            </w:tcBorders>
            <w:vAlign w:val="center"/>
          </w:tcPr>
          <w:p w14:paraId="57163D64">
            <w:pPr>
              <w:widowControl/>
              <w:jc w:val="left"/>
              <w:rPr>
                <w:rFonts w:ascii="宋体" w:hAnsi="宋体" w:eastAsia="宋体" w:cs="宋体"/>
                <w:color w:val="000000"/>
                <w:kern w:val="0"/>
                <w:sz w:val="18"/>
                <w:szCs w:val="18"/>
              </w:rPr>
            </w:pPr>
          </w:p>
        </w:tc>
        <w:tc>
          <w:tcPr>
            <w:tcW w:w="1021" w:type="dxa"/>
            <w:tcBorders>
              <w:top w:val="nil"/>
              <w:left w:val="nil"/>
              <w:bottom w:val="single" w:color="000000" w:sz="4" w:space="0"/>
              <w:right w:val="single" w:color="000000" w:sz="4" w:space="0"/>
            </w:tcBorders>
            <w:shd w:val="clear" w:color="auto" w:fill="auto"/>
            <w:vAlign w:val="center"/>
          </w:tcPr>
          <w:p w14:paraId="03EFB61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07" w:type="dxa"/>
            <w:tcBorders>
              <w:top w:val="nil"/>
              <w:left w:val="nil"/>
              <w:bottom w:val="single" w:color="000000" w:sz="4" w:space="0"/>
              <w:right w:val="single" w:color="000000" w:sz="4" w:space="0"/>
            </w:tcBorders>
            <w:shd w:val="clear" w:color="auto" w:fill="auto"/>
            <w:vAlign w:val="center"/>
          </w:tcPr>
          <w:p w14:paraId="3998DA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2" w:type="dxa"/>
            <w:tcBorders>
              <w:top w:val="nil"/>
              <w:left w:val="nil"/>
              <w:bottom w:val="single" w:color="000000" w:sz="4" w:space="0"/>
              <w:right w:val="single" w:color="000000" w:sz="4" w:space="0"/>
            </w:tcBorders>
            <w:shd w:val="clear" w:color="auto" w:fill="auto"/>
            <w:vAlign w:val="center"/>
          </w:tcPr>
          <w:p w14:paraId="7B9298F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68" w:type="dxa"/>
            <w:tcBorders>
              <w:top w:val="nil"/>
              <w:left w:val="nil"/>
              <w:bottom w:val="single" w:color="000000" w:sz="4" w:space="0"/>
              <w:right w:val="single" w:color="000000" w:sz="4" w:space="0"/>
            </w:tcBorders>
            <w:shd w:val="clear" w:color="auto" w:fill="auto"/>
            <w:vAlign w:val="center"/>
          </w:tcPr>
          <w:p w14:paraId="556BA7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75" w:type="dxa"/>
            <w:tcBorders>
              <w:top w:val="nil"/>
              <w:left w:val="nil"/>
              <w:bottom w:val="single" w:color="000000" w:sz="4" w:space="0"/>
              <w:right w:val="single" w:color="000000" w:sz="4" w:space="0"/>
            </w:tcBorders>
            <w:shd w:val="clear" w:color="auto" w:fill="auto"/>
            <w:vAlign w:val="center"/>
          </w:tcPr>
          <w:p w14:paraId="3FA1230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96" w:type="dxa"/>
            <w:tcBorders>
              <w:top w:val="nil"/>
              <w:left w:val="nil"/>
              <w:bottom w:val="single" w:color="000000" w:sz="4" w:space="0"/>
              <w:right w:val="single" w:color="000000" w:sz="4" w:space="0"/>
            </w:tcBorders>
            <w:shd w:val="clear" w:color="auto" w:fill="auto"/>
            <w:vAlign w:val="center"/>
          </w:tcPr>
          <w:p w14:paraId="3C2861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30C3F39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7" w:type="dxa"/>
            <w:tcBorders>
              <w:top w:val="nil"/>
              <w:left w:val="nil"/>
              <w:bottom w:val="single" w:color="000000" w:sz="4" w:space="0"/>
              <w:right w:val="single" w:color="000000" w:sz="4" w:space="0"/>
            </w:tcBorders>
            <w:shd w:val="clear" w:color="auto" w:fill="auto"/>
            <w:vAlign w:val="center"/>
          </w:tcPr>
          <w:p w14:paraId="2D5A821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7" w:type="dxa"/>
            <w:tcBorders>
              <w:top w:val="nil"/>
              <w:left w:val="nil"/>
              <w:bottom w:val="single" w:color="000000" w:sz="4" w:space="0"/>
              <w:right w:val="single" w:color="000000" w:sz="4" w:space="0"/>
            </w:tcBorders>
            <w:shd w:val="clear" w:color="auto" w:fill="auto"/>
            <w:vAlign w:val="center"/>
          </w:tcPr>
          <w:p w14:paraId="3EF6AF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　</w:t>
            </w:r>
          </w:p>
        </w:tc>
        <w:tc>
          <w:tcPr>
            <w:tcW w:w="950" w:type="dxa"/>
            <w:tcBorders>
              <w:top w:val="nil"/>
              <w:left w:val="nil"/>
              <w:bottom w:val="single" w:color="000000" w:sz="4" w:space="0"/>
              <w:right w:val="single" w:color="000000" w:sz="4" w:space="0"/>
            </w:tcBorders>
            <w:shd w:val="clear" w:color="auto" w:fill="auto"/>
            <w:vAlign w:val="center"/>
          </w:tcPr>
          <w:p w14:paraId="107C298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2153E69">
        <w:tblPrEx>
          <w:tblCellMar>
            <w:top w:w="0" w:type="dxa"/>
            <w:left w:w="108" w:type="dxa"/>
            <w:bottom w:w="0" w:type="dxa"/>
            <w:right w:w="108" w:type="dxa"/>
          </w:tblCellMar>
        </w:tblPrEx>
        <w:trPr>
          <w:trHeight w:val="480" w:hRule="atLeast"/>
        </w:trPr>
        <w:tc>
          <w:tcPr>
            <w:tcW w:w="66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5631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17" w:type="dxa"/>
            <w:tcBorders>
              <w:top w:val="nil"/>
              <w:left w:val="nil"/>
              <w:bottom w:val="single" w:color="000000" w:sz="4" w:space="0"/>
              <w:right w:val="single" w:color="000000" w:sz="4" w:space="0"/>
            </w:tcBorders>
            <w:shd w:val="clear" w:color="auto" w:fill="auto"/>
            <w:vAlign w:val="center"/>
          </w:tcPr>
          <w:p w14:paraId="025740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97" w:type="dxa"/>
            <w:tcBorders>
              <w:top w:val="nil"/>
              <w:left w:val="nil"/>
              <w:bottom w:val="single" w:color="000000" w:sz="4" w:space="0"/>
              <w:right w:val="single" w:color="000000" w:sz="4" w:space="0"/>
            </w:tcBorders>
            <w:shd w:val="clear" w:color="auto" w:fill="auto"/>
            <w:vAlign w:val="center"/>
          </w:tcPr>
          <w:p w14:paraId="4AD3269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100</w:t>
            </w:r>
          </w:p>
        </w:tc>
        <w:tc>
          <w:tcPr>
            <w:tcW w:w="950" w:type="dxa"/>
            <w:tcBorders>
              <w:top w:val="nil"/>
              <w:left w:val="nil"/>
              <w:bottom w:val="single" w:color="000000" w:sz="4" w:space="0"/>
              <w:right w:val="single" w:color="000000" w:sz="4" w:space="0"/>
            </w:tcBorders>
            <w:shd w:val="clear" w:color="auto" w:fill="auto"/>
            <w:vAlign w:val="center"/>
          </w:tcPr>
          <w:p w14:paraId="602D6D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752AC9">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142345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3E5C4A6A">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根据该项目预算执行率、 绩效目标实现指标自评得分100.00分，自评等次为：优，严格执行相关政策，按要求支付，保障学校正常运转。</w:t>
            </w:r>
          </w:p>
        </w:tc>
      </w:tr>
      <w:tr w14:paraId="42B2785C">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57A32C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7B81E59D">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14:paraId="55D32A8E">
        <w:tblPrEx>
          <w:tblCellMar>
            <w:top w:w="0" w:type="dxa"/>
            <w:left w:w="108" w:type="dxa"/>
            <w:bottom w:w="0" w:type="dxa"/>
            <w:right w:w="108" w:type="dxa"/>
          </w:tblCellMar>
        </w:tblPrEx>
        <w:trPr>
          <w:trHeight w:val="480" w:hRule="atLeast"/>
        </w:trPr>
        <w:tc>
          <w:tcPr>
            <w:tcW w:w="676" w:type="dxa"/>
            <w:tcBorders>
              <w:top w:val="nil"/>
              <w:left w:val="single" w:color="000000" w:sz="4" w:space="0"/>
              <w:bottom w:val="single" w:color="000000" w:sz="4" w:space="0"/>
              <w:right w:val="single" w:color="000000" w:sz="4" w:space="0"/>
            </w:tcBorders>
            <w:shd w:val="clear" w:color="auto" w:fill="auto"/>
            <w:vAlign w:val="center"/>
          </w:tcPr>
          <w:p w14:paraId="3362957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7929" w:type="dxa"/>
            <w:gridSpan w:val="10"/>
            <w:tcBorders>
              <w:top w:val="single" w:color="000000" w:sz="4" w:space="0"/>
              <w:left w:val="nil"/>
              <w:bottom w:val="single" w:color="000000" w:sz="4" w:space="0"/>
              <w:right w:val="single" w:color="000000" w:sz="4" w:space="0"/>
            </w:tcBorders>
            <w:shd w:val="clear" w:color="auto" w:fill="auto"/>
            <w:vAlign w:val="center"/>
          </w:tcPr>
          <w:p w14:paraId="73E330F6">
            <w:pPr>
              <w:widowControl/>
              <w:jc w:val="left"/>
              <w:rPr>
                <w:rFonts w:ascii="仿宋" w:hAnsi="仿宋" w:eastAsia="仿宋" w:cs="宋体"/>
                <w:color w:val="000000"/>
                <w:kern w:val="0"/>
                <w:sz w:val="16"/>
                <w:szCs w:val="16"/>
              </w:rPr>
            </w:pPr>
            <w:r>
              <w:rPr>
                <w:rFonts w:hint="eastAsia" w:ascii="仿宋" w:hAnsi="仿宋" w:eastAsia="仿宋" w:cs="宋体"/>
                <w:color w:val="000000"/>
                <w:kern w:val="0"/>
                <w:sz w:val="16"/>
                <w:szCs w:val="16"/>
              </w:rPr>
              <w:t>无</w:t>
            </w:r>
          </w:p>
        </w:tc>
      </w:tr>
      <w:tr w14:paraId="51CC754F">
        <w:tblPrEx>
          <w:tblCellMar>
            <w:top w:w="0" w:type="dxa"/>
            <w:left w:w="108" w:type="dxa"/>
            <w:bottom w:w="0" w:type="dxa"/>
            <w:right w:w="108" w:type="dxa"/>
          </w:tblCellMar>
        </w:tblPrEx>
        <w:trPr>
          <w:trHeight w:val="480" w:hRule="atLeast"/>
        </w:trPr>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1F251">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项目负责人：周瑜</w:t>
            </w:r>
          </w:p>
        </w:tc>
        <w:tc>
          <w:tcPr>
            <w:tcW w:w="4381" w:type="dxa"/>
            <w:gridSpan w:val="6"/>
            <w:tcBorders>
              <w:top w:val="single" w:color="000000" w:sz="4" w:space="0"/>
              <w:left w:val="nil"/>
              <w:bottom w:val="single" w:color="000000" w:sz="4" w:space="0"/>
              <w:right w:val="single" w:color="000000" w:sz="4" w:space="0"/>
            </w:tcBorders>
            <w:shd w:val="clear" w:color="auto" w:fill="auto"/>
            <w:vAlign w:val="center"/>
          </w:tcPr>
          <w:p w14:paraId="2DA31001">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财务负责人：奉勇</w:t>
            </w:r>
          </w:p>
        </w:tc>
      </w:tr>
    </w:tbl>
    <w:p w14:paraId="76BBDE07">
      <w:pPr>
        <w:keepNext/>
        <w:keepLines/>
        <w:spacing w:before="340" w:after="330" w:line="578" w:lineRule="auto"/>
        <w:jc w:val="center"/>
        <w:rPr>
          <w:rFonts w:ascii="黑体" w:hAnsi="黑体" w:eastAsia="黑体" w:cs="黑体"/>
          <w:b/>
          <w:sz w:val="44"/>
        </w:rPr>
      </w:pPr>
    </w:p>
    <w:p w14:paraId="7999A66C">
      <w:pPr>
        <w:keepNext/>
        <w:keepLines/>
        <w:spacing w:before="340" w:after="330" w:line="578" w:lineRule="auto"/>
        <w:jc w:val="center"/>
        <w:rPr>
          <w:rFonts w:ascii="黑体" w:hAnsi="黑体" w:eastAsia="黑体" w:cs="黑体"/>
          <w:b/>
          <w:sz w:val="44"/>
        </w:rPr>
      </w:pPr>
      <w:r>
        <w:rPr>
          <w:rFonts w:ascii="黑体" w:hAnsi="黑体" w:eastAsia="黑体" w:cs="黑体"/>
          <w:b/>
          <w:sz w:val="44"/>
        </w:rPr>
        <w:t>第五部分 附表</w:t>
      </w:r>
    </w:p>
    <w:p w14:paraId="51557590">
      <w:pPr>
        <w:rPr>
          <w:rFonts w:ascii="仿宋" w:hAnsi="仿宋" w:eastAsia="仿宋" w:cs="仿宋"/>
          <w:sz w:val="32"/>
        </w:rPr>
      </w:pPr>
      <w:r>
        <w:rPr>
          <w:rFonts w:ascii="仿宋" w:hAnsi="仿宋" w:eastAsia="仿宋" w:cs="仿宋"/>
          <w:sz w:val="32"/>
        </w:rPr>
        <w:t>一、收入支出决算总表</w:t>
      </w:r>
    </w:p>
    <w:p w14:paraId="382640D2">
      <w:pPr>
        <w:rPr>
          <w:rFonts w:ascii="仿宋" w:hAnsi="仿宋" w:eastAsia="仿宋" w:cs="仿宋"/>
          <w:sz w:val="32"/>
        </w:rPr>
      </w:pPr>
      <w:r>
        <w:rPr>
          <w:rFonts w:ascii="仿宋" w:hAnsi="仿宋" w:eastAsia="仿宋" w:cs="仿宋"/>
          <w:sz w:val="32"/>
        </w:rPr>
        <w:t>二、收入决算表</w:t>
      </w:r>
    </w:p>
    <w:p w14:paraId="78FDD4CF">
      <w:pPr>
        <w:rPr>
          <w:rFonts w:ascii="仿宋" w:hAnsi="仿宋" w:eastAsia="仿宋" w:cs="仿宋"/>
          <w:sz w:val="32"/>
        </w:rPr>
      </w:pPr>
      <w:r>
        <w:rPr>
          <w:rFonts w:ascii="仿宋" w:hAnsi="仿宋" w:eastAsia="仿宋" w:cs="仿宋"/>
          <w:sz w:val="32"/>
        </w:rPr>
        <w:t>三、支出决算表</w:t>
      </w:r>
    </w:p>
    <w:p w14:paraId="2CD68BDC">
      <w:pPr>
        <w:rPr>
          <w:rFonts w:ascii="仿宋" w:hAnsi="仿宋" w:eastAsia="仿宋" w:cs="仿宋"/>
          <w:sz w:val="32"/>
        </w:rPr>
      </w:pPr>
      <w:r>
        <w:rPr>
          <w:rFonts w:ascii="仿宋" w:hAnsi="仿宋" w:eastAsia="仿宋" w:cs="仿宋"/>
          <w:sz w:val="32"/>
        </w:rPr>
        <w:t>四、财政拨款收入支出决算总表</w:t>
      </w:r>
    </w:p>
    <w:p w14:paraId="7B0396D3">
      <w:pPr>
        <w:rPr>
          <w:rFonts w:ascii="仿宋" w:hAnsi="仿宋" w:eastAsia="仿宋" w:cs="仿宋"/>
          <w:sz w:val="32"/>
        </w:rPr>
      </w:pPr>
      <w:r>
        <w:rPr>
          <w:rFonts w:ascii="仿宋" w:hAnsi="仿宋" w:eastAsia="仿宋" w:cs="仿宋"/>
          <w:sz w:val="32"/>
        </w:rPr>
        <w:t>五、财政拨款支出决算明细表</w:t>
      </w:r>
    </w:p>
    <w:p w14:paraId="4D5BDEC4">
      <w:pPr>
        <w:rPr>
          <w:rFonts w:ascii="仿宋" w:hAnsi="仿宋" w:eastAsia="仿宋" w:cs="仿宋"/>
          <w:sz w:val="32"/>
        </w:rPr>
      </w:pPr>
      <w:r>
        <w:rPr>
          <w:rFonts w:ascii="仿宋" w:hAnsi="仿宋" w:eastAsia="仿宋" w:cs="仿宋"/>
          <w:sz w:val="32"/>
        </w:rPr>
        <w:t>六、一般公共预算财政拨款支出决算表</w:t>
      </w:r>
    </w:p>
    <w:p w14:paraId="511AA6AF">
      <w:pPr>
        <w:rPr>
          <w:rFonts w:ascii="仿宋" w:hAnsi="仿宋" w:eastAsia="仿宋" w:cs="仿宋"/>
          <w:sz w:val="32"/>
        </w:rPr>
      </w:pPr>
      <w:r>
        <w:rPr>
          <w:rFonts w:ascii="仿宋" w:hAnsi="仿宋" w:eastAsia="仿宋" w:cs="仿宋"/>
          <w:sz w:val="32"/>
        </w:rPr>
        <w:t>七、一般公共预算财政拨款支出决算明细表</w:t>
      </w:r>
    </w:p>
    <w:p w14:paraId="5BE0D075">
      <w:pPr>
        <w:rPr>
          <w:rFonts w:ascii="仿宋" w:hAnsi="仿宋" w:eastAsia="仿宋" w:cs="仿宋"/>
          <w:sz w:val="32"/>
        </w:rPr>
      </w:pPr>
      <w:r>
        <w:rPr>
          <w:rFonts w:ascii="仿宋" w:hAnsi="仿宋" w:eastAsia="仿宋" w:cs="仿宋"/>
          <w:sz w:val="32"/>
        </w:rPr>
        <w:t>八、一般公共预算财政拨款基本支出决算表</w:t>
      </w:r>
    </w:p>
    <w:p w14:paraId="4E15C03F">
      <w:pPr>
        <w:rPr>
          <w:rFonts w:ascii="仿宋" w:hAnsi="仿宋" w:eastAsia="仿宋" w:cs="仿宋"/>
          <w:sz w:val="32"/>
        </w:rPr>
      </w:pPr>
      <w:r>
        <w:rPr>
          <w:rFonts w:ascii="仿宋" w:hAnsi="仿宋" w:eastAsia="仿宋" w:cs="仿宋"/>
          <w:sz w:val="32"/>
        </w:rPr>
        <w:t>九、一般公共预算财政拨款项目支出决算表</w:t>
      </w:r>
    </w:p>
    <w:p w14:paraId="4F0DC0FA">
      <w:pPr>
        <w:rPr>
          <w:rFonts w:ascii="仿宋" w:hAnsi="仿宋" w:eastAsia="仿宋" w:cs="仿宋"/>
          <w:sz w:val="32"/>
        </w:rPr>
      </w:pPr>
      <w:r>
        <w:rPr>
          <w:rFonts w:ascii="仿宋" w:hAnsi="仿宋" w:eastAsia="仿宋" w:cs="仿宋"/>
          <w:sz w:val="32"/>
        </w:rPr>
        <w:t>十、政府性基金预算财政拨款收入支出决算表</w:t>
      </w:r>
    </w:p>
    <w:p w14:paraId="347260F7">
      <w:pPr>
        <w:rPr>
          <w:rFonts w:ascii="仿宋" w:hAnsi="仿宋" w:eastAsia="仿宋" w:cs="仿宋"/>
          <w:sz w:val="32"/>
        </w:rPr>
      </w:pPr>
      <w:r>
        <w:rPr>
          <w:rFonts w:ascii="仿宋" w:hAnsi="仿宋" w:eastAsia="仿宋" w:cs="仿宋"/>
          <w:sz w:val="32"/>
        </w:rPr>
        <w:t>十一、国有资本经营预算财政拨款收入支出决算表</w:t>
      </w:r>
    </w:p>
    <w:p w14:paraId="5B34A410">
      <w:pPr>
        <w:rPr>
          <w:rFonts w:ascii="仿宋" w:hAnsi="仿宋" w:eastAsia="仿宋" w:cs="仿宋"/>
          <w:sz w:val="32"/>
        </w:rPr>
      </w:pPr>
      <w:r>
        <w:rPr>
          <w:rFonts w:ascii="仿宋" w:hAnsi="仿宋" w:eastAsia="仿宋" w:cs="仿宋"/>
          <w:sz w:val="32"/>
        </w:rPr>
        <w:t>十二、国有资本经营预算财政拨款支出决算表</w:t>
      </w:r>
    </w:p>
    <w:p w14:paraId="470BBD13">
      <w:pPr>
        <w:rPr>
          <w:rFonts w:ascii="仿宋" w:hAnsi="仿宋" w:eastAsia="仿宋" w:cs="仿宋"/>
          <w:sz w:val="32"/>
        </w:rPr>
      </w:pPr>
      <w:r>
        <w:rPr>
          <w:rFonts w:ascii="仿宋" w:hAnsi="仿宋" w:eastAsia="仿宋" w:cs="仿宋"/>
          <w:sz w:val="32"/>
        </w:rPr>
        <w:t>十三、财政拨款“三公”经费支出决算表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629146"/>
      <w:docPartObj>
        <w:docPartGallery w:val="autotext"/>
      </w:docPartObj>
    </w:sdtPr>
    <w:sdtContent>
      <w:p w14:paraId="10767442">
        <w:pPr>
          <w:pStyle w:val="9"/>
        </w:pPr>
        <w:r>
          <w:fldChar w:fldCharType="begin"/>
        </w:r>
        <w:r>
          <w:instrText xml:space="preserve">PAGE   \* MERGEFORMAT</w:instrText>
        </w:r>
        <w:r>
          <w:fldChar w:fldCharType="separate"/>
        </w:r>
        <w:r>
          <w:rPr>
            <w:lang w:val="zh-CN"/>
          </w:rPr>
          <w:t>1</w:t>
        </w:r>
        <w:r>
          <w:fldChar w:fldCharType="end"/>
        </w:r>
      </w:p>
    </w:sdtContent>
  </w:sdt>
  <w:p w14:paraId="52D65A1E">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2D72EDE9"/>
    <w:multiLevelType w:val="singleLevel"/>
    <w:tmpl w:val="2D72EDE9"/>
    <w:lvl w:ilvl="0" w:tentative="0">
      <w:start w:val="3"/>
      <w:numFmt w:val="decimal"/>
      <w:lvlText w:val="%1."/>
      <w:lvlJc w:val="left"/>
      <w:pPr>
        <w:tabs>
          <w:tab w:val="left" w:pos="312"/>
        </w:tabs>
      </w:pPr>
    </w:lvl>
  </w:abstractNum>
  <w:abstractNum w:abstractNumId="2">
    <w:nsid w:val="3D3D05D9"/>
    <w:multiLevelType w:val="multilevel"/>
    <w:tmpl w:val="3D3D05D9"/>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121748"/>
    <w:multiLevelType w:val="multilevel"/>
    <w:tmpl w:val="7512174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1F5D31"/>
    <w:rsid w:val="000455CD"/>
    <w:rsid w:val="00086C28"/>
    <w:rsid w:val="000930B4"/>
    <w:rsid w:val="00097A88"/>
    <w:rsid w:val="000A5E03"/>
    <w:rsid w:val="000C0063"/>
    <w:rsid w:val="000E0AAE"/>
    <w:rsid w:val="00100B83"/>
    <w:rsid w:val="00116601"/>
    <w:rsid w:val="001270F5"/>
    <w:rsid w:val="00132877"/>
    <w:rsid w:val="00134DAC"/>
    <w:rsid w:val="001E2A07"/>
    <w:rsid w:val="001F0D06"/>
    <w:rsid w:val="001F5D31"/>
    <w:rsid w:val="0023524C"/>
    <w:rsid w:val="00255759"/>
    <w:rsid w:val="002930C3"/>
    <w:rsid w:val="00293F37"/>
    <w:rsid w:val="002C2F1F"/>
    <w:rsid w:val="002E5C1A"/>
    <w:rsid w:val="002F2946"/>
    <w:rsid w:val="00307CD9"/>
    <w:rsid w:val="00343607"/>
    <w:rsid w:val="0039062D"/>
    <w:rsid w:val="003A5B20"/>
    <w:rsid w:val="00401CD6"/>
    <w:rsid w:val="004115D9"/>
    <w:rsid w:val="00447E0D"/>
    <w:rsid w:val="00467460"/>
    <w:rsid w:val="0047201B"/>
    <w:rsid w:val="00492063"/>
    <w:rsid w:val="004B64B4"/>
    <w:rsid w:val="00506C75"/>
    <w:rsid w:val="00546352"/>
    <w:rsid w:val="0055013D"/>
    <w:rsid w:val="00550D25"/>
    <w:rsid w:val="005721D8"/>
    <w:rsid w:val="00582C6C"/>
    <w:rsid w:val="0059231E"/>
    <w:rsid w:val="005B0FEA"/>
    <w:rsid w:val="005F4A29"/>
    <w:rsid w:val="00602AFB"/>
    <w:rsid w:val="00670CA2"/>
    <w:rsid w:val="00682B3F"/>
    <w:rsid w:val="00685F75"/>
    <w:rsid w:val="006A7A95"/>
    <w:rsid w:val="006B4756"/>
    <w:rsid w:val="006B61BF"/>
    <w:rsid w:val="006C1042"/>
    <w:rsid w:val="006E4C29"/>
    <w:rsid w:val="006F5615"/>
    <w:rsid w:val="007320D5"/>
    <w:rsid w:val="00742985"/>
    <w:rsid w:val="00755502"/>
    <w:rsid w:val="00850DD3"/>
    <w:rsid w:val="00861791"/>
    <w:rsid w:val="00896AC9"/>
    <w:rsid w:val="008B0D7E"/>
    <w:rsid w:val="008E1564"/>
    <w:rsid w:val="00913CBA"/>
    <w:rsid w:val="00927FC2"/>
    <w:rsid w:val="00972A47"/>
    <w:rsid w:val="009912B2"/>
    <w:rsid w:val="00A72590"/>
    <w:rsid w:val="00AA7C59"/>
    <w:rsid w:val="00AD0843"/>
    <w:rsid w:val="00AF6E3A"/>
    <w:rsid w:val="00B2474F"/>
    <w:rsid w:val="00B26144"/>
    <w:rsid w:val="00B425C7"/>
    <w:rsid w:val="00BB1C81"/>
    <w:rsid w:val="00BC4379"/>
    <w:rsid w:val="00C50366"/>
    <w:rsid w:val="00C62D29"/>
    <w:rsid w:val="00C72FB4"/>
    <w:rsid w:val="00C748B2"/>
    <w:rsid w:val="00C77DC1"/>
    <w:rsid w:val="00C97A10"/>
    <w:rsid w:val="00CA65BD"/>
    <w:rsid w:val="00CC0D4A"/>
    <w:rsid w:val="00CF1457"/>
    <w:rsid w:val="00D026A7"/>
    <w:rsid w:val="00D20606"/>
    <w:rsid w:val="00D21A88"/>
    <w:rsid w:val="00D72B43"/>
    <w:rsid w:val="00DD5967"/>
    <w:rsid w:val="00DE17FE"/>
    <w:rsid w:val="00E4121F"/>
    <w:rsid w:val="00E56AC1"/>
    <w:rsid w:val="00E821AB"/>
    <w:rsid w:val="00E92FF4"/>
    <w:rsid w:val="00EC1D7C"/>
    <w:rsid w:val="00F00F81"/>
    <w:rsid w:val="00F13FCD"/>
    <w:rsid w:val="00F225E5"/>
    <w:rsid w:val="00F23135"/>
    <w:rsid w:val="00F4430F"/>
    <w:rsid w:val="00F754CF"/>
    <w:rsid w:val="00F77CE4"/>
    <w:rsid w:val="00FC0B4D"/>
    <w:rsid w:val="00FC6284"/>
    <w:rsid w:val="00FE18A7"/>
    <w:rsid w:val="0A9D666F"/>
    <w:rsid w:val="0CD30637"/>
    <w:rsid w:val="147854DC"/>
    <w:rsid w:val="180C3FB4"/>
    <w:rsid w:val="2E3E64CB"/>
    <w:rsid w:val="42A56FE1"/>
    <w:rsid w:val="48E74AC4"/>
    <w:rsid w:val="5D864A4A"/>
    <w:rsid w:val="60037DBA"/>
    <w:rsid w:val="6688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alloon Text"/>
    <w:basedOn w:val="1"/>
    <w:link w:val="18"/>
    <w:semiHidden/>
    <w:unhideWhenUsed/>
    <w:qFormat/>
    <w:uiPriority w:val="99"/>
    <w:rPr>
      <w:sz w:val="18"/>
      <w:szCs w:val="18"/>
    </w:rPr>
  </w:style>
  <w:style w:type="paragraph" w:styleId="9">
    <w:name w:val="footer"/>
    <w:basedOn w:val="1"/>
    <w:link w:val="35"/>
    <w:unhideWhenUsed/>
    <w:qFormat/>
    <w:uiPriority w:val="99"/>
    <w:pPr>
      <w:tabs>
        <w:tab w:val="center" w:pos="4153"/>
        <w:tab w:val="right" w:pos="8306"/>
      </w:tabs>
      <w:snapToGrid w:val="0"/>
      <w:jc w:val="left"/>
    </w:pPr>
    <w:rPr>
      <w:sz w:val="18"/>
      <w:szCs w:val="18"/>
    </w:rPr>
  </w:style>
  <w:style w:type="paragraph" w:styleId="10">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99"/>
    <w:rPr>
      <w:b/>
    </w:rPr>
  </w:style>
  <w:style w:type="character" w:styleId="14">
    <w:name w:val="FollowedHyperlink"/>
    <w:basedOn w:val="12"/>
    <w:semiHidden/>
    <w:unhideWhenUsed/>
    <w:qFormat/>
    <w:uiPriority w:val="99"/>
    <w:rPr>
      <w:color w:val="954F72"/>
      <w:u w:val="single"/>
    </w:rPr>
  </w:style>
  <w:style w:type="character" w:styleId="15">
    <w:name w:val="Hyperlink"/>
    <w:basedOn w:val="12"/>
    <w:semiHidden/>
    <w:unhideWhenUsed/>
    <w:qFormat/>
    <w:uiPriority w:val="99"/>
    <w:rPr>
      <w:color w:val="0563C1"/>
      <w:u w:val="single"/>
    </w:rPr>
  </w:style>
  <w:style w:type="character" w:styleId="16">
    <w:name w:val="annotation reference"/>
    <w:basedOn w:val="12"/>
    <w:semiHidden/>
    <w:unhideWhenUsed/>
    <w:qFormat/>
    <w:uiPriority w:val="99"/>
    <w:rPr>
      <w:sz w:val="21"/>
      <w:szCs w:val="21"/>
    </w:rPr>
  </w:style>
  <w:style w:type="character" w:customStyle="1" w:styleId="17">
    <w:name w:val="标题 2 字符"/>
    <w:basedOn w:val="12"/>
    <w:link w:val="6"/>
    <w:qFormat/>
    <w:uiPriority w:val="9"/>
    <w:rPr>
      <w:rFonts w:asciiTheme="majorHAnsi" w:hAnsiTheme="majorHAnsi" w:eastAsiaTheme="majorEastAsia" w:cstheme="majorBidi"/>
      <w:b/>
      <w:bCs/>
      <w:sz w:val="32"/>
      <w:szCs w:val="32"/>
    </w:rPr>
  </w:style>
  <w:style w:type="character" w:customStyle="1" w:styleId="18">
    <w:name w:val="批注框文本 字符"/>
    <w:basedOn w:val="12"/>
    <w:link w:val="8"/>
    <w:semiHidden/>
    <w:qFormat/>
    <w:uiPriority w:val="99"/>
    <w:rPr>
      <w:sz w:val="18"/>
      <w:szCs w:val="18"/>
    </w:rPr>
  </w:style>
  <w:style w:type="paragraph" w:customStyle="1" w:styleId="1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1">
    <w:name w:val="xl66"/>
    <w:basedOn w:val="1"/>
    <w:qFormat/>
    <w:uiPriority w:val="0"/>
    <w:pPr>
      <w:widowControl/>
      <w:spacing w:before="100" w:beforeAutospacing="1" w:after="100" w:afterAutospacing="1"/>
      <w:jc w:val="left"/>
    </w:pPr>
    <w:rPr>
      <w:rFonts w:ascii="Courier New" w:hAnsi="Courier New" w:eastAsia="宋体" w:cs="Courier New"/>
      <w:color w:val="000000"/>
      <w:kern w:val="0"/>
      <w:sz w:val="18"/>
      <w:szCs w:val="18"/>
    </w:rPr>
  </w:style>
  <w:style w:type="paragraph" w:customStyle="1" w:styleId="2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26">
    <w:name w:val="xl7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color w:val="000000"/>
      <w:kern w:val="0"/>
      <w:sz w:val="18"/>
      <w:szCs w:val="18"/>
    </w:rPr>
  </w:style>
  <w:style w:type="paragraph" w:customStyle="1" w:styleId="2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kern w:val="0"/>
      <w:sz w:val="16"/>
      <w:szCs w:val="16"/>
    </w:rPr>
  </w:style>
  <w:style w:type="paragraph" w:customStyle="1" w:styleId="2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i/>
      <w:iCs/>
      <w:color w:val="000000"/>
      <w:kern w:val="0"/>
      <w:sz w:val="18"/>
      <w:szCs w:val="18"/>
    </w:rPr>
  </w:style>
  <w:style w:type="paragraph" w:customStyle="1" w:styleId="3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kern w:val="0"/>
      <w:sz w:val="18"/>
      <w:szCs w:val="18"/>
    </w:rPr>
  </w:style>
  <w:style w:type="paragraph" w:customStyle="1" w:styleId="3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3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styleId="33">
    <w:name w:val="List Paragraph"/>
    <w:basedOn w:val="1"/>
    <w:qFormat/>
    <w:uiPriority w:val="34"/>
    <w:pPr>
      <w:ind w:firstLine="420" w:firstLineChars="200"/>
    </w:pPr>
  </w:style>
  <w:style w:type="character" w:customStyle="1" w:styleId="34">
    <w:name w:val="页眉 字符"/>
    <w:basedOn w:val="12"/>
    <w:link w:val="10"/>
    <w:qFormat/>
    <w:uiPriority w:val="99"/>
    <w:rPr>
      <w:sz w:val="18"/>
      <w:szCs w:val="18"/>
    </w:rPr>
  </w:style>
  <w:style w:type="character" w:customStyle="1" w:styleId="35">
    <w:name w:val="页脚 字符"/>
    <w:basedOn w:val="12"/>
    <w:link w:val="9"/>
    <w:qFormat/>
    <w:uiPriority w:val="99"/>
    <w:rPr>
      <w:sz w:val="18"/>
      <w:szCs w:val="18"/>
    </w:rPr>
  </w:style>
  <w:style w:type="character" w:customStyle="1" w:styleId="36">
    <w:name w:val="标题 1 字符"/>
    <w:basedOn w:val="12"/>
    <w:link w:val="5"/>
    <w:qFormat/>
    <w:uiPriority w:val="9"/>
    <w:rPr>
      <w:rFonts w:ascii="Times New Roman" w:hAnsi="Times New Roman" w:eastAsia="宋体" w:cs="Times New Roman"/>
      <w:b/>
      <w:bCs/>
      <w:kern w:val="44"/>
      <w:sz w:val="44"/>
      <w:szCs w:val="4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r>
              <a:rPr lang="en-US"/>
              <a:t>2023</a:t>
            </a:r>
            <a:r>
              <a:rPr lang="zh-CN"/>
              <a:t>年收入决算结构图</a:t>
            </a:r>
            <a:endParaRPr lang="zh-CN"/>
          </a:p>
        </c:rich>
      </c:tx>
      <c:layout>
        <c:manualLayout>
          <c:xMode val="edge"/>
          <c:yMode val="edge"/>
          <c:x val="0.230762167125803"/>
          <c:y val="0.00769230769230769"/>
        </c:manualLayout>
      </c:layout>
      <c:overlay val="0"/>
      <c:spPr>
        <a:noFill/>
        <a:ln>
          <a:noFill/>
        </a:ln>
        <a:effectLst/>
      </c:spPr>
    </c:title>
    <c:autoTitleDeleted val="0"/>
    <c:plotArea>
      <c:layout>
        <c:manualLayout>
          <c:layoutTarget val="inner"/>
          <c:xMode val="edge"/>
          <c:yMode val="edge"/>
          <c:x val="0.276767676767677"/>
          <c:y val="0.326153846153846"/>
          <c:w val="0.477134986225895"/>
          <c:h val="0.666153846153846"/>
        </c:manualLayout>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6">
                  <c:v>其他收入</c:v>
                </c:pt>
              </c:strCache>
            </c:strRef>
          </c:cat>
          <c:val>
            <c:numRef>
              <c:f>Sheet1!$B$2:$B$8</c:f>
              <c:numCache>
                <c:formatCode>General</c:formatCode>
                <c:ptCount val="7"/>
                <c:pt idx="0">
                  <c:v>623</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489.66</c:v>
                </c:pt>
                <c:pt idx="1">
                  <c:v>70.25</c:v>
                </c:pt>
                <c:pt idx="2">
                  <c:v>20.12</c:v>
                </c:pt>
                <c:pt idx="3">
                  <c:v>42.96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6233</Words>
  <Characters>7151</Characters>
  <Lines>201</Lines>
  <Paragraphs>56</Paragraphs>
  <TotalTime>4</TotalTime>
  <ScaleCrop>false</ScaleCrop>
  <LinksUpToDate>false</LinksUpToDate>
  <CharactersWithSpaces>7299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2024-08-24T07:36:00Z</dcterms:created>
  <dc:creator>xb21cn</dc:creator>
  <cp:lastModifiedBy>Administrator</cp:lastModifiedBy>
  <cp:lastPrinted>2024-08-25T01:09:00Z</cp:lastPrinted>
  <dcterms:modified xsi:type="dcterms:W3CDTF">2024-08-29T06:17:34Z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9DC04EDC96614B46BE9CF6C3E6266F37_12</vt:lpwstr>
  </property>
</Properties>
</file>