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E91DD">
      <w:pPr>
        <w:adjustRightInd w:val="0"/>
        <w:snapToGrid w:val="0"/>
        <w:spacing w:line="360" w:lineRule="auto"/>
        <w:jc w:val="center"/>
        <w:outlineLvl w:val="0"/>
        <w:rPr>
          <w:rFonts w:hAnsi="黑体" w:eastAsia="黑体" w:asciiTheme="majorHAnsi"/>
          <w:color w:val="000000"/>
          <w:sz w:val="72"/>
          <w:szCs w:val="72"/>
        </w:rPr>
      </w:pPr>
      <w:bookmarkStart w:id="0" w:name="_Toc15377193"/>
      <w:bookmarkStart w:id="1" w:name="_Toc15377425"/>
      <w:bookmarkStart w:id="2" w:name="_Toc15378441"/>
      <w:bookmarkStart w:id="3" w:name="_Toc15396597"/>
      <w:bookmarkStart w:id="4" w:name="_Toc15396475"/>
      <w:bookmarkStart w:id="5" w:name="_Toc15306267"/>
      <w:r>
        <w:rPr>
          <w:rFonts w:hint="eastAsia" w:hAnsi="黑体" w:eastAsia="黑体" w:asciiTheme="majorHAnsi"/>
          <w:b/>
          <w:bCs/>
          <w:color w:val="000000"/>
          <w:sz w:val="72"/>
          <w:szCs w:val="72"/>
        </w:rPr>
        <w:t xml:space="preserve"> </w:t>
      </w:r>
    </w:p>
    <w:p w14:paraId="5F291C95">
      <w:pPr>
        <w:adjustRightInd w:val="0"/>
        <w:snapToGrid w:val="0"/>
        <w:spacing w:line="360" w:lineRule="auto"/>
        <w:jc w:val="center"/>
        <w:outlineLvl w:val="0"/>
        <w:rPr>
          <w:rFonts w:hAnsi="黑体" w:eastAsia="黑体" w:asciiTheme="majorHAnsi"/>
          <w:color w:val="000000"/>
          <w:sz w:val="72"/>
          <w:szCs w:val="72"/>
        </w:rPr>
      </w:pPr>
    </w:p>
    <w:p w14:paraId="7BD0A488">
      <w:pPr>
        <w:adjustRightInd w:val="0"/>
        <w:snapToGrid w:val="0"/>
        <w:spacing w:line="360" w:lineRule="auto"/>
        <w:jc w:val="center"/>
        <w:outlineLvl w:val="0"/>
        <w:rPr>
          <w:rFonts w:hAnsi="黑体" w:eastAsia="黑体" w:asciiTheme="majorHAnsi"/>
          <w:color w:val="000000"/>
          <w:sz w:val="72"/>
          <w:szCs w:val="72"/>
        </w:rPr>
      </w:pPr>
    </w:p>
    <w:p w14:paraId="2E5C99BF">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2023年度</w:t>
      </w:r>
      <w:bookmarkEnd w:id="0"/>
      <w:bookmarkEnd w:id="1"/>
      <w:bookmarkEnd w:id="2"/>
      <w:bookmarkEnd w:id="3"/>
      <w:bookmarkEnd w:id="4"/>
    </w:p>
    <w:p w14:paraId="48EAEDEE">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遂宁市安居区海龙凯歌文化旅游产业园区管理委员会</w:t>
      </w:r>
    </w:p>
    <w:p w14:paraId="643201EB">
      <w:pPr>
        <w:adjustRightInd w:val="0"/>
        <w:snapToGrid w:val="0"/>
        <w:spacing w:line="360" w:lineRule="auto"/>
        <w:jc w:val="center"/>
        <w:outlineLvl w:val="0"/>
        <w:rPr>
          <w:rFonts w:hAnsi="黑体" w:eastAsia="黑体" w:asciiTheme="majorHAnsi"/>
          <w:color w:val="000000"/>
          <w:sz w:val="72"/>
          <w:szCs w:val="72"/>
        </w:rPr>
      </w:pPr>
      <w:r>
        <w:rPr>
          <w:rFonts w:hint="eastAsia" w:hAnsi="黑体" w:eastAsia="黑体" w:asciiTheme="majorHAnsi"/>
          <w:color w:val="000000"/>
          <w:sz w:val="72"/>
          <w:szCs w:val="72"/>
        </w:rPr>
        <w:t>部门决算</w:t>
      </w:r>
    </w:p>
    <w:bookmarkEnd w:id="5"/>
    <w:p w14:paraId="39D1ED92">
      <w:pPr>
        <w:spacing w:line="576" w:lineRule="exact"/>
        <w:jc w:val="center"/>
        <w:outlineLvl w:val="0"/>
        <w:rPr>
          <w:rFonts w:ascii="方正小标宋简体" w:hAnsi="宋体" w:eastAsia="方正小标宋简体"/>
          <w:color w:val="000000"/>
          <w:sz w:val="72"/>
          <w:szCs w:val="72"/>
        </w:rPr>
      </w:pPr>
      <w:r>
        <w:rPr>
          <w:rFonts w:ascii="方正小标宋简体" w:hAnsi="宋体" w:eastAsia="方正小标宋简体"/>
          <w:color w:val="000000"/>
          <w:sz w:val="36"/>
          <w:szCs w:val="36"/>
        </w:rPr>
        <w:br w:type="page"/>
      </w:r>
    </w:p>
    <w:p w14:paraId="566CE217">
      <w:pPr>
        <w:widowControl/>
        <w:jc w:val="center"/>
        <w:rPr>
          <w:rFonts w:ascii="黑体" w:hAnsi="黑体" w:eastAsia="黑体"/>
          <w:sz w:val="48"/>
          <w:szCs w:val="48"/>
        </w:rPr>
      </w:pPr>
      <w:bookmarkStart w:id="6" w:name="_Toc15377196"/>
      <w:bookmarkStart w:id="7" w:name="_Toc15396599"/>
      <w:r>
        <w:rPr>
          <w:rFonts w:hint="eastAsia" w:ascii="黑体" w:hAnsi="黑体" w:eastAsia="黑体"/>
          <w:sz w:val="48"/>
          <w:szCs w:val="48"/>
        </w:rPr>
        <w:t>目录</w:t>
      </w:r>
    </w:p>
    <w:p w14:paraId="067FE977">
      <w:pPr>
        <w:tabs>
          <w:tab w:val="right" w:leader="dot" w:pos="8296"/>
        </w:tabs>
        <w:spacing w:before="93"/>
        <w:jc w:val="center"/>
        <w:rPr>
          <w:rFonts w:ascii="仿宋" w:hAnsi="仿宋" w:eastAsia="仿宋"/>
          <w:sz w:val="28"/>
          <w:szCs w:val="28"/>
        </w:rPr>
      </w:pPr>
      <w:r>
        <w:rPr>
          <w:rFonts w:hint="eastAsia" w:ascii="仿宋" w:hAnsi="仿宋" w:eastAsia="仿宋"/>
          <w:sz w:val="28"/>
          <w:szCs w:val="28"/>
        </w:rPr>
        <w:t>公开时间：2024年8月28日</w:t>
      </w:r>
    </w:p>
    <w:p w14:paraId="3BBC42CE"/>
    <w:p w14:paraId="54F23BB0">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第一部分 部门概况</w:t>
      </w:r>
      <w:r>
        <w:rPr>
          <w:rFonts w:hint="eastAsia" w:ascii="仿宋" w:hAnsi="仿宋" w:eastAsia="仿宋"/>
          <w:sz w:val="28"/>
          <w:szCs w:val="28"/>
        </w:rPr>
        <w:tab/>
      </w:r>
      <w:r>
        <w:rPr>
          <w:rFonts w:hint="eastAsia" w:ascii="仿宋" w:hAnsi="仿宋" w:eastAsia="仿宋"/>
          <w:sz w:val="28"/>
          <w:szCs w:val="28"/>
        </w:rPr>
        <w:t>4</w:t>
      </w:r>
    </w:p>
    <w:p w14:paraId="47B46253">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一、部门职责</w:t>
      </w:r>
      <w:r>
        <w:rPr>
          <w:rFonts w:hint="eastAsia" w:ascii="仿宋" w:hAnsi="仿宋" w:eastAsia="仿宋"/>
          <w:sz w:val="28"/>
          <w:szCs w:val="28"/>
        </w:rPr>
        <w:tab/>
      </w:r>
      <w:r>
        <w:rPr>
          <w:rFonts w:hint="eastAsia" w:ascii="仿宋" w:hAnsi="仿宋" w:eastAsia="仿宋"/>
          <w:sz w:val="28"/>
          <w:szCs w:val="28"/>
        </w:rPr>
        <w:t>4</w:t>
      </w:r>
    </w:p>
    <w:p w14:paraId="1A452877">
      <w:pPr>
        <w:tabs>
          <w:tab w:val="right" w:leader="dot" w:pos="8296"/>
        </w:tabs>
        <w:adjustRightInd w:val="0"/>
        <w:snapToGrid w:val="0"/>
        <w:spacing w:line="440" w:lineRule="exact"/>
        <w:ind w:firstLine="560" w:firstLineChars="200"/>
        <w:jc w:val="left"/>
      </w:pPr>
      <w:r>
        <w:rPr>
          <w:rFonts w:hint="eastAsia" w:ascii="仿宋" w:hAnsi="仿宋" w:eastAsia="仿宋"/>
          <w:sz w:val="28"/>
          <w:szCs w:val="28"/>
        </w:rPr>
        <w:t>二、机构设置</w:t>
      </w:r>
      <w:r>
        <w:rPr>
          <w:rFonts w:hint="eastAsia" w:ascii="仿宋" w:hAnsi="仿宋" w:eastAsia="仿宋"/>
          <w:sz w:val="28"/>
          <w:szCs w:val="28"/>
        </w:rPr>
        <w:tab/>
      </w:r>
      <w:r>
        <w:rPr>
          <w:rFonts w:hint="eastAsia" w:ascii="仿宋" w:hAnsi="仿宋" w:eastAsia="仿宋"/>
          <w:sz w:val="28"/>
          <w:szCs w:val="28"/>
        </w:rPr>
        <w:t>4</w:t>
      </w:r>
    </w:p>
    <w:p w14:paraId="33959629">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第二部分 2022年度部门决算情况说明</w:t>
      </w:r>
      <w:r>
        <w:rPr>
          <w:rFonts w:hint="eastAsia" w:ascii="仿宋" w:hAnsi="仿宋" w:eastAsia="仿宋"/>
          <w:sz w:val="28"/>
          <w:szCs w:val="28"/>
        </w:rPr>
        <w:tab/>
      </w:r>
      <w:r>
        <w:rPr>
          <w:rFonts w:ascii="仿宋" w:hAnsi="仿宋" w:eastAsia="仿宋"/>
          <w:sz w:val="28"/>
          <w:szCs w:val="28"/>
        </w:rPr>
        <w:t>6</w:t>
      </w:r>
    </w:p>
    <w:p w14:paraId="448E2176">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一、收入支出决算总体情况说明</w:t>
      </w:r>
      <w:r>
        <w:rPr>
          <w:rFonts w:hint="eastAsia" w:ascii="仿宋" w:hAnsi="仿宋" w:eastAsia="仿宋"/>
          <w:sz w:val="28"/>
          <w:szCs w:val="28"/>
        </w:rPr>
        <w:tab/>
      </w:r>
      <w:r>
        <w:rPr>
          <w:rFonts w:ascii="仿宋" w:hAnsi="仿宋" w:eastAsia="仿宋"/>
          <w:sz w:val="28"/>
          <w:szCs w:val="28"/>
        </w:rPr>
        <w:t>6</w:t>
      </w:r>
    </w:p>
    <w:p w14:paraId="01921F7A">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二、收入决算情况说明</w:t>
      </w:r>
      <w:r>
        <w:rPr>
          <w:rFonts w:hint="eastAsia" w:ascii="仿宋" w:hAnsi="仿宋" w:eastAsia="仿宋"/>
          <w:sz w:val="28"/>
          <w:szCs w:val="28"/>
        </w:rPr>
        <w:tab/>
      </w:r>
      <w:r>
        <w:rPr>
          <w:rFonts w:hint="eastAsia" w:ascii="仿宋" w:hAnsi="仿宋" w:eastAsia="仿宋"/>
          <w:sz w:val="28"/>
          <w:szCs w:val="28"/>
        </w:rPr>
        <w:t>6</w:t>
      </w:r>
    </w:p>
    <w:p w14:paraId="2882F4AF">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三、支出决算情况说明</w:t>
      </w:r>
      <w:r>
        <w:rPr>
          <w:rFonts w:hint="eastAsia" w:ascii="仿宋" w:hAnsi="仿宋" w:eastAsia="仿宋"/>
          <w:sz w:val="28"/>
          <w:szCs w:val="28"/>
        </w:rPr>
        <w:tab/>
      </w:r>
      <w:r>
        <w:rPr>
          <w:rFonts w:hint="eastAsia" w:ascii="仿宋" w:hAnsi="仿宋" w:eastAsia="仿宋"/>
          <w:sz w:val="28"/>
          <w:szCs w:val="28"/>
        </w:rPr>
        <w:t>7</w:t>
      </w:r>
    </w:p>
    <w:p w14:paraId="63095BFF">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四、财政拨款收入支出决算总体情况说明</w:t>
      </w:r>
      <w:r>
        <w:rPr>
          <w:rFonts w:hint="eastAsia" w:ascii="仿宋" w:hAnsi="仿宋" w:eastAsia="仿宋"/>
          <w:sz w:val="28"/>
          <w:szCs w:val="28"/>
        </w:rPr>
        <w:tab/>
      </w:r>
      <w:r>
        <w:rPr>
          <w:rFonts w:ascii="仿宋" w:hAnsi="仿宋" w:eastAsia="仿宋"/>
          <w:sz w:val="28"/>
          <w:szCs w:val="28"/>
        </w:rPr>
        <w:t>7</w:t>
      </w:r>
    </w:p>
    <w:p w14:paraId="1C6A1606">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五、一般公共预算财政拨款支出决算情况说明</w:t>
      </w:r>
      <w:r>
        <w:rPr>
          <w:rFonts w:hint="eastAsia" w:ascii="仿宋" w:hAnsi="仿宋" w:eastAsia="仿宋"/>
          <w:sz w:val="28"/>
          <w:szCs w:val="28"/>
        </w:rPr>
        <w:tab/>
      </w:r>
      <w:r>
        <w:rPr>
          <w:rFonts w:ascii="仿宋" w:hAnsi="仿宋" w:eastAsia="仿宋"/>
          <w:sz w:val="28"/>
          <w:szCs w:val="28"/>
        </w:rPr>
        <w:t>8</w:t>
      </w:r>
    </w:p>
    <w:p w14:paraId="767031A2">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六、一般公共预算财政拨款基本支出决算情况说明</w:t>
      </w:r>
      <w:r>
        <w:rPr>
          <w:rFonts w:hint="eastAsia" w:ascii="仿宋" w:hAnsi="仿宋" w:eastAsia="仿宋"/>
          <w:sz w:val="28"/>
          <w:szCs w:val="28"/>
        </w:rPr>
        <w:tab/>
      </w:r>
      <w:r>
        <w:rPr>
          <w:rFonts w:ascii="仿宋" w:hAnsi="仿宋" w:eastAsia="仿宋"/>
          <w:sz w:val="28"/>
          <w:szCs w:val="28"/>
        </w:rPr>
        <w:t>11</w:t>
      </w:r>
    </w:p>
    <w:p w14:paraId="12E56F31">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七、财政拨款“三公”经费支出决算情况说明</w:t>
      </w:r>
      <w:r>
        <w:rPr>
          <w:rFonts w:hint="eastAsia" w:ascii="仿宋" w:hAnsi="仿宋" w:eastAsia="仿宋"/>
          <w:sz w:val="28"/>
          <w:szCs w:val="28"/>
        </w:rPr>
        <w:tab/>
      </w:r>
      <w:r>
        <w:rPr>
          <w:rFonts w:hint="eastAsia" w:ascii="仿宋" w:hAnsi="仿宋" w:eastAsia="仿宋"/>
          <w:sz w:val="28"/>
          <w:szCs w:val="28"/>
        </w:rPr>
        <w:t>1</w:t>
      </w:r>
      <w:r>
        <w:rPr>
          <w:rFonts w:ascii="仿宋" w:hAnsi="仿宋" w:eastAsia="仿宋"/>
          <w:sz w:val="28"/>
          <w:szCs w:val="28"/>
        </w:rPr>
        <w:t>3</w:t>
      </w:r>
    </w:p>
    <w:p w14:paraId="65EE9841">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八、政府性基金预算支出决算情况说明</w:t>
      </w:r>
      <w:r>
        <w:rPr>
          <w:rFonts w:hint="eastAsia" w:ascii="仿宋" w:hAnsi="仿宋" w:eastAsia="仿宋"/>
          <w:sz w:val="28"/>
          <w:szCs w:val="28"/>
        </w:rPr>
        <w:tab/>
      </w:r>
      <w:r>
        <w:rPr>
          <w:rFonts w:hint="eastAsia" w:ascii="仿宋" w:hAnsi="仿宋" w:eastAsia="仿宋"/>
          <w:sz w:val="28"/>
          <w:szCs w:val="28"/>
        </w:rPr>
        <w:t>13</w:t>
      </w:r>
    </w:p>
    <w:p w14:paraId="1B101F48">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九、国有资本经营预算支出决算情况说明</w:t>
      </w:r>
      <w:r>
        <w:rPr>
          <w:rFonts w:hint="eastAsia" w:ascii="仿宋" w:hAnsi="仿宋" w:eastAsia="仿宋"/>
          <w:sz w:val="28"/>
          <w:szCs w:val="28"/>
        </w:rPr>
        <w:tab/>
      </w:r>
      <w:r>
        <w:rPr>
          <w:rFonts w:hint="eastAsia" w:ascii="仿宋" w:hAnsi="仿宋" w:eastAsia="仿宋"/>
          <w:sz w:val="28"/>
          <w:szCs w:val="28"/>
        </w:rPr>
        <w:t>13</w:t>
      </w:r>
    </w:p>
    <w:p w14:paraId="007FBFF5">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十、其他重要事项的情况说明</w:t>
      </w:r>
      <w:r>
        <w:rPr>
          <w:rFonts w:hint="eastAsia" w:ascii="仿宋" w:hAnsi="仿宋" w:eastAsia="仿宋"/>
          <w:sz w:val="28"/>
          <w:szCs w:val="28"/>
        </w:rPr>
        <w:tab/>
      </w:r>
      <w:r>
        <w:rPr>
          <w:rFonts w:hint="eastAsia" w:ascii="仿宋" w:hAnsi="仿宋" w:eastAsia="仿宋"/>
          <w:sz w:val="28"/>
          <w:szCs w:val="28"/>
        </w:rPr>
        <w:t>13</w:t>
      </w:r>
    </w:p>
    <w:p w14:paraId="563A2F1B">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第三部分 名词解释</w:t>
      </w:r>
      <w:r>
        <w:rPr>
          <w:rFonts w:hint="eastAsia" w:ascii="仿宋" w:hAnsi="仿宋" w:eastAsia="仿宋"/>
          <w:sz w:val="28"/>
          <w:szCs w:val="28"/>
        </w:rPr>
        <w:tab/>
      </w:r>
      <w:r>
        <w:rPr>
          <w:rFonts w:hint="eastAsia" w:ascii="仿宋" w:hAnsi="仿宋" w:eastAsia="仿宋"/>
          <w:sz w:val="28"/>
          <w:szCs w:val="28"/>
        </w:rPr>
        <w:t>1</w:t>
      </w:r>
      <w:r>
        <w:rPr>
          <w:rFonts w:ascii="仿宋" w:hAnsi="仿宋" w:eastAsia="仿宋"/>
          <w:sz w:val="28"/>
          <w:szCs w:val="28"/>
        </w:rPr>
        <w:t>7</w:t>
      </w:r>
    </w:p>
    <w:p w14:paraId="002D6010">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第四部分 附件</w:t>
      </w:r>
      <w:r>
        <w:rPr>
          <w:rFonts w:hint="eastAsia" w:ascii="仿宋" w:hAnsi="仿宋" w:eastAsia="仿宋"/>
          <w:sz w:val="28"/>
          <w:szCs w:val="28"/>
        </w:rPr>
        <w:tab/>
      </w:r>
      <w:r>
        <w:rPr>
          <w:rFonts w:hint="eastAsia" w:ascii="仿宋" w:hAnsi="仿宋" w:eastAsia="仿宋"/>
          <w:sz w:val="28"/>
          <w:szCs w:val="28"/>
        </w:rPr>
        <w:t>1</w:t>
      </w:r>
      <w:r>
        <w:rPr>
          <w:rFonts w:ascii="仿宋" w:hAnsi="仿宋" w:eastAsia="仿宋"/>
          <w:sz w:val="28"/>
          <w:szCs w:val="28"/>
        </w:rPr>
        <w:t>9</w:t>
      </w:r>
    </w:p>
    <w:p w14:paraId="3E42DAE6">
      <w:pPr>
        <w:tabs>
          <w:tab w:val="right" w:leader="dot" w:pos="8296"/>
        </w:tabs>
        <w:adjustRightInd w:val="0"/>
        <w:snapToGrid w:val="0"/>
        <w:spacing w:line="440" w:lineRule="exact"/>
        <w:jc w:val="left"/>
        <w:rPr>
          <w:rFonts w:ascii="仿宋" w:hAnsi="仿宋" w:eastAsia="仿宋"/>
          <w:sz w:val="28"/>
          <w:szCs w:val="28"/>
        </w:rPr>
      </w:pPr>
      <w:r>
        <w:rPr>
          <w:rFonts w:hint="eastAsia" w:ascii="仿宋" w:hAnsi="仿宋" w:eastAsia="仿宋"/>
          <w:sz w:val="28"/>
          <w:szCs w:val="28"/>
        </w:rPr>
        <w:t>第五部分 附表</w:t>
      </w:r>
      <w:r>
        <w:rPr>
          <w:rFonts w:hint="eastAsia" w:ascii="仿宋" w:hAnsi="仿宋" w:eastAsia="仿宋"/>
          <w:sz w:val="28"/>
          <w:szCs w:val="28"/>
        </w:rPr>
        <w:tab/>
      </w:r>
      <w:r>
        <w:rPr>
          <w:rFonts w:ascii="仿宋" w:hAnsi="仿宋" w:eastAsia="仿宋"/>
          <w:sz w:val="28"/>
          <w:szCs w:val="28"/>
        </w:rPr>
        <w:t>50</w:t>
      </w:r>
    </w:p>
    <w:p w14:paraId="2093C476">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一、收入支出决算总表</w:t>
      </w:r>
      <w:r>
        <w:rPr>
          <w:rFonts w:hint="eastAsia" w:ascii="仿宋" w:hAnsi="仿宋" w:eastAsia="仿宋"/>
          <w:sz w:val="28"/>
          <w:szCs w:val="28"/>
        </w:rPr>
        <w:tab/>
      </w:r>
      <w:r>
        <w:rPr>
          <w:rFonts w:ascii="仿宋" w:hAnsi="仿宋" w:eastAsia="仿宋"/>
          <w:sz w:val="28"/>
          <w:szCs w:val="28"/>
        </w:rPr>
        <w:t>50</w:t>
      </w:r>
    </w:p>
    <w:p w14:paraId="499A28E0">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二、收入决算表</w:t>
      </w:r>
      <w:r>
        <w:rPr>
          <w:rFonts w:hint="eastAsia" w:ascii="仿宋" w:hAnsi="仿宋" w:eastAsia="仿宋"/>
          <w:sz w:val="28"/>
          <w:szCs w:val="28"/>
        </w:rPr>
        <w:tab/>
      </w:r>
      <w:r>
        <w:rPr>
          <w:rFonts w:ascii="仿宋" w:hAnsi="仿宋" w:eastAsia="仿宋"/>
          <w:sz w:val="28"/>
          <w:szCs w:val="28"/>
        </w:rPr>
        <w:t>50</w:t>
      </w:r>
    </w:p>
    <w:p w14:paraId="0B40D91E">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三、支出决算表</w:t>
      </w:r>
      <w:r>
        <w:rPr>
          <w:rFonts w:hint="eastAsia" w:ascii="仿宋" w:hAnsi="仿宋" w:eastAsia="仿宋"/>
          <w:sz w:val="28"/>
          <w:szCs w:val="28"/>
        </w:rPr>
        <w:tab/>
      </w:r>
      <w:r>
        <w:rPr>
          <w:rFonts w:ascii="仿宋" w:hAnsi="仿宋" w:eastAsia="仿宋"/>
          <w:sz w:val="28"/>
          <w:szCs w:val="28"/>
        </w:rPr>
        <w:t>50</w:t>
      </w:r>
    </w:p>
    <w:p w14:paraId="4491555C">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四、财政拨款收入支出决算总表</w:t>
      </w:r>
      <w:r>
        <w:rPr>
          <w:rFonts w:hint="eastAsia" w:ascii="仿宋" w:hAnsi="仿宋" w:eastAsia="仿宋"/>
          <w:sz w:val="28"/>
          <w:szCs w:val="28"/>
        </w:rPr>
        <w:tab/>
      </w:r>
      <w:r>
        <w:rPr>
          <w:rFonts w:ascii="仿宋" w:hAnsi="仿宋" w:eastAsia="仿宋"/>
          <w:sz w:val="28"/>
          <w:szCs w:val="28"/>
        </w:rPr>
        <w:t>50</w:t>
      </w:r>
    </w:p>
    <w:p w14:paraId="635C0DA5">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五、财政拨款支出决算明细表</w:t>
      </w:r>
      <w:r>
        <w:rPr>
          <w:rFonts w:hint="eastAsia" w:ascii="仿宋" w:hAnsi="仿宋" w:eastAsia="仿宋"/>
          <w:sz w:val="28"/>
          <w:szCs w:val="28"/>
        </w:rPr>
        <w:tab/>
      </w:r>
      <w:r>
        <w:rPr>
          <w:rFonts w:ascii="仿宋" w:hAnsi="仿宋" w:eastAsia="仿宋"/>
          <w:sz w:val="28"/>
          <w:szCs w:val="28"/>
        </w:rPr>
        <w:t>50</w:t>
      </w:r>
    </w:p>
    <w:p w14:paraId="54B3ACE7">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六、一般公共预算财政拨款支出决算表</w:t>
      </w:r>
      <w:r>
        <w:rPr>
          <w:rFonts w:hint="eastAsia" w:ascii="仿宋" w:hAnsi="仿宋" w:eastAsia="仿宋"/>
          <w:sz w:val="28"/>
          <w:szCs w:val="28"/>
        </w:rPr>
        <w:tab/>
      </w:r>
      <w:r>
        <w:rPr>
          <w:rFonts w:ascii="仿宋" w:hAnsi="仿宋" w:eastAsia="仿宋"/>
          <w:sz w:val="28"/>
          <w:szCs w:val="28"/>
        </w:rPr>
        <w:t>50</w:t>
      </w:r>
    </w:p>
    <w:p w14:paraId="42C5C3E3">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七、一般公共预算财政拨款支出决算明细表</w:t>
      </w:r>
      <w:r>
        <w:rPr>
          <w:rFonts w:hint="eastAsia" w:ascii="仿宋" w:hAnsi="仿宋" w:eastAsia="仿宋"/>
          <w:sz w:val="28"/>
          <w:szCs w:val="28"/>
        </w:rPr>
        <w:tab/>
      </w:r>
      <w:r>
        <w:rPr>
          <w:rFonts w:ascii="仿宋" w:hAnsi="仿宋" w:eastAsia="仿宋"/>
          <w:sz w:val="28"/>
          <w:szCs w:val="28"/>
        </w:rPr>
        <w:t>50</w:t>
      </w:r>
    </w:p>
    <w:p w14:paraId="4A3D793E">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八、一般公共预算财政拨款基本支出决算明细表</w:t>
      </w:r>
      <w:r>
        <w:rPr>
          <w:rFonts w:hint="eastAsia" w:ascii="仿宋" w:hAnsi="仿宋" w:eastAsia="仿宋"/>
          <w:sz w:val="28"/>
          <w:szCs w:val="28"/>
        </w:rPr>
        <w:tab/>
      </w:r>
      <w:r>
        <w:rPr>
          <w:rFonts w:ascii="仿宋" w:hAnsi="仿宋" w:eastAsia="仿宋"/>
          <w:sz w:val="28"/>
          <w:szCs w:val="28"/>
        </w:rPr>
        <w:t>50</w:t>
      </w:r>
    </w:p>
    <w:p w14:paraId="4455449D">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九、一般公共预算财政拨款项目支出决算表</w:t>
      </w:r>
      <w:r>
        <w:rPr>
          <w:rFonts w:hint="eastAsia" w:ascii="仿宋" w:hAnsi="仿宋" w:eastAsia="仿宋"/>
          <w:sz w:val="28"/>
          <w:szCs w:val="28"/>
        </w:rPr>
        <w:tab/>
      </w:r>
      <w:r>
        <w:rPr>
          <w:rFonts w:ascii="仿宋" w:hAnsi="仿宋" w:eastAsia="仿宋"/>
          <w:sz w:val="28"/>
          <w:szCs w:val="28"/>
        </w:rPr>
        <w:t>50</w:t>
      </w:r>
    </w:p>
    <w:p w14:paraId="467A6FC4">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十、政府性基金预算财政拨款收入支出决算表</w:t>
      </w:r>
      <w:r>
        <w:rPr>
          <w:rFonts w:hint="eastAsia" w:ascii="仿宋" w:hAnsi="仿宋" w:eastAsia="仿宋"/>
          <w:sz w:val="28"/>
          <w:szCs w:val="28"/>
        </w:rPr>
        <w:tab/>
      </w:r>
      <w:r>
        <w:rPr>
          <w:rFonts w:ascii="仿宋" w:hAnsi="仿宋" w:eastAsia="仿宋"/>
          <w:sz w:val="28"/>
          <w:szCs w:val="28"/>
        </w:rPr>
        <w:t>50</w:t>
      </w:r>
    </w:p>
    <w:p w14:paraId="2D6C44FB">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十一、国有资本经营预算财政拨款收入支出决算表</w:t>
      </w:r>
      <w:r>
        <w:rPr>
          <w:rFonts w:hint="eastAsia" w:ascii="仿宋" w:hAnsi="仿宋" w:eastAsia="仿宋"/>
          <w:sz w:val="28"/>
          <w:szCs w:val="28"/>
        </w:rPr>
        <w:tab/>
      </w:r>
      <w:r>
        <w:rPr>
          <w:rFonts w:ascii="仿宋" w:hAnsi="仿宋" w:eastAsia="仿宋"/>
          <w:sz w:val="28"/>
          <w:szCs w:val="28"/>
        </w:rPr>
        <w:t>50</w:t>
      </w:r>
    </w:p>
    <w:p w14:paraId="2747BE2D">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十二、国有资本经营预算财政拨款支出决算表</w:t>
      </w:r>
      <w:r>
        <w:rPr>
          <w:rFonts w:hint="eastAsia" w:ascii="仿宋" w:hAnsi="仿宋" w:eastAsia="仿宋"/>
          <w:sz w:val="28"/>
          <w:szCs w:val="28"/>
        </w:rPr>
        <w:tab/>
      </w:r>
      <w:r>
        <w:rPr>
          <w:rFonts w:ascii="仿宋" w:hAnsi="仿宋" w:eastAsia="仿宋"/>
          <w:sz w:val="28"/>
          <w:szCs w:val="28"/>
        </w:rPr>
        <w:t>50</w:t>
      </w:r>
    </w:p>
    <w:p w14:paraId="0E45014F">
      <w:pPr>
        <w:tabs>
          <w:tab w:val="right" w:leader="dot" w:pos="8296"/>
        </w:tabs>
        <w:adjustRightInd w:val="0"/>
        <w:snapToGrid w:val="0"/>
        <w:spacing w:line="440" w:lineRule="exact"/>
        <w:ind w:firstLine="560" w:firstLineChars="200"/>
        <w:jc w:val="left"/>
        <w:rPr>
          <w:rFonts w:ascii="仿宋" w:hAnsi="仿宋" w:eastAsia="仿宋"/>
          <w:sz w:val="28"/>
          <w:szCs w:val="28"/>
        </w:rPr>
      </w:pPr>
      <w:r>
        <w:rPr>
          <w:rFonts w:hint="eastAsia" w:ascii="仿宋" w:hAnsi="仿宋" w:eastAsia="仿宋"/>
          <w:sz w:val="28"/>
          <w:szCs w:val="28"/>
        </w:rPr>
        <w:t>十三、财政拨款“三公”经费支出决算表</w:t>
      </w:r>
      <w:r>
        <w:rPr>
          <w:rFonts w:hint="eastAsia" w:ascii="仿宋" w:hAnsi="仿宋" w:eastAsia="仿宋"/>
          <w:sz w:val="28"/>
          <w:szCs w:val="28"/>
        </w:rPr>
        <w:tab/>
      </w:r>
      <w:r>
        <w:rPr>
          <w:rFonts w:ascii="仿宋" w:hAnsi="仿宋" w:eastAsia="仿宋"/>
          <w:sz w:val="28"/>
          <w:szCs w:val="28"/>
        </w:rPr>
        <w:t>50</w:t>
      </w:r>
    </w:p>
    <w:p w14:paraId="28C1EBB7">
      <w:pPr>
        <w:pStyle w:val="15"/>
        <w:rPr>
          <w:rFonts w:ascii="仿宋" w:hAnsi="仿宋" w:eastAsia="仿宋"/>
          <w:sz w:val="28"/>
          <w:szCs w:val="28"/>
        </w:rPr>
      </w:pPr>
    </w:p>
    <w:p w14:paraId="2DE64C58">
      <w:pPr>
        <w:rPr>
          <w:rFonts w:ascii="仿宋" w:hAnsi="仿宋" w:eastAsia="仿宋"/>
          <w:sz w:val="28"/>
          <w:szCs w:val="28"/>
        </w:rPr>
      </w:pPr>
    </w:p>
    <w:p w14:paraId="51693670">
      <w:pPr>
        <w:pStyle w:val="15"/>
        <w:rPr>
          <w:rFonts w:ascii="仿宋" w:hAnsi="仿宋" w:eastAsia="仿宋"/>
          <w:sz w:val="28"/>
          <w:szCs w:val="28"/>
        </w:rPr>
      </w:pPr>
    </w:p>
    <w:p w14:paraId="2F2EF4C5">
      <w:pPr>
        <w:rPr>
          <w:rFonts w:ascii="仿宋" w:hAnsi="仿宋" w:eastAsia="仿宋"/>
          <w:sz w:val="28"/>
          <w:szCs w:val="28"/>
        </w:rPr>
      </w:pPr>
    </w:p>
    <w:p w14:paraId="34165EC2">
      <w:pPr>
        <w:pStyle w:val="15"/>
        <w:rPr>
          <w:rFonts w:ascii="仿宋" w:hAnsi="仿宋" w:eastAsia="仿宋"/>
          <w:sz w:val="28"/>
          <w:szCs w:val="28"/>
        </w:rPr>
      </w:pPr>
    </w:p>
    <w:p w14:paraId="7763E74E">
      <w:pPr>
        <w:rPr>
          <w:rFonts w:ascii="仿宋" w:hAnsi="仿宋" w:eastAsia="仿宋"/>
          <w:sz w:val="28"/>
          <w:szCs w:val="28"/>
        </w:rPr>
      </w:pPr>
    </w:p>
    <w:p w14:paraId="099DDC38">
      <w:pPr>
        <w:pStyle w:val="15"/>
        <w:rPr>
          <w:rFonts w:ascii="仿宋" w:hAnsi="仿宋" w:eastAsia="仿宋"/>
          <w:sz w:val="28"/>
          <w:szCs w:val="28"/>
        </w:rPr>
      </w:pPr>
    </w:p>
    <w:p w14:paraId="432C6FD1">
      <w:pPr>
        <w:rPr>
          <w:rFonts w:ascii="仿宋" w:hAnsi="仿宋" w:eastAsia="仿宋"/>
          <w:sz w:val="28"/>
          <w:szCs w:val="28"/>
        </w:rPr>
      </w:pPr>
    </w:p>
    <w:p w14:paraId="51F99DC4">
      <w:pPr>
        <w:pStyle w:val="15"/>
        <w:rPr>
          <w:rFonts w:ascii="仿宋" w:hAnsi="仿宋" w:eastAsia="仿宋"/>
          <w:sz w:val="28"/>
          <w:szCs w:val="28"/>
        </w:rPr>
      </w:pPr>
    </w:p>
    <w:p w14:paraId="585B1481">
      <w:pPr>
        <w:rPr>
          <w:rFonts w:ascii="仿宋" w:hAnsi="仿宋" w:eastAsia="仿宋"/>
          <w:sz w:val="28"/>
          <w:szCs w:val="28"/>
        </w:rPr>
      </w:pPr>
    </w:p>
    <w:p w14:paraId="7307089E">
      <w:pPr>
        <w:pStyle w:val="15"/>
        <w:rPr>
          <w:rFonts w:ascii="仿宋" w:hAnsi="仿宋" w:eastAsia="仿宋"/>
          <w:sz w:val="28"/>
          <w:szCs w:val="28"/>
        </w:rPr>
      </w:pPr>
    </w:p>
    <w:p w14:paraId="1844F130">
      <w:pPr>
        <w:rPr>
          <w:rFonts w:ascii="仿宋" w:hAnsi="仿宋" w:eastAsia="仿宋"/>
          <w:sz w:val="28"/>
          <w:szCs w:val="28"/>
        </w:rPr>
      </w:pPr>
    </w:p>
    <w:p w14:paraId="0E156F8D">
      <w:pPr>
        <w:pStyle w:val="15"/>
        <w:rPr>
          <w:rFonts w:ascii="仿宋" w:hAnsi="仿宋" w:eastAsia="仿宋"/>
          <w:sz w:val="28"/>
          <w:szCs w:val="28"/>
        </w:rPr>
      </w:pPr>
    </w:p>
    <w:p w14:paraId="515FF667">
      <w:pPr>
        <w:rPr>
          <w:rFonts w:ascii="仿宋" w:hAnsi="仿宋" w:eastAsia="仿宋"/>
          <w:sz w:val="28"/>
          <w:szCs w:val="28"/>
        </w:rPr>
      </w:pPr>
    </w:p>
    <w:p w14:paraId="241A8545">
      <w:pPr>
        <w:pStyle w:val="15"/>
        <w:rPr>
          <w:rFonts w:ascii="仿宋" w:hAnsi="仿宋" w:eastAsia="仿宋"/>
          <w:sz w:val="28"/>
          <w:szCs w:val="28"/>
        </w:rPr>
      </w:pPr>
    </w:p>
    <w:p w14:paraId="72D7AEBD"/>
    <w:p w14:paraId="69E64435">
      <w:pPr>
        <w:pStyle w:val="15"/>
        <w:rPr>
          <w:rFonts w:ascii="仿宋" w:hAnsi="仿宋" w:eastAsia="仿宋"/>
          <w:sz w:val="28"/>
          <w:szCs w:val="28"/>
        </w:rPr>
      </w:pPr>
    </w:p>
    <w:p w14:paraId="16FFBBDF">
      <w:pPr>
        <w:pStyle w:val="5"/>
        <w:spacing w:line="576" w:lineRule="exact"/>
        <w:jc w:val="center"/>
        <w:rPr>
          <w:rStyle w:val="31"/>
          <w:rFonts w:ascii="黑体" w:hAnsi="黑体" w:eastAsia="黑体"/>
          <w:b/>
          <w:bCs w:val="0"/>
        </w:rPr>
      </w:pPr>
      <w:r>
        <w:rPr>
          <w:rFonts w:hint="eastAsia" w:ascii="黑体" w:hAnsi="黑体" w:eastAsia="黑体"/>
          <w:bCs w:val="0"/>
        </w:rPr>
        <w:t xml:space="preserve">第一部分 </w:t>
      </w:r>
      <w:r>
        <w:rPr>
          <w:rStyle w:val="31"/>
          <w:rFonts w:hint="eastAsia" w:ascii="黑体" w:hAnsi="黑体" w:eastAsia="黑体"/>
          <w:b/>
          <w:bCs w:val="0"/>
        </w:rPr>
        <w:t>部门概况</w:t>
      </w:r>
      <w:bookmarkEnd w:id="6"/>
      <w:bookmarkEnd w:id="7"/>
    </w:p>
    <w:p w14:paraId="3297FCC7">
      <w:pPr>
        <w:pStyle w:val="6"/>
        <w:spacing w:line="576" w:lineRule="exact"/>
        <w:ind w:firstLine="643" w:firstLineChars="200"/>
        <w:jc w:val="left"/>
        <w:rPr>
          <w:rFonts w:ascii="黑体" w:hAnsi="黑体" w:eastAsia="黑体"/>
          <w:bCs w:val="0"/>
        </w:rPr>
      </w:pPr>
      <w:r>
        <w:rPr>
          <w:rFonts w:hint="eastAsia" w:ascii="黑体" w:hAnsi="黑体" w:eastAsia="黑体"/>
          <w:bCs w:val="0"/>
        </w:rPr>
        <w:t>一、部门职责</w:t>
      </w:r>
      <w:bookmarkStart w:id="8" w:name="_Toc15377200"/>
      <w:bookmarkStart w:id="9" w:name="_Toc15396601"/>
    </w:p>
    <w:p w14:paraId="34DBB11D">
      <w:pPr>
        <w:spacing w:line="576" w:lineRule="exact"/>
        <w:ind w:firstLine="640" w:firstLineChars="200"/>
        <w:jc w:val="left"/>
        <w:rPr>
          <w:rFonts w:ascii="仿宋" w:hAnsi="仿宋" w:eastAsia="仿宋"/>
          <w:sz w:val="32"/>
          <w:szCs w:val="32"/>
        </w:rPr>
      </w:pPr>
      <w:r>
        <w:rPr>
          <w:rFonts w:hint="eastAsia" w:ascii="仿宋" w:hAnsi="仿宋" w:eastAsia="仿宋"/>
          <w:sz w:val="32"/>
          <w:szCs w:val="32"/>
        </w:rPr>
        <w:t>（一）贯彻党的路线、方针、政策和上级党委的决议、指示，全面推进党的政治建设、思想建设、组织建设、作风建设、纪律建设，把制度建设贯穿其中;研究园区内重大经济社会发展问题;负责党的组织、思想、党风廉政、纪律检查、意识形态工作和领导班子建设;负责园区宣传和精神文明建设工作;负责园区机构编制、干部人事管理工作;负责园区工会、共青团、妇联等群团工作;完成区委交办的其他任务。</w:t>
      </w:r>
    </w:p>
    <w:p w14:paraId="1ED08CD0">
      <w:pPr>
        <w:spacing w:line="576" w:lineRule="exact"/>
        <w:ind w:firstLine="800" w:firstLineChars="250"/>
        <w:jc w:val="left"/>
        <w:rPr>
          <w:rFonts w:ascii="仿宋" w:hAnsi="仿宋" w:eastAsia="仿宋"/>
          <w:sz w:val="32"/>
          <w:szCs w:val="32"/>
        </w:rPr>
      </w:pPr>
      <w:r>
        <w:rPr>
          <w:rFonts w:hint="eastAsia" w:ascii="仿宋" w:hAnsi="仿宋" w:eastAsia="仿宋"/>
          <w:sz w:val="32"/>
          <w:szCs w:val="32"/>
        </w:rPr>
        <w:t>（二）贯彻落实区委、区政府的重要决策和工作部署;负责园区内经济发展规划和区域发展规划的编制、经批准后组织实施;对固定资产投资项目进行审核;负责文旅项目包装储备和申报工作;负责招商引资、投资促进、对外开放及企业服务等工作; 负责园区旅游资源的开发利用、文旅品牌创建、宣传营销等工作，负责园区A级景区创建及复核工作;负责园区内环境保护、消防安全和安全生产监督管理工作;负责园区消费者权益保障、旅游市场秩序维护等工作;负责园区旅游统计工作;负责园区内财务管理，实施园区内财务预算、决算、国有资产管理和财务监督工作;负责区委和区政府交办的其他事项。</w:t>
      </w:r>
    </w:p>
    <w:p w14:paraId="7271CCE6">
      <w:pPr>
        <w:spacing w:line="576" w:lineRule="exact"/>
        <w:ind w:firstLine="800" w:firstLineChars="250"/>
        <w:jc w:val="left"/>
        <w:rPr>
          <w:rFonts w:ascii="仿宋" w:hAnsi="仿宋" w:eastAsia="仿宋"/>
          <w:sz w:val="32"/>
          <w:szCs w:val="32"/>
        </w:rPr>
      </w:pPr>
      <w:r>
        <w:rPr>
          <w:rFonts w:hint="eastAsia" w:ascii="仿宋" w:hAnsi="仿宋" w:eastAsia="仿宋"/>
          <w:sz w:val="32"/>
          <w:szCs w:val="32"/>
        </w:rPr>
        <w:t>（三）有关职责分工负责园区农文旅产业融合建设发展规划编制、上报审批和组织实施;负责园区文化旅游项目基础设施、公共设施建设和管理;负责园区经济管理，审核或审批园区内企业和投资项目;负责园区文旅项目包装储备和申报工作;负责园区招商引资、项目引进、建设管理服务等工作;负责园区文旅资源开发利用、品牌创建、宣传营销等工作，负责园区A级景区创建及复核工作;负责园区环境保护等</w:t>
      </w:r>
    </w:p>
    <w:p w14:paraId="2D2C81FA">
      <w:pPr>
        <w:pStyle w:val="6"/>
        <w:spacing w:line="576" w:lineRule="exact"/>
        <w:ind w:firstLine="640" w:firstLineChars="200"/>
        <w:jc w:val="left"/>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8"/>
      <w:bookmarkEnd w:id="9"/>
    </w:p>
    <w:p w14:paraId="3F617AE9">
      <w:pPr>
        <w:spacing w:line="576" w:lineRule="exact"/>
        <w:ind w:firstLine="800" w:firstLineChars="250"/>
        <w:jc w:val="left"/>
        <w:rPr>
          <w:rFonts w:ascii="仿宋" w:hAnsi="仿宋" w:eastAsia="仿宋"/>
          <w:sz w:val="32"/>
          <w:szCs w:val="32"/>
        </w:rPr>
      </w:pPr>
      <w:r>
        <w:rPr>
          <w:rFonts w:hint="eastAsia" w:ascii="仿宋" w:hAnsi="仿宋" w:eastAsia="仿宋"/>
          <w:sz w:val="32"/>
          <w:szCs w:val="32"/>
        </w:rPr>
        <w:t>四川省遂宁市安居区海龙凯歌文化旅游产业园区管理委员会下属二级单位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14:paraId="0A5A8479">
      <w:pPr>
        <w:pStyle w:val="15"/>
        <w:spacing w:line="576" w:lineRule="exact"/>
        <w:jc w:val="left"/>
        <w:rPr>
          <w:rFonts w:ascii="仿宋" w:hAnsi="仿宋" w:eastAsia="仿宋"/>
          <w:color w:val="0000FF"/>
          <w:sz w:val="32"/>
          <w:szCs w:val="32"/>
        </w:rPr>
      </w:pPr>
    </w:p>
    <w:p w14:paraId="277D5B14">
      <w:pPr>
        <w:spacing w:line="576" w:lineRule="exact"/>
        <w:jc w:val="left"/>
      </w:pPr>
    </w:p>
    <w:p w14:paraId="7AB96756">
      <w:pPr>
        <w:pStyle w:val="15"/>
        <w:spacing w:line="576" w:lineRule="exact"/>
        <w:jc w:val="left"/>
      </w:pPr>
    </w:p>
    <w:p w14:paraId="6DEB5464">
      <w:pPr>
        <w:spacing w:line="576" w:lineRule="exact"/>
        <w:jc w:val="left"/>
      </w:pPr>
    </w:p>
    <w:p w14:paraId="18E3D96C">
      <w:pPr>
        <w:pStyle w:val="15"/>
        <w:spacing w:line="576" w:lineRule="exact"/>
        <w:jc w:val="left"/>
      </w:pPr>
    </w:p>
    <w:p w14:paraId="289D3AB2">
      <w:pPr>
        <w:spacing w:line="576" w:lineRule="exact"/>
        <w:jc w:val="left"/>
      </w:pPr>
    </w:p>
    <w:p w14:paraId="045F4FAB">
      <w:pPr>
        <w:spacing w:line="576" w:lineRule="exact"/>
        <w:jc w:val="left"/>
      </w:pPr>
    </w:p>
    <w:p w14:paraId="149990E2">
      <w:pPr>
        <w:spacing w:line="576" w:lineRule="exact"/>
        <w:jc w:val="left"/>
      </w:pPr>
    </w:p>
    <w:p w14:paraId="41970556">
      <w:pPr>
        <w:spacing w:line="576" w:lineRule="exact"/>
        <w:jc w:val="left"/>
      </w:pPr>
    </w:p>
    <w:p w14:paraId="702C0D00">
      <w:pPr>
        <w:spacing w:line="576" w:lineRule="exact"/>
        <w:jc w:val="left"/>
      </w:pPr>
    </w:p>
    <w:p w14:paraId="5DF8C50E">
      <w:pPr>
        <w:spacing w:line="576" w:lineRule="exact"/>
        <w:jc w:val="left"/>
      </w:pPr>
    </w:p>
    <w:p w14:paraId="2A79F0D6">
      <w:pPr>
        <w:spacing w:line="576" w:lineRule="exact"/>
        <w:jc w:val="left"/>
      </w:pPr>
    </w:p>
    <w:p w14:paraId="6E9294B8">
      <w:pPr>
        <w:spacing w:line="576" w:lineRule="exact"/>
        <w:jc w:val="left"/>
      </w:pPr>
    </w:p>
    <w:p w14:paraId="7F2C847B">
      <w:pPr>
        <w:spacing w:line="576" w:lineRule="exact"/>
        <w:jc w:val="left"/>
      </w:pPr>
    </w:p>
    <w:p w14:paraId="499D2AF5">
      <w:pPr>
        <w:spacing w:line="576" w:lineRule="exact"/>
        <w:jc w:val="left"/>
      </w:pPr>
    </w:p>
    <w:p w14:paraId="62E33FB9">
      <w:pPr>
        <w:pStyle w:val="5"/>
        <w:spacing w:line="576" w:lineRule="exact"/>
        <w:ind w:right="440"/>
        <w:jc w:val="center"/>
        <w:rPr>
          <w:rStyle w:val="31"/>
          <w:rFonts w:ascii="黑体" w:hAnsi="黑体" w:eastAsia="黑体"/>
          <w:b w:val="0"/>
          <w:bCs w:val="0"/>
        </w:rPr>
      </w:pPr>
      <w:bookmarkStart w:id="10" w:name="_Toc15377204"/>
      <w:bookmarkStart w:id="11"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31"/>
          <w:rFonts w:hint="eastAsia" w:ascii="黑体" w:hAnsi="黑体" w:eastAsia="黑体"/>
          <w:b w:val="0"/>
          <w:bCs w:val="0"/>
        </w:rPr>
        <w:t>2023年度部门决算情况说明</w:t>
      </w:r>
      <w:bookmarkEnd w:id="10"/>
      <w:bookmarkEnd w:id="11"/>
    </w:p>
    <w:p w14:paraId="230959F0">
      <w:pPr>
        <w:spacing w:line="576" w:lineRule="exact"/>
        <w:jc w:val="left"/>
      </w:pPr>
    </w:p>
    <w:p w14:paraId="0331A16E">
      <w:pPr>
        <w:pStyle w:val="30"/>
        <w:numPr>
          <w:ilvl w:val="0"/>
          <w:numId w:val="2"/>
        </w:numPr>
        <w:spacing w:line="576" w:lineRule="exact"/>
        <w:ind w:firstLineChars="0"/>
        <w:jc w:val="left"/>
        <w:outlineLvl w:val="1"/>
        <w:rPr>
          <w:rStyle w:val="32"/>
          <w:rFonts w:ascii="黑体" w:hAnsi="黑体" w:eastAsia="黑体"/>
          <w:b w:val="0"/>
        </w:rPr>
      </w:pPr>
      <w:bookmarkStart w:id="12" w:name="_Toc15377205"/>
      <w:bookmarkStart w:id="13" w:name="_Toc15396603"/>
      <w:r>
        <w:rPr>
          <w:rFonts w:hint="eastAsia" w:ascii="黑体" w:hAnsi="黑体" w:eastAsia="黑体"/>
          <w:sz w:val="32"/>
          <w:szCs w:val="32"/>
        </w:rPr>
        <w:t>收</w:t>
      </w:r>
      <w:r>
        <w:rPr>
          <w:rStyle w:val="32"/>
          <w:rFonts w:hint="eastAsia" w:ascii="黑体" w:hAnsi="黑体" w:eastAsia="黑体"/>
          <w:b w:val="0"/>
        </w:rPr>
        <w:t>入支出决算总体情况说明</w:t>
      </w:r>
      <w:bookmarkEnd w:id="12"/>
      <w:bookmarkEnd w:id="13"/>
    </w:p>
    <w:p w14:paraId="751747F4">
      <w:pPr>
        <w:spacing w:line="576" w:lineRule="exact"/>
        <w:ind w:firstLine="640" w:firstLineChars="200"/>
        <w:jc w:val="left"/>
        <w:rPr>
          <w:rFonts w:ascii="仿宋" w:hAnsi="仿宋" w:eastAsia="仿宋"/>
          <w:sz w:val="32"/>
          <w:szCs w:val="32"/>
        </w:rPr>
      </w:pPr>
      <w:r>
        <w:rPr>
          <w:rFonts w:hint="eastAsia" w:ascii="仿宋" w:hAnsi="仿宋" w:eastAsia="仿宋"/>
          <w:sz w:val="32"/>
          <w:szCs w:val="32"/>
        </w:rPr>
        <w:drawing>
          <wp:anchor distT="0" distB="0" distL="114300" distR="114300" simplePos="0" relativeHeight="251659264" behindDoc="0" locked="0" layoutInCell="1" allowOverlap="1">
            <wp:simplePos x="0" y="0"/>
            <wp:positionH relativeFrom="column">
              <wp:posOffset>586740</wp:posOffset>
            </wp:positionH>
            <wp:positionV relativeFrom="paragraph">
              <wp:posOffset>1216660</wp:posOffset>
            </wp:positionV>
            <wp:extent cx="4690110" cy="2440305"/>
            <wp:effectExtent l="4445" t="4445" r="10795" b="1270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2023年度收、支总计375.08万元。与2022年相比，收入总计各增加367.89万元，增加98.08</w:t>
      </w:r>
      <w:r>
        <w:rPr>
          <w:rFonts w:ascii="仿宋" w:hAnsi="仿宋" w:eastAsia="仿宋"/>
          <w:sz w:val="32"/>
          <w:szCs w:val="32"/>
        </w:rPr>
        <w:t>%</w:t>
      </w:r>
      <w:r>
        <w:rPr>
          <w:rFonts w:hint="eastAsia" w:ascii="仿宋" w:hAnsi="仿宋" w:eastAsia="仿宋"/>
          <w:sz w:val="32"/>
          <w:szCs w:val="32"/>
        </w:rPr>
        <w:t>。主要变动原因是增加人员经费、日常公用经费及国庆营销活动经</w:t>
      </w:r>
      <w:r>
        <w:rPr>
          <w:rFonts w:ascii="仿宋" w:hAnsi="仿宋" w:eastAsia="仿宋"/>
          <w:sz w:val="32"/>
          <w:szCs w:val="32"/>
        </w:rPr>
        <w:t>费及产业招引补助等</w:t>
      </w:r>
      <w:r>
        <w:rPr>
          <w:rFonts w:hint="eastAsia" w:ascii="仿宋" w:hAnsi="仿宋" w:eastAsia="仿宋"/>
          <w:sz w:val="32"/>
          <w:szCs w:val="32"/>
        </w:rPr>
        <w:t>项目资金。</w:t>
      </w:r>
    </w:p>
    <w:p w14:paraId="341E2A25">
      <w:pPr>
        <w:pStyle w:val="2"/>
      </w:pPr>
    </w:p>
    <w:p w14:paraId="3B85A6E5">
      <w:pPr>
        <w:ind w:firstLine="640" w:firstLineChars="200"/>
        <w:jc w:val="center"/>
        <w:rPr>
          <w:rFonts w:ascii="仿宋" w:hAnsi="仿宋" w:eastAsia="仿宋"/>
          <w:color w:val="000000" w:themeColor="text1"/>
          <w:sz w:val="32"/>
          <w:szCs w:val="32"/>
          <w14:textFill>
            <w14:solidFill>
              <w14:schemeClr w14:val="tx1"/>
            </w14:solidFill>
          </w14:textFill>
        </w:rPr>
      </w:pPr>
      <w:r>
        <w:rPr>
          <w:rFonts w:ascii="仿宋_GB2312" w:eastAsia="仿宋_GB2312"/>
          <w:sz w:val="32"/>
          <w:szCs w:val="32"/>
        </w:rPr>
        <w:t>（图1：收、支决算总计变动情况图）（柱状图）</w:t>
      </w:r>
    </w:p>
    <w:p w14:paraId="205B31BB">
      <w:pPr>
        <w:pStyle w:val="30"/>
        <w:numPr>
          <w:ilvl w:val="0"/>
          <w:numId w:val="2"/>
        </w:numPr>
        <w:spacing w:line="576" w:lineRule="exact"/>
        <w:ind w:firstLineChars="0"/>
        <w:jc w:val="left"/>
        <w:outlineLvl w:val="1"/>
        <w:rPr>
          <w:rStyle w:val="32"/>
          <w:rFonts w:ascii="黑体" w:hAnsi="黑体" w:eastAsia="黑体"/>
          <w:b w:val="0"/>
        </w:rPr>
      </w:pPr>
      <w:bookmarkStart w:id="14" w:name="_Toc15377206"/>
      <w:bookmarkStart w:id="15" w:name="_Toc15396604"/>
      <w:r>
        <w:rPr>
          <w:rFonts w:hint="eastAsia" w:ascii="黑体" w:hAnsi="黑体" w:eastAsia="黑体"/>
          <w:sz w:val="32"/>
          <w:szCs w:val="32"/>
        </w:rPr>
        <w:t>收</w:t>
      </w:r>
      <w:r>
        <w:rPr>
          <w:rStyle w:val="32"/>
          <w:rFonts w:hint="eastAsia" w:ascii="黑体" w:hAnsi="黑体" w:eastAsia="黑体"/>
          <w:b w:val="0"/>
        </w:rPr>
        <w:t>入决算情况说明</w:t>
      </w:r>
      <w:bookmarkEnd w:id="14"/>
      <w:bookmarkEnd w:id="15"/>
    </w:p>
    <w:p w14:paraId="2D4C0D5E">
      <w:pPr>
        <w:spacing w:line="576"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2023年本年收入合计375.08万元，其中：一般公共预算财政拨款收入375.08万元，占100%；政府性基金预算财政拨款收入0万元，占0%；国有资本经营预算财政拨款收入0万元，占0%；上级补助收入0万元，占0%；事业收入0万元，占0%；经营收入0万元，占0%；附属单位上缴收入0万元，占0%；其他收入0万元，占0%。</w:t>
      </w:r>
    </w:p>
    <w:p w14:paraId="152358E5">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725670" cy="2725420"/>
            <wp:effectExtent l="4445" t="4445" r="13335" b="1333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0F7EAC">
      <w:pPr>
        <w:spacing w:line="576"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14:paraId="14B6FA82">
      <w:pPr>
        <w:pStyle w:val="30"/>
        <w:numPr>
          <w:ilvl w:val="0"/>
          <w:numId w:val="2"/>
        </w:numPr>
        <w:spacing w:line="576" w:lineRule="exact"/>
        <w:ind w:firstLineChars="0"/>
        <w:jc w:val="left"/>
        <w:outlineLvl w:val="1"/>
        <w:rPr>
          <w:rStyle w:val="32"/>
          <w:rFonts w:ascii="黑体" w:hAnsi="黑体" w:eastAsia="黑体"/>
          <w:b w:val="0"/>
        </w:rPr>
      </w:pPr>
      <w:bookmarkStart w:id="16" w:name="_Toc15377207"/>
      <w:bookmarkStart w:id="17" w:name="_Toc15396605"/>
      <w:r>
        <w:rPr>
          <w:rFonts w:hint="eastAsia" w:ascii="黑体" w:hAnsi="黑体" w:eastAsia="黑体"/>
          <w:color w:val="000000"/>
          <w:sz w:val="32"/>
          <w:szCs w:val="32"/>
        </w:rPr>
        <w:t>支</w:t>
      </w:r>
      <w:r>
        <w:rPr>
          <w:rStyle w:val="32"/>
          <w:rFonts w:hint="eastAsia" w:ascii="黑体" w:hAnsi="黑体" w:eastAsia="黑体"/>
          <w:b w:val="0"/>
        </w:rPr>
        <w:t>出决算情况说明</w:t>
      </w:r>
      <w:bookmarkEnd w:id="16"/>
      <w:bookmarkEnd w:id="17"/>
    </w:p>
    <w:p w14:paraId="1B18D723">
      <w:pPr>
        <w:spacing w:line="576" w:lineRule="exact"/>
        <w:ind w:firstLine="640" w:firstLineChars="200"/>
        <w:jc w:val="left"/>
        <w:rPr>
          <w:rFonts w:ascii="仿宋" w:hAnsi="仿宋" w:eastAsia="仿宋"/>
          <w:sz w:val="32"/>
          <w:szCs w:val="32"/>
          <w:shd w:val="pct10" w:color="auto" w:fill="FFFFFF"/>
        </w:rPr>
      </w:pPr>
      <w:r>
        <w:rPr>
          <w:rFonts w:hint="eastAsia" w:ascii="仿宋" w:hAnsi="仿宋" w:eastAsia="仿宋"/>
          <w:sz w:val="32"/>
          <w:szCs w:val="32"/>
        </w:rPr>
        <w:t>2023年本年支出合计375.08万元，其中：基本支出189.46万元，占51</w:t>
      </w:r>
      <w:r>
        <w:rPr>
          <w:rFonts w:ascii="仿宋" w:hAnsi="仿宋" w:eastAsia="仿宋"/>
          <w:sz w:val="32"/>
          <w:szCs w:val="32"/>
        </w:rPr>
        <w:t>%</w:t>
      </w:r>
      <w:r>
        <w:rPr>
          <w:rFonts w:hint="eastAsia" w:ascii="仿宋" w:hAnsi="仿宋" w:eastAsia="仿宋"/>
          <w:sz w:val="32"/>
          <w:szCs w:val="32"/>
        </w:rPr>
        <w:t>；项目支出185.62万元，占49</w:t>
      </w:r>
      <w:r>
        <w:rPr>
          <w:rFonts w:ascii="仿宋" w:hAnsi="仿宋" w:eastAsia="仿宋"/>
          <w:sz w:val="32"/>
          <w:szCs w:val="32"/>
        </w:rPr>
        <w:t>%</w:t>
      </w:r>
      <w:r>
        <w:rPr>
          <w:rFonts w:hint="eastAsia" w:ascii="仿宋" w:hAnsi="仿宋" w:eastAsia="仿宋"/>
          <w:sz w:val="32"/>
          <w:szCs w:val="32"/>
        </w:rPr>
        <w:t>。上缴上级支出0万元，占0%；经营支出0万元，占0%；对附属单位补助支出0万元，占0%。</w:t>
      </w:r>
    </w:p>
    <w:p w14:paraId="4F426E6D">
      <w:pPr>
        <w:spacing w:line="360" w:lineRule="auto"/>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74895" cy="2519045"/>
            <wp:effectExtent l="4445" t="4445" r="16510" b="1016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55650C">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（图4：支出决算结构图）（饼状图）</w:t>
      </w:r>
    </w:p>
    <w:p w14:paraId="4C9A5960">
      <w:pPr>
        <w:spacing w:line="576" w:lineRule="exact"/>
        <w:ind w:firstLine="640" w:firstLineChars="200"/>
        <w:outlineLvl w:val="1"/>
        <w:rPr>
          <w:rStyle w:val="32"/>
          <w:rFonts w:ascii="黑体" w:hAnsi="黑体" w:eastAsia="黑体"/>
          <w:b w:val="0"/>
        </w:rPr>
      </w:pPr>
      <w:bookmarkStart w:id="18" w:name="_Toc15396606"/>
      <w:bookmarkStart w:id="19" w:name="_Toc15377208"/>
      <w:r>
        <w:rPr>
          <w:rFonts w:hint="eastAsia" w:ascii="黑体" w:hAnsi="黑体" w:eastAsia="黑体"/>
          <w:color w:val="000000"/>
          <w:sz w:val="32"/>
          <w:szCs w:val="32"/>
        </w:rPr>
        <w:t>四、财</w:t>
      </w:r>
      <w:r>
        <w:rPr>
          <w:rStyle w:val="32"/>
          <w:rFonts w:hint="eastAsia" w:ascii="黑体" w:hAnsi="黑体" w:eastAsia="黑体"/>
          <w:b w:val="0"/>
        </w:rPr>
        <w:t>政拨款收入支出决算总体情况说明</w:t>
      </w:r>
      <w:bookmarkEnd w:id="18"/>
      <w:bookmarkEnd w:id="19"/>
    </w:p>
    <w:p w14:paraId="3A038546">
      <w:pPr>
        <w:spacing w:line="576" w:lineRule="exact"/>
        <w:ind w:firstLine="640" w:firstLineChars="200"/>
        <w:rPr>
          <w:rFonts w:ascii="仿宋" w:hAnsi="仿宋" w:eastAsia="仿宋"/>
          <w:sz w:val="32"/>
          <w:szCs w:val="32"/>
        </w:rPr>
      </w:pPr>
      <w:r>
        <w:rPr>
          <w:rFonts w:hint="eastAsia" w:ascii="仿宋" w:hAnsi="仿宋" w:eastAsia="仿宋"/>
          <w:sz w:val="32"/>
          <w:szCs w:val="32"/>
        </w:rPr>
        <w:t>2023年财政拨款收入总计375.08万元。与2022年相比，收入总计各增加367.89万元，增加98.08</w:t>
      </w:r>
      <w:r>
        <w:rPr>
          <w:rFonts w:ascii="仿宋" w:hAnsi="仿宋" w:eastAsia="仿宋"/>
          <w:sz w:val="32"/>
          <w:szCs w:val="32"/>
        </w:rPr>
        <w:t>%</w:t>
      </w:r>
      <w:r>
        <w:rPr>
          <w:rFonts w:hint="eastAsia" w:ascii="仿宋" w:hAnsi="仿宋" w:eastAsia="仿宋"/>
          <w:sz w:val="32"/>
          <w:szCs w:val="32"/>
        </w:rPr>
        <w:t>。主要变动原因是增加人员经费、日常公用经费及项目资金等。</w:t>
      </w:r>
    </w:p>
    <w:p w14:paraId="3227FCF5">
      <w:pPr>
        <w:spacing w:line="600" w:lineRule="exact"/>
        <w:ind w:firstLine="640" w:firstLineChars="200"/>
        <w:jc w:val="center"/>
      </w:pPr>
      <w:r>
        <w:rPr>
          <w:rFonts w:hint="eastAsia"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394970</wp:posOffset>
            </wp:positionH>
            <wp:positionV relativeFrom="paragraph">
              <wp:posOffset>311785</wp:posOffset>
            </wp:positionV>
            <wp:extent cx="4911090" cy="3265170"/>
            <wp:effectExtent l="4445" t="4445" r="18415" b="698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bookmarkStart w:id="20" w:name="_Toc15377209"/>
      <w:bookmarkStart w:id="21" w:name="_Toc15396607"/>
      <w:r>
        <w:rPr>
          <w:rFonts w:hint="eastAsia" w:ascii="仿宋" w:hAnsi="仿宋" w:eastAsia="仿宋"/>
          <w:color w:val="000000" w:themeColor="text1"/>
          <w:sz w:val="32"/>
          <w:szCs w:val="32"/>
          <w14:textFill>
            <w14:solidFill>
              <w14:schemeClr w14:val="tx1"/>
            </w14:solidFill>
          </w14:textFill>
        </w:rPr>
        <w:t>（图4：财政拨款收、支决算总计变动情况）（柱状图）</w:t>
      </w:r>
    </w:p>
    <w:p w14:paraId="1AC16CE7">
      <w:pPr>
        <w:spacing w:line="576" w:lineRule="exact"/>
        <w:ind w:firstLine="640" w:firstLineChars="200"/>
        <w:outlineLvl w:val="1"/>
        <w:rPr>
          <w:rStyle w:val="32"/>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2"/>
          <w:rFonts w:hint="eastAsia" w:ascii="黑体" w:hAnsi="黑体" w:eastAsia="黑体"/>
          <w:b w:val="0"/>
        </w:rPr>
        <w:t>般公共预算财政拨款支出决算情况说明</w:t>
      </w:r>
      <w:bookmarkEnd w:id="20"/>
      <w:bookmarkEnd w:id="21"/>
    </w:p>
    <w:p w14:paraId="3706D97A">
      <w:pPr>
        <w:spacing w:line="576" w:lineRule="exact"/>
        <w:ind w:firstLine="643" w:firstLineChars="200"/>
        <w:outlineLvl w:val="2"/>
        <w:rPr>
          <w:rFonts w:ascii="仿宋" w:hAnsi="仿宋" w:eastAsia="仿宋"/>
          <w:b/>
          <w:sz w:val="32"/>
          <w:szCs w:val="32"/>
        </w:rPr>
      </w:pPr>
      <w:bookmarkStart w:id="22" w:name="_Toc15377210"/>
      <w:r>
        <w:rPr>
          <w:rFonts w:hint="eastAsia" w:ascii="仿宋" w:hAnsi="仿宋" w:eastAsia="仿宋"/>
          <w:b/>
          <w:sz w:val="32"/>
          <w:szCs w:val="32"/>
        </w:rPr>
        <w:t>（一）一般公共预算财政拨款支出决算总体情况</w:t>
      </w:r>
      <w:bookmarkEnd w:id="22"/>
    </w:p>
    <w:p w14:paraId="58DA2704">
      <w:pPr>
        <w:spacing w:line="576" w:lineRule="exact"/>
        <w:ind w:firstLine="640" w:firstLineChars="200"/>
        <w:rPr>
          <w:rFonts w:ascii="仿宋" w:hAnsi="仿宋" w:eastAsia="仿宋"/>
          <w:sz w:val="32"/>
          <w:szCs w:val="32"/>
        </w:rPr>
      </w:pPr>
      <w:r>
        <w:rPr>
          <w:rFonts w:hint="eastAsia" w:ascii="仿宋" w:hAnsi="仿宋" w:eastAsia="仿宋"/>
          <w:sz w:val="32"/>
          <w:szCs w:val="32"/>
        </w:rPr>
        <w:t>2023年一般公共预算财政拨款支出375.08万元，与2022年相比，收、支总计各增加367.89万元，增加98.08</w:t>
      </w:r>
      <w:r>
        <w:rPr>
          <w:rFonts w:ascii="仿宋" w:hAnsi="仿宋" w:eastAsia="仿宋"/>
          <w:sz w:val="32"/>
          <w:szCs w:val="32"/>
        </w:rPr>
        <w:t>%</w:t>
      </w:r>
      <w:r>
        <w:rPr>
          <w:rFonts w:hint="eastAsia" w:ascii="仿宋" w:hAnsi="仿宋" w:eastAsia="仿宋"/>
          <w:sz w:val="32"/>
          <w:szCs w:val="32"/>
        </w:rPr>
        <w:t>。主要变动原因是增加人员经费、日常公用经费及项目资金。</w:t>
      </w:r>
    </w:p>
    <w:p w14:paraId="14102F5E">
      <w:pPr>
        <w:spacing w:line="600" w:lineRule="exact"/>
        <w:rPr>
          <w:rFonts w:ascii="仿宋" w:hAnsi="仿宋" w:eastAsia="仿宋"/>
          <w:color w:val="000000" w:themeColor="text1"/>
          <w:sz w:val="32"/>
          <w:szCs w:val="32"/>
          <w14:textFill>
            <w14:solidFill>
              <w14:schemeClr w14:val="tx1"/>
            </w14:solidFill>
          </w14:textFill>
        </w:rPr>
      </w:pPr>
    </w:p>
    <w:p w14:paraId="45ADAB9F">
      <w:pPr>
        <w:pStyle w:val="2"/>
      </w:pPr>
    </w:p>
    <w:p w14:paraId="6182D655">
      <w:pPr>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488180" cy="2519680"/>
            <wp:effectExtent l="4445" t="4445" r="22225"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1FF2CF">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（图6：一般公共预算财政拨款支出决算变动情况）（柱状图）</w:t>
      </w:r>
    </w:p>
    <w:p w14:paraId="18076F3E">
      <w:pPr>
        <w:spacing w:line="576" w:lineRule="exact"/>
        <w:ind w:firstLine="643" w:firstLineChars="200"/>
        <w:outlineLvl w:val="2"/>
        <w:rPr>
          <w:rFonts w:ascii="仿宋" w:hAnsi="仿宋" w:eastAsia="仿宋"/>
          <w:b/>
          <w:sz w:val="32"/>
          <w:szCs w:val="32"/>
        </w:rPr>
      </w:pPr>
      <w:bookmarkStart w:id="23" w:name="_Toc15377211"/>
      <w:r>
        <w:rPr>
          <w:rFonts w:hint="eastAsia" w:ascii="仿宋" w:hAnsi="仿宋" w:eastAsia="仿宋"/>
          <w:b/>
          <w:sz w:val="32"/>
          <w:szCs w:val="32"/>
        </w:rPr>
        <w:t>（二）一般公共预算财政拨款支出决算结构情况</w:t>
      </w:r>
      <w:bookmarkEnd w:id="23"/>
    </w:p>
    <w:p w14:paraId="52A2D0B8">
      <w:pPr>
        <w:spacing w:line="576" w:lineRule="exact"/>
        <w:ind w:firstLine="640" w:firstLineChars="200"/>
        <w:outlineLvl w:val="1"/>
        <w:rPr>
          <w:rFonts w:ascii="仿宋" w:hAnsi="仿宋" w:eastAsia="仿宋"/>
          <w:sz w:val="32"/>
          <w:szCs w:val="32"/>
        </w:rPr>
      </w:pPr>
      <w:r>
        <w:rPr>
          <w:rFonts w:hint="eastAsia" w:ascii="仿宋" w:hAnsi="仿宋" w:eastAsia="仿宋"/>
          <w:sz w:val="32"/>
          <w:szCs w:val="32"/>
        </w:rPr>
        <w:t>2023年本年支出合计375.08万元，其中：</w:t>
      </w:r>
      <w:r>
        <w:rPr>
          <w:rFonts w:hint="eastAsia" w:ascii="仿宋_GB2312" w:hAnsi="仿宋" w:eastAsia="仿宋_GB2312"/>
          <w:sz w:val="32"/>
          <w:szCs w:val="32"/>
        </w:rPr>
        <w:t>文化体育与传媒</w:t>
      </w:r>
      <w:r>
        <w:rPr>
          <w:rFonts w:hint="eastAsia" w:ascii="仿宋" w:hAnsi="仿宋" w:eastAsia="仿宋"/>
          <w:sz w:val="32"/>
          <w:szCs w:val="32"/>
        </w:rPr>
        <w:t>支出215.1万</w:t>
      </w:r>
      <w:r>
        <w:rPr>
          <w:rFonts w:hint="eastAsia" w:ascii="仿宋_GB2312" w:hAnsi="仿宋" w:eastAsia="仿宋_GB2312"/>
          <w:sz w:val="32"/>
          <w:szCs w:val="32"/>
        </w:rPr>
        <w:t>元</w:t>
      </w:r>
      <w:r>
        <w:rPr>
          <w:rFonts w:hint="eastAsia" w:ascii="仿宋" w:hAnsi="仿宋" w:eastAsia="仿宋"/>
          <w:sz w:val="32"/>
          <w:szCs w:val="32"/>
        </w:rPr>
        <w:t>，占57.35</w:t>
      </w:r>
      <w:r>
        <w:rPr>
          <w:rFonts w:ascii="仿宋" w:hAnsi="仿宋" w:eastAsia="仿宋"/>
          <w:sz w:val="32"/>
          <w:szCs w:val="32"/>
        </w:rPr>
        <w:t>%</w:t>
      </w:r>
      <w:r>
        <w:rPr>
          <w:rFonts w:hint="eastAsia" w:ascii="仿宋" w:hAnsi="仿宋" w:eastAsia="仿宋"/>
          <w:sz w:val="32"/>
          <w:szCs w:val="32"/>
        </w:rPr>
        <w:t>；社会保障和就业支出13.84万元，占3.69</w:t>
      </w:r>
      <w:r>
        <w:rPr>
          <w:rFonts w:ascii="仿宋" w:hAnsi="仿宋" w:eastAsia="仿宋"/>
          <w:sz w:val="32"/>
          <w:szCs w:val="32"/>
        </w:rPr>
        <w:t>%</w:t>
      </w:r>
      <w:r>
        <w:rPr>
          <w:rFonts w:hint="eastAsia" w:ascii="仿宋" w:hAnsi="仿宋" w:eastAsia="仿宋"/>
          <w:sz w:val="32"/>
          <w:szCs w:val="32"/>
        </w:rPr>
        <w:t>；卫生健康支出8.08万元，占2.15</w:t>
      </w:r>
      <w:r>
        <w:rPr>
          <w:rFonts w:ascii="仿宋" w:hAnsi="仿宋" w:eastAsia="仿宋"/>
          <w:sz w:val="32"/>
          <w:szCs w:val="32"/>
        </w:rPr>
        <w:t>%</w:t>
      </w:r>
      <w:r>
        <w:rPr>
          <w:rFonts w:hint="eastAsia" w:ascii="仿宋" w:hAnsi="仿宋" w:eastAsia="仿宋"/>
          <w:sz w:val="32"/>
          <w:szCs w:val="32"/>
        </w:rPr>
        <w:t>；农林水支出125万元，占33.33</w:t>
      </w:r>
      <w:r>
        <w:rPr>
          <w:rFonts w:ascii="仿宋" w:hAnsi="仿宋" w:eastAsia="仿宋"/>
          <w:sz w:val="32"/>
          <w:szCs w:val="32"/>
        </w:rPr>
        <w:t>%</w:t>
      </w:r>
      <w:r>
        <w:rPr>
          <w:rFonts w:hint="eastAsia" w:ascii="仿宋" w:hAnsi="仿宋" w:eastAsia="仿宋"/>
          <w:sz w:val="32"/>
          <w:szCs w:val="32"/>
        </w:rPr>
        <w:t>；住房保障支出13.06万元，占3.48%。</w:t>
      </w:r>
    </w:p>
    <w:p w14:paraId="6EC979E4">
      <w:pPr>
        <w:spacing w:line="360" w:lineRule="auto"/>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853305" cy="2714625"/>
            <wp:effectExtent l="4445" t="4445" r="1905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8C8F62">
      <w:pPr>
        <w:spacing w:line="600" w:lineRule="exact"/>
        <w:ind w:firstLine="640" w:firstLineChars="200"/>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rPr>
        <w:t>（图7：一般公共预算财政拨款支出决算结构）（饼状图）</w:t>
      </w:r>
    </w:p>
    <w:p w14:paraId="0A81F474">
      <w:pPr>
        <w:spacing w:line="576" w:lineRule="exact"/>
        <w:ind w:firstLine="643" w:firstLineChars="200"/>
        <w:outlineLvl w:val="2"/>
        <w:rPr>
          <w:rFonts w:ascii="仿宋" w:hAnsi="仿宋" w:eastAsia="仿宋"/>
          <w:b/>
          <w:color w:val="000000"/>
          <w:sz w:val="32"/>
          <w:szCs w:val="32"/>
        </w:rPr>
      </w:pPr>
      <w:bookmarkStart w:id="24" w:name="_Toc15377212"/>
      <w:r>
        <w:rPr>
          <w:rFonts w:hint="eastAsia" w:ascii="仿宋" w:hAnsi="仿宋" w:eastAsia="仿宋"/>
          <w:b/>
          <w:color w:val="000000"/>
          <w:sz w:val="32"/>
          <w:szCs w:val="32"/>
        </w:rPr>
        <w:t>（三）一般公共预算财政拨款支出决算具体情况</w:t>
      </w:r>
      <w:bookmarkEnd w:id="24"/>
    </w:p>
    <w:p w14:paraId="3F314A19">
      <w:pPr>
        <w:spacing w:line="576" w:lineRule="exact"/>
        <w:ind w:firstLine="643" w:firstLineChars="200"/>
        <w:outlineLvl w:val="2"/>
        <w:rPr>
          <w:rStyle w:val="20"/>
          <w:rFonts w:ascii="仿宋" w:hAnsi="仿宋" w:eastAsia="仿宋"/>
          <w:bCs/>
          <w:color w:val="000000"/>
          <w:sz w:val="32"/>
          <w:szCs w:val="32"/>
        </w:rPr>
      </w:pPr>
      <w:bookmarkStart w:id="25" w:name="_Toc15377213"/>
      <w:bookmarkStart w:id="26" w:name="_Toc15377444"/>
      <w:bookmarkStart w:id="27" w:name="_Toc15378460"/>
      <w:r>
        <w:rPr>
          <w:rFonts w:hint="eastAsia" w:ascii="仿宋" w:hAnsi="仿宋" w:eastAsia="仿宋"/>
          <w:b/>
          <w:color w:val="000000" w:themeColor="text1"/>
          <w:sz w:val="32"/>
          <w:szCs w:val="32"/>
          <w14:textFill>
            <w14:solidFill>
              <w14:schemeClr w14:val="tx1"/>
            </w14:solidFill>
          </w14:textFill>
        </w:rPr>
        <w:t>2023年一般公共预算支出决算数为375.08万元</w:t>
      </w:r>
      <w:r>
        <w:rPr>
          <w:rFonts w:hint="eastAsia" w:ascii="仿宋" w:hAnsi="仿宋" w:eastAsia="仿宋"/>
          <w:color w:val="000000" w:themeColor="text1"/>
          <w:sz w:val="32"/>
          <w:szCs w:val="32"/>
          <w14:textFill>
            <w14:solidFill>
              <w14:schemeClr w14:val="tx1"/>
            </w14:solidFill>
          </w14:textFill>
        </w:rPr>
        <w:t>，</w:t>
      </w:r>
      <w:r>
        <w:rPr>
          <w:rStyle w:val="20"/>
          <w:rFonts w:hint="eastAsia" w:ascii="仿宋" w:hAnsi="仿宋" w:eastAsia="仿宋"/>
          <w:bCs/>
          <w:color w:val="000000" w:themeColor="text1"/>
          <w:sz w:val="32"/>
          <w:szCs w:val="32"/>
          <w14:textFill>
            <w14:solidFill>
              <w14:schemeClr w14:val="tx1"/>
            </w14:solidFill>
          </w14:textFill>
        </w:rPr>
        <w:t>完成</w:t>
      </w:r>
      <w:r>
        <w:rPr>
          <w:rStyle w:val="20"/>
          <w:rFonts w:hint="eastAsia" w:ascii="仿宋" w:hAnsi="仿宋" w:eastAsia="仿宋"/>
          <w:bCs/>
          <w:color w:val="000000"/>
          <w:sz w:val="32"/>
          <w:szCs w:val="32"/>
        </w:rPr>
        <w:t>预算100</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。其中：</w:t>
      </w:r>
      <w:bookmarkEnd w:id="25"/>
      <w:bookmarkEnd w:id="26"/>
      <w:bookmarkEnd w:id="27"/>
    </w:p>
    <w:p w14:paraId="3757F4BF">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 xml:space="preserve">1.文化体育与传媒支出（类）文化（款）行政运行（项）: </w:t>
      </w:r>
      <w:r>
        <w:rPr>
          <w:rStyle w:val="20"/>
          <w:rFonts w:hint="eastAsia" w:ascii="仿宋" w:hAnsi="仿宋" w:eastAsia="仿宋"/>
          <w:b w:val="0"/>
          <w:bCs/>
          <w:color w:val="000000"/>
          <w:sz w:val="32"/>
          <w:szCs w:val="32"/>
        </w:rPr>
        <w:t>支出决算为121.91万元，完成预算100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，决算数等于预算数的主要原因是严格按照财政规定支付人员行政人员工资及津贴补贴。</w:t>
      </w:r>
    </w:p>
    <w:p w14:paraId="785363FD">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 xml:space="preserve">2.文化体育与传媒支出（类）文化（款）文化和旅游市场管理（项）: </w:t>
      </w:r>
      <w:r>
        <w:rPr>
          <w:rStyle w:val="20"/>
          <w:rFonts w:hint="eastAsia" w:ascii="仿宋" w:hAnsi="仿宋" w:eastAsia="仿宋"/>
          <w:b w:val="0"/>
          <w:bCs/>
          <w:color w:val="000000"/>
          <w:sz w:val="32"/>
          <w:szCs w:val="32"/>
        </w:rPr>
        <w:t>支出决算为20万元，完成预算100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，决算数等于预算数的主要原因是严格按照财政规定支付文化和旅游市场管理项目资金。</w:t>
      </w:r>
    </w:p>
    <w:p w14:paraId="06348E00">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 xml:space="preserve">3.文化体育与传媒支出（类）文化（款）文化和旅游管理事务（项）: </w:t>
      </w:r>
      <w:r>
        <w:rPr>
          <w:rStyle w:val="20"/>
          <w:rFonts w:hint="eastAsia" w:ascii="仿宋" w:hAnsi="仿宋" w:eastAsia="仿宋"/>
          <w:b w:val="0"/>
          <w:bCs/>
          <w:color w:val="000000"/>
          <w:sz w:val="32"/>
          <w:szCs w:val="32"/>
        </w:rPr>
        <w:t>支出决算为40.62万元，完成预算100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，决算数等于预算数的主要原因是严格按照财政规定支付事业人员办公经费。</w:t>
      </w:r>
    </w:p>
    <w:p w14:paraId="50FD5D41">
      <w:pPr>
        <w:spacing w:line="576" w:lineRule="exact"/>
        <w:ind w:firstLine="643" w:firstLineChars="200"/>
      </w:pPr>
      <w:r>
        <w:rPr>
          <w:rStyle w:val="20"/>
          <w:rFonts w:hint="eastAsia" w:ascii="仿宋" w:hAnsi="仿宋" w:eastAsia="仿宋"/>
          <w:bCs/>
          <w:color w:val="000000"/>
          <w:sz w:val="32"/>
          <w:szCs w:val="32"/>
        </w:rPr>
        <w:t xml:space="preserve">4.文化体育与传媒支出（类）文化（款）其他文化和旅游支出（项）: </w:t>
      </w:r>
      <w:r>
        <w:rPr>
          <w:rStyle w:val="20"/>
          <w:rFonts w:hint="eastAsia" w:ascii="仿宋" w:hAnsi="仿宋" w:eastAsia="仿宋"/>
          <w:b w:val="0"/>
          <w:bCs/>
          <w:color w:val="000000"/>
          <w:sz w:val="32"/>
          <w:szCs w:val="32"/>
        </w:rPr>
        <w:t>支出决算为32.58万元，完成预算100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，决算数等于预算数的主要原因是严格按照财政规定支付群众文化经费。</w:t>
      </w:r>
    </w:p>
    <w:p w14:paraId="3D158CD5">
      <w:pPr>
        <w:spacing w:line="576" w:lineRule="exact"/>
        <w:ind w:firstLine="643" w:firstLineChars="200"/>
      </w:pPr>
      <w:r>
        <w:rPr>
          <w:rStyle w:val="20"/>
          <w:rFonts w:hint="eastAsia" w:ascii="仿宋" w:hAnsi="仿宋" w:eastAsia="仿宋"/>
          <w:bCs/>
          <w:color w:val="000000"/>
          <w:sz w:val="32"/>
          <w:szCs w:val="32"/>
        </w:rPr>
        <w:t>5</w:t>
      </w:r>
      <w:r>
        <w:rPr>
          <w:rStyle w:val="20"/>
          <w:rFonts w:hint="eastAsia" w:ascii="仿宋" w:hAnsi="仿宋" w:eastAsia="仿宋"/>
          <w:b w:val="0"/>
          <w:color w:val="000000"/>
          <w:sz w:val="32"/>
          <w:szCs w:val="32"/>
        </w:rPr>
        <w:t>.</w:t>
      </w:r>
      <w:r>
        <w:rPr>
          <w:rStyle w:val="20"/>
          <w:rFonts w:hint="eastAsia" w:ascii="仿宋" w:hAnsi="仿宋" w:eastAsia="仿宋"/>
          <w:bCs/>
          <w:color w:val="000000"/>
          <w:sz w:val="32"/>
          <w:szCs w:val="32"/>
        </w:rPr>
        <w:t xml:space="preserve">社会保障和就业支出（类）行政事业单位养老支出（款）机关事业单位基本养老保险缴费支出（项）: </w:t>
      </w:r>
      <w:r>
        <w:rPr>
          <w:rStyle w:val="20"/>
          <w:rFonts w:hint="eastAsia" w:ascii="仿宋" w:hAnsi="仿宋" w:eastAsia="仿宋"/>
          <w:b w:val="0"/>
          <w:bCs/>
          <w:color w:val="000000"/>
          <w:sz w:val="32"/>
          <w:szCs w:val="32"/>
        </w:rPr>
        <w:t>支出决算为13.43万元，完成预算100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，决算数等于预算数的主要原因是严格按照财政规定支付机关事业单位基本养老保险。</w:t>
      </w:r>
    </w:p>
    <w:p w14:paraId="5A32C641">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6</w:t>
      </w:r>
      <w:r>
        <w:rPr>
          <w:rStyle w:val="20"/>
          <w:rFonts w:hint="eastAsia" w:ascii="仿宋" w:hAnsi="仿宋" w:eastAsia="仿宋"/>
          <w:b w:val="0"/>
          <w:color w:val="000000"/>
          <w:sz w:val="32"/>
          <w:szCs w:val="32"/>
        </w:rPr>
        <w:t>.</w:t>
      </w:r>
      <w:r>
        <w:rPr>
          <w:rStyle w:val="20"/>
          <w:rFonts w:hint="eastAsia" w:ascii="仿宋" w:hAnsi="仿宋" w:eastAsia="仿宋"/>
          <w:bCs/>
          <w:color w:val="000000"/>
          <w:sz w:val="32"/>
          <w:szCs w:val="32"/>
        </w:rPr>
        <w:t xml:space="preserve">社会保障和就业支出（类）行政事业单位养老支出（款）其他社会保障和就业支出（项）: </w:t>
      </w:r>
      <w:r>
        <w:rPr>
          <w:rStyle w:val="20"/>
          <w:rFonts w:hint="eastAsia" w:ascii="仿宋" w:hAnsi="仿宋" w:eastAsia="仿宋"/>
          <w:b w:val="0"/>
          <w:bCs/>
          <w:color w:val="000000"/>
          <w:sz w:val="32"/>
          <w:szCs w:val="32"/>
        </w:rPr>
        <w:t>支出决算为0.41万元，完成预算100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w:t>
      </w:r>
      <w:r>
        <w:rPr>
          <w:rStyle w:val="20"/>
          <w:rFonts w:hint="eastAsia" w:ascii="仿宋" w:hAnsi="仿宋" w:eastAsia="仿宋"/>
          <w:b w:val="0"/>
          <w:bCs/>
          <w:color w:val="000000"/>
          <w:sz w:val="32"/>
          <w:szCs w:val="32"/>
          <w:lang w:eastAsia="zh-CN"/>
        </w:rPr>
        <w:t>其他</w:t>
      </w:r>
      <w:r>
        <w:rPr>
          <w:rStyle w:val="20"/>
          <w:rFonts w:hint="eastAsia" w:ascii="仿宋" w:hAnsi="仿宋" w:eastAsia="仿宋"/>
          <w:b w:val="0"/>
          <w:bCs/>
          <w:color w:val="000000"/>
          <w:sz w:val="32"/>
          <w:szCs w:val="32"/>
        </w:rPr>
        <w:t>社会保障和就业支出.</w:t>
      </w:r>
    </w:p>
    <w:p w14:paraId="552236D5">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7.</w:t>
      </w:r>
      <w:r>
        <w:rPr>
          <w:rStyle w:val="20"/>
          <w:rFonts w:hint="eastAsia" w:ascii="仿宋" w:hAnsi="仿宋" w:eastAsia="仿宋"/>
          <w:bCs/>
          <w:sz w:val="32"/>
          <w:szCs w:val="32"/>
        </w:rPr>
        <w:t>卫生健康支出</w:t>
      </w:r>
      <w:r>
        <w:rPr>
          <w:rStyle w:val="20"/>
          <w:rFonts w:hint="eastAsia" w:ascii="仿宋" w:hAnsi="仿宋" w:eastAsia="仿宋"/>
          <w:bCs/>
          <w:color w:val="000000"/>
          <w:sz w:val="32"/>
          <w:szCs w:val="32"/>
        </w:rPr>
        <w:t xml:space="preserve">（类）行政事业单位医疗（款）行政单位医疗（项）: </w:t>
      </w:r>
      <w:r>
        <w:rPr>
          <w:rStyle w:val="20"/>
          <w:rFonts w:hint="eastAsia" w:ascii="仿宋" w:hAnsi="仿宋" w:eastAsia="仿宋"/>
          <w:b w:val="0"/>
          <w:bCs/>
          <w:color w:val="000000"/>
          <w:sz w:val="32"/>
          <w:szCs w:val="32"/>
        </w:rPr>
        <w:t>支出决算为4.36万元，按照财政规定支付行政单位医疗经费。</w:t>
      </w:r>
    </w:p>
    <w:p w14:paraId="6D3B0F92">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8.</w:t>
      </w:r>
      <w:r>
        <w:rPr>
          <w:rStyle w:val="20"/>
          <w:rFonts w:hint="eastAsia" w:ascii="仿宋" w:hAnsi="仿宋" w:eastAsia="仿宋"/>
          <w:bCs/>
          <w:sz w:val="32"/>
          <w:szCs w:val="32"/>
        </w:rPr>
        <w:t>卫生健康支出</w:t>
      </w:r>
      <w:r>
        <w:rPr>
          <w:rStyle w:val="20"/>
          <w:rFonts w:hint="eastAsia" w:ascii="仿宋" w:hAnsi="仿宋" w:eastAsia="仿宋"/>
          <w:bCs/>
          <w:color w:val="000000"/>
          <w:sz w:val="32"/>
          <w:szCs w:val="32"/>
        </w:rPr>
        <w:t xml:space="preserve">（类）行政事业单位医疗（款）事业单位医疗（项）: </w:t>
      </w:r>
      <w:r>
        <w:rPr>
          <w:rStyle w:val="20"/>
          <w:rFonts w:hint="eastAsia" w:ascii="仿宋" w:hAnsi="仿宋" w:eastAsia="仿宋"/>
          <w:b w:val="0"/>
          <w:bCs/>
          <w:color w:val="000000"/>
          <w:sz w:val="32"/>
          <w:szCs w:val="32"/>
        </w:rPr>
        <w:t>支出决算为2.05万元，完成预算100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，决算数等于预算数的主要原因是严格按照财政规定支付事业单位医疗经费。</w:t>
      </w:r>
    </w:p>
    <w:p w14:paraId="7FE2A0E3">
      <w:pPr>
        <w:pStyle w:val="15"/>
        <w:spacing w:line="576" w:lineRule="exact"/>
        <w:ind w:firstLine="643" w:firstLineChars="200"/>
      </w:pPr>
      <w:r>
        <w:rPr>
          <w:rStyle w:val="20"/>
          <w:rFonts w:hint="eastAsia" w:ascii="仿宋" w:hAnsi="仿宋" w:eastAsia="仿宋"/>
          <w:bCs/>
          <w:color w:val="000000"/>
          <w:sz w:val="32"/>
          <w:szCs w:val="32"/>
        </w:rPr>
        <w:t>9</w:t>
      </w:r>
      <w:r>
        <w:rPr>
          <w:rStyle w:val="20"/>
          <w:rFonts w:hint="eastAsia" w:ascii="仿宋" w:hAnsi="仿宋" w:eastAsia="仿宋"/>
          <w:b w:val="0"/>
          <w:sz w:val="32"/>
          <w:szCs w:val="32"/>
        </w:rPr>
        <w:t>.</w:t>
      </w:r>
      <w:r>
        <w:rPr>
          <w:rStyle w:val="20"/>
          <w:rFonts w:hint="eastAsia" w:ascii="仿宋" w:hAnsi="仿宋" w:eastAsia="仿宋"/>
          <w:bCs/>
          <w:sz w:val="32"/>
          <w:szCs w:val="32"/>
        </w:rPr>
        <w:t xml:space="preserve">卫生健康支出（类）行政事业单位医疗（款）公务员医疗补助（项）: </w:t>
      </w:r>
      <w:r>
        <w:rPr>
          <w:rStyle w:val="20"/>
          <w:rFonts w:hint="eastAsia" w:ascii="仿宋" w:hAnsi="仿宋" w:eastAsia="仿宋"/>
          <w:b w:val="0"/>
          <w:bCs/>
          <w:sz w:val="32"/>
          <w:szCs w:val="32"/>
        </w:rPr>
        <w:t>支出决算为1.68万元，完成预算100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，决算数等于预算数的主要原因是严格按照财政规定支付公务员医疗补助经费。</w:t>
      </w:r>
    </w:p>
    <w:p w14:paraId="51BF066C">
      <w:pPr>
        <w:spacing w:line="576" w:lineRule="exact"/>
        <w:ind w:firstLine="643" w:firstLineChars="200"/>
        <w:rPr>
          <w:rStyle w:val="20"/>
          <w:rFonts w:ascii="仿宋" w:hAnsi="仿宋" w:eastAsia="仿宋"/>
          <w:b w:val="0"/>
          <w:bCs/>
          <w:sz w:val="32"/>
          <w:szCs w:val="32"/>
        </w:rPr>
      </w:pPr>
      <w:r>
        <w:rPr>
          <w:rStyle w:val="20"/>
          <w:rFonts w:hint="eastAsia" w:ascii="仿宋" w:hAnsi="仿宋" w:eastAsia="仿宋"/>
          <w:bCs/>
          <w:sz w:val="32"/>
          <w:szCs w:val="32"/>
        </w:rPr>
        <w:t>10.农林水支出（类）</w:t>
      </w:r>
      <w:r>
        <w:rPr>
          <w:rStyle w:val="20"/>
          <w:rFonts w:hint="eastAsia" w:ascii="仿宋" w:hAnsi="仿宋" w:eastAsia="仿宋"/>
          <w:bCs/>
          <w:sz w:val="32"/>
          <w:szCs w:val="32"/>
          <w:lang w:eastAsia="zh-CN"/>
        </w:rPr>
        <w:t>巩固拓展脱贫攻坚成果</w:t>
      </w:r>
      <w:r>
        <w:rPr>
          <w:rStyle w:val="20"/>
          <w:rFonts w:hint="eastAsia" w:ascii="仿宋" w:hAnsi="仿宋" w:eastAsia="仿宋"/>
          <w:bCs/>
          <w:sz w:val="32"/>
          <w:szCs w:val="32"/>
        </w:rPr>
        <w:t>衔接乡村振兴（款）其他</w:t>
      </w:r>
      <w:r>
        <w:rPr>
          <w:rStyle w:val="20"/>
          <w:rFonts w:hint="eastAsia" w:ascii="仿宋" w:hAnsi="仿宋" w:eastAsia="仿宋"/>
          <w:bCs/>
          <w:sz w:val="32"/>
          <w:szCs w:val="32"/>
          <w:lang w:eastAsia="zh-CN"/>
        </w:rPr>
        <w:t>巩固拓展脱贫攻坚成果</w:t>
      </w:r>
      <w:r>
        <w:rPr>
          <w:rStyle w:val="20"/>
          <w:rFonts w:hint="eastAsia" w:ascii="仿宋" w:hAnsi="仿宋" w:eastAsia="仿宋"/>
          <w:bCs/>
          <w:sz w:val="32"/>
          <w:szCs w:val="32"/>
        </w:rPr>
        <w:t xml:space="preserve">衔接乡村振兴支出（项）: </w:t>
      </w:r>
      <w:r>
        <w:rPr>
          <w:rStyle w:val="20"/>
          <w:rFonts w:hint="eastAsia" w:ascii="仿宋" w:hAnsi="仿宋" w:eastAsia="仿宋"/>
          <w:b w:val="0"/>
          <w:bCs/>
          <w:sz w:val="32"/>
          <w:szCs w:val="32"/>
        </w:rPr>
        <w:t>支出决算为125万元，完成预算100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，决算数等于预算数的主要原因是严格按照财政规定支付</w:t>
      </w:r>
      <w:r>
        <w:rPr>
          <w:rStyle w:val="20"/>
          <w:rFonts w:hint="eastAsia" w:ascii="仿宋" w:hAnsi="仿宋" w:eastAsia="仿宋"/>
          <w:b w:val="0"/>
          <w:bCs/>
          <w:sz w:val="32"/>
          <w:szCs w:val="32"/>
          <w:lang w:eastAsia="zh-CN"/>
        </w:rPr>
        <w:t>巩固拓展脱贫攻坚成果</w:t>
      </w:r>
      <w:r>
        <w:rPr>
          <w:rStyle w:val="20"/>
          <w:rFonts w:hint="eastAsia" w:ascii="仿宋" w:hAnsi="仿宋" w:eastAsia="仿宋"/>
          <w:b w:val="0"/>
          <w:bCs/>
          <w:sz w:val="32"/>
          <w:szCs w:val="32"/>
        </w:rPr>
        <w:t>衔接乡村振兴支出。</w:t>
      </w:r>
    </w:p>
    <w:p w14:paraId="3D0627EE">
      <w:pPr>
        <w:spacing w:line="576"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sz w:val="32"/>
          <w:szCs w:val="32"/>
        </w:rPr>
        <w:t xml:space="preserve">11.住房保障支出（类）住房改革支出（款）住房公积金（项）: </w:t>
      </w:r>
      <w:r>
        <w:rPr>
          <w:rStyle w:val="20"/>
          <w:rFonts w:hint="eastAsia" w:ascii="仿宋" w:hAnsi="仿宋" w:eastAsia="仿宋"/>
          <w:b w:val="0"/>
          <w:bCs/>
          <w:sz w:val="32"/>
          <w:szCs w:val="32"/>
        </w:rPr>
        <w:t>支出决算为13.06万元，完成预算100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，决算数等于预算数的主要原因是严格按照财政规定支付住房公积金经费。</w:t>
      </w:r>
    </w:p>
    <w:p w14:paraId="50985AC7">
      <w:pPr>
        <w:pStyle w:val="22"/>
        <w:spacing w:line="576" w:lineRule="exact"/>
        <w:rPr>
          <w:rFonts w:hint="default"/>
        </w:rPr>
      </w:pPr>
    </w:p>
    <w:p w14:paraId="39B0616C">
      <w:pPr>
        <w:tabs>
          <w:tab w:val="right" w:pos="8306"/>
        </w:tabs>
        <w:spacing w:line="576" w:lineRule="exact"/>
        <w:ind w:firstLine="640"/>
        <w:outlineLvl w:val="1"/>
        <w:rPr>
          <w:rStyle w:val="32"/>
        </w:rPr>
      </w:pPr>
      <w:bookmarkStart w:id="28" w:name="_Toc15396608"/>
      <w:bookmarkStart w:id="29"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2"/>
          <w:rFonts w:hint="eastAsia" w:ascii="黑体" w:hAnsi="黑体" w:eastAsia="黑体"/>
          <w:b w:val="0"/>
        </w:rPr>
        <w:t>般公共预算财政拨款基本支出决算情况说明</w:t>
      </w:r>
      <w:bookmarkEnd w:id="28"/>
      <w:bookmarkEnd w:id="29"/>
      <w:r>
        <w:rPr>
          <w:rStyle w:val="32"/>
          <w:rFonts w:ascii="黑体" w:hAnsi="黑体" w:eastAsia="黑体"/>
          <w:b w:val="0"/>
        </w:rPr>
        <w:tab/>
      </w:r>
    </w:p>
    <w:p w14:paraId="415D4781">
      <w:pPr>
        <w:spacing w:line="576" w:lineRule="exact"/>
        <w:ind w:firstLine="645"/>
        <w:rPr>
          <w:rFonts w:ascii="仿宋" w:hAnsi="仿宋" w:eastAsia="仿宋"/>
          <w:color w:val="000000"/>
          <w:sz w:val="32"/>
          <w:szCs w:val="32"/>
        </w:rPr>
      </w:pPr>
      <w:r>
        <w:rPr>
          <w:rFonts w:hint="eastAsia" w:ascii="仿宋" w:hAnsi="仿宋" w:eastAsia="仿宋"/>
          <w:color w:val="000000"/>
          <w:sz w:val="32"/>
          <w:szCs w:val="32"/>
        </w:rPr>
        <w:t>2023年一般公共预算财政拨款基本支出189.46万元，其中：</w:t>
      </w:r>
    </w:p>
    <w:p w14:paraId="58CC5EB1">
      <w:pPr>
        <w:spacing w:line="576"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人员经费148.5万元，主要包括：基本工资、津贴补贴、奖金、绩效工资、 机关事业单位基本养老保险缴费 、 职工基本医疗保险缴费、公务员医疗补助缴费、 其他社会保障缴费 、住房公积金、 对个人和家庭的补助。</w:t>
      </w:r>
    </w:p>
    <w:p w14:paraId="5F1B177C">
      <w:pPr>
        <w:spacing w:line="576" w:lineRule="exact"/>
        <w:rPr>
          <w:rFonts w:ascii="仿宋" w:hAnsi="仿宋" w:eastAsia="仿宋"/>
          <w:b/>
          <w:color w:val="FF0000"/>
          <w:sz w:val="32"/>
          <w:szCs w:val="32"/>
        </w:rPr>
      </w:pPr>
      <w:r>
        <w:rPr>
          <w:rFonts w:hint="eastAsia" w:ascii="仿宋" w:hAnsi="仿宋" w:eastAsia="仿宋"/>
          <w:color w:val="000000"/>
          <w:sz w:val="32"/>
          <w:szCs w:val="32"/>
        </w:rPr>
        <w:t>　  公用经费40.97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F632E53">
      <w:pPr>
        <w:spacing w:line="576" w:lineRule="exact"/>
        <w:ind w:firstLine="645"/>
        <w:rPr>
          <w:rFonts w:ascii="仿宋" w:hAnsi="仿宋" w:eastAsia="仿宋"/>
          <w:b/>
          <w:color w:val="FF0000"/>
          <w:sz w:val="32"/>
          <w:szCs w:val="32"/>
        </w:rPr>
      </w:pPr>
    </w:p>
    <w:p w14:paraId="063CE31A">
      <w:pPr>
        <w:spacing w:line="576" w:lineRule="exact"/>
        <w:ind w:firstLine="640"/>
        <w:outlineLvl w:val="1"/>
        <w:rPr>
          <w:rStyle w:val="32"/>
          <w:rFonts w:ascii="黑体" w:hAnsi="黑体" w:eastAsia="黑体"/>
          <w:b w:val="0"/>
        </w:rPr>
      </w:pPr>
      <w:bookmarkStart w:id="30" w:name="_Toc15377215"/>
      <w:bookmarkStart w:id="31" w:name="_Toc15396609"/>
      <w:r>
        <w:rPr>
          <w:rFonts w:hint="eastAsia" w:ascii="黑体" w:eastAsia="黑体"/>
          <w:color w:val="000000"/>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30"/>
      <w:bookmarkEnd w:id="31"/>
    </w:p>
    <w:p w14:paraId="059EB2C6">
      <w:pPr>
        <w:spacing w:line="576" w:lineRule="exact"/>
        <w:ind w:firstLine="640"/>
        <w:outlineLvl w:val="2"/>
        <w:rPr>
          <w:rFonts w:ascii="仿宋" w:hAnsi="仿宋" w:eastAsia="仿宋"/>
          <w:b/>
          <w:color w:val="000000"/>
          <w:sz w:val="32"/>
          <w:szCs w:val="32"/>
        </w:rPr>
      </w:pPr>
      <w:bookmarkStart w:id="32" w:name="_Toc15377216"/>
      <w:r>
        <w:rPr>
          <w:rFonts w:hint="eastAsia" w:ascii="仿宋" w:hAnsi="仿宋" w:eastAsia="仿宋"/>
          <w:b/>
          <w:color w:val="000000"/>
          <w:sz w:val="32"/>
          <w:szCs w:val="32"/>
        </w:rPr>
        <w:t>（一）“三公”经费财政拨款支出决算总体情况说明</w:t>
      </w:r>
      <w:bookmarkEnd w:id="32"/>
    </w:p>
    <w:p w14:paraId="1E3EBC18">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2023年“三公”经费财政拨款支出决算为4万元，2023年“三公”经费财政拨款支出决算为4万元，完成预算100</w:t>
      </w:r>
      <w:r>
        <w:rPr>
          <w:rFonts w:ascii="仿宋" w:hAnsi="仿宋" w:eastAsia="仿宋"/>
          <w:color w:val="000000"/>
          <w:sz w:val="32"/>
          <w:szCs w:val="32"/>
        </w:rPr>
        <w:t>%</w:t>
      </w:r>
      <w:r>
        <w:rPr>
          <w:rFonts w:hint="eastAsia" w:ascii="仿宋" w:hAnsi="仿宋" w:eastAsia="仿宋"/>
          <w:color w:val="000000"/>
          <w:sz w:val="32"/>
          <w:szCs w:val="32"/>
        </w:rPr>
        <w:t>，较2</w:t>
      </w:r>
      <w:r>
        <w:rPr>
          <w:rFonts w:ascii="仿宋" w:hAnsi="仿宋" w:eastAsia="仿宋"/>
          <w:color w:val="000000"/>
          <w:sz w:val="32"/>
          <w:szCs w:val="32"/>
        </w:rPr>
        <w:t>022年增加</w:t>
      </w:r>
      <w:r>
        <w:rPr>
          <w:rFonts w:hint="eastAsia" w:ascii="仿宋" w:hAnsi="仿宋" w:eastAsia="仿宋"/>
          <w:color w:val="000000"/>
          <w:sz w:val="32"/>
          <w:szCs w:val="32"/>
        </w:rPr>
        <w:t>1</w:t>
      </w:r>
      <w:r>
        <w:rPr>
          <w:rFonts w:ascii="仿宋" w:hAnsi="仿宋" w:eastAsia="仿宋"/>
          <w:color w:val="000000"/>
          <w:sz w:val="32"/>
          <w:szCs w:val="32"/>
        </w:rPr>
        <w:t>00%。因</w:t>
      </w:r>
      <w:r>
        <w:rPr>
          <w:rFonts w:hint="eastAsia" w:ascii="仿宋" w:hAnsi="仿宋" w:eastAsia="仿宋"/>
          <w:color w:val="000000"/>
          <w:sz w:val="32"/>
          <w:szCs w:val="32"/>
        </w:rPr>
        <w:t>该单位是2</w:t>
      </w:r>
      <w:r>
        <w:rPr>
          <w:rFonts w:ascii="仿宋" w:hAnsi="仿宋" w:eastAsia="仿宋"/>
          <w:color w:val="000000"/>
          <w:sz w:val="32"/>
          <w:szCs w:val="32"/>
        </w:rPr>
        <w:t>022年</w:t>
      </w:r>
      <w:r>
        <w:rPr>
          <w:rFonts w:hint="eastAsia" w:ascii="仿宋" w:hAnsi="仿宋" w:eastAsia="仿宋"/>
          <w:color w:val="000000"/>
          <w:sz w:val="32"/>
          <w:szCs w:val="32"/>
        </w:rPr>
        <w:t>1</w:t>
      </w:r>
      <w:r>
        <w:rPr>
          <w:rFonts w:ascii="仿宋" w:hAnsi="仿宋" w:eastAsia="仿宋"/>
          <w:color w:val="000000"/>
          <w:sz w:val="32"/>
          <w:szCs w:val="32"/>
        </w:rPr>
        <w:t>0月成立，未预算三公经费。</w:t>
      </w:r>
    </w:p>
    <w:p w14:paraId="7C0645D2">
      <w:pPr>
        <w:spacing w:line="576" w:lineRule="exact"/>
        <w:ind w:firstLine="640"/>
        <w:outlineLvl w:val="2"/>
        <w:rPr>
          <w:rFonts w:ascii="仿宋" w:hAnsi="仿宋" w:eastAsia="仿宋"/>
          <w:b/>
          <w:color w:val="000000"/>
          <w:sz w:val="32"/>
          <w:szCs w:val="32"/>
        </w:rPr>
      </w:pPr>
      <w:bookmarkStart w:id="33" w:name="_Toc15377217"/>
      <w:r>
        <w:rPr>
          <w:rFonts w:hint="eastAsia" w:ascii="仿宋" w:hAnsi="仿宋" w:eastAsia="仿宋"/>
          <w:b/>
          <w:color w:val="000000"/>
          <w:sz w:val="32"/>
          <w:szCs w:val="32"/>
        </w:rPr>
        <w:t>（二）“三公”经费财政拨款支出决算具体情况说明</w:t>
      </w:r>
      <w:bookmarkEnd w:id="33"/>
    </w:p>
    <w:p w14:paraId="2A7F09C0">
      <w:pPr>
        <w:spacing w:line="576" w:lineRule="exact"/>
        <w:ind w:firstLine="640"/>
        <w:rPr>
          <w:rFonts w:ascii="仿宋" w:hAnsi="仿宋" w:eastAsia="仿宋"/>
          <w:color w:val="000000"/>
          <w:sz w:val="32"/>
          <w:szCs w:val="32"/>
        </w:rPr>
      </w:pPr>
      <w:r>
        <w:rPr>
          <w:rFonts w:hint="eastAsia" w:ascii="仿宋" w:hAnsi="仿宋" w:eastAsia="仿宋"/>
          <w:color w:val="000000"/>
          <w:sz w:val="32"/>
          <w:szCs w:val="32"/>
        </w:rPr>
        <w:t>2023年“三公”经费财政拨款支出决算中，因公出国（境）费支出决算0万元，占0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；公务接待费支出决算4万元，占100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DF8568C">
      <w:pPr>
        <w:spacing w:line="360" w:lineRule="auto"/>
        <w:ind w:firstLine="641"/>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646930" cy="2176145"/>
            <wp:effectExtent l="4445" t="5080" r="1587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F99C99">
      <w:pPr>
        <w:spacing w:line="360" w:lineRule="auto"/>
        <w:ind w:firstLine="641"/>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082ACFBF">
      <w:pPr>
        <w:spacing w:line="600" w:lineRule="exact"/>
        <w:ind w:firstLine="640"/>
        <w:rPr>
          <w:rFonts w:ascii="仿宋_GB2312" w:eastAsia="仿宋_GB2312"/>
          <w:b/>
          <w:sz w:val="32"/>
          <w:szCs w:val="32"/>
        </w:rPr>
      </w:pPr>
      <w:bookmarkStart w:id="34" w:name="_Toc15396610"/>
      <w:bookmarkStart w:id="35" w:name="_Toc15377218"/>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元，</w:t>
      </w:r>
      <w:r>
        <w:rPr>
          <w:rFonts w:hint="eastAsia" w:ascii="仿宋" w:hAnsi="仿宋" w:eastAsia="仿宋"/>
          <w:color w:val="000000"/>
          <w:sz w:val="32"/>
          <w:szCs w:val="32"/>
        </w:rPr>
        <w:t>完成预算</w:t>
      </w:r>
      <w:r>
        <w:rPr>
          <w:rFonts w:ascii="仿宋" w:hAnsi="仿宋" w:eastAsia="仿宋"/>
          <w:color w:val="000000"/>
          <w:sz w:val="32"/>
          <w:szCs w:val="32"/>
        </w:rPr>
        <w:t>100%。</w:t>
      </w:r>
      <w:r>
        <w:rPr>
          <w:rFonts w:hint="eastAsia" w:ascii="仿宋_GB2312" w:eastAsia="仿宋_GB2312"/>
          <w:sz w:val="32"/>
          <w:szCs w:val="32"/>
        </w:rPr>
        <w:t>因公出国（境）</w:t>
      </w:r>
      <w:r>
        <w:rPr>
          <w:rFonts w:hint="eastAsia" w:ascii="仿宋" w:hAnsi="仿宋" w:eastAsia="仿宋"/>
          <w:color w:val="000000"/>
          <w:sz w:val="32"/>
          <w:szCs w:val="32"/>
        </w:rPr>
        <w:t>支出决算与2022年持平。主要原因是本单位是2</w:t>
      </w:r>
      <w:r>
        <w:rPr>
          <w:rFonts w:ascii="仿宋" w:hAnsi="仿宋" w:eastAsia="仿宋"/>
          <w:color w:val="000000"/>
          <w:sz w:val="32"/>
          <w:szCs w:val="32"/>
        </w:rPr>
        <w:t>022年</w:t>
      </w:r>
      <w:r>
        <w:rPr>
          <w:rFonts w:hint="eastAsia" w:ascii="仿宋" w:hAnsi="仿宋" w:eastAsia="仿宋"/>
          <w:color w:val="000000"/>
          <w:sz w:val="32"/>
          <w:szCs w:val="32"/>
        </w:rPr>
        <w:t>1</w:t>
      </w:r>
      <w:r>
        <w:rPr>
          <w:rFonts w:ascii="仿宋" w:hAnsi="仿宋" w:eastAsia="仿宋"/>
          <w:color w:val="000000"/>
          <w:sz w:val="32"/>
          <w:szCs w:val="32"/>
        </w:rPr>
        <w:t>0月成立，未预算</w:t>
      </w:r>
      <w:r>
        <w:rPr>
          <w:rFonts w:hint="eastAsia" w:ascii="仿宋" w:hAnsi="仿宋" w:eastAsia="仿宋"/>
          <w:color w:val="000000"/>
          <w:sz w:val="32"/>
          <w:szCs w:val="32"/>
        </w:rPr>
        <w:t>因公出国（境）经费。</w:t>
      </w:r>
    </w:p>
    <w:p w14:paraId="6AC28225">
      <w:pPr>
        <w:spacing w:line="576" w:lineRule="exact"/>
        <w:ind w:firstLine="640"/>
        <w:jc w:val="left"/>
        <w:rPr>
          <w:rFonts w:ascii="仿宋" w:hAnsi="仿宋" w:eastAsia="仿宋"/>
          <w:color w:val="000000"/>
          <w:sz w:val="32"/>
          <w:szCs w:val="32"/>
        </w:rPr>
      </w:pPr>
      <w:r>
        <w:rPr>
          <w:rFonts w:hint="eastAsia" w:ascii="仿宋_GB2312" w:eastAsia="仿宋_GB2312"/>
          <w:b/>
          <w:color w:val="000000"/>
          <w:sz w:val="32"/>
          <w:szCs w:val="32"/>
        </w:rPr>
        <w:t>2.公务用车购置及运行维护费支出</w:t>
      </w:r>
      <w:r>
        <w:rPr>
          <w:rFonts w:hint="eastAsia" w:ascii="仿宋_GB2312" w:eastAsia="仿宋_GB2312"/>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主要原因是</w:t>
      </w:r>
      <w:r>
        <w:rPr>
          <w:rFonts w:hint="eastAsia" w:ascii="仿宋" w:hAnsi="仿宋" w:eastAsia="仿宋"/>
          <w:color w:val="000000"/>
          <w:sz w:val="32"/>
          <w:szCs w:val="32"/>
        </w:rPr>
        <w:t>本年度未安排</w:t>
      </w:r>
      <w:r>
        <w:rPr>
          <w:rFonts w:ascii="仿宋" w:hAnsi="仿宋" w:eastAsia="仿宋"/>
          <w:color w:val="000000"/>
          <w:sz w:val="32"/>
          <w:szCs w:val="32"/>
        </w:rPr>
        <w:t>公务用车购置及运行维护费支出。</w:t>
      </w:r>
    </w:p>
    <w:p w14:paraId="151520E0">
      <w:pPr>
        <w:spacing w:line="576"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其中：公务用车购置支出</w:t>
      </w:r>
      <w:r>
        <w:rPr>
          <w:rFonts w:hint="eastAsia" w:ascii="仿宋" w:hAnsi="仿宋" w:eastAsia="仿宋"/>
          <w:color w:val="000000"/>
          <w:sz w:val="32"/>
          <w:szCs w:val="32"/>
        </w:rPr>
        <w:t>0</w:t>
      </w:r>
      <w:r>
        <w:rPr>
          <w:rFonts w:ascii="仿宋" w:hAnsi="仿宋" w:eastAsia="仿宋"/>
          <w:color w:val="000000"/>
          <w:sz w:val="32"/>
          <w:szCs w:val="32"/>
        </w:rPr>
        <w:t>万元。全年按规定更新购置公务用车</w:t>
      </w:r>
      <w:r>
        <w:rPr>
          <w:rFonts w:hint="eastAsia" w:ascii="仿宋" w:hAnsi="仿宋" w:eastAsia="仿宋"/>
          <w:color w:val="000000"/>
          <w:sz w:val="32"/>
          <w:szCs w:val="32"/>
        </w:rPr>
        <w:t>0</w:t>
      </w:r>
      <w:r>
        <w:rPr>
          <w:rFonts w:ascii="仿宋" w:hAnsi="仿宋" w:eastAsia="仿宋"/>
          <w:color w:val="000000"/>
          <w:sz w:val="32"/>
          <w:szCs w:val="32"/>
        </w:rPr>
        <w:t>辆，其中：轿车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万元，越野车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万元，载客汽车</w:t>
      </w:r>
      <w:r>
        <w:rPr>
          <w:rFonts w:hint="eastAsia" w:ascii="仿宋" w:hAnsi="仿宋" w:eastAsia="仿宋"/>
          <w:color w:val="000000"/>
          <w:sz w:val="32"/>
          <w:szCs w:val="32"/>
        </w:rPr>
        <w:t>0</w:t>
      </w:r>
      <w:r>
        <w:rPr>
          <w:rFonts w:ascii="仿宋" w:hAnsi="仿宋" w:eastAsia="仿宋"/>
          <w:color w:val="000000"/>
          <w:sz w:val="32"/>
          <w:szCs w:val="32"/>
        </w:rPr>
        <w:t>辆、金额</w:t>
      </w:r>
      <w:r>
        <w:rPr>
          <w:rFonts w:hint="eastAsia" w:ascii="仿宋" w:hAnsi="仿宋" w:eastAsia="仿宋"/>
          <w:color w:val="000000"/>
          <w:sz w:val="32"/>
          <w:szCs w:val="32"/>
        </w:rPr>
        <w:t>0</w:t>
      </w:r>
      <w:r>
        <w:rPr>
          <w:rFonts w:ascii="仿宋" w:hAnsi="仿宋" w:eastAsia="仿宋"/>
          <w:color w:val="000000"/>
          <w:sz w:val="32"/>
          <w:szCs w:val="32"/>
        </w:rPr>
        <w:t>万元。截至2023年12月31日，单位共有公务用车</w:t>
      </w:r>
      <w:r>
        <w:rPr>
          <w:rFonts w:hint="eastAsia" w:ascii="仿宋" w:hAnsi="仿宋" w:eastAsia="仿宋"/>
          <w:color w:val="000000"/>
          <w:sz w:val="32"/>
          <w:szCs w:val="32"/>
        </w:rPr>
        <w:t>0</w:t>
      </w:r>
      <w:r>
        <w:rPr>
          <w:rFonts w:ascii="仿宋" w:hAnsi="仿宋" w:eastAsia="仿宋"/>
          <w:color w:val="000000"/>
          <w:sz w:val="32"/>
          <w:szCs w:val="32"/>
        </w:rPr>
        <w:t>辆，其中：轿车</w:t>
      </w:r>
      <w:r>
        <w:rPr>
          <w:rFonts w:hint="eastAsia" w:ascii="仿宋" w:hAnsi="仿宋" w:eastAsia="仿宋"/>
          <w:color w:val="000000"/>
          <w:sz w:val="32"/>
          <w:szCs w:val="32"/>
        </w:rPr>
        <w:t>0</w:t>
      </w:r>
      <w:r>
        <w:rPr>
          <w:rFonts w:ascii="仿宋" w:hAnsi="仿宋" w:eastAsia="仿宋"/>
          <w:color w:val="000000"/>
          <w:sz w:val="32"/>
          <w:szCs w:val="32"/>
        </w:rPr>
        <w:t>辆、越野车</w:t>
      </w:r>
      <w:r>
        <w:rPr>
          <w:rFonts w:hint="eastAsia" w:ascii="仿宋" w:hAnsi="仿宋" w:eastAsia="仿宋"/>
          <w:color w:val="000000"/>
          <w:sz w:val="32"/>
          <w:szCs w:val="32"/>
        </w:rPr>
        <w:t>0</w:t>
      </w:r>
      <w:r>
        <w:rPr>
          <w:rFonts w:ascii="仿宋" w:hAnsi="仿宋" w:eastAsia="仿宋"/>
          <w:color w:val="000000"/>
          <w:sz w:val="32"/>
          <w:szCs w:val="32"/>
        </w:rPr>
        <w:t>辆、载客汽车</w:t>
      </w:r>
      <w:r>
        <w:rPr>
          <w:rFonts w:hint="eastAsia" w:ascii="仿宋" w:hAnsi="仿宋" w:eastAsia="仿宋"/>
          <w:color w:val="000000"/>
          <w:sz w:val="32"/>
          <w:szCs w:val="32"/>
        </w:rPr>
        <w:t>0</w:t>
      </w:r>
      <w:r>
        <w:rPr>
          <w:rFonts w:ascii="仿宋" w:hAnsi="仿宋" w:eastAsia="仿宋"/>
          <w:color w:val="000000"/>
          <w:sz w:val="32"/>
          <w:szCs w:val="32"/>
        </w:rPr>
        <w:t>辆。</w:t>
      </w:r>
    </w:p>
    <w:p w14:paraId="6B7C97BD">
      <w:pPr>
        <w:spacing w:line="576" w:lineRule="exact"/>
        <w:ind w:firstLine="640"/>
        <w:jc w:val="left"/>
        <w:rPr>
          <w:rFonts w:ascii="仿宋" w:hAnsi="仿宋" w:eastAsia="仿宋"/>
          <w:color w:val="000000"/>
          <w:sz w:val="32"/>
          <w:szCs w:val="32"/>
        </w:rPr>
      </w:pPr>
      <w:r>
        <w:rPr>
          <w:rFonts w:ascii="仿宋" w:hAnsi="仿宋" w:eastAsia="仿宋"/>
          <w:color w:val="000000"/>
          <w:sz w:val="32"/>
          <w:szCs w:val="32"/>
        </w:rPr>
        <w:t>公务用车运行维护费支出</w:t>
      </w:r>
      <w:r>
        <w:rPr>
          <w:rFonts w:hint="eastAsia" w:ascii="仿宋" w:hAnsi="仿宋" w:eastAsia="仿宋"/>
          <w:color w:val="000000"/>
          <w:sz w:val="32"/>
          <w:szCs w:val="32"/>
        </w:rPr>
        <w:t>0</w:t>
      </w:r>
      <w:r>
        <w:rPr>
          <w:rFonts w:ascii="仿宋" w:hAnsi="仿宋" w:eastAsia="仿宋"/>
          <w:color w:val="000000"/>
          <w:sz w:val="32"/>
          <w:szCs w:val="32"/>
        </w:rPr>
        <w:t>万元。</w:t>
      </w:r>
    </w:p>
    <w:p w14:paraId="34C0C7FC">
      <w:pPr>
        <w:spacing w:line="576" w:lineRule="exact"/>
        <w:ind w:firstLine="640"/>
        <w:jc w:val="left"/>
        <w:rPr>
          <w:rFonts w:ascii="仿宋" w:hAnsi="仿宋" w:eastAsia="仿宋"/>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color w:val="000000"/>
          <w:sz w:val="32"/>
          <w:szCs w:val="32"/>
        </w:rPr>
        <w:t>4万元，完成预算100%。“三公”经费支出4万元，占年初预算100.00%，</w:t>
      </w:r>
      <w:r>
        <w:rPr>
          <w:rFonts w:ascii="仿宋" w:hAnsi="仿宋" w:eastAsia="仿宋"/>
          <w:color w:val="000000"/>
          <w:sz w:val="32"/>
          <w:szCs w:val="32"/>
        </w:rPr>
        <w:t>公务接待费支出决算比2022年度</w:t>
      </w:r>
      <w:r>
        <w:rPr>
          <w:rFonts w:hint="eastAsia" w:ascii="仿宋" w:hAnsi="仿宋" w:eastAsia="仿宋"/>
          <w:color w:val="000000"/>
          <w:sz w:val="32"/>
          <w:szCs w:val="32"/>
        </w:rPr>
        <w:t>增加4</w:t>
      </w:r>
      <w:r>
        <w:rPr>
          <w:rFonts w:ascii="仿宋" w:hAnsi="仿宋" w:eastAsia="仿宋"/>
          <w:color w:val="000000"/>
          <w:sz w:val="32"/>
          <w:szCs w:val="32"/>
        </w:rPr>
        <w:t>万元，</w:t>
      </w:r>
      <w:r>
        <w:rPr>
          <w:rFonts w:hint="eastAsia" w:ascii="仿宋" w:hAnsi="仿宋" w:eastAsia="仿宋"/>
          <w:color w:val="000000"/>
          <w:sz w:val="32"/>
          <w:szCs w:val="32"/>
        </w:rPr>
        <w:t>增加100%</w:t>
      </w:r>
      <w:r>
        <w:rPr>
          <w:rFonts w:ascii="仿宋" w:hAnsi="仿宋" w:eastAsia="仿宋"/>
          <w:color w:val="000000"/>
          <w:sz w:val="32"/>
          <w:szCs w:val="32"/>
        </w:rPr>
        <w:t>。主要原因</w:t>
      </w:r>
      <w:r>
        <w:rPr>
          <w:rFonts w:hint="eastAsia" w:ascii="仿宋" w:hAnsi="仿宋" w:eastAsia="仿宋"/>
          <w:color w:val="000000"/>
          <w:sz w:val="32"/>
          <w:szCs w:val="32"/>
        </w:rPr>
        <w:t>认真贯彻落实中央八项规定精神，按照只减不增的要求从严控制</w:t>
      </w:r>
      <w:r>
        <w:rPr>
          <w:rFonts w:ascii="仿宋" w:hAnsi="仿宋" w:eastAsia="仿宋"/>
          <w:color w:val="000000"/>
          <w:sz w:val="32"/>
          <w:szCs w:val="32"/>
        </w:rPr>
        <w:t>“</w:t>
      </w:r>
      <w:r>
        <w:rPr>
          <w:rFonts w:hint="eastAsia" w:ascii="仿宋" w:hAnsi="仿宋" w:eastAsia="仿宋"/>
          <w:color w:val="000000"/>
          <w:sz w:val="32"/>
          <w:szCs w:val="32"/>
        </w:rPr>
        <w:t>三公</w:t>
      </w:r>
      <w:r>
        <w:rPr>
          <w:rFonts w:ascii="仿宋" w:hAnsi="仿宋" w:eastAsia="仿宋"/>
          <w:color w:val="000000"/>
          <w:sz w:val="32"/>
          <w:szCs w:val="32"/>
        </w:rPr>
        <w:t>”</w:t>
      </w:r>
      <w:r>
        <w:rPr>
          <w:rFonts w:hint="eastAsia" w:ascii="仿宋" w:hAnsi="仿宋" w:eastAsia="仿宋"/>
          <w:color w:val="000000"/>
          <w:sz w:val="32"/>
          <w:szCs w:val="32"/>
        </w:rPr>
        <w:t>经费，强化公务接待支出管理，严格遵守公务接待开支范围和开支标准，严格控制陪餐人数，公务接待费大幅下降。</w:t>
      </w:r>
      <w:r>
        <w:rPr>
          <w:rFonts w:ascii="仿宋" w:hAnsi="仿宋" w:eastAsia="仿宋"/>
          <w:color w:val="000000"/>
          <w:sz w:val="32"/>
          <w:szCs w:val="32"/>
        </w:rPr>
        <w:t>其中：</w:t>
      </w:r>
    </w:p>
    <w:p w14:paraId="15BE4A58">
      <w:pPr>
        <w:spacing w:line="576" w:lineRule="exact"/>
        <w:ind w:firstLine="640"/>
        <w:jc w:val="left"/>
        <w:rPr>
          <w:rFonts w:ascii="仿宋" w:hAnsi="仿宋" w:eastAsia="仿宋"/>
          <w:color w:val="000000"/>
          <w:sz w:val="32"/>
          <w:szCs w:val="32"/>
        </w:rPr>
      </w:pPr>
      <w:r>
        <w:rPr>
          <w:rFonts w:ascii="仿宋" w:hAnsi="仿宋" w:eastAsia="仿宋"/>
          <w:color w:val="000000"/>
          <w:sz w:val="32"/>
          <w:szCs w:val="32"/>
        </w:rPr>
        <w:t>国内公务接待支出</w:t>
      </w:r>
      <w:r>
        <w:rPr>
          <w:rFonts w:hint="eastAsia" w:ascii="仿宋" w:hAnsi="仿宋" w:eastAsia="仿宋"/>
          <w:color w:val="000000"/>
          <w:sz w:val="32"/>
          <w:szCs w:val="32"/>
        </w:rPr>
        <w:t>4</w:t>
      </w:r>
      <w:r>
        <w:rPr>
          <w:rFonts w:ascii="仿宋" w:hAnsi="仿宋" w:eastAsia="仿宋"/>
          <w:color w:val="000000"/>
          <w:sz w:val="32"/>
          <w:szCs w:val="32"/>
        </w:rPr>
        <w:t>万元，主要用于执行公务、开展业务活动开支的交通费、住宿费、用餐费等。国内公务接待103批次，520人次（不包括陪同人员），共计支出</w:t>
      </w:r>
      <w:r>
        <w:rPr>
          <w:rFonts w:hint="eastAsia" w:ascii="仿宋" w:hAnsi="仿宋" w:eastAsia="仿宋"/>
          <w:color w:val="000000"/>
          <w:sz w:val="32"/>
          <w:szCs w:val="32"/>
        </w:rPr>
        <w:t>4</w:t>
      </w:r>
      <w:r>
        <w:rPr>
          <w:rFonts w:ascii="仿宋" w:hAnsi="仿宋" w:eastAsia="仿宋"/>
          <w:color w:val="000000"/>
          <w:sz w:val="32"/>
          <w:szCs w:val="32"/>
        </w:rPr>
        <w:t>万元。</w:t>
      </w:r>
    </w:p>
    <w:p w14:paraId="2F3ACF2F">
      <w:pPr>
        <w:spacing w:line="576" w:lineRule="exact"/>
        <w:ind w:firstLine="640" w:firstLineChars="200"/>
        <w:jc w:val="left"/>
        <w:rPr>
          <w:rFonts w:ascii="仿宋" w:hAnsi="仿宋" w:eastAsia="仿宋"/>
          <w:color w:val="000000"/>
          <w:sz w:val="32"/>
          <w:szCs w:val="32"/>
        </w:rPr>
      </w:pPr>
      <w:r>
        <w:rPr>
          <w:rFonts w:ascii="仿宋" w:hAnsi="仿宋" w:eastAsia="仿宋"/>
          <w:color w:val="000000"/>
          <w:sz w:val="32"/>
          <w:szCs w:val="32"/>
        </w:rPr>
        <w:t>外事接待支出</w:t>
      </w:r>
      <w:r>
        <w:rPr>
          <w:rFonts w:hint="eastAsia" w:ascii="仿宋" w:hAnsi="仿宋" w:eastAsia="仿宋"/>
          <w:color w:val="000000"/>
          <w:sz w:val="32"/>
          <w:szCs w:val="32"/>
        </w:rPr>
        <w:t>0</w:t>
      </w:r>
      <w:r>
        <w:rPr>
          <w:rFonts w:ascii="仿宋" w:hAnsi="仿宋" w:eastAsia="仿宋"/>
          <w:color w:val="000000"/>
          <w:sz w:val="32"/>
          <w:szCs w:val="32"/>
        </w:rPr>
        <w:t>万元。外事接待</w:t>
      </w:r>
      <w:r>
        <w:rPr>
          <w:rFonts w:hint="eastAsia" w:ascii="仿宋" w:hAnsi="仿宋" w:eastAsia="仿宋"/>
          <w:color w:val="000000"/>
          <w:sz w:val="32"/>
          <w:szCs w:val="32"/>
        </w:rPr>
        <w:t>0</w:t>
      </w:r>
      <w:r>
        <w:rPr>
          <w:rFonts w:ascii="仿宋" w:hAnsi="仿宋" w:eastAsia="仿宋"/>
          <w:color w:val="000000"/>
          <w:sz w:val="32"/>
          <w:szCs w:val="32"/>
        </w:rPr>
        <w:t>批次，</w:t>
      </w:r>
      <w:r>
        <w:rPr>
          <w:rFonts w:hint="eastAsia" w:ascii="仿宋" w:hAnsi="仿宋" w:eastAsia="仿宋"/>
          <w:color w:val="000000"/>
          <w:sz w:val="32"/>
          <w:szCs w:val="32"/>
        </w:rPr>
        <w:t>0</w:t>
      </w:r>
      <w:r>
        <w:rPr>
          <w:rFonts w:ascii="仿宋" w:hAnsi="仿宋" w:eastAsia="仿宋"/>
          <w:color w:val="000000"/>
          <w:sz w:val="32"/>
          <w:szCs w:val="32"/>
        </w:rPr>
        <w:t>人次（不包括陪同人员），共计支出</w:t>
      </w:r>
      <w:r>
        <w:rPr>
          <w:rFonts w:hint="eastAsia" w:ascii="仿宋" w:hAnsi="仿宋" w:eastAsia="仿宋"/>
          <w:color w:val="000000"/>
          <w:sz w:val="32"/>
          <w:szCs w:val="32"/>
        </w:rPr>
        <w:t>0</w:t>
      </w:r>
      <w:r>
        <w:rPr>
          <w:rFonts w:ascii="仿宋" w:hAnsi="仿宋" w:eastAsia="仿宋"/>
          <w:color w:val="000000"/>
          <w:sz w:val="32"/>
          <w:szCs w:val="32"/>
        </w:rPr>
        <w:t>万元。</w:t>
      </w:r>
    </w:p>
    <w:p w14:paraId="46D4F168">
      <w:pPr>
        <w:spacing w:line="576" w:lineRule="exact"/>
        <w:ind w:firstLine="640"/>
        <w:outlineLvl w:val="1"/>
        <w:rPr>
          <w:rFonts w:ascii="黑体" w:eastAsia="黑体"/>
          <w:b/>
          <w:bCs/>
          <w:color w:val="000000"/>
          <w:sz w:val="32"/>
          <w:szCs w:val="32"/>
        </w:rPr>
      </w:pPr>
      <w:r>
        <w:rPr>
          <w:rFonts w:hint="eastAsia" w:ascii="黑体" w:eastAsia="黑体"/>
          <w:color w:val="000000"/>
          <w:sz w:val="32"/>
          <w:szCs w:val="32"/>
        </w:rPr>
        <w:t>八、</w:t>
      </w:r>
      <w:r>
        <w:rPr>
          <w:rFonts w:hint="eastAsia" w:ascii="黑体" w:eastAsia="黑体"/>
          <w:bCs/>
          <w:color w:val="000000"/>
          <w:sz w:val="32"/>
          <w:szCs w:val="32"/>
        </w:rPr>
        <w:t>政府性基金预算支出决算情况说明</w:t>
      </w:r>
      <w:bookmarkEnd w:id="34"/>
      <w:bookmarkEnd w:id="35"/>
    </w:p>
    <w:p w14:paraId="68F8E923">
      <w:pPr>
        <w:spacing w:line="576" w:lineRule="exact"/>
        <w:ind w:firstLine="640"/>
        <w:jc w:val="left"/>
        <w:rPr>
          <w:rFonts w:ascii="仿宋" w:hAnsi="仿宋" w:eastAsia="仿宋" w:cs="仿宋"/>
          <w:sz w:val="32"/>
          <w:szCs w:val="32"/>
        </w:rPr>
      </w:pPr>
      <w:r>
        <w:rPr>
          <w:rFonts w:hint="eastAsia" w:ascii="仿宋" w:hAnsi="仿宋" w:eastAsia="仿宋" w:cs="仿宋"/>
          <w:sz w:val="32"/>
          <w:szCs w:val="32"/>
        </w:rPr>
        <w:t>2023年政府性基金预算拨款支出0万元。</w:t>
      </w:r>
    </w:p>
    <w:p w14:paraId="79252EFB">
      <w:pPr>
        <w:numPr>
          <w:ilvl w:val="0"/>
          <w:numId w:val="3"/>
        </w:numPr>
        <w:spacing w:line="576" w:lineRule="exact"/>
        <w:ind w:firstLine="640"/>
        <w:jc w:val="left"/>
        <w:outlineLvl w:val="1"/>
        <w:rPr>
          <w:rStyle w:val="32"/>
          <w:rFonts w:ascii="黑体" w:hAnsi="黑体" w:eastAsia="黑体" w:cs="仿宋"/>
          <w:b w:val="0"/>
        </w:rPr>
      </w:pPr>
      <w:bookmarkStart w:id="36" w:name="_Toc15396611"/>
      <w:bookmarkStart w:id="37" w:name="_Toc15377219"/>
      <w:r>
        <w:rPr>
          <w:rStyle w:val="32"/>
          <w:rFonts w:hint="eastAsia" w:ascii="黑体" w:hAnsi="黑体" w:eastAsia="黑体" w:cs="仿宋"/>
          <w:b w:val="0"/>
        </w:rPr>
        <w:t>国有资本经营预算支出决算情况说明</w:t>
      </w:r>
      <w:bookmarkEnd w:id="36"/>
      <w:bookmarkEnd w:id="37"/>
    </w:p>
    <w:p w14:paraId="51022EED">
      <w:pPr>
        <w:spacing w:line="576" w:lineRule="exact"/>
        <w:ind w:firstLine="640"/>
        <w:jc w:val="left"/>
        <w:rPr>
          <w:rFonts w:ascii="仿宋" w:hAnsi="仿宋" w:eastAsia="仿宋" w:cs="仿宋"/>
          <w:sz w:val="32"/>
          <w:szCs w:val="32"/>
        </w:rPr>
      </w:pPr>
      <w:r>
        <w:rPr>
          <w:rFonts w:hint="eastAsia" w:ascii="仿宋" w:hAnsi="仿宋" w:eastAsia="仿宋" w:cs="仿宋"/>
          <w:sz w:val="32"/>
          <w:szCs w:val="32"/>
        </w:rPr>
        <w:t>2023年国有资本经营预算拨款支出0万元。</w:t>
      </w:r>
    </w:p>
    <w:p w14:paraId="122D5792">
      <w:pPr>
        <w:spacing w:line="576" w:lineRule="exact"/>
        <w:ind w:firstLine="640" w:firstLineChars="200"/>
        <w:jc w:val="left"/>
        <w:outlineLvl w:val="1"/>
        <w:rPr>
          <w:rStyle w:val="32"/>
          <w:rFonts w:ascii="黑体" w:hAnsi="黑体" w:eastAsia="黑体" w:cs="仿宋"/>
        </w:rPr>
      </w:pPr>
      <w:r>
        <w:rPr>
          <w:rFonts w:hint="eastAsia" w:ascii="黑体" w:hAnsi="黑体" w:eastAsia="黑体" w:cs="仿宋"/>
          <w:sz w:val="32"/>
          <w:szCs w:val="32"/>
        </w:rPr>
        <w:t>十</w:t>
      </w:r>
      <w:r>
        <w:rPr>
          <w:rStyle w:val="32"/>
          <w:rFonts w:hint="eastAsia" w:ascii="黑体" w:hAnsi="黑体" w:eastAsia="黑体" w:cs="仿宋"/>
        </w:rPr>
        <w:t>、</w:t>
      </w:r>
      <w:r>
        <w:rPr>
          <w:rStyle w:val="32"/>
          <w:rFonts w:hint="eastAsia" w:ascii="黑体" w:hAnsi="黑体" w:eastAsia="黑体" w:cs="仿宋"/>
          <w:b w:val="0"/>
        </w:rPr>
        <w:t>其他重要事项的情况说明</w:t>
      </w:r>
    </w:p>
    <w:p w14:paraId="56DE6AB2">
      <w:pPr>
        <w:spacing w:line="576" w:lineRule="exact"/>
        <w:ind w:firstLine="643" w:firstLineChars="200"/>
        <w:jc w:val="left"/>
        <w:outlineLvl w:val="2"/>
        <w:rPr>
          <w:rFonts w:ascii="仿宋" w:hAnsi="仿宋" w:eastAsia="仿宋" w:cs="仿宋"/>
          <w:sz w:val="32"/>
          <w:szCs w:val="32"/>
        </w:rPr>
      </w:pPr>
      <w:r>
        <w:rPr>
          <w:rFonts w:hint="eastAsia" w:ascii="仿宋" w:hAnsi="仿宋" w:eastAsia="仿宋" w:cs="仿宋"/>
          <w:b/>
          <w:sz w:val="32"/>
          <w:szCs w:val="32"/>
        </w:rPr>
        <w:t>（一）机关运行经费支出情况</w:t>
      </w:r>
    </w:p>
    <w:p w14:paraId="5A8D4E38">
      <w:pPr>
        <w:spacing w:line="576" w:lineRule="exact"/>
        <w:ind w:firstLine="960" w:firstLineChars="300"/>
        <w:jc w:val="left"/>
        <w:rPr>
          <w:rFonts w:ascii="仿宋" w:hAnsi="仿宋" w:eastAsia="仿宋" w:cs="仿宋"/>
          <w:sz w:val="32"/>
          <w:szCs w:val="32"/>
        </w:rPr>
      </w:pPr>
      <w:r>
        <w:rPr>
          <w:rFonts w:hint="eastAsia" w:ascii="仿宋" w:hAnsi="仿宋" w:eastAsia="仿宋" w:cs="仿宋"/>
          <w:sz w:val="32"/>
          <w:szCs w:val="32"/>
        </w:rPr>
        <w:t>2023年，遂宁市安居区海龙凯歌文化旅游产业园区管理委员</w:t>
      </w:r>
      <w:r>
        <w:rPr>
          <w:rFonts w:hint="eastAsia" w:ascii="仿宋" w:hAnsi="仿宋" w:eastAsia="仿宋" w:cs="仿宋"/>
          <w:sz w:val="32"/>
          <w:szCs w:val="32"/>
          <w:lang w:eastAsia="zh-CN"/>
        </w:rPr>
        <w:t>会</w:t>
      </w:r>
      <w:r>
        <w:rPr>
          <w:rFonts w:hint="eastAsia" w:ascii="仿宋" w:hAnsi="仿宋" w:eastAsia="仿宋" w:cs="仿宋"/>
          <w:sz w:val="32"/>
          <w:szCs w:val="32"/>
        </w:rPr>
        <w:t>机关运行经费财政拨款预算为40.97万元.</w:t>
      </w:r>
      <w:r>
        <w:rPr>
          <w:rFonts w:hint="eastAsia" w:ascii="仿宋" w:hAnsi="仿宋" w:eastAsia="仿宋" w:cs="仿宋"/>
          <w:kern w:val="0"/>
          <w:sz w:val="32"/>
          <w:szCs w:val="32"/>
        </w:rPr>
        <w:t>比2022年增加40.97万元，增加100%。主要原因是：本单位是2022年10月成立，未预算公用经费。</w:t>
      </w:r>
    </w:p>
    <w:p w14:paraId="5FDB4AC5">
      <w:pPr>
        <w:autoSpaceDE w:val="0"/>
        <w:autoSpaceDN w:val="0"/>
        <w:adjustRightInd w:val="0"/>
        <w:spacing w:line="576" w:lineRule="exact"/>
        <w:ind w:firstLine="643" w:firstLineChars="200"/>
        <w:jc w:val="left"/>
        <w:outlineLvl w:val="2"/>
        <w:rPr>
          <w:rFonts w:ascii="仿宋" w:hAnsi="仿宋" w:eastAsia="仿宋" w:cs="仿宋"/>
          <w:b/>
          <w:sz w:val="32"/>
          <w:szCs w:val="32"/>
        </w:rPr>
      </w:pPr>
      <w:bookmarkStart w:id="38" w:name="_Toc15377223"/>
      <w:r>
        <w:rPr>
          <w:rFonts w:hint="eastAsia" w:ascii="仿宋" w:hAnsi="仿宋" w:eastAsia="仿宋" w:cs="仿宋"/>
          <w:b/>
          <w:sz w:val="32"/>
          <w:szCs w:val="32"/>
        </w:rPr>
        <w:t>（二）政府采购支出情况</w:t>
      </w:r>
      <w:bookmarkEnd w:id="38"/>
    </w:p>
    <w:p w14:paraId="1444D73F">
      <w:pPr>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2023年，遂宁市安居区海龙凯歌文化旅游产业园区管理委员人民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E1A18A9">
      <w:pPr>
        <w:autoSpaceDE w:val="0"/>
        <w:autoSpaceDN w:val="0"/>
        <w:adjustRightInd w:val="0"/>
        <w:spacing w:line="576" w:lineRule="exact"/>
        <w:ind w:firstLine="643" w:firstLineChars="200"/>
        <w:jc w:val="left"/>
        <w:outlineLvl w:val="2"/>
        <w:rPr>
          <w:rFonts w:ascii="仿宋" w:hAnsi="仿宋" w:eastAsia="仿宋" w:cs="仿宋"/>
        </w:rPr>
      </w:pPr>
      <w:bookmarkStart w:id="39" w:name="_Toc15377224"/>
      <w:r>
        <w:rPr>
          <w:rFonts w:hint="eastAsia" w:ascii="仿宋" w:hAnsi="仿宋" w:eastAsia="仿宋" w:cs="仿宋"/>
          <w:b/>
          <w:sz w:val="32"/>
          <w:szCs w:val="32"/>
        </w:rPr>
        <w:t>（三）国有资产占有使用情况</w:t>
      </w:r>
      <w:bookmarkEnd w:id="39"/>
    </w:p>
    <w:p w14:paraId="736CD358">
      <w:pPr>
        <w:pStyle w:val="15"/>
        <w:spacing w:line="57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截至2023年12月31日，遂宁市安居区海龙凯歌文化旅游产业园区管理委员</w:t>
      </w:r>
      <w:r>
        <w:rPr>
          <w:rFonts w:hint="eastAsia" w:ascii="仿宋" w:hAnsi="仿宋" w:eastAsia="仿宋" w:cs="仿宋"/>
          <w:sz w:val="32"/>
          <w:szCs w:val="32"/>
          <w:lang w:eastAsia="zh-CN"/>
        </w:rPr>
        <w:t>会</w:t>
      </w:r>
      <w:r>
        <w:rPr>
          <w:rFonts w:hint="eastAsia" w:ascii="仿宋" w:hAnsi="仿宋" w:eastAsia="仿宋" w:cs="仿宋"/>
          <w:sz w:val="32"/>
          <w:szCs w:val="32"/>
        </w:rPr>
        <w:t>人民政府共有车辆0辆，其中：部级领导干部用车0辆、一般公务用车0辆、一般执法执勤用车0辆、特种专业技术用车0辆、其他用车0辆。单价100万元以上专用设备0台。</w:t>
      </w:r>
    </w:p>
    <w:p w14:paraId="7C01D92B">
      <w:pPr>
        <w:autoSpaceDE w:val="0"/>
        <w:autoSpaceDN w:val="0"/>
        <w:adjustRightInd w:val="0"/>
        <w:spacing w:line="576" w:lineRule="exact"/>
        <w:ind w:firstLine="643" w:firstLineChars="200"/>
        <w:jc w:val="left"/>
        <w:outlineLvl w:val="2"/>
        <w:rPr>
          <w:rFonts w:ascii="仿宋" w:hAnsi="仿宋" w:eastAsia="仿宋" w:cs="仿宋"/>
          <w:b/>
          <w:sz w:val="32"/>
          <w:szCs w:val="32"/>
        </w:rPr>
      </w:pPr>
      <w:r>
        <w:rPr>
          <w:rFonts w:hint="eastAsia" w:ascii="仿宋" w:hAnsi="仿宋" w:eastAsia="仿宋" w:cs="仿宋"/>
          <w:b/>
          <w:sz w:val="32"/>
          <w:szCs w:val="32"/>
        </w:rPr>
        <w:t>（四）预算绩效管理情况</w:t>
      </w:r>
    </w:p>
    <w:p w14:paraId="29B8B73A">
      <w:pPr>
        <w:pStyle w:val="30"/>
        <w:spacing w:line="576" w:lineRule="exact"/>
        <w:ind w:firstLine="640"/>
        <w:jc w:val="left"/>
        <w:rPr>
          <w:rFonts w:ascii="仿宋" w:hAnsi="仿宋" w:eastAsia="仿宋" w:cs="仿宋"/>
          <w:sz w:val="32"/>
          <w:szCs w:val="32"/>
        </w:rPr>
      </w:pPr>
      <w:r>
        <w:rPr>
          <w:rFonts w:hint="eastAsia" w:ascii="仿宋" w:hAnsi="仿宋" w:eastAsia="仿宋" w:cs="仿宋"/>
          <w:sz w:val="32"/>
          <w:szCs w:val="32"/>
        </w:rPr>
        <w:t>根据预算绩效管理要求，本单位在2023年度预算编制阶段，组织对“海龙凯歌国庆营销活动经费”“文旅园区产业招引产业补助”“文旅园区宣传营销”“省星级现代农业园区创建升星经费”“2023年中省财政衔接推进乡村振兴补助资金”等5个项目开展了预算绩效评估，对5个项目编制了绩效目标，预算执行过程中，选取了5个项目开展绩效监控，年终执行完毕后，完成绩效目标情况梳理填报。</w:t>
      </w:r>
    </w:p>
    <w:p w14:paraId="7F63CCB3">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组织对2023年度一般公共预算全面开展绩效自评，形成遂宁市安居区海龙凯歌文化旅游产业园区管理委员会2023年部门整体绩效自评报告；对“海龙凯歌国庆营销活动经费”“文旅园区产业招引产业补助”“文旅园区宣传营销”“省星级现代农业园区创建升星经费”“2023年中省财政衔接推进乡村振兴补助资金”等专项预算项目绩效自评报告，其中部门整体绩效自评报告自评得分为90分，绩效自评综述：2023年，我单位通过加强预算收支管理，不断建立健全内部管理制度，梳理内部管理流程，部门整体支出管理情况得到提升，较</w:t>
      </w:r>
      <w:r>
        <w:rPr>
          <w:rFonts w:hint="eastAsia" w:ascii="仿宋" w:hAnsi="仿宋" w:eastAsia="仿宋" w:cs="仿宋"/>
          <w:sz w:val="32"/>
          <w:szCs w:val="32"/>
          <w:lang w:eastAsia="zh-CN"/>
        </w:rPr>
        <w:t>好地完成</w:t>
      </w:r>
      <w:r>
        <w:rPr>
          <w:rFonts w:hint="eastAsia" w:ascii="仿宋" w:hAnsi="仿宋" w:eastAsia="仿宋" w:cs="仿宋"/>
          <w:sz w:val="32"/>
          <w:szCs w:val="32"/>
        </w:rPr>
        <w:t>了年度工作目标。</w:t>
      </w:r>
    </w:p>
    <w:p w14:paraId="1A442888">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海龙凯歌国庆营销活动经费预算项目绩效自评得分为100分，绩效自评综述：项目全年预算数86.9万元，执行数为40.62万元，完成预算的46.74%。通过项目实施，保障海龙凯歌在国庆顺利开园，让广大市民游客朋友在海龙凯歌度过一个祥和愉快的国庆佳节。下一步改进措施：加大基础设施投入，改善居住环境；加大宣传力度，让更多人了解海龙凯歌。</w:t>
      </w:r>
    </w:p>
    <w:p w14:paraId="173BEC6A">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 xml:space="preserve">文旅园区产业招引产业补助专项预算项目绩效自评得分为100分，绩效自评综述：项目全年预算数20万元，执行数为19万元，完成预算的95%。通过项目实施，提升海龙凯歌文旅园区的的产业发展，促进更多社会资本参与旅游开发，提升旅游产品文化品位，提出园区发展方向和思路。 下一步改进措施：大力宣传海龙凯歌，提升海龙凯歌文旅园区建设。 </w:t>
      </w:r>
    </w:p>
    <w:p w14:paraId="4E81E3A7">
      <w:pPr>
        <w:adjustRightInd w:val="0"/>
        <w:snapToGrid w:val="0"/>
        <w:spacing w:line="576" w:lineRule="exact"/>
        <w:ind w:firstLine="640"/>
        <w:jc w:val="left"/>
        <w:outlineLvl w:val="0"/>
        <w:rPr>
          <w:rFonts w:ascii="仿宋" w:hAnsi="仿宋" w:eastAsia="仿宋" w:cs="仿宋"/>
          <w:sz w:val="32"/>
          <w:szCs w:val="32"/>
        </w:rPr>
      </w:pPr>
      <w:r>
        <w:rPr>
          <w:rFonts w:hint="eastAsia" w:ascii="仿宋" w:hAnsi="仿宋" w:eastAsia="仿宋" w:cs="仿宋"/>
          <w:sz w:val="32"/>
          <w:szCs w:val="32"/>
        </w:rPr>
        <w:t>省星级现代农业园区创建升星</w:t>
      </w:r>
      <w:r>
        <w:rPr>
          <w:rFonts w:hint="eastAsia" w:ascii="仿宋" w:hAnsi="仿宋" w:eastAsia="仿宋" w:cs="仿宋"/>
          <w:sz w:val="32"/>
          <w:szCs w:val="32"/>
          <w:lang w:eastAsia="zh-CN"/>
        </w:rPr>
        <w:t>经费项目绩效</w:t>
      </w:r>
      <w:r>
        <w:rPr>
          <w:rFonts w:hint="eastAsia" w:ascii="仿宋" w:hAnsi="仿宋" w:eastAsia="仿宋" w:cs="仿宋"/>
          <w:sz w:val="32"/>
          <w:szCs w:val="32"/>
        </w:rPr>
        <w:t>自评得分为100分，绩效自评综述：项目全年预算数</w:t>
      </w:r>
      <w:r>
        <w:rPr>
          <w:rFonts w:ascii="仿宋" w:hAnsi="仿宋" w:eastAsia="仿宋" w:cs="仿宋"/>
          <w:sz w:val="32"/>
          <w:szCs w:val="32"/>
        </w:rPr>
        <w:t>20</w:t>
      </w:r>
      <w:r>
        <w:rPr>
          <w:rFonts w:hint="eastAsia" w:ascii="仿宋" w:hAnsi="仿宋" w:eastAsia="仿宋" w:cs="仿宋"/>
          <w:sz w:val="32"/>
          <w:szCs w:val="32"/>
        </w:rPr>
        <w:t>万元，执行数为</w:t>
      </w:r>
      <w:r>
        <w:rPr>
          <w:rFonts w:ascii="仿宋" w:hAnsi="仿宋" w:eastAsia="仿宋" w:cs="仿宋"/>
          <w:sz w:val="32"/>
          <w:szCs w:val="32"/>
        </w:rPr>
        <w:t>19</w:t>
      </w:r>
      <w:r>
        <w:rPr>
          <w:rFonts w:hint="eastAsia" w:ascii="仿宋" w:hAnsi="仿宋" w:eastAsia="仿宋" w:cs="仿宋"/>
          <w:sz w:val="32"/>
          <w:szCs w:val="32"/>
        </w:rPr>
        <w:t>万元，完成预算的</w:t>
      </w:r>
      <w:r>
        <w:rPr>
          <w:rFonts w:ascii="仿宋" w:hAnsi="仿宋" w:eastAsia="仿宋" w:cs="仿宋"/>
          <w:sz w:val="32"/>
          <w:szCs w:val="32"/>
        </w:rPr>
        <w:t>95%。</w:t>
      </w:r>
      <w:r>
        <w:rPr>
          <w:rFonts w:hint="eastAsia" w:ascii="仿宋" w:hAnsi="仿宋" w:eastAsia="仿宋" w:cs="仿宋"/>
          <w:sz w:val="32"/>
          <w:szCs w:val="32"/>
        </w:rPr>
        <w:t>通过项目的实施，文旅园区景区创建，旅游业态商品培育、开发，促进社会资本参与旅游项目，并制定营销方案并筹备大型营销宣传活动。力求提升园区文化品位，拓宽文化旅</w:t>
      </w:r>
      <w:r>
        <w:rPr>
          <w:rFonts w:ascii="仿宋" w:hAnsi="仿宋" w:eastAsia="仿宋" w:cs="仿宋"/>
          <w:sz w:val="32"/>
          <w:szCs w:val="32"/>
        </w:rPr>
        <w:t>游市场。发现的主要问题：财政专项资金拨付不及时。</w:t>
      </w:r>
      <w:r>
        <w:rPr>
          <w:rFonts w:ascii="仿宋" w:hAnsi="仿宋" w:eastAsia="仿宋" w:cs="仿宋"/>
          <w:kern w:val="0"/>
          <w:sz w:val="32"/>
          <w:szCs w:val="32"/>
        </w:rPr>
        <w:t>下一步改进措施：及时</w:t>
      </w:r>
      <w:r>
        <w:rPr>
          <w:rFonts w:hint="eastAsia" w:ascii="仿宋" w:hAnsi="仿宋" w:eastAsia="仿宋" w:cs="仿宋"/>
          <w:sz w:val="32"/>
          <w:szCs w:val="32"/>
        </w:rPr>
        <w:t>拨付资金。</w:t>
      </w:r>
    </w:p>
    <w:p w14:paraId="7B896884">
      <w:pPr>
        <w:adjustRightInd w:val="0"/>
        <w:snapToGrid w:val="0"/>
        <w:spacing w:line="576" w:lineRule="exact"/>
        <w:ind w:firstLine="1134"/>
        <w:jc w:val="left"/>
        <w:outlineLvl w:val="0"/>
        <w:rPr>
          <w:rFonts w:ascii="仿宋" w:hAnsi="仿宋" w:eastAsia="仿宋" w:cs="仿宋"/>
          <w:sz w:val="32"/>
          <w:szCs w:val="32"/>
        </w:rPr>
      </w:pPr>
      <w:r>
        <w:rPr>
          <w:rFonts w:hint="eastAsia" w:ascii="仿宋" w:hAnsi="仿宋" w:eastAsia="仿宋" w:cs="仿宋"/>
          <w:sz w:val="32"/>
          <w:szCs w:val="32"/>
        </w:rPr>
        <w:t>文旅园区宣传营销项目绩效自评得分为100分，绩效自评综述：项目全年预算数5万元，执行数为5万元，完成</w:t>
      </w:r>
      <w:r>
        <w:rPr>
          <w:rFonts w:ascii="仿宋" w:hAnsi="仿宋" w:eastAsia="仿宋" w:cs="仿宋"/>
          <w:sz w:val="32"/>
          <w:szCs w:val="32"/>
        </w:rPr>
        <w:t>预算的100%。通过项目的实施，文旅园区景区宣传营销，旅游业态商品培育、开发，促进社会资本参与旅游项目，并制定营销方案并筹备大型营销宣传活动。力求提升园区文化品位，拓宽文化旅游</w:t>
      </w:r>
      <w:r>
        <w:rPr>
          <w:rFonts w:hint="eastAsia" w:ascii="仿宋" w:hAnsi="仿宋" w:eastAsia="仿宋" w:cs="仿宋"/>
          <w:sz w:val="32"/>
          <w:szCs w:val="32"/>
        </w:rPr>
        <w:t>市场。发现的主要问题：财政专项资金拨付不及时。下一步改进措施：及时拨付资金。</w:t>
      </w:r>
    </w:p>
    <w:p w14:paraId="279EE44D">
      <w:pPr>
        <w:adjustRightInd w:val="0"/>
        <w:snapToGrid w:val="0"/>
        <w:spacing w:line="576" w:lineRule="exact"/>
        <w:ind w:firstLine="1134"/>
        <w:jc w:val="left"/>
        <w:outlineLvl w:val="0"/>
        <w:rPr>
          <w:rFonts w:ascii="仿宋" w:hAnsi="仿宋" w:eastAsia="仿宋" w:cs="仿宋"/>
          <w:kern w:val="0"/>
          <w:sz w:val="32"/>
          <w:szCs w:val="32"/>
        </w:rPr>
      </w:pPr>
      <w:r>
        <w:rPr>
          <w:rFonts w:hint="eastAsia" w:ascii="仿宋" w:hAnsi="仿宋" w:eastAsia="仿宋" w:cs="仿宋"/>
          <w:sz w:val="32"/>
          <w:szCs w:val="32"/>
        </w:rPr>
        <w:t>2023年中省财政衔接推进乡村振兴补助资金项目绩效自评得分为100分，绩效自评综述：项目全年预算数125万元，执行数为125</w:t>
      </w:r>
      <w:r>
        <w:rPr>
          <w:rFonts w:ascii="仿宋" w:hAnsi="仿宋" w:eastAsia="仿宋" w:cs="仿宋"/>
          <w:sz w:val="32"/>
          <w:szCs w:val="32"/>
        </w:rPr>
        <w:t>万元，完成预算的100%。通过项目的实施，海龙凯歌文旅园区仙人掌基地、露营基地、房车营地栽种仙人掌10余亩，提升观赏体验、吸引游客、带动消费</w:t>
      </w:r>
      <w:r>
        <w:rPr>
          <w:rFonts w:ascii="仿宋" w:hAnsi="仿宋" w:eastAsia="仿宋" w:cs="仿宋"/>
          <w:kern w:val="0"/>
          <w:sz w:val="32"/>
          <w:szCs w:val="32"/>
        </w:rPr>
        <w:t>。绩效自评报告见附件。</w:t>
      </w:r>
    </w:p>
    <w:p w14:paraId="57FA6333">
      <w:pPr>
        <w:rPr>
          <w:rFonts w:ascii="仿宋" w:hAnsi="仿宋" w:eastAsia="仿宋" w:cs="仿宋"/>
          <w:kern w:val="0"/>
          <w:sz w:val="32"/>
          <w:szCs w:val="32"/>
        </w:rPr>
      </w:pPr>
    </w:p>
    <w:p w14:paraId="14F63718">
      <w:pPr>
        <w:rPr>
          <w:rFonts w:ascii="仿宋" w:hAnsi="仿宋" w:eastAsia="仿宋" w:cs="仿宋"/>
          <w:kern w:val="0"/>
          <w:sz w:val="32"/>
          <w:szCs w:val="32"/>
        </w:rPr>
      </w:pPr>
    </w:p>
    <w:p w14:paraId="44AA5733">
      <w:pPr>
        <w:rPr>
          <w:rFonts w:ascii="仿宋" w:hAnsi="仿宋" w:eastAsia="仿宋" w:cs="仿宋"/>
          <w:kern w:val="0"/>
          <w:sz w:val="32"/>
          <w:szCs w:val="32"/>
        </w:rPr>
      </w:pPr>
    </w:p>
    <w:p w14:paraId="2CE48BED">
      <w:pPr>
        <w:rPr>
          <w:rFonts w:ascii="仿宋" w:hAnsi="仿宋" w:eastAsia="仿宋" w:cs="仿宋"/>
          <w:kern w:val="0"/>
          <w:sz w:val="32"/>
          <w:szCs w:val="32"/>
        </w:rPr>
      </w:pPr>
    </w:p>
    <w:p w14:paraId="43B9EADF">
      <w:pPr>
        <w:rPr>
          <w:rFonts w:ascii="仿宋" w:hAnsi="仿宋" w:eastAsia="仿宋" w:cs="仿宋"/>
          <w:kern w:val="0"/>
          <w:sz w:val="32"/>
          <w:szCs w:val="32"/>
        </w:rPr>
      </w:pPr>
    </w:p>
    <w:p w14:paraId="790B2E46">
      <w:pPr>
        <w:rPr>
          <w:rFonts w:ascii="仿宋" w:hAnsi="仿宋" w:eastAsia="仿宋" w:cs="仿宋"/>
          <w:kern w:val="0"/>
          <w:sz w:val="32"/>
          <w:szCs w:val="32"/>
        </w:rPr>
      </w:pPr>
    </w:p>
    <w:p w14:paraId="22DEE693">
      <w:pPr>
        <w:rPr>
          <w:rFonts w:ascii="仿宋" w:hAnsi="仿宋" w:eastAsia="仿宋" w:cs="仿宋"/>
          <w:kern w:val="0"/>
          <w:sz w:val="32"/>
          <w:szCs w:val="32"/>
        </w:rPr>
      </w:pPr>
    </w:p>
    <w:p w14:paraId="6360E5D9">
      <w:pPr>
        <w:rPr>
          <w:rFonts w:ascii="仿宋" w:hAnsi="仿宋" w:eastAsia="仿宋" w:cs="仿宋"/>
          <w:kern w:val="0"/>
          <w:sz w:val="32"/>
          <w:szCs w:val="32"/>
        </w:rPr>
      </w:pPr>
    </w:p>
    <w:p w14:paraId="32D539D5">
      <w:pPr>
        <w:spacing w:line="576" w:lineRule="exact"/>
        <w:jc w:val="center"/>
        <w:outlineLvl w:val="0"/>
        <w:rPr>
          <w:rStyle w:val="31"/>
          <w:rFonts w:ascii="黑体" w:hAnsi="黑体" w:eastAsia="黑体"/>
          <w:b w:val="0"/>
        </w:rPr>
      </w:pPr>
      <w:r>
        <w:rPr>
          <w:rFonts w:hint="eastAsia" w:ascii="黑体" w:hAnsi="黑体" w:eastAsia="黑体"/>
          <w:sz w:val="44"/>
          <w:szCs w:val="44"/>
        </w:rPr>
        <w:t>第三</w:t>
      </w:r>
      <w:r>
        <w:rPr>
          <w:rStyle w:val="31"/>
          <w:rFonts w:hint="eastAsia" w:ascii="黑体" w:hAnsi="黑体" w:eastAsia="黑体"/>
          <w:b w:val="0"/>
        </w:rPr>
        <w:t>部分 名词解释</w:t>
      </w:r>
    </w:p>
    <w:p w14:paraId="7F77F6F0">
      <w:pPr>
        <w:spacing w:line="576" w:lineRule="exact"/>
        <w:ind w:firstLine="640" w:firstLineChars="200"/>
        <w:jc w:val="center"/>
        <w:rPr>
          <w:rFonts w:ascii="仿宋_GB2312" w:hAnsi="仿宋_GB2312" w:eastAsia="仿宋_GB2312" w:cs="仿宋_GB2312"/>
          <w:sz w:val="32"/>
          <w:szCs w:val="32"/>
        </w:rPr>
      </w:pPr>
    </w:p>
    <w:p w14:paraId="466ED109">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14:paraId="2CA770B0">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14:paraId="0750FC51">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14:paraId="1CD68024">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4.其他收入：指单位取得的除上述收入以外的各项收入。 </w:t>
      </w:r>
    </w:p>
    <w:p w14:paraId="1E712314">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EFBE7AC">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14:paraId="12F0B55C">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14:paraId="45ED315D">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14:paraId="0B8FA87B">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9. 文化体育与传媒支出（类）文化和旅游支出（款）行政运行（项），主要用于：行政人员基本工资、津贴补贴、绩效目标、福利费、办公费、手续费、差旅费、电费、邮电费等。</w:t>
      </w:r>
    </w:p>
    <w:p w14:paraId="32490DF1">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10. 文化体育与传媒支出（类）其他文化和旅游支出（款）事业运行（项），主要用于：事业人员基本工资、津贴补贴、绩效目标、福利费、办公费、手续费、差旅费、电费、邮电费等。</w:t>
      </w:r>
    </w:p>
    <w:p w14:paraId="3E5C5E33">
      <w:pPr>
        <w:spacing w:line="556"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11. 社会保障和就业支出（类）其他社会保障和就业支出（款）其他社会保障和就业支出（项），主要用于：其他社会保障和就业支出。</w:t>
      </w:r>
    </w:p>
    <w:p w14:paraId="7131E312">
      <w:pPr>
        <w:pStyle w:val="29"/>
        <w:spacing w:line="556" w:lineRule="exact"/>
        <w:ind w:firstLine="640" w:firstLineChars="200"/>
        <w:rPr>
          <w:rFonts w:hAnsi="仿宋"/>
          <w:sz w:val="32"/>
          <w:szCs w:val="32"/>
        </w:rPr>
      </w:pPr>
      <w:r>
        <w:rPr>
          <w:rFonts w:hint="eastAsia" w:hAnsi="仿宋"/>
          <w:sz w:val="32"/>
          <w:szCs w:val="32"/>
        </w:rPr>
        <w:t>12.卫生健康支出（类）行政事业单位医疗（款）行政单位医疗（项），主要用于：基本医疗保险缴费、其他社会保障缴费。</w:t>
      </w:r>
    </w:p>
    <w:p w14:paraId="1CC28E21">
      <w:pPr>
        <w:pStyle w:val="29"/>
        <w:spacing w:line="556" w:lineRule="exact"/>
        <w:ind w:firstLine="640" w:firstLineChars="200"/>
        <w:rPr>
          <w:rFonts w:hAnsi="仿宋"/>
          <w:sz w:val="32"/>
          <w:szCs w:val="32"/>
        </w:rPr>
      </w:pPr>
      <w:r>
        <w:rPr>
          <w:rFonts w:hint="eastAsia" w:hAnsi="仿宋"/>
          <w:sz w:val="32"/>
          <w:szCs w:val="32"/>
        </w:rPr>
        <w:t>13. 卫生健康支出（类）行政事业单位医疗（款）公务员医疗补助（项），主要用于：公务员医疗补助缴费。</w:t>
      </w:r>
    </w:p>
    <w:p w14:paraId="645BE979">
      <w:pPr>
        <w:spacing w:line="556"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14.住房保障支出（类）住房改革支出（款）住房公积金（项），主要用于：缴纳住房公积金。</w:t>
      </w:r>
    </w:p>
    <w:p w14:paraId="049D9AAD">
      <w:pPr>
        <w:spacing w:line="556"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15.基本支出：指为保障机构正常运转、完成日常工作任务而发生的人员支出和公用支出。</w:t>
      </w:r>
    </w:p>
    <w:p w14:paraId="5203B60B">
      <w:pPr>
        <w:spacing w:line="556"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 xml:space="preserve">16.项目支出：指在基本支出之外为完成特定行政任务和事业发展目标所发生的支出。 </w:t>
      </w:r>
    </w:p>
    <w:p w14:paraId="4FB2D796">
      <w:pPr>
        <w:pStyle w:val="29"/>
        <w:spacing w:line="556" w:lineRule="exact"/>
        <w:ind w:firstLine="640" w:firstLineChars="200"/>
        <w:rPr>
          <w:rFonts w:hAnsi="仿宋"/>
          <w:sz w:val="32"/>
          <w:szCs w:val="32"/>
        </w:rPr>
      </w:pPr>
      <w:r>
        <w:rPr>
          <w:rFonts w:hint="eastAsia" w:hAnsi="仿宋"/>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29653DF">
      <w:pPr>
        <w:spacing w:line="556" w:lineRule="exact"/>
        <w:ind w:firstLine="640" w:firstLineChars="200"/>
        <w:jc w:val="left"/>
        <w:rPr>
          <w:rFonts w:ascii="黑体" w:hAnsi="黑体" w:eastAsia="黑体"/>
          <w:sz w:val="44"/>
          <w:szCs w:val="44"/>
        </w:rPr>
      </w:pPr>
      <w:r>
        <w:rPr>
          <w:rFonts w:hint="eastAsia" w:ascii="仿宋" w:hAnsi="仿宋" w:eastAsia="仿宋" w:cs="仿宋"/>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0" w:name="_Toc15396614"/>
      <w:bookmarkStart w:id="41" w:name="_Toc15396616"/>
      <w:bookmarkStart w:id="42" w:name="_Toc15377226"/>
    </w:p>
    <w:p w14:paraId="65E8E4D6">
      <w:pPr>
        <w:spacing w:line="554" w:lineRule="exact"/>
        <w:jc w:val="center"/>
        <w:outlineLvl w:val="0"/>
        <w:rPr>
          <w:rStyle w:val="31"/>
          <w:rFonts w:ascii="黑体" w:hAnsi="黑体" w:eastAsia="黑体"/>
        </w:rPr>
      </w:pPr>
      <w:r>
        <w:rPr>
          <w:rFonts w:hint="eastAsia" w:ascii="黑体" w:hAnsi="黑体" w:eastAsia="黑体"/>
          <w:sz w:val="44"/>
          <w:szCs w:val="44"/>
        </w:rPr>
        <w:t>第</w:t>
      </w:r>
      <w:r>
        <w:rPr>
          <w:rStyle w:val="31"/>
          <w:rFonts w:hint="eastAsia" w:ascii="黑体" w:hAnsi="黑体" w:eastAsia="黑体"/>
        </w:rPr>
        <w:t>四部分 附件</w:t>
      </w:r>
      <w:bookmarkEnd w:id="40"/>
    </w:p>
    <w:p w14:paraId="736BD7C9">
      <w:pPr>
        <w:spacing w:line="554" w:lineRule="exact"/>
        <w:jc w:val="center"/>
        <w:outlineLvl w:val="0"/>
        <w:rPr>
          <w:rStyle w:val="31"/>
          <w:rFonts w:ascii="黑体" w:hAnsi="黑体" w:eastAsia="黑体"/>
          <w:b w:val="0"/>
        </w:rPr>
      </w:pPr>
    </w:p>
    <w:p w14:paraId="0A70734C">
      <w:pPr>
        <w:spacing w:line="554"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遂宁市安居区海龙凯歌文化旅游</w:t>
      </w:r>
    </w:p>
    <w:p w14:paraId="1E8EA21F">
      <w:pPr>
        <w:spacing w:line="554"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产业园区管理委员会</w:t>
      </w:r>
    </w:p>
    <w:p w14:paraId="2BA5128B">
      <w:pPr>
        <w:spacing w:line="554" w:lineRule="exact"/>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2023年部门整体支出绩效报告</w:t>
      </w:r>
    </w:p>
    <w:p w14:paraId="533BB8B3">
      <w:pPr>
        <w:spacing w:before="120" w:after="120" w:line="554" w:lineRule="exact"/>
        <w:jc w:val="left"/>
        <w:rPr>
          <w:rFonts w:ascii="方正小标宋_GBK" w:hAnsi="方正小标宋_GBK" w:eastAsia="方正小标宋_GBK" w:cs="方正小标宋_GBK"/>
          <w:sz w:val="44"/>
          <w:szCs w:val="44"/>
          <w:shd w:val="clear" w:color="auto" w:fill="FFFFFF"/>
        </w:rPr>
      </w:pPr>
    </w:p>
    <w:p w14:paraId="4B15B4F1">
      <w:pPr>
        <w:pStyle w:val="6"/>
        <w:spacing w:before="120" w:after="120" w:line="554" w:lineRule="exact"/>
        <w:ind w:firstLine="640" w:firstLineChars="200"/>
        <w:jc w:val="left"/>
        <w:rPr>
          <w:lang w:val="zh-CN"/>
        </w:rPr>
      </w:pPr>
      <w:r>
        <w:rPr>
          <w:rFonts w:hint="eastAsia" w:ascii="黑体" w:eastAsia="黑体"/>
          <w:b w:val="0"/>
          <w:lang w:val="zh-CN"/>
        </w:rPr>
        <w:t>一、部门（单位）概况</w:t>
      </w:r>
    </w:p>
    <w:p w14:paraId="2069F9A3">
      <w:pPr>
        <w:autoSpaceDE w:val="0"/>
        <w:autoSpaceDN w:val="0"/>
        <w:adjustRightInd w:val="0"/>
        <w:spacing w:before="120" w:after="120"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（一）机构组成。</w:t>
      </w:r>
    </w:p>
    <w:p w14:paraId="46FE40D0">
      <w:pPr>
        <w:spacing w:before="120" w:after="120" w:line="554" w:lineRule="exact"/>
        <w:ind w:firstLine="800" w:firstLineChars="250"/>
        <w:jc w:val="left"/>
        <w:rPr>
          <w:rFonts w:ascii="仿宋" w:hAnsi="仿宋" w:eastAsia="仿宋"/>
          <w:sz w:val="32"/>
          <w:szCs w:val="32"/>
        </w:rPr>
      </w:pPr>
      <w:r>
        <w:rPr>
          <w:rFonts w:hint="eastAsia" w:ascii="仿宋" w:hAnsi="仿宋" w:eastAsia="仿宋"/>
          <w:sz w:val="32"/>
          <w:szCs w:val="32"/>
        </w:rPr>
        <w:t>四川省遂宁市安居区遂宁市海龙凯歌文化旅游产业园区管理委员会下属二级单位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14:paraId="1EA3442C">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（二）机构职能。</w:t>
      </w:r>
    </w:p>
    <w:p w14:paraId="4849A2DC">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w:t>
      </w:r>
      <w:r>
        <w:rPr>
          <w:rFonts w:hint="eastAsia" w:ascii="仿宋" w:hAnsi="仿宋" w:eastAsia="仿宋"/>
          <w:sz w:val="32"/>
          <w:szCs w:val="32"/>
        </w:rPr>
        <w:t>党的路线、方针、政策</w:t>
      </w:r>
      <w:r>
        <w:rPr>
          <w:rFonts w:ascii="仿宋" w:hAnsi="仿宋" w:eastAsia="仿宋"/>
          <w:sz w:val="32"/>
          <w:szCs w:val="32"/>
        </w:rPr>
        <w:t>执行本级人民代表大会的决议和上级国家行政机关的决定和命令，发布决定和命令。</w:t>
      </w:r>
    </w:p>
    <w:p w14:paraId="12031E85">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（2）负责园区内经济发展规划和区域发展规划的编制、经批准后组织实施，对固定资产投资项目进行审核，负责园区文旅项目包装储备和申报工作</w:t>
      </w:r>
    </w:p>
    <w:p w14:paraId="2B01E780">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3）负责招商引资、投资促进、对外开放及企业服务工作，负责园区旅游资源的开发利用、文旅品牌创建，宣传营销等工作。负责园区A级景区创建及复核工作，负责园区内环境保护、消防安全和安全生产监督管理工作，负责园区消费者权益保障、旅游市场秩序维护等工作，负责园区旅游统计工作，负责园区财务管理。实施园区内财务预算、决算国有资产管理和财务监督工作。</w:t>
      </w:r>
    </w:p>
    <w:p w14:paraId="4D729DDB">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完成区委、区政府交办的其他事项。</w:t>
      </w:r>
    </w:p>
    <w:p w14:paraId="6246D8BE">
      <w:pPr>
        <w:autoSpaceDE w:val="0"/>
        <w:autoSpaceDN w:val="0"/>
        <w:adjustRightInd w:val="0"/>
        <w:spacing w:line="554" w:lineRule="exact"/>
        <w:ind w:firstLine="643" w:firstLineChars="200"/>
        <w:jc w:val="left"/>
        <w:outlineLvl w:val="2"/>
        <w:rPr>
          <w:rFonts w:ascii="仿宋" w:hAnsi="仿宋" w:eastAsia="仿宋" w:cs="仿宋"/>
          <w:kern w:val="0"/>
          <w:sz w:val="32"/>
          <w:szCs w:val="32"/>
          <w:lang w:val="zh-CN"/>
        </w:rPr>
      </w:pPr>
      <w:r>
        <w:rPr>
          <w:rFonts w:hint="eastAsia" w:ascii="仿宋" w:hAnsi="仿宋" w:eastAsia="仿宋" w:cs="仿宋"/>
          <w:b/>
          <w:sz w:val="32"/>
          <w:szCs w:val="32"/>
          <w:lang w:val="zh-CN"/>
        </w:rPr>
        <w:t>（三）人员概况。</w:t>
      </w:r>
    </w:p>
    <w:p w14:paraId="77E7CB9C">
      <w:pPr>
        <w:spacing w:line="554" w:lineRule="exact"/>
        <w:ind w:firstLine="800" w:firstLineChars="250"/>
        <w:jc w:val="left"/>
        <w:rPr>
          <w:rFonts w:ascii="仿宋" w:hAnsi="仿宋" w:eastAsia="仿宋"/>
          <w:sz w:val="32"/>
          <w:szCs w:val="32"/>
        </w:rPr>
      </w:pPr>
      <w:r>
        <w:rPr>
          <w:rFonts w:hint="eastAsia" w:ascii="仿宋" w:hAnsi="仿宋" w:eastAsia="仿宋"/>
          <w:sz w:val="32"/>
          <w:szCs w:val="32"/>
        </w:rPr>
        <w:t>2023年12月末，海龙凯歌文化旅游产业园区实有人数11，其中：在职11人(备注：行政编制6人、事业编制5人）</w:t>
      </w:r>
    </w:p>
    <w:p w14:paraId="402FE878">
      <w:pPr>
        <w:pStyle w:val="6"/>
        <w:spacing w:line="554" w:lineRule="exact"/>
        <w:ind w:firstLine="643" w:firstLineChars="200"/>
        <w:jc w:val="left"/>
        <w:rPr>
          <w:rFonts w:ascii="仿宋" w:hAnsi="仿宋" w:eastAsia="仿宋" w:cs="仿宋"/>
        </w:rPr>
      </w:pPr>
      <w:r>
        <w:rPr>
          <w:rFonts w:hint="eastAsia" w:ascii="仿宋" w:hAnsi="仿宋" w:eastAsia="仿宋" w:cs="仿宋"/>
        </w:rPr>
        <w:t>二、部门财政资金收支情况</w:t>
      </w:r>
    </w:p>
    <w:p w14:paraId="2360830D">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（一）部门财政资金收入情况。</w:t>
      </w:r>
    </w:p>
    <w:p w14:paraId="1807E420">
      <w:pPr>
        <w:spacing w:line="554" w:lineRule="exact"/>
        <w:ind w:firstLine="960" w:firstLineChars="300"/>
        <w:jc w:val="left"/>
        <w:rPr>
          <w:rFonts w:ascii="仿宋" w:hAnsi="仿宋" w:eastAsia="仿宋" w:cs="仿宋"/>
          <w:sz w:val="32"/>
          <w:szCs w:val="32"/>
        </w:rPr>
      </w:pPr>
      <w:r>
        <w:rPr>
          <w:rFonts w:hint="eastAsia" w:ascii="仿宋" w:hAnsi="仿宋" w:eastAsia="仿宋" w:cs="仿宋"/>
          <w:sz w:val="32"/>
          <w:szCs w:val="32"/>
        </w:rPr>
        <w:t>2023年本年收入合计375.08万元，上年财政拨款结转结余0万元，其中：一般公共预算财政拨款收入375.08万元，占100%。</w:t>
      </w:r>
    </w:p>
    <w:p w14:paraId="457F43C9">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（二）部门财政资金支出情况。</w:t>
      </w:r>
    </w:p>
    <w:p w14:paraId="761331AE">
      <w:pPr>
        <w:spacing w:line="554" w:lineRule="exact"/>
        <w:ind w:firstLine="640" w:firstLineChars="200"/>
        <w:jc w:val="left"/>
        <w:rPr>
          <w:rFonts w:ascii="仿宋_GB2312" w:hAnsi="仿宋_GB2312" w:eastAsia="仿宋_GB2312" w:cs="仿宋_GB2312"/>
          <w:color w:val="000000"/>
          <w:sz w:val="32"/>
          <w:szCs w:val="32"/>
        </w:rPr>
      </w:pPr>
      <w:r>
        <w:rPr>
          <w:rFonts w:hint="eastAsia" w:ascii="仿宋" w:hAnsi="仿宋" w:eastAsia="仿宋"/>
          <w:sz w:val="32"/>
          <w:szCs w:val="32"/>
        </w:rPr>
        <w:t>2023年本年支出合计375.08万元，其中：基本支出189.46万元，占51</w:t>
      </w:r>
      <w:r>
        <w:rPr>
          <w:rFonts w:ascii="仿宋" w:hAnsi="仿宋" w:eastAsia="仿宋"/>
          <w:sz w:val="32"/>
          <w:szCs w:val="32"/>
        </w:rPr>
        <w:t>%</w:t>
      </w:r>
      <w:r>
        <w:rPr>
          <w:rFonts w:hint="eastAsia" w:ascii="仿宋" w:hAnsi="仿宋" w:eastAsia="仿宋"/>
          <w:sz w:val="32"/>
          <w:szCs w:val="32"/>
        </w:rPr>
        <w:t>；项目支出185.62万元，占49</w:t>
      </w:r>
      <w:r>
        <w:rPr>
          <w:rFonts w:ascii="仿宋" w:hAnsi="仿宋" w:eastAsia="仿宋"/>
          <w:sz w:val="32"/>
          <w:szCs w:val="32"/>
        </w:rPr>
        <w:t>%</w:t>
      </w:r>
      <w:r>
        <w:rPr>
          <w:rFonts w:hint="eastAsia" w:ascii="仿宋_GB2312" w:hAnsi="仿宋_GB2312" w:eastAsia="仿宋_GB2312" w:cs="仿宋_GB2312"/>
          <w:color w:val="000000"/>
          <w:sz w:val="32"/>
          <w:szCs w:val="32"/>
        </w:rPr>
        <w:t>。</w:t>
      </w:r>
    </w:p>
    <w:p w14:paraId="1B4E2D7C">
      <w:pPr>
        <w:numPr>
          <w:ilvl w:val="0"/>
          <w:numId w:val="4"/>
        </w:num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ascii="仿宋" w:hAnsi="仿宋" w:eastAsia="仿宋"/>
          <w:b/>
          <w:sz w:val="32"/>
          <w:szCs w:val="32"/>
          <w:lang w:val="zh-CN"/>
        </w:rPr>
        <w:t>部门预算绩效分析</w:t>
      </w:r>
    </w:p>
    <w:p w14:paraId="5168F6FC">
      <w:pPr>
        <w:autoSpaceDE w:val="0"/>
        <w:autoSpaceDN w:val="0"/>
        <w:adjustRightInd w:val="0"/>
        <w:spacing w:line="554" w:lineRule="exact"/>
        <w:ind w:firstLine="643" w:firstLineChars="200"/>
        <w:jc w:val="left"/>
        <w:outlineLvl w:val="2"/>
        <w:rPr>
          <w:rFonts w:ascii="仿宋" w:hAnsi="仿宋" w:eastAsia="仿宋"/>
          <w:b/>
          <w:sz w:val="32"/>
          <w:szCs w:val="32"/>
          <w:lang w:val="zh-CN"/>
        </w:rPr>
      </w:pPr>
      <w:r>
        <w:rPr>
          <w:rFonts w:ascii="仿宋" w:hAnsi="仿宋" w:eastAsia="仿宋"/>
          <w:b/>
          <w:sz w:val="32"/>
          <w:szCs w:val="32"/>
          <w:lang w:val="zh-CN"/>
        </w:rPr>
        <w:t>（一）</w:t>
      </w:r>
      <w:r>
        <w:rPr>
          <w:rFonts w:hint="eastAsia" w:ascii="仿宋" w:hAnsi="仿宋" w:eastAsia="仿宋"/>
          <w:b/>
          <w:sz w:val="32"/>
          <w:szCs w:val="32"/>
          <w:lang w:val="zh-CN"/>
        </w:rPr>
        <w:t>部门预算</w:t>
      </w:r>
      <w:r>
        <w:rPr>
          <w:rFonts w:ascii="仿宋" w:hAnsi="仿宋" w:eastAsia="仿宋"/>
          <w:b/>
          <w:sz w:val="32"/>
          <w:szCs w:val="32"/>
          <w:lang w:val="zh-CN"/>
        </w:rPr>
        <w:t>总体绩效分析</w:t>
      </w:r>
    </w:p>
    <w:p w14:paraId="0CF87863">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1.履职效能</w:t>
      </w:r>
    </w:p>
    <w:p w14:paraId="615AACEF">
      <w:pPr>
        <w:spacing w:line="554" w:lineRule="exact"/>
        <w:ind w:left="210" w:leftChars="100" w:firstLine="800" w:firstLineChars="250"/>
        <w:jc w:val="left"/>
        <w:rPr>
          <w:rFonts w:ascii="仿宋" w:hAnsi="仿宋" w:eastAsia="仿宋" w:cs="仿宋"/>
          <w:sz w:val="32"/>
          <w:szCs w:val="32"/>
        </w:rPr>
      </w:pPr>
      <w:r>
        <w:rPr>
          <w:rFonts w:hint="eastAsia" w:ascii="仿宋" w:hAnsi="仿宋" w:eastAsia="仿宋" w:cs="仿宋"/>
          <w:sz w:val="32"/>
          <w:szCs w:val="32"/>
        </w:rPr>
        <w:t>2023年，在区委、区政府的坚强领导下海龙凯歌园区</w:t>
      </w:r>
      <w:r>
        <w:rPr>
          <w:rFonts w:hint="eastAsia" w:ascii="仿宋" w:hAnsi="仿宋" w:eastAsia="仿宋"/>
          <w:sz w:val="32"/>
          <w:szCs w:val="32"/>
        </w:rPr>
        <w:t>贯彻党的路线、方针、政策和上级党委的决议、指示，全面推进党的政治建设、思想建设、组织建设、作风建设、纪律建设，把制度建设贯穿其中;研究园区内重大经济社会发展问题;负责园区党的组织、思想、党风廉政、纪律检查、意识形态工作和领导班子建设;负责园区宣传和精神文明建设工作;负责园区机构编制、干部人事管理工作;负责园区工会、共青团、妇联等群团工作;完成区委交办的其他任务。</w:t>
      </w:r>
      <w:r>
        <w:rPr>
          <w:rFonts w:ascii="仿宋" w:hAnsi="仿宋" w:eastAsia="仿宋" w:cs="仿宋"/>
          <w:sz w:val="32"/>
          <w:szCs w:val="32"/>
        </w:rPr>
        <w:t>全年人员经费支出148.5</w:t>
      </w:r>
      <w:r>
        <w:rPr>
          <w:rFonts w:hint="eastAsia" w:ascii="仿宋" w:hAnsi="仿宋" w:eastAsia="仿宋" w:cs="仿宋"/>
          <w:sz w:val="32"/>
          <w:szCs w:val="32"/>
        </w:rPr>
        <w:t>万元，每月按时发放工资、津贴补贴、缴纳住房公积金和基本养老保险、医保金等社会保险缴费,缴纳覆盖率和足额率均达到100%；公用经费支出4</w:t>
      </w:r>
      <w:r>
        <w:rPr>
          <w:rFonts w:ascii="仿宋" w:hAnsi="仿宋" w:eastAsia="仿宋" w:cs="仿宋"/>
          <w:sz w:val="32"/>
          <w:szCs w:val="32"/>
        </w:rPr>
        <w:t>0.97</w:t>
      </w:r>
      <w:r>
        <w:rPr>
          <w:rFonts w:hint="eastAsia" w:ascii="仿宋" w:hAnsi="仿宋" w:eastAsia="仿宋" w:cs="仿宋"/>
          <w:sz w:val="32"/>
          <w:szCs w:val="32"/>
        </w:rPr>
        <w:t>万元，及时支付履行职能所需的日常开支，保障机关的正常运行，运转保障率达到100%；项目支出</w:t>
      </w:r>
      <w:r>
        <w:rPr>
          <w:rFonts w:ascii="仿宋" w:hAnsi="仿宋" w:eastAsia="仿宋" w:cs="仿宋"/>
          <w:sz w:val="32"/>
          <w:szCs w:val="32"/>
        </w:rPr>
        <w:t>185.62</w:t>
      </w:r>
      <w:r>
        <w:rPr>
          <w:rFonts w:hint="eastAsia" w:ascii="仿宋" w:hAnsi="仿宋" w:eastAsia="仿宋" w:cs="仿宋"/>
          <w:sz w:val="32"/>
          <w:szCs w:val="32"/>
        </w:rPr>
        <w:t>万元，保障了园区各个项目的顺利实施，促进了全镇社会经济发展，人民群众生活水平及满意度进一步的提升。</w:t>
      </w:r>
    </w:p>
    <w:p w14:paraId="0F8930E3">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2.预算管理</w:t>
      </w:r>
    </w:p>
    <w:p w14:paraId="426EACED">
      <w:pPr>
        <w:adjustRightInd w:val="0"/>
        <w:snapToGrid w:val="0"/>
        <w:spacing w:line="554" w:lineRule="exact"/>
        <w:ind w:firstLine="640" w:firstLineChars="200"/>
        <w:contextualSpacing/>
        <w:jc w:val="left"/>
        <w:rPr>
          <w:rFonts w:ascii="楷体_GB2312" w:hAnsi="楷体_GB2312" w:eastAsia="楷体_GB2312" w:cs="楷体_GB2312"/>
          <w:color w:val="0000FF"/>
          <w:kern w:val="0"/>
          <w:sz w:val="32"/>
          <w:szCs w:val="32"/>
          <w:shd w:val="clear" w:color="auto" w:fill="FFFFFF"/>
          <w:lang w:val="zh-CN"/>
        </w:rPr>
      </w:pPr>
      <w:r>
        <w:rPr>
          <w:rFonts w:hint="eastAsia" w:ascii="仿宋" w:hAnsi="仿宋" w:eastAsia="仿宋" w:cs="仿宋"/>
          <w:sz w:val="32"/>
          <w:szCs w:val="32"/>
          <w:lang w:val="zh-CN"/>
        </w:rPr>
        <w:t>海龙凯歌园区</w:t>
      </w:r>
      <w:r>
        <w:rPr>
          <w:rFonts w:hint="eastAsia" w:ascii="仿宋" w:hAnsi="仿宋" w:eastAsia="仿宋" w:cs="仿宋"/>
          <w:sz w:val="32"/>
          <w:szCs w:val="32"/>
        </w:rPr>
        <w:t>严格按照</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和区财政局2023年部门预算编制口径, 结合年度工作任务安排编制预算。2023年收入总计</w:t>
      </w:r>
      <w:r>
        <w:rPr>
          <w:rFonts w:ascii="仿宋" w:hAnsi="仿宋" w:eastAsia="仿宋" w:cs="仿宋"/>
          <w:sz w:val="32"/>
          <w:szCs w:val="32"/>
        </w:rPr>
        <w:t>375.08</w:t>
      </w:r>
      <w:r>
        <w:rPr>
          <w:rFonts w:hint="eastAsia" w:ascii="仿宋" w:hAnsi="仿宋" w:eastAsia="仿宋" w:cs="仿宋"/>
          <w:sz w:val="32"/>
          <w:szCs w:val="32"/>
        </w:rPr>
        <w:t>万元，完成全年预算100%，年末无结转结余，</w:t>
      </w:r>
      <w:r>
        <w:rPr>
          <w:rFonts w:ascii="仿宋" w:hAnsi="仿宋" w:eastAsia="仿宋" w:cs="仿宋"/>
          <w:sz w:val="32"/>
          <w:szCs w:val="32"/>
        </w:rPr>
        <w:t xml:space="preserve"> 一般性支出375.08</w:t>
      </w:r>
      <w:r>
        <w:rPr>
          <w:rFonts w:hint="eastAsia" w:ascii="仿宋" w:hAnsi="仿宋" w:eastAsia="仿宋" w:cs="仿宋"/>
          <w:sz w:val="32"/>
          <w:szCs w:val="32"/>
        </w:rPr>
        <w:t>万元，支出控制率100%。</w:t>
      </w:r>
    </w:p>
    <w:p w14:paraId="2BA0D85B">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3.财务管理</w:t>
      </w:r>
    </w:p>
    <w:p w14:paraId="1BEEC58F">
      <w:pPr>
        <w:adjustRightInd w:val="0"/>
        <w:snapToGrid w:val="0"/>
        <w:spacing w:line="554" w:lineRule="exact"/>
        <w:ind w:firstLine="640" w:firstLineChars="200"/>
        <w:contextualSpacing/>
        <w:jc w:val="left"/>
        <w:rPr>
          <w:rFonts w:ascii="仿宋" w:hAnsi="仿宋" w:eastAsia="仿宋" w:cs="仿宋"/>
          <w:sz w:val="32"/>
          <w:szCs w:val="32"/>
        </w:rPr>
      </w:pPr>
      <w:r>
        <w:rPr>
          <w:rFonts w:ascii="仿宋" w:hAnsi="仿宋" w:eastAsia="仿宋" w:cs="仿宋"/>
          <w:sz w:val="32"/>
          <w:szCs w:val="32"/>
        </w:rPr>
        <w:t>2023年所有资金实行专款专用。项目支出均有相关的授权审批，资金拨付严格审批程序，使用规范，会计核算结果真实、准确。</w:t>
      </w:r>
    </w:p>
    <w:p w14:paraId="5955268C">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4.资产管理</w:t>
      </w:r>
    </w:p>
    <w:p w14:paraId="76F69C69">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lang w:val="zh-CN"/>
        </w:rPr>
        <w:t>2023年，海龙凯歌园区严格按照有关规定管理固定资产。资产管理工作程序规范，会计核算结果真实、</w:t>
      </w:r>
      <w:r>
        <w:rPr>
          <w:rFonts w:ascii="仿宋" w:hAnsi="仿宋" w:eastAsia="仿宋" w:cs="仿宋"/>
          <w:sz w:val="32"/>
          <w:szCs w:val="32"/>
        </w:rPr>
        <w:t>准确。</w:t>
      </w:r>
      <w:r>
        <w:rPr>
          <w:rFonts w:hint="eastAsia" w:ascii="仿宋" w:hAnsi="仿宋" w:eastAsia="仿宋" w:cs="仿宋"/>
          <w:sz w:val="32"/>
          <w:szCs w:val="32"/>
        </w:rPr>
        <w:t>资产配置合理、保管完善，并按要求进行资产盘点。</w:t>
      </w:r>
    </w:p>
    <w:p w14:paraId="65180922">
      <w:pPr>
        <w:autoSpaceDE w:val="0"/>
        <w:autoSpaceDN w:val="0"/>
        <w:adjustRightInd w:val="0"/>
        <w:spacing w:line="554" w:lineRule="exact"/>
        <w:ind w:firstLine="964" w:firstLineChars="300"/>
        <w:jc w:val="left"/>
        <w:outlineLvl w:val="2"/>
        <w:rPr>
          <w:rFonts w:ascii="仿宋" w:hAnsi="仿宋" w:eastAsia="仿宋"/>
          <w:b/>
          <w:sz w:val="32"/>
          <w:szCs w:val="32"/>
          <w:lang w:val="zh-CN"/>
        </w:rPr>
      </w:pPr>
      <w:r>
        <w:rPr>
          <w:rFonts w:hint="eastAsia" w:ascii="仿宋" w:hAnsi="仿宋" w:eastAsia="仿宋"/>
          <w:b/>
          <w:sz w:val="32"/>
          <w:szCs w:val="32"/>
          <w:lang w:val="zh-CN"/>
        </w:rPr>
        <w:t>5.采购管理</w:t>
      </w:r>
    </w:p>
    <w:p w14:paraId="3DD39D15">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仿宋" w:hAnsi="仿宋" w:eastAsia="仿宋" w:cs="仿宋"/>
          <w:sz w:val="32"/>
          <w:szCs w:val="32"/>
          <w:lang w:val="zh-CN"/>
        </w:rPr>
        <w:t>海龙凯歌园区围绕支持中小企业发展，2023年度政府采购支出总额0万元，授予中小企业合同金额0万元，占政府采购支出总额的100%。围绕支持中小企业发展、采购执行率进行绩效分析</w:t>
      </w:r>
      <w:r>
        <w:rPr>
          <w:rFonts w:hint="eastAsia" w:ascii="仿宋" w:hAnsi="仿宋" w:eastAsia="仿宋" w:cs="仿宋"/>
          <w:sz w:val="32"/>
          <w:szCs w:val="32"/>
        </w:rPr>
        <w:t>。</w:t>
      </w:r>
    </w:p>
    <w:p w14:paraId="11E8A4FE">
      <w:pPr>
        <w:adjustRightInd w:val="0"/>
        <w:snapToGrid w:val="0"/>
        <w:spacing w:line="554" w:lineRule="exact"/>
        <w:ind w:firstLine="643" w:firstLineChars="200"/>
        <w:contextualSpacing/>
        <w:jc w:val="left"/>
        <w:rPr>
          <w:rFonts w:eastAsia="仿宋_GB2312"/>
          <w:sz w:val="32"/>
          <w:szCs w:val="32"/>
        </w:rPr>
      </w:pPr>
      <w:r>
        <w:rPr>
          <w:rFonts w:eastAsia="楷体_GB2312"/>
          <w:b/>
          <w:bCs/>
          <w:kern w:val="0"/>
          <w:sz w:val="32"/>
          <w:szCs w:val="32"/>
          <w:shd w:val="clear" w:color="auto" w:fill="FFFFFF"/>
          <w:lang w:val="zh-CN"/>
        </w:rPr>
        <w:t>（二）部门预算项目绩效分析</w:t>
      </w:r>
    </w:p>
    <w:p w14:paraId="7CB5C384">
      <w:pPr>
        <w:adjustRightInd w:val="0"/>
        <w:snapToGrid w:val="0"/>
        <w:spacing w:line="554" w:lineRule="exact"/>
        <w:ind w:firstLine="640" w:firstLineChars="200"/>
        <w:contextualSpacing/>
        <w:jc w:val="left"/>
        <w:rPr>
          <w:rFonts w:ascii="仿宋" w:hAnsi="仿宋" w:eastAsia="仿宋" w:cs="仿宋"/>
          <w:sz w:val="32"/>
          <w:szCs w:val="32"/>
          <w:lang w:val="zh-CN"/>
        </w:rPr>
      </w:pPr>
      <w:r>
        <w:rPr>
          <w:rFonts w:hint="eastAsia" w:ascii="仿宋" w:hAnsi="仿宋" w:eastAsia="仿宋" w:cs="仿宋"/>
          <w:sz w:val="32"/>
          <w:szCs w:val="32"/>
          <w:lang w:val="zh-CN"/>
        </w:rPr>
        <w:t>常年项目绩效分析。该类项目总数 5个，涉及预算总金额185.62万元，1—12月预算执行总体进度为 100 %，其中：预算结余率大于10%的项目共计 0个。</w:t>
      </w:r>
    </w:p>
    <w:p w14:paraId="1F7C66B5">
      <w:pPr>
        <w:adjustRightInd w:val="0"/>
        <w:snapToGrid w:val="0"/>
        <w:spacing w:line="554" w:lineRule="exact"/>
        <w:ind w:firstLine="640" w:firstLineChars="200"/>
        <w:contextualSpacing/>
        <w:jc w:val="left"/>
        <w:rPr>
          <w:rFonts w:ascii="仿宋" w:hAnsi="仿宋" w:eastAsia="仿宋" w:cs="仿宋"/>
          <w:sz w:val="32"/>
          <w:szCs w:val="32"/>
        </w:rPr>
      </w:pPr>
      <w:r>
        <w:rPr>
          <w:rFonts w:hint="eastAsia" w:ascii="楷体_GB2312" w:hAnsi="楷体_GB2312" w:eastAsia="楷体_GB2312" w:cs="楷体_GB2312"/>
          <w:kern w:val="0"/>
          <w:sz w:val="32"/>
          <w:szCs w:val="32"/>
          <w:shd w:val="clear" w:color="auto" w:fill="FFFFFF"/>
        </w:rPr>
        <w:t>1.</w:t>
      </w:r>
      <w:r>
        <w:rPr>
          <w:rFonts w:hint="eastAsia" w:ascii="楷体_GB2312" w:hAnsi="楷体_GB2312" w:eastAsia="楷体_GB2312" w:cs="楷体_GB2312"/>
          <w:kern w:val="0"/>
          <w:sz w:val="32"/>
          <w:szCs w:val="32"/>
          <w:shd w:val="clear" w:color="auto" w:fill="FFFFFF"/>
          <w:lang w:val="zh-CN"/>
        </w:rPr>
        <w:t>项目决策：</w:t>
      </w:r>
      <w:r>
        <w:rPr>
          <w:rFonts w:hint="eastAsia" w:ascii="仿宋" w:hAnsi="仿宋" w:eastAsia="仿宋" w:cs="仿宋"/>
          <w:sz w:val="32"/>
          <w:szCs w:val="32"/>
        </w:rPr>
        <w:t>2023年，根据区财政要求，将部门整体的绩效目标细化分解为具体量化的项目，设立了项目绩效目标，目标明确、细化、量化，与部门年度的任务数或计划数相对应，与本年度部门预算资金相匹配</w:t>
      </w:r>
      <w:r>
        <w:rPr>
          <w:rFonts w:ascii="仿宋" w:hAnsi="仿宋" w:eastAsia="仿宋" w:cs="仿宋"/>
          <w:sz w:val="32"/>
          <w:szCs w:val="32"/>
        </w:rPr>
        <w:t>。</w:t>
      </w:r>
    </w:p>
    <w:p w14:paraId="29768064">
      <w:pPr>
        <w:adjustRightInd w:val="0"/>
        <w:snapToGrid w:val="0"/>
        <w:spacing w:line="554" w:lineRule="exact"/>
        <w:ind w:firstLine="640" w:firstLineChars="200"/>
        <w:contextualSpacing/>
        <w:jc w:val="left"/>
        <w:rPr>
          <w:szCs w:val="32"/>
        </w:rPr>
      </w:pPr>
      <w:r>
        <w:rPr>
          <w:rFonts w:hint="eastAsia" w:ascii="楷体_GB2312" w:hAnsi="楷体_GB2312" w:eastAsia="楷体_GB2312" w:cs="楷体_GB2312"/>
          <w:kern w:val="0"/>
          <w:sz w:val="32"/>
          <w:szCs w:val="32"/>
          <w:shd w:val="clear" w:color="auto" w:fill="FFFFFF"/>
        </w:rPr>
        <w:t>2.项目执行：</w:t>
      </w:r>
      <w:r>
        <w:rPr>
          <w:rFonts w:hint="eastAsia" w:ascii="仿宋" w:hAnsi="仿宋" w:eastAsia="仿宋" w:cs="仿宋"/>
          <w:sz w:val="32"/>
          <w:szCs w:val="32"/>
        </w:rPr>
        <w:t>2023年，海龙凯歌园区各个项目经费严格按照年初设定的目标方向管理和使用，途中未进行项目预算的调整；所有项目支出符合国家财经法规和财务管理制度规定以及有关专项资金管理办法的规定；资金的拨付有完整的审批程序和手续，不存在截留、挤占、挪用、虚列支出等情况</w:t>
      </w:r>
      <w:r>
        <w:rPr>
          <w:szCs w:val="32"/>
        </w:rPr>
        <w:t>。</w:t>
      </w:r>
    </w:p>
    <w:p w14:paraId="4C897DD4">
      <w:pPr>
        <w:adjustRightInd w:val="0"/>
        <w:snapToGrid w:val="0"/>
        <w:spacing w:line="554" w:lineRule="exact"/>
        <w:ind w:firstLine="640" w:firstLineChars="200"/>
        <w:contextualSpacing/>
        <w:jc w:val="left"/>
        <w:rPr>
          <w:rFonts w:eastAsia="楷体_GB2312"/>
          <w:color w:val="0000FF"/>
          <w:sz w:val="32"/>
          <w:szCs w:val="32"/>
          <w:lang w:bidi="ar"/>
        </w:rPr>
      </w:pPr>
      <w:r>
        <w:rPr>
          <w:rFonts w:hint="eastAsia"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目标实现：</w:t>
      </w:r>
      <w:r>
        <w:rPr>
          <w:rFonts w:hint="eastAsia" w:ascii="仿宋" w:hAnsi="仿宋" w:eastAsia="仿宋" w:cs="仿宋"/>
          <w:sz w:val="32"/>
          <w:szCs w:val="32"/>
        </w:rPr>
        <w:t>海龙凯歌园区</w:t>
      </w:r>
      <w:r>
        <w:rPr>
          <w:rFonts w:ascii="仿宋" w:hAnsi="仿宋" w:eastAsia="仿宋" w:cs="仿宋"/>
          <w:sz w:val="32"/>
          <w:szCs w:val="32"/>
        </w:rPr>
        <w:t>2023年各个项目都按既定目标完成，未出现偏离，达到了预定效果</w:t>
      </w:r>
      <w:r>
        <w:rPr>
          <w:szCs w:val="32"/>
        </w:rPr>
        <w:t>。</w:t>
      </w:r>
    </w:p>
    <w:p w14:paraId="2354E645">
      <w:pPr>
        <w:widowControl/>
        <w:adjustRightInd w:val="0"/>
        <w:snapToGrid w:val="0"/>
        <w:spacing w:line="554"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）重点领域绩效分析</w:t>
      </w:r>
    </w:p>
    <w:p w14:paraId="6D842B16">
      <w:pPr>
        <w:widowControl/>
        <w:adjustRightInd w:val="0"/>
        <w:snapToGrid w:val="0"/>
        <w:spacing w:line="554" w:lineRule="exact"/>
        <w:ind w:firstLine="640" w:firstLineChars="200"/>
        <w:contextualSpacing/>
        <w:jc w:val="left"/>
        <w:rPr>
          <w:color w:val="000000"/>
          <w:kern w:val="0"/>
          <w:szCs w:val="32"/>
          <w:shd w:val="clear" w:color="auto" w:fill="FFFFFF"/>
        </w:rPr>
      </w:pPr>
      <w:r>
        <w:rPr>
          <w:rFonts w:hint="eastAsia" w:ascii="仿宋" w:hAnsi="仿宋" w:eastAsia="仿宋" w:cs="仿宋"/>
          <w:sz w:val="32"/>
          <w:szCs w:val="32"/>
        </w:rPr>
        <w:t>海龙凯歌园区</w:t>
      </w:r>
      <w:r>
        <w:rPr>
          <w:rFonts w:ascii="仿宋" w:hAnsi="仿宋" w:eastAsia="仿宋" w:cs="仿宋"/>
          <w:sz w:val="32"/>
          <w:szCs w:val="32"/>
        </w:rPr>
        <w:t>2023年度</w:t>
      </w:r>
      <w:r>
        <w:rPr>
          <w:rFonts w:hint="eastAsia" w:ascii="仿宋" w:hAnsi="仿宋" w:eastAsia="仿宋" w:cs="仿宋"/>
          <w:sz w:val="32"/>
          <w:szCs w:val="32"/>
        </w:rPr>
        <w:t>无</w:t>
      </w:r>
      <w:r>
        <w:rPr>
          <w:rFonts w:ascii="仿宋" w:hAnsi="仿宋" w:eastAsia="仿宋" w:cs="仿宋"/>
          <w:sz w:val="32"/>
          <w:szCs w:val="32"/>
        </w:rPr>
        <w:t>涉及国有资本、行政事业性国有资产、债券资金、政府采购和政府购买服务等重点领域</w:t>
      </w:r>
      <w:r>
        <w:rPr>
          <w:szCs w:val="32"/>
        </w:rPr>
        <w:t>。</w:t>
      </w:r>
    </w:p>
    <w:p w14:paraId="234D4647">
      <w:pPr>
        <w:widowControl/>
        <w:adjustRightInd w:val="0"/>
        <w:snapToGrid w:val="0"/>
        <w:spacing w:line="554" w:lineRule="exact"/>
        <w:ind w:firstLine="643" w:firstLineChars="200"/>
        <w:contextualSpacing/>
        <w:jc w:val="left"/>
        <w:rPr>
          <w:rFonts w:ascii="仿宋" w:hAnsi="仿宋" w:eastAsia="仿宋" w:cs="仿宋"/>
          <w:b/>
          <w:sz w:val="32"/>
          <w:szCs w:val="32"/>
          <w:lang w:val="zh-CN"/>
        </w:rPr>
      </w:pPr>
      <w:r>
        <w:rPr>
          <w:rFonts w:hint="eastAsia" w:ascii="仿宋" w:hAnsi="仿宋" w:eastAsia="仿宋" w:cs="仿宋"/>
          <w:b/>
          <w:sz w:val="32"/>
          <w:szCs w:val="32"/>
          <w:lang w:val="zh-CN"/>
        </w:rPr>
        <w:t>（四）结果应用情况</w:t>
      </w:r>
    </w:p>
    <w:p w14:paraId="2696CCCF">
      <w:pPr>
        <w:snapToGrid w:val="0"/>
        <w:spacing w:before="120" w:after="120" w:line="554"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通过整体支出绩效自评，一是及时调整和优化本部门后续项目和以后年度预算支出的方向和结构，合理配置资源。二是完善项目管理办法，切实提高项目管理水平，建立激励与约束机制，强化评价结果在项目申报和预算编制中的有效应用。三是促进规范使用项目资金。</w:t>
      </w:r>
    </w:p>
    <w:p w14:paraId="1B793671">
      <w:pPr>
        <w:pStyle w:val="6"/>
        <w:spacing w:before="120" w:after="120" w:line="554" w:lineRule="exact"/>
        <w:ind w:firstLine="643" w:firstLineChars="200"/>
        <w:jc w:val="left"/>
        <w:rPr>
          <w:rFonts w:ascii="仿宋" w:hAnsi="仿宋" w:eastAsia="仿宋" w:cs="仿宋"/>
          <w:bCs w:val="0"/>
        </w:rPr>
      </w:pPr>
      <w:r>
        <w:rPr>
          <w:rFonts w:hint="eastAsia" w:ascii="仿宋" w:hAnsi="仿宋" w:eastAsia="仿宋" w:cs="仿宋"/>
          <w:bCs w:val="0"/>
        </w:rPr>
        <w:t>四、评价结论及建议</w:t>
      </w:r>
    </w:p>
    <w:p w14:paraId="1AE9A98B">
      <w:pPr>
        <w:autoSpaceDE w:val="0"/>
        <w:autoSpaceDN w:val="0"/>
        <w:adjustRightInd w:val="0"/>
        <w:spacing w:before="120" w:after="120"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（一）评价结论</w:t>
      </w:r>
    </w:p>
    <w:p w14:paraId="76BF6607">
      <w:pPr>
        <w:spacing w:line="554" w:lineRule="exact"/>
        <w:ind w:firstLine="640" w:firstLineChars="200"/>
        <w:jc w:val="left"/>
        <w:rPr>
          <w:rFonts w:ascii="仿宋" w:hAnsi="仿宋" w:eastAsia="仿宋" w:cs="仿宋"/>
          <w:sz w:val="32"/>
        </w:rPr>
      </w:pPr>
      <w:r>
        <w:rPr>
          <w:rFonts w:hint="eastAsia" w:ascii="仿宋" w:hAnsi="仿宋" w:eastAsia="仿宋" w:cs="仿宋"/>
          <w:sz w:val="32"/>
        </w:rPr>
        <w:t>2023年，我园区通过加强预算收支管理，不断建立健全内部管理制度，梳理内部管理流程，部门整体支出管理情况得到提升，较</w:t>
      </w:r>
      <w:r>
        <w:rPr>
          <w:rFonts w:hint="eastAsia" w:ascii="仿宋" w:hAnsi="仿宋" w:eastAsia="仿宋" w:cs="仿宋"/>
          <w:sz w:val="32"/>
          <w:lang w:eastAsia="zh-CN"/>
        </w:rPr>
        <w:t>好地完成</w:t>
      </w:r>
      <w:r>
        <w:rPr>
          <w:rFonts w:hint="eastAsia" w:ascii="仿宋" w:hAnsi="仿宋" w:eastAsia="仿宋" w:cs="仿宋"/>
          <w:sz w:val="32"/>
        </w:rPr>
        <w:t>了年度工作目标。根据部门整体支出绩效评价指标体系，对2022年整体支出开展绩效自评，自评得分90分（见附件1）。</w:t>
      </w:r>
    </w:p>
    <w:p w14:paraId="0847F59F">
      <w:pPr>
        <w:autoSpaceDE w:val="0"/>
        <w:autoSpaceDN w:val="0"/>
        <w:adjustRightInd w:val="0"/>
        <w:spacing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（二）存在问题</w:t>
      </w:r>
    </w:p>
    <w:p w14:paraId="5EE5EFF4">
      <w:pPr>
        <w:spacing w:line="554"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一是预算编制测算明确性、合理性有待提高，二是绩效目标动态监控不够。</w:t>
      </w:r>
    </w:p>
    <w:p w14:paraId="05DF3184">
      <w:pPr>
        <w:autoSpaceDE w:val="0"/>
        <w:autoSpaceDN w:val="0"/>
        <w:adjustRightInd w:val="0"/>
        <w:spacing w:line="554" w:lineRule="exact"/>
        <w:ind w:firstLine="643" w:firstLineChars="200"/>
        <w:jc w:val="left"/>
        <w:outlineLvl w:val="2"/>
        <w:rPr>
          <w:rFonts w:ascii="仿宋" w:hAnsi="仿宋" w:eastAsia="仿宋" w:cs="仿宋"/>
          <w:b/>
          <w:sz w:val="32"/>
          <w:szCs w:val="32"/>
          <w:lang w:val="zh-CN"/>
        </w:rPr>
      </w:pPr>
      <w:r>
        <w:rPr>
          <w:rFonts w:hint="eastAsia" w:ascii="仿宋" w:hAnsi="仿宋" w:eastAsia="仿宋" w:cs="仿宋"/>
          <w:b/>
          <w:sz w:val="32"/>
          <w:szCs w:val="32"/>
          <w:lang w:val="zh-CN"/>
        </w:rPr>
        <w:t>（三）改进建议</w:t>
      </w:r>
    </w:p>
    <w:p w14:paraId="25C3DD19">
      <w:pPr>
        <w:spacing w:line="554" w:lineRule="exact"/>
        <w:ind w:firstLine="640" w:firstLineChars="200"/>
        <w:jc w:val="left"/>
        <w:rPr>
          <w:rStyle w:val="31"/>
          <w:rFonts w:ascii="黑体" w:hAnsi="黑体" w:eastAsia="仿宋"/>
        </w:rPr>
      </w:pPr>
      <w:r>
        <w:rPr>
          <w:rFonts w:hint="eastAsia" w:ascii="仿宋" w:hAnsi="仿宋" w:eastAsia="仿宋" w:cs="仿宋"/>
          <w:color w:val="000000"/>
          <w:sz w:val="32"/>
          <w:szCs w:val="32"/>
        </w:rPr>
        <w:t>一是加强对部门职能的梳理明确各项具体工作职责。二是结合部门中长期规划和年度工作计划明确年度主要工作任务。三是加强项目开展进度的跟踪，开展项目绩效评价确保项目绩效目标的完成</w:t>
      </w:r>
      <w:r>
        <w:rPr>
          <w:rFonts w:hint="eastAsia" w:ascii="仿宋" w:hAnsi="仿宋" w:eastAsia="仿宋" w:cs="仿宋"/>
          <w:sz w:val="32"/>
          <w:szCs w:val="32"/>
        </w:rPr>
        <w:t>。</w:t>
      </w:r>
    </w:p>
    <w:p w14:paraId="048FF881">
      <w:pPr>
        <w:pStyle w:val="3"/>
        <w:ind w:left="0" w:leftChars="0" w:firstLine="0" w:firstLineChars="0"/>
        <w:rPr>
          <w:rStyle w:val="31"/>
          <w:rFonts w:ascii="黑体" w:hAnsi="黑体" w:eastAsia="黑体"/>
        </w:rPr>
      </w:pPr>
    </w:p>
    <w:p w14:paraId="01564136">
      <w:pPr>
        <w:pStyle w:val="3"/>
        <w:ind w:left="0" w:leftChars="0" w:firstLine="0" w:firstLineChars="0"/>
        <w:rPr>
          <w:rStyle w:val="31"/>
          <w:rFonts w:ascii="黑体" w:hAnsi="黑体" w:eastAsia="黑体"/>
        </w:rPr>
      </w:pPr>
    </w:p>
    <w:p w14:paraId="5E130478">
      <w:pPr>
        <w:pStyle w:val="3"/>
        <w:ind w:left="0" w:leftChars="0" w:firstLine="0" w:firstLineChars="0"/>
        <w:rPr>
          <w:rStyle w:val="31"/>
          <w:rFonts w:ascii="黑体" w:hAnsi="黑体" w:eastAsia="黑体"/>
        </w:rPr>
      </w:pPr>
    </w:p>
    <w:p w14:paraId="0A4145EA">
      <w:pPr>
        <w:pStyle w:val="3"/>
        <w:ind w:left="0" w:leftChars="0" w:firstLine="0" w:firstLineChars="0"/>
        <w:rPr>
          <w:rStyle w:val="31"/>
          <w:rFonts w:ascii="黑体" w:hAnsi="黑体" w:eastAsia="黑体"/>
        </w:rPr>
      </w:pPr>
    </w:p>
    <w:p w14:paraId="18A99F77">
      <w:pPr>
        <w:pStyle w:val="3"/>
        <w:ind w:left="0" w:leftChars="0" w:firstLine="0" w:firstLineChars="0"/>
        <w:rPr>
          <w:rStyle w:val="31"/>
          <w:rFonts w:ascii="黑体" w:hAnsi="黑体" w:eastAsia="黑体"/>
        </w:rPr>
      </w:pPr>
    </w:p>
    <w:p w14:paraId="0436F736">
      <w:pPr>
        <w:pStyle w:val="3"/>
        <w:ind w:left="0" w:leftChars="0" w:firstLine="0" w:firstLineChars="0"/>
        <w:rPr>
          <w:rStyle w:val="31"/>
          <w:rFonts w:ascii="黑体" w:hAnsi="黑体" w:eastAsia="黑体"/>
        </w:rPr>
      </w:pPr>
    </w:p>
    <w:p w14:paraId="4C626C72">
      <w:pPr>
        <w:pStyle w:val="3"/>
        <w:ind w:left="0" w:leftChars="0" w:firstLine="0" w:firstLineChars="0"/>
        <w:rPr>
          <w:rStyle w:val="31"/>
          <w:rFonts w:ascii="黑体" w:hAnsi="黑体" w:eastAsia="黑体"/>
        </w:rPr>
      </w:pPr>
    </w:p>
    <w:p w14:paraId="0DA9CEBD">
      <w:pPr>
        <w:pStyle w:val="3"/>
        <w:ind w:left="0" w:leftChars="0" w:firstLine="0" w:firstLineChars="0"/>
        <w:rPr>
          <w:rStyle w:val="31"/>
          <w:rFonts w:ascii="黑体" w:hAnsi="黑体" w:eastAsia="黑体"/>
        </w:rPr>
      </w:pPr>
    </w:p>
    <w:p w14:paraId="2FBB051A">
      <w:pPr>
        <w:pStyle w:val="3"/>
        <w:ind w:left="0" w:leftChars="0" w:firstLine="0" w:firstLineChars="0"/>
        <w:rPr>
          <w:rStyle w:val="31"/>
          <w:rFonts w:ascii="黑体" w:hAnsi="黑体" w:eastAsia="黑体"/>
        </w:rPr>
      </w:pPr>
    </w:p>
    <w:p w14:paraId="3517DEB1">
      <w:pPr>
        <w:pStyle w:val="3"/>
        <w:spacing w:before="93" w:line="560" w:lineRule="exact"/>
        <w:ind w:left="0" w:leftChars="0" w:firstLine="0" w:firstLineChars="0"/>
      </w:pPr>
    </w:p>
    <w:p w14:paraId="0DED7097">
      <w:pPr>
        <w:pStyle w:val="3"/>
        <w:spacing w:before="93" w:line="560" w:lineRule="exact"/>
        <w:ind w:left="0" w:leftChars="0" w:firstLine="0" w:firstLineChars="0"/>
      </w:pPr>
    </w:p>
    <w:p w14:paraId="3595CE56">
      <w:pPr>
        <w:pStyle w:val="3"/>
        <w:spacing w:before="93" w:line="560" w:lineRule="exact"/>
        <w:ind w:left="0" w:leftChars="0" w:firstLine="0" w:firstLineChars="0"/>
      </w:pPr>
    </w:p>
    <w:p w14:paraId="180E2C66">
      <w:pPr>
        <w:pStyle w:val="3"/>
        <w:spacing w:before="93" w:line="560" w:lineRule="exact"/>
        <w:ind w:left="0" w:leftChars="0" w:firstLine="0" w:firstLineChars="0"/>
      </w:pPr>
    </w:p>
    <w:p w14:paraId="6E72BD6D">
      <w:pPr>
        <w:pStyle w:val="3"/>
        <w:spacing w:before="93" w:line="560" w:lineRule="exact"/>
        <w:ind w:left="0" w:leftChars="0" w:firstLine="0" w:firstLineChars="0"/>
        <w:rPr>
          <w:rFonts w:hint="eastAsia"/>
        </w:rPr>
      </w:pPr>
    </w:p>
    <w:p w14:paraId="3822B858">
      <w:pPr>
        <w:pStyle w:val="3"/>
        <w:spacing w:before="93" w:line="560" w:lineRule="exact"/>
        <w:ind w:left="0" w:leftChars="0" w:firstLine="0" w:firstLineChars="0"/>
        <w:jc w:val="center"/>
      </w:pPr>
      <w:r>
        <w:rPr>
          <w:rFonts w:hint="eastAsia"/>
          <w:b/>
        </w:rPr>
        <w:t>2024年区级部门整体支出绩效评价指标体系</w:t>
      </w:r>
    </w:p>
    <w:tbl>
      <w:tblPr>
        <w:tblStyle w:val="18"/>
        <w:tblW w:w="5014" w:type="pct"/>
        <w:tblInd w:w="0" w:type="dxa"/>
        <w:tblLayout w:type="autofit"/>
        <w:tblCellMar>
          <w:top w:w="0" w:type="dxa"/>
          <w:left w:w="108" w:type="dxa"/>
          <w:bottom w:w="0" w:type="dxa"/>
          <w:right w:w="108" w:type="dxa"/>
        </w:tblCellMar>
      </w:tblPr>
      <w:tblGrid>
        <w:gridCol w:w="751"/>
        <w:gridCol w:w="770"/>
        <w:gridCol w:w="1075"/>
        <w:gridCol w:w="689"/>
        <w:gridCol w:w="1666"/>
        <w:gridCol w:w="3092"/>
        <w:gridCol w:w="800"/>
        <w:gridCol w:w="755"/>
      </w:tblGrid>
      <w:tr w14:paraId="2F81AF24">
        <w:tblPrEx>
          <w:tblCellMar>
            <w:top w:w="0" w:type="dxa"/>
            <w:left w:w="108" w:type="dxa"/>
            <w:bottom w:w="0" w:type="dxa"/>
            <w:right w:w="108" w:type="dxa"/>
          </w:tblCellMar>
        </w:tblPrEx>
        <w:trPr>
          <w:trHeight w:val="152" w:hRule="atLeast"/>
        </w:trPr>
        <w:tc>
          <w:tcPr>
            <w:tcW w:w="135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212B2D8">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绩效指标</w:t>
            </w:r>
          </w:p>
        </w:tc>
        <w:tc>
          <w:tcPr>
            <w:tcW w:w="3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18F163">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指标分值</w:t>
            </w:r>
          </w:p>
        </w:tc>
        <w:tc>
          <w:tcPr>
            <w:tcW w:w="8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F224F1">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指标解释</w:t>
            </w:r>
          </w:p>
        </w:tc>
        <w:tc>
          <w:tcPr>
            <w:tcW w:w="1611" w:type="pct"/>
            <w:vMerge w:val="restart"/>
            <w:tcBorders>
              <w:top w:val="single" w:color="auto" w:sz="4" w:space="0"/>
              <w:left w:val="nil"/>
              <w:bottom w:val="single" w:color="000000" w:sz="4" w:space="0"/>
              <w:right w:val="single" w:color="auto" w:sz="4" w:space="0"/>
            </w:tcBorders>
            <w:shd w:val="clear" w:color="auto" w:fill="auto"/>
            <w:vAlign w:val="center"/>
          </w:tcPr>
          <w:p w14:paraId="3D3CF6D5">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计分标准</w:t>
            </w:r>
          </w:p>
        </w:tc>
        <w:tc>
          <w:tcPr>
            <w:tcW w:w="417" w:type="pct"/>
            <w:vMerge w:val="restart"/>
            <w:tcBorders>
              <w:top w:val="single" w:color="auto" w:sz="4" w:space="0"/>
              <w:left w:val="nil"/>
              <w:bottom w:val="single" w:color="000000" w:sz="4" w:space="0"/>
              <w:right w:val="single" w:color="auto" w:sz="4" w:space="0"/>
            </w:tcBorders>
            <w:shd w:val="clear" w:color="auto" w:fill="auto"/>
            <w:vAlign w:val="center"/>
          </w:tcPr>
          <w:p w14:paraId="145251E1">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自评得分</w:t>
            </w:r>
          </w:p>
        </w:tc>
        <w:tc>
          <w:tcPr>
            <w:tcW w:w="393"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B9A4F6F">
            <w:pPr>
              <w:widowControl/>
              <w:spacing w:line="300" w:lineRule="exact"/>
              <w:jc w:val="center"/>
              <w:rPr>
                <w:rFonts w:ascii="宋体" w:hAnsi="宋体" w:cs="宋体"/>
                <w:b/>
                <w:bCs/>
                <w:kern w:val="0"/>
                <w:sz w:val="24"/>
              </w:rPr>
            </w:pPr>
            <w:r>
              <w:rPr>
                <w:rFonts w:hint="eastAsia" w:ascii="宋体" w:hAnsi="宋体" w:cs="宋体"/>
                <w:b/>
                <w:bCs/>
                <w:kern w:val="0"/>
                <w:sz w:val="16"/>
                <w:szCs w:val="16"/>
              </w:rPr>
              <w:t>备注</w:t>
            </w:r>
          </w:p>
        </w:tc>
      </w:tr>
      <w:tr w14:paraId="03FB238C">
        <w:tblPrEx>
          <w:tblCellMar>
            <w:top w:w="0" w:type="dxa"/>
            <w:left w:w="108" w:type="dxa"/>
            <w:bottom w:w="0" w:type="dxa"/>
            <w:right w:w="108" w:type="dxa"/>
          </w:tblCellMar>
        </w:tblPrEx>
        <w:trPr>
          <w:trHeight w:val="128" w:hRule="atLeast"/>
        </w:trPr>
        <w:tc>
          <w:tcPr>
            <w:tcW w:w="391" w:type="pct"/>
            <w:tcBorders>
              <w:top w:val="nil"/>
              <w:left w:val="single" w:color="auto" w:sz="4" w:space="0"/>
              <w:bottom w:val="single" w:color="auto" w:sz="4" w:space="0"/>
              <w:right w:val="single" w:color="auto" w:sz="4" w:space="0"/>
            </w:tcBorders>
            <w:shd w:val="clear" w:color="auto" w:fill="auto"/>
            <w:vAlign w:val="center"/>
          </w:tcPr>
          <w:p w14:paraId="277C473E">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一级指标</w:t>
            </w:r>
          </w:p>
        </w:tc>
        <w:tc>
          <w:tcPr>
            <w:tcW w:w="401" w:type="pct"/>
            <w:tcBorders>
              <w:top w:val="nil"/>
              <w:left w:val="nil"/>
              <w:bottom w:val="single" w:color="auto" w:sz="4" w:space="0"/>
              <w:right w:val="single" w:color="auto" w:sz="4" w:space="0"/>
            </w:tcBorders>
            <w:shd w:val="clear" w:color="auto" w:fill="auto"/>
            <w:vAlign w:val="center"/>
          </w:tcPr>
          <w:p w14:paraId="068D6CBB">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二级指标</w:t>
            </w:r>
          </w:p>
        </w:tc>
        <w:tc>
          <w:tcPr>
            <w:tcW w:w="559" w:type="pct"/>
            <w:tcBorders>
              <w:top w:val="nil"/>
              <w:left w:val="nil"/>
              <w:bottom w:val="single" w:color="auto" w:sz="4" w:space="0"/>
              <w:right w:val="single" w:color="auto" w:sz="4" w:space="0"/>
            </w:tcBorders>
            <w:shd w:val="clear" w:color="auto" w:fill="auto"/>
            <w:vAlign w:val="center"/>
          </w:tcPr>
          <w:p w14:paraId="4ECECDB7">
            <w:pPr>
              <w:widowControl/>
              <w:spacing w:line="300" w:lineRule="exact"/>
              <w:jc w:val="center"/>
              <w:rPr>
                <w:rFonts w:ascii="宋体" w:hAnsi="宋体" w:cs="宋体"/>
                <w:b/>
                <w:bCs/>
                <w:kern w:val="0"/>
                <w:sz w:val="16"/>
                <w:szCs w:val="16"/>
              </w:rPr>
            </w:pPr>
            <w:r>
              <w:rPr>
                <w:rFonts w:hint="eastAsia" w:ascii="宋体" w:hAnsi="宋体" w:cs="宋体"/>
                <w:b/>
                <w:bCs/>
                <w:kern w:val="0"/>
                <w:sz w:val="16"/>
                <w:szCs w:val="16"/>
              </w:rPr>
              <w:t>三级指标</w:t>
            </w:r>
          </w:p>
        </w:tc>
        <w:tc>
          <w:tcPr>
            <w:tcW w:w="359" w:type="pct"/>
            <w:vMerge w:val="continue"/>
            <w:tcBorders>
              <w:top w:val="single" w:color="auto" w:sz="4" w:space="0"/>
              <w:left w:val="single" w:color="auto" w:sz="4" w:space="0"/>
              <w:bottom w:val="single" w:color="auto" w:sz="4" w:space="0"/>
              <w:right w:val="single" w:color="auto" w:sz="4" w:space="0"/>
            </w:tcBorders>
            <w:vAlign w:val="center"/>
          </w:tcPr>
          <w:p w14:paraId="27ED2AA5">
            <w:pPr>
              <w:widowControl/>
              <w:spacing w:line="300" w:lineRule="exact"/>
              <w:jc w:val="left"/>
              <w:rPr>
                <w:rFonts w:ascii="宋体" w:hAnsi="宋体" w:cs="宋体"/>
                <w:b/>
                <w:bCs/>
                <w:kern w:val="0"/>
                <w:sz w:val="16"/>
                <w:szCs w:val="16"/>
              </w:rPr>
            </w:pPr>
          </w:p>
        </w:tc>
        <w:tc>
          <w:tcPr>
            <w:tcW w:w="868" w:type="pct"/>
            <w:vMerge w:val="continue"/>
            <w:tcBorders>
              <w:top w:val="single" w:color="auto" w:sz="4" w:space="0"/>
              <w:left w:val="single" w:color="auto" w:sz="4" w:space="0"/>
              <w:bottom w:val="single" w:color="auto" w:sz="4" w:space="0"/>
              <w:right w:val="single" w:color="auto" w:sz="4" w:space="0"/>
            </w:tcBorders>
            <w:vAlign w:val="center"/>
          </w:tcPr>
          <w:p w14:paraId="44B70A67">
            <w:pPr>
              <w:widowControl/>
              <w:spacing w:line="300" w:lineRule="exact"/>
              <w:jc w:val="left"/>
              <w:rPr>
                <w:rFonts w:ascii="宋体" w:hAnsi="宋体" w:cs="宋体"/>
                <w:b/>
                <w:bCs/>
                <w:kern w:val="0"/>
                <w:sz w:val="16"/>
                <w:szCs w:val="16"/>
              </w:rPr>
            </w:pPr>
          </w:p>
        </w:tc>
        <w:tc>
          <w:tcPr>
            <w:tcW w:w="1611" w:type="pct"/>
            <w:vMerge w:val="continue"/>
            <w:tcBorders>
              <w:top w:val="single" w:color="auto" w:sz="4" w:space="0"/>
              <w:left w:val="nil"/>
              <w:bottom w:val="single" w:color="000000" w:sz="4" w:space="0"/>
              <w:right w:val="single" w:color="auto" w:sz="4" w:space="0"/>
            </w:tcBorders>
            <w:vAlign w:val="center"/>
          </w:tcPr>
          <w:p w14:paraId="570C488B">
            <w:pPr>
              <w:widowControl/>
              <w:spacing w:line="300" w:lineRule="exact"/>
              <w:jc w:val="left"/>
              <w:rPr>
                <w:rFonts w:ascii="宋体" w:hAnsi="宋体" w:cs="宋体"/>
                <w:b/>
                <w:bCs/>
                <w:kern w:val="0"/>
                <w:sz w:val="16"/>
                <w:szCs w:val="16"/>
              </w:rPr>
            </w:pPr>
          </w:p>
        </w:tc>
        <w:tc>
          <w:tcPr>
            <w:tcW w:w="417" w:type="pct"/>
            <w:vMerge w:val="continue"/>
            <w:tcBorders>
              <w:top w:val="single" w:color="auto" w:sz="4" w:space="0"/>
              <w:left w:val="nil"/>
              <w:bottom w:val="single" w:color="000000" w:sz="4" w:space="0"/>
              <w:right w:val="single" w:color="auto" w:sz="4" w:space="0"/>
            </w:tcBorders>
            <w:vAlign w:val="center"/>
          </w:tcPr>
          <w:p w14:paraId="382BC850">
            <w:pPr>
              <w:widowControl/>
              <w:spacing w:line="300" w:lineRule="exact"/>
              <w:jc w:val="left"/>
              <w:rPr>
                <w:rFonts w:ascii="宋体" w:hAnsi="宋体" w:cs="宋体"/>
                <w:b/>
                <w:bCs/>
                <w:kern w:val="0"/>
                <w:sz w:val="16"/>
                <w:szCs w:val="16"/>
              </w:rPr>
            </w:pPr>
          </w:p>
        </w:tc>
        <w:tc>
          <w:tcPr>
            <w:tcW w:w="393" w:type="pct"/>
            <w:vMerge w:val="continue"/>
            <w:tcBorders>
              <w:top w:val="single" w:color="auto" w:sz="4" w:space="0"/>
              <w:left w:val="single" w:color="auto" w:sz="4" w:space="0"/>
              <w:bottom w:val="single" w:color="000000" w:sz="4" w:space="0"/>
              <w:right w:val="single" w:color="auto" w:sz="4" w:space="0"/>
            </w:tcBorders>
            <w:vAlign w:val="center"/>
          </w:tcPr>
          <w:p w14:paraId="5B71BED7">
            <w:pPr>
              <w:widowControl/>
              <w:spacing w:line="300" w:lineRule="exact"/>
              <w:jc w:val="left"/>
              <w:rPr>
                <w:rFonts w:ascii="宋体" w:hAnsi="宋体" w:cs="宋体"/>
                <w:b/>
                <w:bCs/>
                <w:kern w:val="0"/>
                <w:sz w:val="24"/>
              </w:rPr>
            </w:pPr>
          </w:p>
        </w:tc>
      </w:tr>
      <w:tr w14:paraId="1E71258A">
        <w:tblPrEx>
          <w:tblCellMar>
            <w:top w:w="0" w:type="dxa"/>
            <w:left w:w="108" w:type="dxa"/>
            <w:bottom w:w="0" w:type="dxa"/>
            <w:right w:w="108" w:type="dxa"/>
          </w:tblCellMar>
        </w:tblPrEx>
        <w:trPr>
          <w:trHeight w:val="671" w:hRule="atLeast"/>
        </w:trPr>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446411F0">
            <w:pPr>
              <w:widowControl/>
              <w:spacing w:line="300" w:lineRule="exact"/>
              <w:jc w:val="center"/>
              <w:rPr>
                <w:rFonts w:ascii="宋体" w:hAnsi="宋体" w:cs="宋体"/>
                <w:kern w:val="0"/>
                <w:sz w:val="16"/>
                <w:szCs w:val="16"/>
              </w:rPr>
            </w:pPr>
            <w:r>
              <w:rPr>
                <w:rFonts w:hint="eastAsia" w:ascii="宋体" w:hAnsi="宋体" w:cs="宋体"/>
                <w:kern w:val="0"/>
                <w:sz w:val="16"/>
                <w:szCs w:val="16"/>
              </w:rPr>
              <w:t>部门预算管理（80分）</w:t>
            </w:r>
          </w:p>
        </w:tc>
        <w:tc>
          <w:tcPr>
            <w:tcW w:w="401" w:type="pct"/>
            <w:vMerge w:val="restart"/>
            <w:tcBorders>
              <w:top w:val="nil"/>
              <w:left w:val="single" w:color="auto" w:sz="4" w:space="0"/>
              <w:bottom w:val="single" w:color="auto" w:sz="4" w:space="0"/>
              <w:right w:val="single" w:color="auto" w:sz="4" w:space="0"/>
            </w:tcBorders>
            <w:shd w:val="clear" w:color="auto" w:fill="auto"/>
            <w:vAlign w:val="center"/>
          </w:tcPr>
          <w:p w14:paraId="1C4AA01B">
            <w:pPr>
              <w:widowControl/>
              <w:spacing w:line="300" w:lineRule="exact"/>
              <w:jc w:val="center"/>
              <w:rPr>
                <w:rFonts w:ascii="宋体" w:hAnsi="宋体" w:cs="宋体"/>
                <w:kern w:val="0"/>
                <w:sz w:val="16"/>
                <w:szCs w:val="16"/>
              </w:rPr>
            </w:pPr>
            <w:r>
              <w:rPr>
                <w:rFonts w:hint="eastAsia" w:ascii="宋体" w:hAnsi="宋体" w:cs="宋体"/>
                <w:kern w:val="0"/>
                <w:sz w:val="16"/>
                <w:szCs w:val="16"/>
              </w:rPr>
              <w:t>预算编制（30分）</w:t>
            </w:r>
          </w:p>
        </w:tc>
        <w:tc>
          <w:tcPr>
            <w:tcW w:w="559" w:type="pct"/>
            <w:tcBorders>
              <w:top w:val="nil"/>
              <w:left w:val="nil"/>
              <w:bottom w:val="single" w:color="auto" w:sz="4" w:space="0"/>
              <w:right w:val="single" w:color="auto" w:sz="4" w:space="0"/>
            </w:tcBorders>
            <w:shd w:val="clear" w:color="auto" w:fill="auto"/>
            <w:vAlign w:val="center"/>
          </w:tcPr>
          <w:p w14:paraId="7DFE72DC">
            <w:pPr>
              <w:widowControl/>
              <w:spacing w:line="300" w:lineRule="exact"/>
              <w:jc w:val="center"/>
              <w:rPr>
                <w:rFonts w:ascii="宋体" w:hAnsi="宋体" w:cs="宋体"/>
                <w:kern w:val="0"/>
                <w:sz w:val="16"/>
                <w:szCs w:val="16"/>
              </w:rPr>
            </w:pPr>
            <w:r>
              <w:rPr>
                <w:rFonts w:hint="eastAsia" w:ascii="宋体" w:hAnsi="宋体" w:cs="宋体"/>
                <w:kern w:val="0"/>
                <w:sz w:val="16"/>
                <w:szCs w:val="16"/>
              </w:rPr>
              <w:t>目标制定</w:t>
            </w:r>
          </w:p>
        </w:tc>
        <w:tc>
          <w:tcPr>
            <w:tcW w:w="359" w:type="pct"/>
            <w:tcBorders>
              <w:top w:val="nil"/>
              <w:left w:val="nil"/>
              <w:bottom w:val="single" w:color="auto" w:sz="4" w:space="0"/>
              <w:right w:val="single" w:color="auto" w:sz="4" w:space="0"/>
            </w:tcBorders>
            <w:shd w:val="clear" w:color="auto" w:fill="auto"/>
            <w:vAlign w:val="center"/>
          </w:tcPr>
          <w:p w14:paraId="3CE04528">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731E7761">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评价部门绩效目标是否要素完整、细化量化。</w:t>
            </w:r>
          </w:p>
        </w:tc>
        <w:tc>
          <w:tcPr>
            <w:tcW w:w="1611" w:type="pct"/>
            <w:tcBorders>
              <w:top w:val="nil"/>
              <w:left w:val="nil"/>
              <w:bottom w:val="single" w:color="auto" w:sz="4" w:space="0"/>
              <w:right w:val="single" w:color="auto" w:sz="4" w:space="0"/>
            </w:tcBorders>
            <w:shd w:val="clear" w:color="auto" w:fill="auto"/>
            <w:vAlign w:val="center"/>
          </w:tcPr>
          <w:p w14:paraId="32C3D1AD">
            <w:pPr>
              <w:widowControl/>
              <w:spacing w:line="300" w:lineRule="exact"/>
              <w:jc w:val="left"/>
              <w:rPr>
                <w:rFonts w:ascii="宋体" w:hAnsi="宋体" w:cs="宋体"/>
                <w:kern w:val="0"/>
                <w:sz w:val="16"/>
                <w:szCs w:val="16"/>
              </w:rPr>
            </w:pPr>
            <w:r>
              <w:rPr>
                <w:rFonts w:hint="eastAsia" w:ascii="宋体" w:hAnsi="宋体" w:cs="宋体"/>
                <w:kern w:val="0"/>
                <w:sz w:val="16"/>
                <w:szCs w:val="16"/>
              </w:rPr>
              <w:t xml:space="preserve">1.绩效目标编制要素完整的，得5分，否则酌情扣分。                                                    2.绩效指标细化量化的，得5分，否则酌情扣分。有项目绩效目标的部门（单位），根据项目绩效目标编制质量打分，无项目绩效目标的部门，根据部门整体支出绩效目标打分。                                                                    </w:t>
            </w:r>
          </w:p>
        </w:tc>
        <w:tc>
          <w:tcPr>
            <w:tcW w:w="417" w:type="pct"/>
            <w:tcBorders>
              <w:top w:val="nil"/>
              <w:left w:val="nil"/>
              <w:bottom w:val="single" w:color="auto" w:sz="4" w:space="0"/>
              <w:right w:val="single" w:color="auto" w:sz="4" w:space="0"/>
            </w:tcBorders>
            <w:shd w:val="clear" w:color="auto" w:fill="auto"/>
            <w:vAlign w:val="center"/>
          </w:tcPr>
          <w:p w14:paraId="6BD8567D">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71CC0402">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2C1B286B">
        <w:tblPrEx>
          <w:tblCellMar>
            <w:top w:w="0" w:type="dxa"/>
            <w:left w:w="108" w:type="dxa"/>
            <w:bottom w:w="0" w:type="dxa"/>
            <w:right w:w="108" w:type="dxa"/>
          </w:tblCellMar>
        </w:tblPrEx>
        <w:trPr>
          <w:trHeight w:val="671" w:hRule="atLeast"/>
        </w:trPr>
        <w:tc>
          <w:tcPr>
            <w:tcW w:w="391" w:type="pct"/>
            <w:vMerge w:val="continue"/>
            <w:tcBorders>
              <w:top w:val="nil"/>
              <w:left w:val="single" w:color="auto" w:sz="4" w:space="0"/>
              <w:bottom w:val="single" w:color="auto" w:sz="4" w:space="0"/>
              <w:right w:val="single" w:color="auto" w:sz="4" w:space="0"/>
            </w:tcBorders>
            <w:vAlign w:val="center"/>
          </w:tcPr>
          <w:p w14:paraId="1B7F8843">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auto" w:sz="4" w:space="0"/>
              <w:right w:val="single" w:color="auto" w:sz="4" w:space="0"/>
            </w:tcBorders>
            <w:vAlign w:val="center"/>
          </w:tcPr>
          <w:p w14:paraId="5E9D23A8">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48FED7A0">
            <w:pPr>
              <w:widowControl/>
              <w:spacing w:line="300" w:lineRule="exact"/>
              <w:jc w:val="center"/>
              <w:rPr>
                <w:rFonts w:ascii="宋体" w:hAnsi="宋体" w:cs="宋体"/>
                <w:kern w:val="0"/>
                <w:sz w:val="16"/>
                <w:szCs w:val="16"/>
              </w:rPr>
            </w:pPr>
            <w:r>
              <w:rPr>
                <w:rFonts w:hint="eastAsia" w:ascii="宋体" w:hAnsi="宋体" w:cs="宋体"/>
                <w:kern w:val="0"/>
                <w:sz w:val="16"/>
                <w:szCs w:val="16"/>
              </w:rPr>
              <w:t>目标实现</w:t>
            </w:r>
          </w:p>
        </w:tc>
        <w:tc>
          <w:tcPr>
            <w:tcW w:w="359" w:type="pct"/>
            <w:tcBorders>
              <w:top w:val="nil"/>
              <w:left w:val="nil"/>
              <w:bottom w:val="single" w:color="auto" w:sz="4" w:space="0"/>
              <w:right w:val="single" w:color="auto" w:sz="4" w:space="0"/>
            </w:tcBorders>
            <w:shd w:val="clear" w:color="auto" w:fill="auto"/>
            <w:vAlign w:val="center"/>
          </w:tcPr>
          <w:p w14:paraId="52342D19">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1ACA849F">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评价部门绩效目标实际实现程度与预期目标的偏离度。</w:t>
            </w:r>
          </w:p>
        </w:tc>
        <w:tc>
          <w:tcPr>
            <w:tcW w:w="1611" w:type="pct"/>
            <w:tcBorders>
              <w:top w:val="nil"/>
              <w:left w:val="nil"/>
              <w:bottom w:val="single" w:color="auto" w:sz="4" w:space="0"/>
              <w:right w:val="single" w:color="auto" w:sz="4" w:space="0"/>
            </w:tcBorders>
            <w:shd w:val="clear" w:color="auto" w:fill="auto"/>
            <w:vAlign w:val="center"/>
          </w:tcPr>
          <w:p w14:paraId="4A4A9F8D">
            <w:pPr>
              <w:widowControl/>
              <w:spacing w:line="300" w:lineRule="exact"/>
              <w:jc w:val="left"/>
              <w:rPr>
                <w:rFonts w:ascii="宋体" w:hAnsi="宋体" w:cs="宋体"/>
                <w:color w:val="000000"/>
                <w:kern w:val="0"/>
                <w:sz w:val="16"/>
                <w:szCs w:val="16"/>
              </w:rPr>
            </w:pPr>
            <w:r>
              <w:rPr>
                <w:rFonts w:hint="eastAsia" w:ascii="宋体" w:hAnsi="宋体" w:cs="宋体"/>
                <w:color w:val="000000"/>
                <w:kern w:val="0"/>
                <w:sz w:val="16"/>
                <w:szCs w:val="16"/>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417" w:type="pct"/>
            <w:tcBorders>
              <w:top w:val="nil"/>
              <w:left w:val="nil"/>
              <w:bottom w:val="single" w:color="auto" w:sz="4" w:space="0"/>
              <w:right w:val="single" w:color="auto" w:sz="4" w:space="0"/>
            </w:tcBorders>
            <w:shd w:val="clear" w:color="auto" w:fill="auto"/>
            <w:vAlign w:val="center"/>
          </w:tcPr>
          <w:p w14:paraId="4C441EFA">
            <w:pPr>
              <w:widowControl/>
              <w:spacing w:line="300" w:lineRule="exact"/>
              <w:jc w:val="center"/>
              <w:rPr>
                <w:rFonts w:ascii="宋体" w:hAnsi="宋体" w:cs="宋体"/>
                <w:color w:val="000000"/>
                <w:kern w:val="0"/>
                <w:sz w:val="16"/>
                <w:szCs w:val="16"/>
              </w:rPr>
            </w:pPr>
            <w:r>
              <w:rPr>
                <w:rFonts w:hint="eastAsia" w:ascii="宋体" w:hAnsi="宋体" w:cs="宋体"/>
                <w:color w:val="000000"/>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62F4F04F">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0509A02F">
        <w:tblPrEx>
          <w:tblCellMar>
            <w:top w:w="0" w:type="dxa"/>
            <w:left w:w="108" w:type="dxa"/>
            <w:bottom w:w="0" w:type="dxa"/>
            <w:right w:w="108" w:type="dxa"/>
          </w:tblCellMar>
        </w:tblPrEx>
        <w:trPr>
          <w:trHeight w:val="336" w:hRule="atLeast"/>
        </w:trPr>
        <w:tc>
          <w:tcPr>
            <w:tcW w:w="391" w:type="pct"/>
            <w:vMerge w:val="continue"/>
            <w:tcBorders>
              <w:top w:val="nil"/>
              <w:left w:val="single" w:color="auto" w:sz="4" w:space="0"/>
              <w:bottom w:val="single" w:color="auto" w:sz="4" w:space="0"/>
              <w:right w:val="single" w:color="auto" w:sz="4" w:space="0"/>
            </w:tcBorders>
            <w:vAlign w:val="center"/>
          </w:tcPr>
          <w:p w14:paraId="499F989F">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auto" w:sz="4" w:space="0"/>
              <w:right w:val="single" w:color="auto" w:sz="4" w:space="0"/>
            </w:tcBorders>
            <w:vAlign w:val="center"/>
          </w:tcPr>
          <w:p w14:paraId="1CAC6697">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40E04CC8">
            <w:pPr>
              <w:widowControl/>
              <w:spacing w:line="300" w:lineRule="exact"/>
              <w:jc w:val="center"/>
              <w:rPr>
                <w:rFonts w:ascii="宋体" w:hAnsi="宋体" w:cs="宋体"/>
                <w:kern w:val="0"/>
                <w:sz w:val="16"/>
                <w:szCs w:val="16"/>
              </w:rPr>
            </w:pPr>
            <w:r>
              <w:rPr>
                <w:rFonts w:hint="eastAsia" w:ascii="宋体" w:hAnsi="宋体" w:cs="宋体"/>
                <w:kern w:val="0"/>
                <w:sz w:val="16"/>
                <w:szCs w:val="16"/>
              </w:rPr>
              <w:t>编制准确</w:t>
            </w:r>
          </w:p>
        </w:tc>
        <w:tc>
          <w:tcPr>
            <w:tcW w:w="359" w:type="pct"/>
            <w:tcBorders>
              <w:top w:val="nil"/>
              <w:left w:val="nil"/>
              <w:bottom w:val="single" w:color="auto" w:sz="4" w:space="0"/>
              <w:right w:val="single" w:color="auto" w:sz="4" w:space="0"/>
            </w:tcBorders>
            <w:shd w:val="clear" w:color="auto" w:fill="auto"/>
            <w:vAlign w:val="center"/>
          </w:tcPr>
          <w:p w14:paraId="76051D99">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3D69E1AE">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评价部门年初预算编制是否科学准确。</w:t>
            </w:r>
          </w:p>
        </w:tc>
        <w:tc>
          <w:tcPr>
            <w:tcW w:w="1611" w:type="pct"/>
            <w:tcBorders>
              <w:top w:val="nil"/>
              <w:left w:val="nil"/>
              <w:bottom w:val="single" w:color="auto" w:sz="4" w:space="0"/>
              <w:right w:val="single" w:color="auto" w:sz="4" w:space="0"/>
            </w:tcBorders>
            <w:shd w:val="clear" w:color="auto" w:fill="auto"/>
            <w:vAlign w:val="center"/>
          </w:tcPr>
          <w:p w14:paraId="1D802199">
            <w:pPr>
              <w:widowControl/>
              <w:spacing w:line="300" w:lineRule="exact"/>
              <w:jc w:val="left"/>
              <w:rPr>
                <w:rFonts w:ascii="宋体" w:hAnsi="宋体" w:cs="宋体"/>
                <w:kern w:val="0"/>
                <w:sz w:val="16"/>
                <w:szCs w:val="16"/>
              </w:rPr>
            </w:pPr>
            <w:r>
              <w:rPr>
                <w:rFonts w:hint="eastAsia" w:ascii="宋体" w:hAnsi="宋体" w:cs="宋体"/>
                <w:kern w:val="0"/>
                <w:sz w:val="16"/>
                <w:szCs w:val="16"/>
              </w:rPr>
              <w:t>指标得分=（1-（10×部门全年预算调剂金额/年初部门预算数））*指标分值。其中：若部门全年预算调剂金额/年初部门预算数&gt;0.1，此项得0分。</w:t>
            </w:r>
          </w:p>
        </w:tc>
        <w:tc>
          <w:tcPr>
            <w:tcW w:w="417" w:type="pct"/>
            <w:tcBorders>
              <w:top w:val="nil"/>
              <w:left w:val="nil"/>
              <w:bottom w:val="single" w:color="auto" w:sz="4" w:space="0"/>
              <w:right w:val="single" w:color="auto" w:sz="4" w:space="0"/>
            </w:tcBorders>
            <w:shd w:val="clear" w:color="auto" w:fill="auto"/>
            <w:vAlign w:val="center"/>
          </w:tcPr>
          <w:p w14:paraId="7898BFAB">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5A5AA6D7">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46AAF920">
        <w:tblPrEx>
          <w:tblCellMar>
            <w:top w:w="0" w:type="dxa"/>
            <w:left w:w="108" w:type="dxa"/>
            <w:bottom w:w="0" w:type="dxa"/>
            <w:right w:w="108" w:type="dxa"/>
          </w:tblCellMar>
        </w:tblPrEx>
        <w:trPr>
          <w:trHeight w:val="671" w:hRule="atLeast"/>
        </w:trPr>
        <w:tc>
          <w:tcPr>
            <w:tcW w:w="391" w:type="pct"/>
            <w:vMerge w:val="continue"/>
            <w:tcBorders>
              <w:top w:val="nil"/>
              <w:left w:val="single" w:color="auto" w:sz="4" w:space="0"/>
              <w:bottom w:val="single" w:color="auto" w:sz="4" w:space="0"/>
              <w:right w:val="single" w:color="auto" w:sz="4" w:space="0"/>
            </w:tcBorders>
            <w:vAlign w:val="center"/>
          </w:tcPr>
          <w:p w14:paraId="3D09851C">
            <w:pPr>
              <w:widowControl/>
              <w:spacing w:line="300" w:lineRule="exact"/>
              <w:jc w:val="left"/>
              <w:rPr>
                <w:rFonts w:ascii="宋体" w:hAnsi="宋体" w:cs="宋体"/>
                <w:kern w:val="0"/>
                <w:sz w:val="16"/>
                <w:szCs w:val="16"/>
              </w:rPr>
            </w:pPr>
          </w:p>
        </w:tc>
        <w:tc>
          <w:tcPr>
            <w:tcW w:w="401" w:type="pct"/>
            <w:vMerge w:val="restart"/>
            <w:tcBorders>
              <w:top w:val="nil"/>
              <w:left w:val="single" w:color="auto" w:sz="4" w:space="0"/>
              <w:bottom w:val="single" w:color="000000" w:sz="4" w:space="0"/>
              <w:right w:val="single" w:color="auto" w:sz="4" w:space="0"/>
            </w:tcBorders>
            <w:shd w:val="clear" w:color="auto" w:fill="auto"/>
            <w:vAlign w:val="center"/>
          </w:tcPr>
          <w:p w14:paraId="5BFF4F2A">
            <w:pPr>
              <w:widowControl/>
              <w:spacing w:line="300" w:lineRule="exact"/>
              <w:jc w:val="center"/>
              <w:rPr>
                <w:rFonts w:ascii="宋体" w:hAnsi="宋体" w:cs="宋体"/>
                <w:kern w:val="0"/>
                <w:sz w:val="16"/>
                <w:szCs w:val="16"/>
              </w:rPr>
            </w:pPr>
            <w:r>
              <w:rPr>
                <w:rFonts w:hint="eastAsia" w:ascii="宋体" w:hAnsi="宋体" w:cs="宋体"/>
                <w:kern w:val="0"/>
                <w:sz w:val="16"/>
                <w:szCs w:val="16"/>
              </w:rPr>
              <w:t xml:space="preserve">                                                                             预算执行（30分）</w:t>
            </w:r>
          </w:p>
        </w:tc>
        <w:tc>
          <w:tcPr>
            <w:tcW w:w="559" w:type="pct"/>
            <w:tcBorders>
              <w:top w:val="nil"/>
              <w:left w:val="nil"/>
              <w:bottom w:val="single" w:color="auto" w:sz="4" w:space="0"/>
              <w:right w:val="single" w:color="auto" w:sz="4" w:space="0"/>
            </w:tcBorders>
            <w:shd w:val="clear" w:color="auto" w:fill="auto"/>
            <w:vAlign w:val="center"/>
          </w:tcPr>
          <w:p w14:paraId="65EC65AB">
            <w:pPr>
              <w:widowControl/>
              <w:spacing w:line="300" w:lineRule="exact"/>
              <w:jc w:val="center"/>
              <w:rPr>
                <w:rFonts w:ascii="宋体" w:hAnsi="宋体" w:cs="宋体"/>
                <w:kern w:val="0"/>
                <w:sz w:val="16"/>
                <w:szCs w:val="16"/>
              </w:rPr>
            </w:pPr>
            <w:r>
              <w:rPr>
                <w:rFonts w:hint="eastAsia" w:ascii="宋体" w:hAnsi="宋体" w:cs="宋体"/>
                <w:kern w:val="0"/>
                <w:sz w:val="16"/>
                <w:szCs w:val="16"/>
              </w:rPr>
              <w:t>支出控制</w:t>
            </w:r>
          </w:p>
        </w:tc>
        <w:tc>
          <w:tcPr>
            <w:tcW w:w="359" w:type="pct"/>
            <w:tcBorders>
              <w:top w:val="nil"/>
              <w:left w:val="nil"/>
              <w:bottom w:val="single" w:color="auto" w:sz="4" w:space="0"/>
              <w:right w:val="single" w:color="auto" w:sz="4" w:space="0"/>
            </w:tcBorders>
            <w:shd w:val="clear" w:color="auto" w:fill="auto"/>
            <w:vAlign w:val="center"/>
          </w:tcPr>
          <w:p w14:paraId="5ABAA28F">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11991074">
            <w:pPr>
              <w:widowControl/>
              <w:spacing w:line="300" w:lineRule="exact"/>
              <w:jc w:val="left"/>
              <w:rPr>
                <w:rFonts w:ascii="宋体" w:hAnsi="宋体" w:cs="宋体"/>
                <w:kern w:val="0"/>
                <w:sz w:val="16"/>
                <w:szCs w:val="16"/>
              </w:rPr>
            </w:pPr>
            <w:r>
              <w:rPr>
                <w:rFonts w:hint="eastAsia" w:ascii="宋体" w:hAnsi="宋体" w:cs="宋体"/>
                <w:kern w:val="0"/>
                <w:sz w:val="16"/>
                <w:szCs w:val="16"/>
              </w:rPr>
              <w:t>部门公用经费及非定额公用支出控制情况。</w:t>
            </w:r>
          </w:p>
        </w:tc>
        <w:tc>
          <w:tcPr>
            <w:tcW w:w="1611" w:type="pct"/>
            <w:tcBorders>
              <w:top w:val="nil"/>
              <w:left w:val="nil"/>
              <w:bottom w:val="single" w:color="auto" w:sz="4" w:space="0"/>
              <w:right w:val="single" w:color="auto" w:sz="4" w:space="0"/>
            </w:tcBorders>
            <w:shd w:val="clear" w:color="auto" w:fill="auto"/>
            <w:vAlign w:val="center"/>
          </w:tcPr>
          <w:p w14:paraId="7C95F604">
            <w:pPr>
              <w:widowControl/>
              <w:spacing w:line="300" w:lineRule="exact"/>
              <w:jc w:val="left"/>
              <w:rPr>
                <w:rFonts w:ascii="宋体" w:hAnsi="宋体" w:cs="宋体"/>
                <w:kern w:val="0"/>
                <w:sz w:val="16"/>
                <w:szCs w:val="16"/>
              </w:rPr>
            </w:pPr>
            <w:r>
              <w:rPr>
                <w:rFonts w:hint="eastAsia" w:ascii="宋体" w:hAnsi="宋体" w:cs="宋体"/>
                <w:kern w:val="0"/>
                <w:sz w:val="16"/>
                <w:szCs w:val="16"/>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17" w:type="pct"/>
            <w:tcBorders>
              <w:top w:val="nil"/>
              <w:left w:val="nil"/>
              <w:bottom w:val="single" w:color="auto" w:sz="4" w:space="0"/>
              <w:right w:val="single" w:color="auto" w:sz="4" w:space="0"/>
            </w:tcBorders>
            <w:shd w:val="clear" w:color="auto" w:fill="auto"/>
            <w:vAlign w:val="center"/>
          </w:tcPr>
          <w:p w14:paraId="3A05301F">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239772AF">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443B4C0D">
        <w:tblPrEx>
          <w:tblCellMar>
            <w:top w:w="0" w:type="dxa"/>
            <w:left w:w="108" w:type="dxa"/>
            <w:bottom w:w="0" w:type="dxa"/>
            <w:right w:w="108" w:type="dxa"/>
          </w:tblCellMar>
        </w:tblPrEx>
        <w:trPr>
          <w:trHeight w:val="1007" w:hRule="atLeast"/>
        </w:trPr>
        <w:tc>
          <w:tcPr>
            <w:tcW w:w="391" w:type="pct"/>
            <w:vMerge w:val="continue"/>
            <w:tcBorders>
              <w:top w:val="nil"/>
              <w:left w:val="single" w:color="auto" w:sz="4" w:space="0"/>
              <w:bottom w:val="single" w:color="auto" w:sz="4" w:space="0"/>
              <w:right w:val="single" w:color="auto" w:sz="4" w:space="0"/>
            </w:tcBorders>
            <w:vAlign w:val="center"/>
          </w:tcPr>
          <w:p w14:paraId="71D40F86">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000000" w:sz="4" w:space="0"/>
              <w:right w:val="single" w:color="auto" w:sz="4" w:space="0"/>
            </w:tcBorders>
            <w:vAlign w:val="center"/>
          </w:tcPr>
          <w:p w14:paraId="6D5E719E">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74264552">
            <w:pPr>
              <w:widowControl/>
              <w:spacing w:line="300" w:lineRule="exact"/>
              <w:jc w:val="center"/>
              <w:rPr>
                <w:rFonts w:ascii="宋体" w:hAnsi="宋体" w:cs="宋体"/>
                <w:kern w:val="0"/>
                <w:sz w:val="16"/>
                <w:szCs w:val="16"/>
              </w:rPr>
            </w:pPr>
            <w:r>
              <w:rPr>
                <w:rFonts w:hint="eastAsia" w:ascii="宋体" w:hAnsi="宋体" w:cs="宋体"/>
                <w:kern w:val="0"/>
                <w:sz w:val="16"/>
                <w:szCs w:val="16"/>
              </w:rPr>
              <w:t>动态调整</w:t>
            </w:r>
          </w:p>
        </w:tc>
        <w:tc>
          <w:tcPr>
            <w:tcW w:w="359" w:type="pct"/>
            <w:tcBorders>
              <w:top w:val="nil"/>
              <w:left w:val="nil"/>
              <w:bottom w:val="single" w:color="auto" w:sz="4" w:space="0"/>
              <w:right w:val="single" w:color="auto" w:sz="4" w:space="0"/>
            </w:tcBorders>
            <w:shd w:val="clear" w:color="auto" w:fill="auto"/>
            <w:vAlign w:val="center"/>
          </w:tcPr>
          <w:p w14:paraId="52B29006">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5A562A5E">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评价部门开展绩效运行监控后，将绩效监控结果应用到预算调整的情况。</w:t>
            </w:r>
          </w:p>
        </w:tc>
        <w:tc>
          <w:tcPr>
            <w:tcW w:w="1611" w:type="pct"/>
            <w:tcBorders>
              <w:top w:val="nil"/>
              <w:left w:val="nil"/>
              <w:bottom w:val="single" w:color="auto" w:sz="4" w:space="0"/>
              <w:right w:val="single" w:color="auto" w:sz="4" w:space="0"/>
            </w:tcBorders>
            <w:shd w:val="clear" w:color="auto" w:fill="auto"/>
            <w:vAlign w:val="center"/>
          </w:tcPr>
          <w:p w14:paraId="38A64AEA">
            <w:pPr>
              <w:widowControl/>
              <w:spacing w:line="300" w:lineRule="exact"/>
              <w:jc w:val="left"/>
              <w:rPr>
                <w:rFonts w:ascii="宋体" w:hAnsi="宋体" w:cs="宋体"/>
                <w:kern w:val="0"/>
                <w:sz w:val="16"/>
                <w:szCs w:val="16"/>
              </w:rPr>
            </w:pPr>
            <w:r>
              <w:rPr>
                <w:rFonts w:hint="eastAsia" w:ascii="宋体" w:hAnsi="宋体" w:cs="宋体"/>
                <w:kern w:val="0"/>
                <w:sz w:val="16"/>
                <w:szCs w:val="16"/>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3.当部门绩效监控调整取消额与结余注销额均为零时，得满分。                                                             </w:t>
            </w:r>
          </w:p>
        </w:tc>
        <w:tc>
          <w:tcPr>
            <w:tcW w:w="417" w:type="pct"/>
            <w:tcBorders>
              <w:top w:val="nil"/>
              <w:left w:val="nil"/>
              <w:bottom w:val="single" w:color="auto" w:sz="4" w:space="0"/>
              <w:right w:val="single" w:color="auto" w:sz="4" w:space="0"/>
            </w:tcBorders>
            <w:shd w:val="clear" w:color="auto" w:fill="auto"/>
            <w:vAlign w:val="center"/>
          </w:tcPr>
          <w:p w14:paraId="672FDE3B">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58CF7EE4">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493F7641">
        <w:tblPrEx>
          <w:tblCellMar>
            <w:top w:w="0" w:type="dxa"/>
            <w:left w:w="108" w:type="dxa"/>
            <w:bottom w:w="0" w:type="dxa"/>
            <w:right w:w="108" w:type="dxa"/>
          </w:tblCellMar>
        </w:tblPrEx>
        <w:trPr>
          <w:trHeight w:val="671" w:hRule="atLeast"/>
        </w:trPr>
        <w:tc>
          <w:tcPr>
            <w:tcW w:w="391" w:type="pct"/>
            <w:vMerge w:val="continue"/>
            <w:tcBorders>
              <w:top w:val="nil"/>
              <w:left w:val="single" w:color="auto" w:sz="4" w:space="0"/>
              <w:bottom w:val="single" w:color="auto" w:sz="4" w:space="0"/>
              <w:right w:val="single" w:color="auto" w:sz="4" w:space="0"/>
            </w:tcBorders>
            <w:vAlign w:val="center"/>
          </w:tcPr>
          <w:p w14:paraId="3838C5A2">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000000" w:sz="4" w:space="0"/>
              <w:right w:val="single" w:color="auto" w:sz="4" w:space="0"/>
            </w:tcBorders>
            <w:vAlign w:val="center"/>
          </w:tcPr>
          <w:p w14:paraId="075A5087">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304A5F33">
            <w:pPr>
              <w:widowControl/>
              <w:spacing w:line="300" w:lineRule="exact"/>
              <w:jc w:val="center"/>
              <w:rPr>
                <w:rFonts w:ascii="宋体" w:hAnsi="宋体" w:cs="宋体"/>
                <w:kern w:val="0"/>
                <w:sz w:val="16"/>
                <w:szCs w:val="16"/>
              </w:rPr>
            </w:pPr>
            <w:r>
              <w:rPr>
                <w:rFonts w:hint="eastAsia" w:ascii="宋体" w:hAnsi="宋体" w:cs="宋体"/>
                <w:kern w:val="0"/>
                <w:sz w:val="16"/>
                <w:szCs w:val="16"/>
              </w:rPr>
              <w:t>执行进度</w:t>
            </w:r>
          </w:p>
        </w:tc>
        <w:tc>
          <w:tcPr>
            <w:tcW w:w="359" w:type="pct"/>
            <w:tcBorders>
              <w:top w:val="nil"/>
              <w:left w:val="nil"/>
              <w:bottom w:val="single" w:color="auto" w:sz="4" w:space="0"/>
              <w:right w:val="single" w:color="auto" w:sz="4" w:space="0"/>
            </w:tcBorders>
            <w:shd w:val="clear" w:color="auto" w:fill="auto"/>
            <w:vAlign w:val="center"/>
          </w:tcPr>
          <w:p w14:paraId="7312CC57">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54B4EC91">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评价部门在6、9、11月的预算执行情况。</w:t>
            </w:r>
          </w:p>
        </w:tc>
        <w:tc>
          <w:tcPr>
            <w:tcW w:w="1611" w:type="pct"/>
            <w:tcBorders>
              <w:top w:val="nil"/>
              <w:left w:val="nil"/>
              <w:bottom w:val="single" w:color="auto" w:sz="4" w:space="0"/>
              <w:right w:val="single" w:color="auto" w:sz="4" w:space="0"/>
            </w:tcBorders>
            <w:shd w:val="clear" w:color="auto" w:fill="auto"/>
            <w:vAlign w:val="center"/>
          </w:tcPr>
          <w:p w14:paraId="2C7B0E00">
            <w:pPr>
              <w:widowControl/>
              <w:spacing w:line="300" w:lineRule="exact"/>
              <w:jc w:val="left"/>
              <w:rPr>
                <w:rFonts w:ascii="宋体" w:hAnsi="宋体" w:cs="宋体"/>
                <w:kern w:val="0"/>
                <w:sz w:val="16"/>
                <w:szCs w:val="16"/>
              </w:rPr>
            </w:pPr>
            <w:r>
              <w:rPr>
                <w:rFonts w:hint="eastAsia" w:ascii="宋体" w:hAnsi="宋体" w:cs="宋体"/>
                <w:kern w:val="0"/>
                <w:sz w:val="16"/>
                <w:szCs w:val="16"/>
              </w:rPr>
              <w:t xml:space="preserve">部门预算执行进度在6、9、11月应达到序时进度的80%、90%、90%，即实际支出进度分别达到40%、67.5%、82.5%。                                                     6、9、11月部门预算执行进度达到量化指标的分别得3、4、3分，未达到目标进度的的按其实际进度占目标进度的比重计算得分。                                             </w:t>
            </w:r>
          </w:p>
        </w:tc>
        <w:tc>
          <w:tcPr>
            <w:tcW w:w="417" w:type="pct"/>
            <w:tcBorders>
              <w:top w:val="nil"/>
              <w:left w:val="nil"/>
              <w:bottom w:val="single" w:color="auto" w:sz="4" w:space="0"/>
              <w:right w:val="single" w:color="auto" w:sz="4" w:space="0"/>
            </w:tcBorders>
            <w:shd w:val="clear" w:color="auto" w:fill="auto"/>
            <w:vAlign w:val="center"/>
          </w:tcPr>
          <w:p w14:paraId="5C18C280">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5209FB0D">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3FE5C6B5">
        <w:tblPrEx>
          <w:tblCellMar>
            <w:top w:w="0" w:type="dxa"/>
            <w:left w:w="108" w:type="dxa"/>
            <w:bottom w:w="0" w:type="dxa"/>
            <w:right w:w="108" w:type="dxa"/>
          </w:tblCellMar>
        </w:tblPrEx>
        <w:trPr>
          <w:trHeight w:val="224" w:hRule="atLeast"/>
        </w:trPr>
        <w:tc>
          <w:tcPr>
            <w:tcW w:w="391" w:type="pct"/>
            <w:vMerge w:val="continue"/>
            <w:tcBorders>
              <w:top w:val="nil"/>
              <w:left w:val="single" w:color="auto" w:sz="4" w:space="0"/>
              <w:bottom w:val="single" w:color="auto" w:sz="4" w:space="0"/>
              <w:right w:val="single" w:color="auto" w:sz="4" w:space="0"/>
            </w:tcBorders>
            <w:vAlign w:val="center"/>
          </w:tcPr>
          <w:p w14:paraId="01126688">
            <w:pPr>
              <w:widowControl/>
              <w:spacing w:line="300" w:lineRule="exact"/>
              <w:jc w:val="left"/>
              <w:rPr>
                <w:rFonts w:ascii="宋体" w:hAnsi="宋体" w:cs="宋体"/>
                <w:kern w:val="0"/>
                <w:sz w:val="16"/>
                <w:szCs w:val="16"/>
              </w:rPr>
            </w:pPr>
          </w:p>
        </w:tc>
        <w:tc>
          <w:tcPr>
            <w:tcW w:w="401" w:type="pct"/>
            <w:vMerge w:val="restart"/>
            <w:tcBorders>
              <w:top w:val="nil"/>
              <w:left w:val="single" w:color="auto" w:sz="4" w:space="0"/>
              <w:bottom w:val="single" w:color="auto" w:sz="4" w:space="0"/>
              <w:right w:val="single" w:color="auto" w:sz="4" w:space="0"/>
            </w:tcBorders>
            <w:shd w:val="clear" w:color="auto" w:fill="auto"/>
            <w:vAlign w:val="center"/>
          </w:tcPr>
          <w:p w14:paraId="43086BA4">
            <w:pPr>
              <w:widowControl/>
              <w:spacing w:line="300" w:lineRule="exact"/>
              <w:jc w:val="center"/>
              <w:rPr>
                <w:rFonts w:ascii="宋体" w:hAnsi="宋体" w:cs="宋体"/>
                <w:kern w:val="0"/>
                <w:sz w:val="16"/>
                <w:szCs w:val="16"/>
              </w:rPr>
            </w:pPr>
            <w:r>
              <w:rPr>
                <w:rFonts w:hint="eastAsia" w:ascii="宋体" w:hAnsi="宋体" w:cs="宋体"/>
                <w:kern w:val="0"/>
                <w:sz w:val="16"/>
                <w:szCs w:val="16"/>
              </w:rPr>
              <w:t>完成结果（20分）</w:t>
            </w:r>
          </w:p>
        </w:tc>
        <w:tc>
          <w:tcPr>
            <w:tcW w:w="559" w:type="pct"/>
            <w:tcBorders>
              <w:top w:val="nil"/>
              <w:left w:val="nil"/>
              <w:bottom w:val="single" w:color="auto" w:sz="4" w:space="0"/>
              <w:right w:val="single" w:color="auto" w:sz="4" w:space="0"/>
            </w:tcBorders>
            <w:shd w:val="clear" w:color="auto" w:fill="auto"/>
            <w:vAlign w:val="center"/>
          </w:tcPr>
          <w:p w14:paraId="5D570D5C">
            <w:pPr>
              <w:widowControl/>
              <w:spacing w:line="300" w:lineRule="exact"/>
              <w:jc w:val="center"/>
              <w:rPr>
                <w:rFonts w:ascii="宋体" w:hAnsi="宋体" w:cs="宋体"/>
                <w:kern w:val="0"/>
                <w:sz w:val="16"/>
                <w:szCs w:val="16"/>
              </w:rPr>
            </w:pPr>
            <w:r>
              <w:rPr>
                <w:rFonts w:hint="eastAsia" w:ascii="宋体" w:hAnsi="宋体" w:cs="宋体"/>
                <w:kern w:val="0"/>
                <w:sz w:val="16"/>
                <w:szCs w:val="16"/>
              </w:rPr>
              <w:t>预算完成</w:t>
            </w:r>
          </w:p>
        </w:tc>
        <w:tc>
          <w:tcPr>
            <w:tcW w:w="359" w:type="pct"/>
            <w:tcBorders>
              <w:top w:val="nil"/>
              <w:left w:val="nil"/>
              <w:bottom w:val="single" w:color="auto" w:sz="4" w:space="0"/>
              <w:right w:val="single" w:color="auto" w:sz="4" w:space="0"/>
            </w:tcBorders>
            <w:shd w:val="clear" w:color="auto" w:fill="auto"/>
            <w:vAlign w:val="center"/>
          </w:tcPr>
          <w:p w14:paraId="51FC4836">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5A7F8619">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评价部门预算项目年终预算执行情况。</w:t>
            </w:r>
          </w:p>
        </w:tc>
        <w:tc>
          <w:tcPr>
            <w:tcW w:w="1611" w:type="pct"/>
            <w:tcBorders>
              <w:top w:val="nil"/>
              <w:left w:val="nil"/>
              <w:bottom w:val="single" w:color="auto" w:sz="4" w:space="0"/>
              <w:right w:val="single" w:color="auto" w:sz="4" w:space="0"/>
            </w:tcBorders>
            <w:shd w:val="clear" w:color="auto" w:fill="auto"/>
            <w:vAlign w:val="center"/>
          </w:tcPr>
          <w:p w14:paraId="4346F1B6">
            <w:pPr>
              <w:widowControl/>
              <w:spacing w:line="300" w:lineRule="exact"/>
              <w:jc w:val="left"/>
              <w:rPr>
                <w:rFonts w:ascii="宋体" w:hAnsi="宋体" w:cs="宋体"/>
                <w:kern w:val="0"/>
                <w:sz w:val="16"/>
                <w:szCs w:val="16"/>
              </w:rPr>
            </w:pPr>
            <w:r>
              <w:rPr>
                <w:rFonts w:hint="eastAsia" w:ascii="宋体" w:hAnsi="宋体" w:cs="宋体"/>
                <w:kern w:val="0"/>
                <w:sz w:val="16"/>
                <w:szCs w:val="16"/>
              </w:rPr>
              <w:t>部门预算项目12月预算执行进度达到100%的，得10分，未达100%的，按照实际进度量化计算得分。</w:t>
            </w:r>
          </w:p>
        </w:tc>
        <w:tc>
          <w:tcPr>
            <w:tcW w:w="417" w:type="pct"/>
            <w:tcBorders>
              <w:top w:val="nil"/>
              <w:left w:val="nil"/>
              <w:bottom w:val="single" w:color="auto" w:sz="4" w:space="0"/>
              <w:right w:val="single" w:color="auto" w:sz="4" w:space="0"/>
            </w:tcBorders>
            <w:shd w:val="clear" w:color="auto" w:fill="auto"/>
            <w:vAlign w:val="center"/>
          </w:tcPr>
          <w:p w14:paraId="7376BCB7">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300266DC">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550CC9B7">
        <w:tblPrEx>
          <w:tblCellMar>
            <w:top w:w="0" w:type="dxa"/>
            <w:left w:w="108" w:type="dxa"/>
            <w:bottom w:w="0" w:type="dxa"/>
            <w:right w:w="108" w:type="dxa"/>
          </w:tblCellMar>
        </w:tblPrEx>
        <w:trPr>
          <w:trHeight w:val="336" w:hRule="atLeast"/>
        </w:trPr>
        <w:tc>
          <w:tcPr>
            <w:tcW w:w="391" w:type="pct"/>
            <w:vMerge w:val="continue"/>
            <w:tcBorders>
              <w:top w:val="nil"/>
              <w:left w:val="single" w:color="auto" w:sz="4" w:space="0"/>
              <w:bottom w:val="single" w:color="auto" w:sz="4" w:space="0"/>
              <w:right w:val="single" w:color="auto" w:sz="4" w:space="0"/>
            </w:tcBorders>
            <w:vAlign w:val="center"/>
          </w:tcPr>
          <w:p w14:paraId="5F8282EE">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auto" w:sz="4" w:space="0"/>
              <w:right w:val="single" w:color="auto" w:sz="4" w:space="0"/>
            </w:tcBorders>
            <w:vAlign w:val="center"/>
          </w:tcPr>
          <w:p w14:paraId="7433DFB4">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3C71E80D">
            <w:pPr>
              <w:widowControl/>
              <w:spacing w:line="300" w:lineRule="exact"/>
              <w:jc w:val="center"/>
              <w:rPr>
                <w:rFonts w:ascii="宋体" w:hAnsi="宋体" w:cs="宋体"/>
                <w:kern w:val="0"/>
                <w:sz w:val="16"/>
                <w:szCs w:val="16"/>
              </w:rPr>
            </w:pPr>
            <w:r>
              <w:rPr>
                <w:rFonts w:hint="eastAsia" w:ascii="宋体" w:hAnsi="宋体" w:cs="宋体"/>
                <w:kern w:val="0"/>
                <w:sz w:val="16"/>
                <w:szCs w:val="16"/>
              </w:rPr>
              <w:t>违规记录</w:t>
            </w:r>
          </w:p>
        </w:tc>
        <w:tc>
          <w:tcPr>
            <w:tcW w:w="359" w:type="pct"/>
            <w:tcBorders>
              <w:top w:val="nil"/>
              <w:left w:val="nil"/>
              <w:bottom w:val="single" w:color="auto" w:sz="4" w:space="0"/>
              <w:right w:val="single" w:color="auto" w:sz="4" w:space="0"/>
            </w:tcBorders>
            <w:shd w:val="clear" w:color="auto" w:fill="auto"/>
            <w:vAlign w:val="center"/>
          </w:tcPr>
          <w:p w14:paraId="10C64A28">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05031F89">
            <w:pPr>
              <w:widowControl/>
              <w:spacing w:line="300" w:lineRule="exact"/>
              <w:jc w:val="left"/>
              <w:rPr>
                <w:rFonts w:ascii="宋体" w:hAnsi="宋体" w:cs="宋体"/>
                <w:kern w:val="0"/>
                <w:sz w:val="16"/>
                <w:szCs w:val="16"/>
              </w:rPr>
            </w:pPr>
            <w:r>
              <w:rPr>
                <w:rFonts w:hint="eastAsia" w:ascii="宋体" w:hAnsi="宋体" w:cs="宋体"/>
                <w:kern w:val="0"/>
                <w:sz w:val="16"/>
                <w:szCs w:val="16"/>
              </w:rPr>
              <w:t>根据审计监督、财政检查结果反映部门上一年度部门预算管理是否合规。</w:t>
            </w:r>
          </w:p>
        </w:tc>
        <w:tc>
          <w:tcPr>
            <w:tcW w:w="1611" w:type="pct"/>
            <w:tcBorders>
              <w:top w:val="nil"/>
              <w:left w:val="nil"/>
              <w:bottom w:val="single" w:color="auto" w:sz="4" w:space="0"/>
              <w:right w:val="single" w:color="auto" w:sz="4" w:space="0"/>
            </w:tcBorders>
            <w:shd w:val="clear" w:color="auto" w:fill="auto"/>
            <w:vAlign w:val="center"/>
          </w:tcPr>
          <w:p w14:paraId="6225FDF1">
            <w:pPr>
              <w:widowControl/>
              <w:spacing w:line="300" w:lineRule="exact"/>
              <w:jc w:val="left"/>
              <w:rPr>
                <w:rFonts w:ascii="宋体" w:hAnsi="宋体" w:cs="宋体"/>
                <w:kern w:val="0"/>
                <w:sz w:val="16"/>
                <w:szCs w:val="16"/>
              </w:rPr>
            </w:pPr>
            <w:r>
              <w:rPr>
                <w:rFonts w:hint="eastAsia" w:ascii="宋体" w:hAnsi="宋体" w:cs="宋体"/>
                <w:kern w:val="0"/>
                <w:sz w:val="16"/>
                <w:szCs w:val="16"/>
              </w:rPr>
              <w:t>依据评价年度审计监督、财政检查结果，出现部门预算管理方面违纪违规问题的，每个问题扣0.5分，直至扣完。</w:t>
            </w:r>
          </w:p>
        </w:tc>
        <w:tc>
          <w:tcPr>
            <w:tcW w:w="417" w:type="pct"/>
            <w:tcBorders>
              <w:top w:val="nil"/>
              <w:left w:val="nil"/>
              <w:bottom w:val="single" w:color="auto" w:sz="4" w:space="0"/>
              <w:right w:val="single" w:color="auto" w:sz="4" w:space="0"/>
            </w:tcBorders>
            <w:shd w:val="clear" w:color="auto" w:fill="auto"/>
            <w:vAlign w:val="center"/>
          </w:tcPr>
          <w:p w14:paraId="13AC40A6">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393" w:type="pct"/>
            <w:tcBorders>
              <w:top w:val="nil"/>
              <w:left w:val="nil"/>
              <w:bottom w:val="single" w:color="auto" w:sz="4" w:space="0"/>
              <w:right w:val="single" w:color="auto" w:sz="4" w:space="0"/>
            </w:tcBorders>
            <w:shd w:val="clear" w:color="auto" w:fill="auto"/>
            <w:vAlign w:val="center"/>
          </w:tcPr>
          <w:p w14:paraId="68569CE4">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50707281">
        <w:tblPrEx>
          <w:tblCellMar>
            <w:top w:w="0" w:type="dxa"/>
            <w:left w:w="108" w:type="dxa"/>
            <w:bottom w:w="0" w:type="dxa"/>
            <w:right w:w="108" w:type="dxa"/>
          </w:tblCellMar>
        </w:tblPrEx>
        <w:trPr>
          <w:trHeight w:val="336" w:hRule="atLeast"/>
        </w:trPr>
        <w:tc>
          <w:tcPr>
            <w:tcW w:w="391" w:type="pct"/>
            <w:vMerge w:val="restart"/>
            <w:tcBorders>
              <w:top w:val="nil"/>
              <w:left w:val="single" w:color="auto" w:sz="4" w:space="0"/>
              <w:bottom w:val="single" w:color="auto" w:sz="4" w:space="0"/>
              <w:right w:val="single" w:color="auto" w:sz="4" w:space="0"/>
            </w:tcBorders>
            <w:shd w:val="clear" w:color="auto" w:fill="auto"/>
            <w:vAlign w:val="center"/>
          </w:tcPr>
          <w:p w14:paraId="2895C81D">
            <w:pPr>
              <w:widowControl/>
              <w:spacing w:line="300" w:lineRule="exact"/>
              <w:jc w:val="center"/>
              <w:rPr>
                <w:rFonts w:ascii="宋体" w:hAnsi="宋体" w:cs="宋体"/>
                <w:kern w:val="0"/>
                <w:sz w:val="16"/>
                <w:szCs w:val="16"/>
              </w:rPr>
            </w:pPr>
            <w:r>
              <w:rPr>
                <w:rFonts w:hint="eastAsia" w:ascii="宋体" w:hAnsi="宋体" w:cs="宋体"/>
                <w:kern w:val="0"/>
                <w:sz w:val="16"/>
                <w:szCs w:val="16"/>
              </w:rPr>
              <w:t>绩效结果应用（10分）</w:t>
            </w:r>
          </w:p>
        </w:tc>
        <w:tc>
          <w:tcPr>
            <w:tcW w:w="401" w:type="pct"/>
            <w:tcBorders>
              <w:top w:val="nil"/>
              <w:left w:val="nil"/>
              <w:bottom w:val="single" w:color="auto" w:sz="4" w:space="0"/>
              <w:right w:val="single" w:color="auto" w:sz="4" w:space="0"/>
            </w:tcBorders>
            <w:shd w:val="clear" w:color="auto" w:fill="auto"/>
            <w:vAlign w:val="center"/>
          </w:tcPr>
          <w:p w14:paraId="38160ECE">
            <w:pPr>
              <w:widowControl/>
              <w:spacing w:line="300" w:lineRule="exact"/>
              <w:jc w:val="center"/>
              <w:rPr>
                <w:rFonts w:ascii="宋体" w:hAnsi="宋体" w:cs="宋体"/>
                <w:kern w:val="0"/>
                <w:sz w:val="16"/>
                <w:szCs w:val="16"/>
              </w:rPr>
            </w:pPr>
            <w:r>
              <w:rPr>
                <w:rFonts w:hint="eastAsia" w:ascii="宋体" w:hAnsi="宋体" w:cs="宋体"/>
                <w:kern w:val="0"/>
                <w:sz w:val="16"/>
                <w:szCs w:val="16"/>
              </w:rPr>
              <w:t>信息公开（2分)</w:t>
            </w:r>
          </w:p>
        </w:tc>
        <w:tc>
          <w:tcPr>
            <w:tcW w:w="559" w:type="pct"/>
            <w:tcBorders>
              <w:top w:val="nil"/>
              <w:left w:val="nil"/>
              <w:bottom w:val="single" w:color="auto" w:sz="4" w:space="0"/>
              <w:right w:val="single" w:color="auto" w:sz="4" w:space="0"/>
            </w:tcBorders>
            <w:shd w:val="clear" w:color="auto" w:fill="auto"/>
            <w:vAlign w:val="center"/>
          </w:tcPr>
          <w:p w14:paraId="253636FF">
            <w:pPr>
              <w:widowControl/>
              <w:spacing w:line="300" w:lineRule="exact"/>
              <w:jc w:val="center"/>
              <w:rPr>
                <w:rFonts w:ascii="宋体" w:hAnsi="宋体" w:cs="宋体"/>
                <w:kern w:val="0"/>
                <w:sz w:val="16"/>
                <w:szCs w:val="16"/>
              </w:rPr>
            </w:pPr>
            <w:r>
              <w:rPr>
                <w:rFonts w:hint="eastAsia" w:ascii="宋体" w:hAnsi="宋体" w:cs="宋体"/>
                <w:kern w:val="0"/>
                <w:sz w:val="16"/>
                <w:szCs w:val="16"/>
              </w:rPr>
              <w:t>自评公开</w:t>
            </w:r>
          </w:p>
        </w:tc>
        <w:tc>
          <w:tcPr>
            <w:tcW w:w="359" w:type="pct"/>
            <w:tcBorders>
              <w:top w:val="nil"/>
              <w:left w:val="nil"/>
              <w:bottom w:val="single" w:color="auto" w:sz="4" w:space="0"/>
              <w:right w:val="single" w:color="auto" w:sz="4" w:space="0"/>
            </w:tcBorders>
            <w:shd w:val="clear" w:color="auto" w:fill="auto"/>
            <w:vAlign w:val="center"/>
          </w:tcPr>
          <w:p w14:paraId="7354C1BC">
            <w:pPr>
              <w:widowControl/>
              <w:spacing w:line="300" w:lineRule="exact"/>
              <w:jc w:val="center"/>
              <w:rPr>
                <w:rFonts w:ascii="宋体" w:hAnsi="宋体" w:cs="宋体"/>
                <w:kern w:val="0"/>
                <w:sz w:val="16"/>
                <w:szCs w:val="16"/>
              </w:rPr>
            </w:pPr>
            <w:r>
              <w:rPr>
                <w:rFonts w:hint="eastAsia" w:ascii="宋体" w:hAnsi="宋体" w:cs="宋体"/>
                <w:kern w:val="0"/>
                <w:sz w:val="16"/>
                <w:szCs w:val="16"/>
              </w:rPr>
              <w:t>2</w:t>
            </w:r>
          </w:p>
        </w:tc>
        <w:tc>
          <w:tcPr>
            <w:tcW w:w="868" w:type="pct"/>
            <w:tcBorders>
              <w:top w:val="nil"/>
              <w:left w:val="nil"/>
              <w:bottom w:val="single" w:color="auto" w:sz="4" w:space="0"/>
              <w:right w:val="single" w:color="auto" w:sz="4" w:space="0"/>
            </w:tcBorders>
            <w:shd w:val="clear" w:color="auto" w:fill="auto"/>
            <w:vAlign w:val="center"/>
          </w:tcPr>
          <w:p w14:paraId="0402453D">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评价部门是否按要求将部门整体绩效自评情况和自行组织的评价情况向社会公开。</w:t>
            </w:r>
          </w:p>
        </w:tc>
        <w:tc>
          <w:tcPr>
            <w:tcW w:w="1611" w:type="pct"/>
            <w:tcBorders>
              <w:top w:val="nil"/>
              <w:left w:val="nil"/>
              <w:bottom w:val="single" w:color="auto" w:sz="4" w:space="0"/>
              <w:right w:val="single" w:color="auto" w:sz="4" w:space="0"/>
            </w:tcBorders>
            <w:shd w:val="clear" w:color="auto" w:fill="auto"/>
            <w:vAlign w:val="center"/>
          </w:tcPr>
          <w:p w14:paraId="16E85F7F">
            <w:pPr>
              <w:widowControl/>
              <w:spacing w:line="300" w:lineRule="exact"/>
              <w:jc w:val="left"/>
              <w:rPr>
                <w:rFonts w:ascii="宋体" w:hAnsi="宋体" w:cs="宋体"/>
                <w:kern w:val="0"/>
                <w:sz w:val="16"/>
                <w:szCs w:val="16"/>
              </w:rPr>
            </w:pPr>
            <w:r>
              <w:rPr>
                <w:rFonts w:hint="eastAsia" w:ascii="宋体" w:hAnsi="宋体" w:cs="宋体"/>
                <w:kern w:val="0"/>
                <w:sz w:val="16"/>
                <w:szCs w:val="16"/>
              </w:rPr>
              <w:t>按要求将相关绩效信息随同决算公开的，得2分，否则不得分。</w:t>
            </w:r>
          </w:p>
        </w:tc>
        <w:tc>
          <w:tcPr>
            <w:tcW w:w="417" w:type="pct"/>
            <w:tcBorders>
              <w:top w:val="nil"/>
              <w:left w:val="nil"/>
              <w:bottom w:val="single" w:color="auto" w:sz="4" w:space="0"/>
              <w:right w:val="single" w:color="auto" w:sz="4" w:space="0"/>
            </w:tcBorders>
            <w:shd w:val="clear" w:color="auto" w:fill="auto"/>
            <w:vAlign w:val="center"/>
          </w:tcPr>
          <w:p w14:paraId="3944B49D">
            <w:pPr>
              <w:widowControl/>
              <w:spacing w:line="300" w:lineRule="exact"/>
              <w:jc w:val="center"/>
              <w:rPr>
                <w:rFonts w:ascii="宋体" w:hAnsi="宋体" w:cs="宋体"/>
                <w:kern w:val="0"/>
                <w:sz w:val="16"/>
                <w:szCs w:val="16"/>
              </w:rPr>
            </w:pPr>
            <w:r>
              <w:rPr>
                <w:rFonts w:hint="eastAsia" w:ascii="宋体" w:hAnsi="宋体" w:cs="宋体"/>
                <w:kern w:val="0"/>
                <w:sz w:val="16"/>
                <w:szCs w:val="16"/>
              </w:rPr>
              <w:t>2</w:t>
            </w:r>
          </w:p>
        </w:tc>
        <w:tc>
          <w:tcPr>
            <w:tcW w:w="393" w:type="pct"/>
            <w:tcBorders>
              <w:top w:val="nil"/>
              <w:left w:val="nil"/>
              <w:bottom w:val="single" w:color="auto" w:sz="4" w:space="0"/>
              <w:right w:val="single" w:color="auto" w:sz="4" w:space="0"/>
            </w:tcBorders>
            <w:shd w:val="clear" w:color="auto" w:fill="auto"/>
            <w:vAlign w:val="center"/>
          </w:tcPr>
          <w:p w14:paraId="78BB79D6">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03BF5865">
        <w:tblPrEx>
          <w:tblCellMar>
            <w:top w:w="0" w:type="dxa"/>
            <w:left w:w="108" w:type="dxa"/>
            <w:bottom w:w="0" w:type="dxa"/>
            <w:right w:w="108" w:type="dxa"/>
          </w:tblCellMar>
        </w:tblPrEx>
        <w:trPr>
          <w:trHeight w:val="447" w:hRule="atLeast"/>
        </w:trPr>
        <w:tc>
          <w:tcPr>
            <w:tcW w:w="391" w:type="pct"/>
            <w:vMerge w:val="continue"/>
            <w:tcBorders>
              <w:top w:val="nil"/>
              <w:left w:val="single" w:color="auto" w:sz="4" w:space="0"/>
              <w:bottom w:val="single" w:color="auto" w:sz="4" w:space="0"/>
              <w:right w:val="single" w:color="auto" w:sz="4" w:space="0"/>
            </w:tcBorders>
            <w:vAlign w:val="center"/>
          </w:tcPr>
          <w:p w14:paraId="4CEB8498">
            <w:pPr>
              <w:widowControl/>
              <w:spacing w:line="300" w:lineRule="exact"/>
              <w:jc w:val="left"/>
              <w:rPr>
                <w:rFonts w:ascii="宋体" w:hAnsi="宋体" w:cs="宋体"/>
                <w:kern w:val="0"/>
                <w:sz w:val="16"/>
                <w:szCs w:val="16"/>
              </w:rPr>
            </w:pPr>
          </w:p>
        </w:tc>
        <w:tc>
          <w:tcPr>
            <w:tcW w:w="401" w:type="pct"/>
            <w:vMerge w:val="restart"/>
            <w:tcBorders>
              <w:top w:val="nil"/>
              <w:left w:val="single" w:color="auto" w:sz="4" w:space="0"/>
              <w:bottom w:val="single" w:color="auto" w:sz="4" w:space="0"/>
              <w:right w:val="single" w:color="auto" w:sz="4" w:space="0"/>
            </w:tcBorders>
            <w:shd w:val="clear" w:color="auto" w:fill="auto"/>
            <w:vAlign w:val="center"/>
          </w:tcPr>
          <w:p w14:paraId="42A49AFE">
            <w:pPr>
              <w:widowControl/>
              <w:spacing w:line="300" w:lineRule="exact"/>
              <w:jc w:val="center"/>
              <w:rPr>
                <w:rFonts w:ascii="宋体" w:hAnsi="宋体" w:cs="宋体"/>
                <w:kern w:val="0"/>
                <w:sz w:val="16"/>
                <w:szCs w:val="16"/>
              </w:rPr>
            </w:pPr>
            <w:r>
              <w:rPr>
                <w:rFonts w:hint="eastAsia" w:ascii="宋体" w:hAnsi="宋体" w:cs="宋体"/>
                <w:kern w:val="0"/>
                <w:sz w:val="16"/>
                <w:szCs w:val="16"/>
              </w:rPr>
              <w:t>整改反馈（8分）</w:t>
            </w:r>
          </w:p>
        </w:tc>
        <w:tc>
          <w:tcPr>
            <w:tcW w:w="559" w:type="pct"/>
            <w:tcBorders>
              <w:top w:val="nil"/>
              <w:left w:val="nil"/>
              <w:bottom w:val="single" w:color="auto" w:sz="4" w:space="0"/>
              <w:right w:val="single" w:color="auto" w:sz="4" w:space="0"/>
            </w:tcBorders>
            <w:shd w:val="clear" w:color="auto" w:fill="auto"/>
            <w:vAlign w:val="center"/>
          </w:tcPr>
          <w:p w14:paraId="3A702D63">
            <w:pPr>
              <w:widowControl/>
              <w:spacing w:line="300" w:lineRule="exact"/>
              <w:jc w:val="center"/>
              <w:rPr>
                <w:rFonts w:ascii="宋体" w:hAnsi="宋体" w:cs="宋体"/>
                <w:kern w:val="0"/>
                <w:sz w:val="16"/>
                <w:szCs w:val="16"/>
              </w:rPr>
            </w:pPr>
            <w:r>
              <w:rPr>
                <w:rFonts w:hint="eastAsia" w:ascii="宋体" w:hAnsi="宋体" w:cs="宋体"/>
                <w:kern w:val="0"/>
                <w:sz w:val="16"/>
                <w:szCs w:val="16"/>
              </w:rPr>
              <w:t>结果整改</w:t>
            </w:r>
          </w:p>
        </w:tc>
        <w:tc>
          <w:tcPr>
            <w:tcW w:w="359" w:type="pct"/>
            <w:tcBorders>
              <w:top w:val="nil"/>
              <w:left w:val="nil"/>
              <w:bottom w:val="single" w:color="auto" w:sz="4" w:space="0"/>
              <w:right w:val="single" w:color="auto" w:sz="4" w:space="0"/>
            </w:tcBorders>
            <w:shd w:val="clear" w:color="auto" w:fill="auto"/>
            <w:vAlign w:val="center"/>
          </w:tcPr>
          <w:p w14:paraId="16CC7337">
            <w:pPr>
              <w:widowControl/>
              <w:spacing w:line="300" w:lineRule="exact"/>
              <w:jc w:val="center"/>
              <w:rPr>
                <w:rFonts w:ascii="宋体" w:hAnsi="宋体" w:cs="宋体"/>
                <w:kern w:val="0"/>
                <w:sz w:val="16"/>
                <w:szCs w:val="16"/>
              </w:rPr>
            </w:pPr>
            <w:r>
              <w:rPr>
                <w:rFonts w:hint="eastAsia" w:ascii="宋体" w:hAnsi="宋体" w:cs="宋体"/>
                <w:kern w:val="0"/>
                <w:sz w:val="16"/>
                <w:szCs w:val="16"/>
              </w:rPr>
              <w:t>4</w:t>
            </w:r>
          </w:p>
        </w:tc>
        <w:tc>
          <w:tcPr>
            <w:tcW w:w="868" w:type="pct"/>
            <w:tcBorders>
              <w:top w:val="nil"/>
              <w:left w:val="nil"/>
              <w:bottom w:val="single" w:color="auto" w:sz="4" w:space="0"/>
              <w:right w:val="single" w:color="auto" w:sz="4" w:space="0"/>
            </w:tcBorders>
            <w:shd w:val="clear" w:color="auto" w:fill="auto"/>
            <w:vAlign w:val="center"/>
          </w:tcPr>
          <w:p w14:paraId="363C9D4D">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评价部门根据绩效管理结果整改问题、完善政策、改进管理的情况。</w:t>
            </w:r>
          </w:p>
        </w:tc>
        <w:tc>
          <w:tcPr>
            <w:tcW w:w="1611" w:type="pct"/>
            <w:tcBorders>
              <w:top w:val="nil"/>
              <w:left w:val="nil"/>
              <w:bottom w:val="single" w:color="auto" w:sz="4" w:space="0"/>
              <w:right w:val="single" w:color="auto" w:sz="4" w:space="0"/>
            </w:tcBorders>
            <w:shd w:val="clear" w:color="auto" w:fill="auto"/>
            <w:vAlign w:val="center"/>
          </w:tcPr>
          <w:p w14:paraId="4897A132">
            <w:pPr>
              <w:widowControl/>
              <w:spacing w:line="300" w:lineRule="exact"/>
              <w:jc w:val="left"/>
              <w:rPr>
                <w:rFonts w:ascii="宋体" w:hAnsi="宋体" w:cs="宋体"/>
                <w:kern w:val="0"/>
                <w:sz w:val="16"/>
                <w:szCs w:val="16"/>
              </w:rPr>
            </w:pPr>
            <w:r>
              <w:rPr>
                <w:rFonts w:hint="eastAsia" w:ascii="宋体" w:hAnsi="宋体" w:cs="宋体"/>
                <w:kern w:val="0"/>
                <w:sz w:val="16"/>
                <w:szCs w:val="16"/>
              </w:rPr>
              <w:t>针对绩效管理过程中（包括绩效目标核查、绩效监控核查和重点绩效评价）提出的问题进行整改，将绩效管理结果应用于完善政策、改进管理、预算挂钩等的，得4分。否则，酌情扣分。</w:t>
            </w:r>
          </w:p>
        </w:tc>
        <w:tc>
          <w:tcPr>
            <w:tcW w:w="417" w:type="pct"/>
            <w:tcBorders>
              <w:top w:val="nil"/>
              <w:left w:val="nil"/>
              <w:bottom w:val="single" w:color="auto" w:sz="4" w:space="0"/>
              <w:right w:val="single" w:color="auto" w:sz="4" w:space="0"/>
            </w:tcBorders>
            <w:shd w:val="clear" w:color="auto" w:fill="auto"/>
            <w:vAlign w:val="center"/>
          </w:tcPr>
          <w:p w14:paraId="6B5362FA">
            <w:pPr>
              <w:widowControl/>
              <w:spacing w:line="300" w:lineRule="exact"/>
              <w:jc w:val="center"/>
              <w:rPr>
                <w:rFonts w:ascii="宋体" w:hAnsi="宋体" w:cs="宋体"/>
                <w:kern w:val="0"/>
                <w:sz w:val="16"/>
                <w:szCs w:val="16"/>
              </w:rPr>
            </w:pPr>
            <w:r>
              <w:rPr>
                <w:rFonts w:hint="eastAsia" w:ascii="宋体" w:hAnsi="宋体" w:cs="宋体"/>
                <w:kern w:val="0"/>
                <w:sz w:val="16"/>
                <w:szCs w:val="16"/>
              </w:rPr>
              <w:t>4</w:t>
            </w:r>
          </w:p>
        </w:tc>
        <w:tc>
          <w:tcPr>
            <w:tcW w:w="393" w:type="pct"/>
            <w:tcBorders>
              <w:top w:val="nil"/>
              <w:left w:val="nil"/>
              <w:bottom w:val="single" w:color="auto" w:sz="4" w:space="0"/>
              <w:right w:val="single" w:color="auto" w:sz="4" w:space="0"/>
            </w:tcBorders>
            <w:shd w:val="clear" w:color="auto" w:fill="auto"/>
            <w:vAlign w:val="center"/>
          </w:tcPr>
          <w:p w14:paraId="5235068D">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78DFEF1B">
        <w:tblPrEx>
          <w:tblCellMar>
            <w:top w:w="0" w:type="dxa"/>
            <w:left w:w="108" w:type="dxa"/>
            <w:bottom w:w="0" w:type="dxa"/>
            <w:right w:w="108" w:type="dxa"/>
          </w:tblCellMar>
        </w:tblPrEx>
        <w:trPr>
          <w:trHeight w:val="224" w:hRule="atLeast"/>
        </w:trPr>
        <w:tc>
          <w:tcPr>
            <w:tcW w:w="391" w:type="pct"/>
            <w:vMerge w:val="continue"/>
            <w:tcBorders>
              <w:top w:val="nil"/>
              <w:left w:val="single" w:color="auto" w:sz="4" w:space="0"/>
              <w:bottom w:val="single" w:color="auto" w:sz="4" w:space="0"/>
              <w:right w:val="single" w:color="auto" w:sz="4" w:space="0"/>
            </w:tcBorders>
            <w:vAlign w:val="center"/>
          </w:tcPr>
          <w:p w14:paraId="0E1B8A9C">
            <w:pPr>
              <w:widowControl/>
              <w:spacing w:line="300" w:lineRule="exact"/>
              <w:jc w:val="left"/>
              <w:rPr>
                <w:rFonts w:ascii="宋体" w:hAnsi="宋体" w:cs="宋体"/>
                <w:kern w:val="0"/>
                <w:sz w:val="16"/>
                <w:szCs w:val="16"/>
              </w:rPr>
            </w:pPr>
          </w:p>
        </w:tc>
        <w:tc>
          <w:tcPr>
            <w:tcW w:w="401" w:type="pct"/>
            <w:vMerge w:val="continue"/>
            <w:tcBorders>
              <w:top w:val="nil"/>
              <w:left w:val="single" w:color="auto" w:sz="4" w:space="0"/>
              <w:bottom w:val="single" w:color="auto" w:sz="4" w:space="0"/>
              <w:right w:val="single" w:color="auto" w:sz="4" w:space="0"/>
            </w:tcBorders>
            <w:vAlign w:val="center"/>
          </w:tcPr>
          <w:p w14:paraId="1DBF9542">
            <w:pPr>
              <w:widowControl/>
              <w:spacing w:line="300" w:lineRule="exact"/>
              <w:jc w:val="left"/>
              <w:rPr>
                <w:rFonts w:ascii="宋体" w:hAnsi="宋体" w:cs="宋体"/>
                <w:kern w:val="0"/>
                <w:sz w:val="16"/>
                <w:szCs w:val="16"/>
              </w:rPr>
            </w:pPr>
          </w:p>
        </w:tc>
        <w:tc>
          <w:tcPr>
            <w:tcW w:w="559" w:type="pct"/>
            <w:tcBorders>
              <w:top w:val="nil"/>
              <w:left w:val="nil"/>
              <w:bottom w:val="single" w:color="auto" w:sz="4" w:space="0"/>
              <w:right w:val="single" w:color="auto" w:sz="4" w:space="0"/>
            </w:tcBorders>
            <w:shd w:val="clear" w:color="auto" w:fill="auto"/>
            <w:vAlign w:val="center"/>
          </w:tcPr>
          <w:p w14:paraId="738FE479">
            <w:pPr>
              <w:widowControl/>
              <w:spacing w:line="300" w:lineRule="exact"/>
              <w:jc w:val="center"/>
              <w:rPr>
                <w:rFonts w:ascii="宋体" w:hAnsi="宋体" w:cs="宋体"/>
                <w:kern w:val="0"/>
                <w:sz w:val="16"/>
                <w:szCs w:val="16"/>
              </w:rPr>
            </w:pPr>
            <w:r>
              <w:rPr>
                <w:rFonts w:hint="eastAsia" w:ascii="宋体" w:hAnsi="宋体" w:cs="宋体"/>
                <w:kern w:val="0"/>
                <w:sz w:val="16"/>
                <w:szCs w:val="16"/>
              </w:rPr>
              <w:t>应用反馈</w:t>
            </w:r>
          </w:p>
        </w:tc>
        <w:tc>
          <w:tcPr>
            <w:tcW w:w="359" w:type="pct"/>
            <w:tcBorders>
              <w:top w:val="nil"/>
              <w:left w:val="nil"/>
              <w:bottom w:val="single" w:color="auto" w:sz="4" w:space="0"/>
              <w:right w:val="single" w:color="auto" w:sz="4" w:space="0"/>
            </w:tcBorders>
            <w:shd w:val="clear" w:color="auto" w:fill="auto"/>
            <w:vAlign w:val="center"/>
          </w:tcPr>
          <w:p w14:paraId="56A5BAD6">
            <w:pPr>
              <w:widowControl/>
              <w:spacing w:line="300" w:lineRule="exact"/>
              <w:jc w:val="center"/>
              <w:rPr>
                <w:rFonts w:ascii="宋体" w:hAnsi="宋体" w:cs="宋体"/>
                <w:kern w:val="0"/>
                <w:sz w:val="16"/>
                <w:szCs w:val="16"/>
              </w:rPr>
            </w:pPr>
            <w:r>
              <w:rPr>
                <w:rFonts w:hint="eastAsia" w:ascii="宋体" w:hAnsi="宋体" w:cs="宋体"/>
                <w:kern w:val="0"/>
                <w:sz w:val="16"/>
                <w:szCs w:val="16"/>
              </w:rPr>
              <w:t>4</w:t>
            </w:r>
          </w:p>
        </w:tc>
        <w:tc>
          <w:tcPr>
            <w:tcW w:w="868" w:type="pct"/>
            <w:tcBorders>
              <w:top w:val="nil"/>
              <w:left w:val="nil"/>
              <w:bottom w:val="single" w:color="auto" w:sz="4" w:space="0"/>
              <w:right w:val="single" w:color="auto" w:sz="4" w:space="0"/>
            </w:tcBorders>
            <w:shd w:val="clear" w:color="auto" w:fill="auto"/>
            <w:vAlign w:val="center"/>
          </w:tcPr>
          <w:p w14:paraId="7D754A87">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评价部门按要求及时向财政部门反馈结果应用情况。</w:t>
            </w:r>
          </w:p>
        </w:tc>
        <w:tc>
          <w:tcPr>
            <w:tcW w:w="1611" w:type="pct"/>
            <w:tcBorders>
              <w:top w:val="nil"/>
              <w:left w:val="nil"/>
              <w:bottom w:val="single" w:color="auto" w:sz="4" w:space="0"/>
              <w:right w:val="single" w:color="auto" w:sz="4" w:space="0"/>
            </w:tcBorders>
            <w:shd w:val="clear" w:color="auto" w:fill="auto"/>
            <w:vAlign w:val="center"/>
          </w:tcPr>
          <w:p w14:paraId="3352693A">
            <w:pPr>
              <w:widowControl/>
              <w:spacing w:line="300" w:lineRule="exact"/>
              <w:jc w:val="left"/>
              <w:rPr>
                <w:rFonts w:ascii="宋体" w:hAnsi="宋体" w:cs="宋体"/>
                <w:kern w:val="0"/>
                <w:sz w:val="16"/>
                <w:szCs w:val="16"/>
              </w:rPr>
            </w:pPr>
            <w:r>
              <w:rPr>
                <w:rFonts w:hint="eastAsia" w:ascii="宋体" w:hAnsi="宋体" w:cs="宋体"/>
                <w:kern w:val="0"/>
                <w:sz w:val="16"/>
                <w:szCs w:val="16"/>
              </w:rPr>
              <w:t>部门在规定时间内向财政部门反馈应用绩效结果报告的，得满分，否则不得分。</w:t>
            </w:r>
          </w:p>
        </w:tc>
        <w:tc>
          <w:tcPr>
            <w:tcW w:w="417" w:type="pct"/>
            <w:tcBorders>
              <w:top w:val="nil"/>
              <w:left w:val="nil"/>
              <w:bottom w:val="single" w:color="auto" w:sz="4" w:space="0"/>
              <w:right w:val="single" w:color="auto" w:sz="4" w:space="0"/>
            </w:tcBorders>
            <w:shd w:val="clear" w:color="auto" w:fill="auto"/>
            <w:vAlign w:val="center"/>
          </w:tcPr>
          <w:p w14:paraId="5FEC04D1">
            <w:pPr>
              <w:widowControl/>
              <w:spacing w:line="300" w:lineRule="exact"/>
              <w:jc w:val="center"/>
              <w:rPr>
                <w:rFonts w:ascii="宋体" w:hAnsi="宋体" w:cs="宋体"/>
                <w:kern w:val="0"/>
                <w:sz w:val="16"/>
                <w:szCs w:val="16"/>
              </w:rPr>
            </w:pPr>
            <w:r>
              <w:rPr>
                <w:rFonts w:hint="eastAsia" w:ascii="宋体" w:hAnsi="宋体" w:cs="宋体"/>
                <w:kern w:val="0"/>
                <w:sz w:val="16"/>
                <w:szCs w:val="16"/>
              </w:rPr>
              <w:t>4</w:t>
            </w:r>
          </w:p>
        </w:tc>
        <w:tc>
          <w:tcPr>
            <w:tcW w:w="393" w:type="pct"/>
            <w:tcBorders>
              <w:top w:val="nil"/>
              <w:left w:val="nil"/>
              <w:bottom w:val="single" w:color="auto" w:sz="4" w:space="0"/>
              <w:right w:val="single" w:color="auto" w:sz="4" w:space="0"/>
            </w:tcBorders>
            <w:shd w:val="clear" w:color="auto" w:fill="auto"/>
            <w:vAlign w:val="center"/>
          </w:tcPr>
          <w:p w14:paraId="0AB627B9">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13504AF3">
        <w:tblPrEx>
          <w:tblCellMar>
            <w:top w:w="0" w:type="dxa"/>
            <w:left w:w="108" w:type="dxa"/>
            <w:bottom w:w="0" w:type="dxa"/>
            <w:right w:w="108" w:type="dxa"/>
          </w:tblCellMar>
        </w:tblPrEx>
        <w:trPr>
          <w:trHeight w:val="559" w:hRule="atLeast"/>
        </w:trPr>
        <w:tc>
          <w:tcPr>
            <w:tcW w:w="391" w:type="pct"/>
            <w:tcBorders>
              <w:top w:val="nil"/>
              <w:left w:val="single" w:color="auto" w:sz="4" w:space="0"/>
              <w:bottom w:val="single" w:color="auto" w:sz="4" w:space="0"/>
              <w:right w:val="single" w:color="auto" w:sz="4" w:space="0"/>
            </w:tcBorders>
            <w:shd w:val="clear" w:color="auto" w:fill="auto"/>
            <w:vAlign w:val="center"/>
          </w:tcPr>
          <w:p w14:paraId="798C4921">
            <w:pPr>
              <w:widowControl/>
              <w:spacing w:line="300" w:lineRule="exact"/>
              <w:jc w:val="left"/>
              <w:rPr>
                <w:rFonts w:ascii="宋体" w:hAnsi="宋体" w:cs="宋体"/>
                <w:kern w:val="0"/>
                <w:sz w:val="16"/>
                <w:szCs w:val="16"/>
              </w:rPr>
            </w:pPr>
            <w:r>
              <w:rPr>
                <w:rFonts w:hint="eastAsia" w:ascii="宋体" w:hAnsi="宋体" w:cs="宋体"/>
                <w:kern w:val="0"/>
                <w:sz w:val="16"/>
                <w:szCs w:val="16"/>
              </w:rPr>
              <w:t>自评质量（10分）</w:t>
            </w:r>
          </w:p>
        </w:tc>
        <w:tc>
          <w:tcPr>
            <w:tcW w:w="401" w:type="pct"/>
            <w:tcBorders>
              <w:top w:val="nil"/>
              <w:left w:val="nil"/>
              <w:bottom w:val="single" w:color="auto" w:sz="4" w:space="0"/>
              <w:right w:val="single" w:color="auto" w:sz="4" w:space="0"/>
            </w:tcBorders>
            <w:shd w:val="clear" w:color="auto" w:fill="auto"/>
            <w:vAlign w:val="center"/>
          </w:tcPr>
          <w:p w14:paraId="4C6170DF">
            <w:pPr>
              <w:widowControl/>
              <w:spacing w:line="300" w:lineRule="exact"/>
              <w:jc w:val="center"/>
              <w:rPr>
                <w:rFonts w:ascii="宋体" w:hAnsi="宋体" w:cs="宋体"/>
                <w:kern w:val="0"/>
                <w:sz w:val="16"/>
                <w:szCs w:val="16"/>
              </w:rPr>
            </w:pPr>
            <w:r>
              <w:rPr>
                <w:rFonts w:hint="eastAsia" w:ascii="宋体" w:hAnsi="宋体" w:cs="宋体"/>
                <w:kern w:val="0"/>
                <w:sz w:val="16"/>
                <w:szCs w:val="16"/>
              </w:rPr>
              <w:t>自评质量（10分）</w:t>
            </w:r>
          </w:p>
        </w:tc>
        <w:tc>
          <w:tcPr>
            <w:tcW w:w="559" w:type="pct"/>
            <w:tcBorders>
              <w:top w:val="nil"/>
              <w:left w:val="nil"/>
              <w:bottom w:val="single" w:color="auto" w:sz="4" w:space="0"/>
              <w:right w:val="single" w:color="auto" w:sz="4" w:space="0"/>
            </w:tcBorders>
            <w:shd w:val="clear" w:color="auto" w:fill="auto"/>
            <w:vAlign w:val="center"/>
          </w:tcPr>
          <w:p w14:paraId="6F5E55D9">
            <w:pPr>
              <w:widowControl/>
              <w:spacing w:line="300" w:lineRule="exact"/>
              <w:jc w:val="center"/>
              <w:rPr>
                <w:rFonts w:ascii="宋体" w:hAnsi="宋体" w:cs="宋体"/>
                <w:kern w:val="0"/>
                <w:sz w:val="16"/>
                <w:szCs w:val="16"/>
              </w:rPr>
            </w:pPr>
            <w:r>
              <w:rPr>
                <w:rFonts w:hint="eastAsia" w:ascii="宋体" w:hAnsi="宋体" w:cs="宋体"/>
                <w:kern w:val="0"/>
                <w:sz w:val="16"/>
                <w:szCs w:val="16"/>
              </w:rPr>
              <w:t>自评准确</w:t>
            </w:r>
          </w:p>
        </w:tc>
        <w:tc>
          <w:tcPr>
            <w:tcW w:w="359" w:type="pct"/>
            <w:tcBorders>
              <w:top w:val="nil"/>
              <w:left w:val="nil"/>
              <w:bottom w:val="single" w:color="auto" w:sz="4" w:space="0"/>
              <w:right w:val="single" w:color="auto" w:sz="4" w:space="0"/>
            </w:tcBorders>
            <w:shd w:val="clear" w:color="auto" w:fill="auto"/>
            <w:vAlign w:val="center"/>
          </w:tcPr>
          <w:p w14:paraId="4F753CAA">
            <w:pPr>
              <w:widowControl/>
              <w:spacing w:line="300" w:lineRule="exact"/>
              <w:jc w:val="center"/>
              <w:rPr>
                <w:rFonts w:ascii="宋体" w:hAnsi="宋体" w:cs="宋体"/>
                <w:kern w:val="0"/>
                <w:sz w:val="16"/>
                <w:szCs w:val="16"/>
              </w:rPr>
            </w:pPr>
            <w:r>
              <w:rPr>
                <w:rFonts w:hint="eastAsia" w:ascii="宋体" w:hAnsi="宋体" w:cs="宋体"/>
                <w:kern w:val="0"/>
                <w:sz w:val="16"/>
                <w:szCs w:val="16"/>
              </w:rPr>
              <w:t>10</w:t>
            </w:r>
          </w:p>
        </w:tc>
        <w:tc>
          <w:tcPr>
            <w:tcW w:w="868" w:type="pct"/>
            <w:tcBorders>
              <w:top w:val="nil"/>
              <w:left w:val="nil"/>
              <w:bottom w:val="single" w:color="auto" w:sz="4" w:space="0"/>
              <w:right w:val="single" w:color="auto" w:sz="4" w:space="0"/>
            </w:tcBorders>
            <w:shd w:val="clear" w:color="auto" w:fill="auto"/>
            <w:vAlign w:val="center"/>
          </w:tcPr>
          <w:p w14:paraId="7785976C">
            <w:pPr>
              <w:widowControl/>
              <w:spacing w:line="300" w:lineRule="exact"/>
              <w:jc w:val="left"/>
              <w:rPr>
                <w:rFonts w:ascii="宋体" w:hAnsi="宋体" w:cs="宋体"/>
                <w:kern w:val="0"/>
                <w:sz w:val="16"/>
                <w:szCs w:val="16"/>
              </w:rPr>
            </w:pPr>
            <w:r>
              <w:rPr>
                <w:rFonts w:hint="eastAsia" w:ascii="宋体" w:hAnsi="宋体" w:cs="宋体"/>
                <w:kern w:val="0"/>
                <w:sz w:val="16"/>
                <w:szCs w:val="16"/>
              </w:rPr>
              <w:t>评价部门整体支出自评准确率。</w:t>
            </w:r>
          </w:p>
        </w:tc>
        <w:tc>
          <w:tcPr>
            <w:tcW w:w="1611" w:type="pct"/>
            <w:tcBorders>
              <w:top w:val="nil"/>
              <w:left w:val="nil"/>
              <w:bottom w:val="single" w:color="auto" w:sz="4" w:space="0"/>
              <w:right w:val="single" w:color="auto" w:sz="4" w:space="0"/>
            </w:tcBorders>
            <w:shd w:val="clear" w:color="auto" w:fill="auto"/>
            <w:vAlign w:val="center"/>
          </w:tcPr>
          <w:p w14:paraId="133A1521">
            <w:pPr>
              <w:widowControl/>
              <w:spacing w:line="300" w:lineRule="exact"/>
              <w:jc w:val="left"/>
              <w:rPr>
                <w:rFonts w:ascii="宋体" w:hAnsi="宋体" w:cs="宋体"/>
                <w:kern w:val="0"/>
                <w:sz w:val="16"/>
                <w:szCs w:val="16"/>
              </w:rPr>
            </w:pPr>
            <w:r>
              <w:rPr>
                <w:rFonts w:hint="eastAsia" w:ascii="宋体" w:hAnsi="宋体" w:cs="宋体"/>
                <w:kern w:val="0"/>
                <w:sz w:val="16"/>
                <w:szCs w:val="16"/>
              </w:rPr>
              <w:t>部门整体支出自评得分与评价组抽查得分差异在5%以内的，不扣分；在5%-10%之间的，扣4分，在10%-20%的，扣8分，在20%以上的，扣10分。（部门在自评时，此项指标无需打分，部门自评满分为90分）</w:t>
            </w:r>
          </w:p>
        </w:tc>
        <w:tc>
          <w:tcPr>
            <w:tcW w:w="417" w:type="pct"/>
            <w:tcBorders>
              <w:top w:val="nil"/>
              <w:left w:val="nil"/>
              <w:bottom w:val="single" w:color="auto" w:sz="4" w:space="0"/>
              <w:right w:val="single" w:color="auto" w:sz="4" w:space="0"/>
            </w:tcBorders>
            <w:shd w:val="clear" w:color="auto" w:fill="auto"/>
            <w:vAlign w:val="center"/>
          </w:tcPr>
          <w:p w14:paraId="324737AD">
            <w:pPr>
              <w:widowControl/>
              <w:spacing w:line="300" w:lineRule="exact"/>
              <w:jc w:val="center"/>
              <w:rPr>
                <w:rFonts w:ascii="宋体" w:hAnsi="宋体" w:cs="宋体"/>
                <w:kern w:val="0"/>
                <w:sz w:val="16"/>
                <w:szCs w:val="16"/>
              </w:rPr>
            </w:pPr>
            <w:r>
              <w:rPr>
                <w:rFonts w:hint="eastAsia" w:ascii="宋体" w:hAnsi="宋体" w:cs="宋体"/>
                <w:kern w:val="0"/>
                <w:sz w:val="16"/>
                <w:szCs w:val="16"/>
              </w:rPr>
              <w:t>　</w:t>
            </w:r>
          </w:p>
        </w:tc>
        <w:tc>
          <w:tcPr>
            <w:tcW w:w="393" w:type="pct"/>
            <w:tcBorders>
              <w:top w:val="nil"/>
              <w:left w:val="nil"/>
              <w:bottom w:val="single" w:color="auto" w:sz="4" w:space="0"/>
              <w:right w:val="single" w:color="auto" w:sz="4" w:space="0"/>
            </w:tcBorders>
            <w:shd w:val="clear" w:color="auto" w:fill="auto"/>
            <w:vAlign w:val="center"/>
          </w:tcPr>
          <w:p w14:paraId="46D46565">
            <w:pPr>
              <w:widowControl/>
              <w:spacing w:line="300" w:lineRule="exact"/>
              <w:jc w:val="left"/>
              <w:rPr>
                <w:rFonts w:ascii="宋体" w:hAnsi="宋体" w:cs="宋体"/>
                <w:kern w:val="0"/>
                <w:sz w:val="28"/>
                <w:szCs w:val="28"/>
              </w:rPr>
            </w:pPr>
            <w:r>
              <w:rPr>
                <w:rFonts w:hint="eastAsia" w:ascii="宋体" w:hAnsi="宋体" w:cs="宋体"/>
                <w:kern w:val="0"/>
                <w:sz w:val="28"/>
                <w:szCs w:val="28"/>
              </w:rPr>
              <w:t>　</w:t>
            </w:r>
          </w:p>
        </w:tc>
      </w:tr>
      <w:tr w14:paraId="744BA229">
        <w:tblPrEx>
          <w:tblCellMar>
            <w:top w:w="0" w:type="dxa"/>
            <w:left w:w="108" w:type="dxa"/>
            <w:bottom w:w="0" w:type="dxa"/>
            <w:right w:w="108" w:type="dxa"/>
          </w:tblCellMar>
        </w:tblPrEx>
        <w:trPr>
          <w:trHeight w:val="216"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C94404A">
            <w:pPr>
              <w:widowControl/>
              <w:spacing w:line="300" w:lineRule="exact"/>
              <w:jc w:val="center"/>
              <w:rPr>
                <w:rFonts w:ascii="宋体" w:hAnsi="宋体" w:cs="宋体"/>
                <w:b/>
                <w:bCs/>
                <w:kern w:val="0"/>
                <w:sz w:val="18"/>
                <w:szCs w:val="18"/>
              </w:rPr>
            </w:pPr>
            <w:r>
              <w:rPr>
                <w:rFonts w:hint="eastAsia" w:ascii="宋体" w:hAnsi="宋体" w:cs="宋体"/>
                <w:b/>
                <w:bCs/>
                <w:kern w:val="0"/>
                <w:sz w:val="18"/>
                <w:szCs w:val="18"/>
              </w:rPr>
              <w:t>总得分：90分</w:t>
            </w:r>
          </w:p>
        </w:tc>
      </w:tr>
    </w:tbl>
    <w:p w14:paraId="3D2867B6">
      <w:pPr>
        <w:pStyle w:val="3"/>
        <w:spacing w:before="93" w:line="560" w:lineRule="exact"/>
        <w:ind w:left="0" w:leftChars="0" w:firstLine="0" w:firstLineChars="0"/>
      </w:pPr>
    </w:p>
    <w:p w14:paraId="78021F59">
      <w:pPr>
        <w:pStyle w:val="3"/>
        <w:spacing w:before="93" w:line="560" w:lineRule="exact"/>
        <w:ind w:left="0" w:leftChars="0" w:firstLine="0" w:firstLineChars="0"/>
      </w:pPr>
    </w:p>
    <w:p w14:paraId="16C20093">
      <w:pPr>
        <w:pStyle w:val="3"/>
        <w:spacing w:before="93" w:line="560" w:lineRule="exact"/>
        <w:ind w:left="0" w:leftChars="0" w:firstLine="0" w:firstLineChars="0"/>
      </w:pPr>
    </w:p>
    <w:p w14:paraId="297300CA">
      <w:pPr>
        <w:pStyle w:val="3"/>
        <w:spacing w:before="93" w:line="560" w:lineRule="exact"/>
        <w:ind w:left="0" w:leftChars="0" w:firstLine="0" w:firstLineChars="0"/>
      </w:pPr>
    </w:p>
    <w:p w14:paraId="45F5076B">
      <w:pPr>
        <w:pStyle w:val="3"/>
        <w:spacing w:before="93" w:line="560" w:lineRule="exact"/>
        <w:ind w:left="0" w:leftChars="0" w:firstLine="0" w:firstLineChars="0"/>
      </w:pPr>
    </w:p>
    <w:p w14:paraId="6D3DDDA1">
      <w:pPr>
        <w:pStyle w:val="3"/>
        <w:spacing w:before="93" w:line="560" w:lineRule="exact"/>
        <w:ind w:left="0" w:leftChars="0" w:firstLine="0" w:firstLineChars="0"/>
      </w:pPr>
    </w:p>
    <w:p w14:paraId="2FE9BAA2">
      <w:pPr>
        <w:pStyle w:val="3"/>
        <w:spacing w:before="93" w:line="560" w:lineRule="exact"/>
        <w:ind w:left="0" w:leftChars="0" w:firstLine="0" w:firstLineChars="0"/>
      </w:pPr>
    </w:p>
    <w:tbl>
      <w:tblPr>
        <w:tblStyle w:val="18"/>
        <w:tblW w:w="0" w:type="auto"/>
        <w:tblInd w:w="93" w:type="dxa"/>
        <w:tblLayout w:type="autofit"/>
        <w:tblCellMar>
          <w:top w:w="0" w:type="dxa"/>
          <w:left w:w="108" w:type="dxa"/>
          <w:bottom w:w="0" w:type="dxa"/>
          <w:right w:w="108" w:type="dxa"/>
        </w:tblCellMar>
      </w:tblPr>
      <w:tblGrid>
        <w:gridCol w:w="687"/>
        <w:gridCol w:w="711"/>
        <w:gridCol w:w="771"/>
        <w:gridCol w:w="502"/>
        <w:gridCol w:w="439"/>
        <w:gridCol w:w="446"/>
        <w:gridCol w:w="695"/>
        <w:gridCol w:w="612"/>
        <w:gridCol w:w="915"/>
        <w:gridCol w:w="935"/>
        <w:gridCol w:w="506"/>
        <w:gridCol w:w="594"/>
        <w:gridCol w:w="1665"/>
      </w:tblGrid>
      <w:tr w14:paraId="2E1D9046">
        <w:tblPrEx>
          <w:tblCellMar>
            <w:top w:w="0" w:type="dxa"/>
            <w:left w:w="108" w:type="dxa"/>
            <w:bottom w:w="0" w:type="dxa"/>
            <w:right w:w="108" w:type="dxa"/>
          </w:tblCellMar>
        </w:tblPrEx>
        <w:trPr>
          <w:gridAfter w:val="1"/>
          <w:wAfter w:w="270" w:type="dxa"/>
          <w:trHeight w:val="904"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6394BE">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124039CA">
        <w:tblPrEx>
          <w:tblCellMar>
            <w:top w:w="0" w:type="dxa"/>
            <w:left w:w="108" w:type="dxa"/>
            <w:bottom w:w="0" w:type="dxa"/>
            <w:right w:w="108" w:type="dxa"/>
          </w:tblCellMar>
        </w:tblPrEx>
        <w:trPr>
          <w:gridAfter w:val="1"/>
          <w:wAfter w:w="270" w:type="dxa"/>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4F10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3ADAE">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51090423T000008246552-海龙凯歌国庆营销活动经费</w:t>
            </w:r>
          </w:p>
        </w:tc>
      </w:tr>
      <w:tr w14:paraId="1CB6C24F">
        <w:tblPrEx>
          <w:tblCellMar>
            <w:top w:w="0" w:type="dxa"/>
            <w:left w:w="108" w:type="dxa"/>
            <w:bottom w:w="0" w:type="dxa"/>
            <w:right w:w="108" w:type="dxa"/>
          </w:tblCellMar>
        </w:tblPrEx>
        <w:trPr>
          <w:gridAfter w:val="1"/>
          <w:wAfter w:w="270" w:type="dxa"/>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80BC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81929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0" w:type="auto"/>
            <w:tcBorders>
              <w:top w:val="nil"/>
              <w:left w:val="nil"/>
              <w:bottom w:val="nil"/>
              <w:right w:val="nil"/>
            </w:tcBorders>
            <w:shd w:val="clear" w:color="auto" w:fill="auto"/>
            <w:vAlign w:val="center"/>
          </w:tcPr>
          <w:p w14:paraId="1CF06B6D">
            <w:pPr>
              <w:widowControl/>
              <w:spacing w:line="20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6542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0A1F9FFD">
        <w:tblPrEx>
          <w:tblCellMar>
            <w:top w:w="0" w:type="dxa"/>
            <w:left w:w="108" w:type="dxa"/>
            <w:bottom w:w="0" w:type="dxa"/>
            <w:right w:w="108" w:type="dxa"/>
          </w:tblCellMar>
        </w:tblPrEx>
        <w:trPr>
          <w:gridAfter w:val="1"/>
          <w:wAfter w:w="270" w:type="dxa"/>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476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AA15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17D7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878EA">
            <w:pPr>
              <w:widowControl/>
              <w:spacing w:line="20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0616095D">
        <w:tblPrEx>
          <w:tblCellMar>
            <w:top w:w="0" w:type="dxa"/>
            <w:left w:w="108" w:type="dxa"/>
            <w:bottom w:w="0" w:type="dxa"/>
            <w:right w:w="108" w:type="dxa"/>
          </w:tblCellMar>
        </w:tblPrEx>
        <w:trPr>
          <w:gridAfter w:val="1"/>
          <w:wAfter w:w="270" w:type="dxa"/>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5BA9">
            <w:pPr>
              <w:widowControl/>
              <w:spacing w:line="20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C91A">
            <w:pPr>
              <w:widowControl/>
              <w:spacing w:line="200" w:lineRule="exact"/>
              <w:jc w:val="left"/>
              <w:rPr>
                <w:rFonts w:ascii="宋体" w:hAnsi="宋体" w:cs="宋体"/>
                <w:color w:val="000000"/>
                <w:sz w:val="18"/>
                <w:szCs w:val="18"/>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846A0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通过营销活动，提高海龙凯歌在全省范围内的知名度和影响力。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E5D9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2023年园区通过营销活动，提高海龙凯歌在全省范围内的知名度和影响力。</w:t>
            </w:r>
          </w:p>
        </w:tc>
      </w:tr>
      <w:tr w14:paraId="5FD0687C">
        <w:tblPrEx>
          <w:tblCellMar>
            <w:top w:w="0" w:type="dxa"/>
            <w:left w:w="108" w:type="dxa"/>
            <w:bottom w:w="0" w:type="dxa"/>
            <w:right w:w="108" w:type="dxa"/>
          </w:tblCellMar>
        </w:tblPrEx>
        <w:trPr>
          <w:gridAfter w:val="1"/>
          <w:wAfter w:w="270" w:type="dxa"/>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04CF">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BB9F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8CD00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展销全国特色美食，丰富游客的味蕾体验。包括传统非遗、特色节目汇演，以及情景音乐剧《凯歌记忆》的展演，展现文化底蕴。</w:t>
            </w:r>
          </w:p>
        </w:tc>
      </w:tr>
      <w:tr w14:paraId="5A0E279B">
        <w:tblPrEx>
          <w:tblCellMar>
            <w:top w:w="0" w:type="dxa"/>
            <w:left w:w="108" w:type="dxa"/>
            <w:bottom w:w="0" w:type="dxa"/>
            <w:right w:w="108" w:type="dxa"/>
          </w:tblCellMar>
        </w:tblPrEx>
        <w:trPr>
          <w:gridAfter w:val="1"/>
          <w:wAfter w:w="270" w:type="dxa"/>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E44C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E84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2992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6EB0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7F4C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A595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7517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92CF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2148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42DF0C70">
        <w:tblPrEx>
          <w:tblCellMar>
            <w:top w:w="0" w:type="dxa"/>
            <w:left w:w="108" w:type="dxa"/>
            <w:bottom w:w="0" w:type="dxa"/>
            <w:right w:w="108" w:type="dxa"/>
          </w:tblCellMar>
        </w:tblPrEx>
        <w:trPr>
          <w:gridAfter w:val="1"/>
          <w:wAfter w:w="270" w:type="dxa"/>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15A40">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9F68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A4E8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86.90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D8A9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A487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4968C">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D10C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085E2">
            <w:pPr>
              <w:widowControl/>
              <w:spacing w:line="20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EF158">
            <w:pPr>
              <w:widowControl/>
              <w:spacing w:line="200" w:lineRule="exact"/>
              <w:jc w:val="left"/>
              <w:rPr>
                <w:rFonts w:ascii="黑体" w:hAnsi="黑体" w:eastAsia="黑体" w:cs="黑体"/>
                <w:i/>
                <w:iCs/>
                <w:color w:val="000000"/>
                <w:sz w:val="18"/>
                <w:szCs w:val="18"/>
              </w:rPr>
            </w:pPr>
          </w:p>
        </w:tc>
      </w:tr>
      <w:tr w14:paraId="747C17CA">
        <w:tblPrEx>
          <w:tblCellMar>
            <w:top w:w="0" w:type="dxa"/>
            <w:left w:w="108" w:type="dxa"/>
            <w:bottom w:w="0" w:type="dxa"/>
            <w:right w:w="108" w:type="dxa"/>
          </w:tblCellMar>
        </w:tblPrEx>
        <w:trPr>
          <w:gridAfter w:val="1"/>
          <w:wAfter w:w="270" w:type="dxa"/>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91B3">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83FD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798D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86.90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6F56E">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179B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04B7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5A5F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F67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FE54">
            <w:pPr>
              <w:widowControl/>
              <w:spacing w:line="200" w:lineRule="exact"/>
              <w:jc w:val="left"/>
              <w:rPr>
                <w:rFonts w:ascii="黑体" w:hAnsi="黑体" w:eastAsia="黑体" w:cs="黑体"/>
                <w:i/>
                <w:iCs/>
                <w:color w:val="000000"/>
                <w:sz w:val="18"/>
                <w:szCs w:val="18"/>
              </w:rPr>
            </w:pPr>
          </w:p>
        </w:tc>
      </w:tr>
      <w:tr w14:paraId="15D97B1F">
        <w:tblPrEx>
          <w:tblCellMar>
            <w:top w:w="0" w:type="dxa"/>
            <w:left w:w="108" w:type="dxa"/>
            <w:bottom w:w="0" w:type="dxa"/>
            <w:right w:w="108" w:type="dxa"/>
          </w:tblCellMar>
        </w:tblPrEx>
        <w:trPr>
          <w:gridAfter w:val="1"/>
          <w:wAfter w:w="270" w:type="dxa"/>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CD3EF">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F3A2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E4CB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75F4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5965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13BF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1540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F2C9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10C72">
            <w:pPr>
              <w:widowControl/>
              <w:spacing w:line="200" w:lineRule="exact"/>
              <w:jc w:val="left"/>
              <w:rPr>
                <w:rFonts w:ascii="黑体" w:hAnsi="黑体" w:eastAsia="黑体" w:cs="黑体"/>
                <w:i/>
                <w:iCs/>
                <w:color w:val="000000"/>
                <w:sz w:val="18"/>
                <w:szCs w:val="18"/>
              </w:rPr>
            </w:pPr>
          </w:p>
        </w:tc>
      </w:tr>
      <w:tr w14:paraId="1504AC9C">
        <w:tblPrEx>
          <w:tblCellMar>
            <w:top w:w="0" w:type="dxa"/>
            <w:left w:w="108" w:type="dxa"/>
            <w:bottom w:w="0" w:type="dxa"/>
            <w:right w:w="108" w:type="dxa"/>
          </w:tblCellMar>
        </w:tblPrEx>
        <w:trPr>
          <w:gridAfter w:val="1"/>
          <w:wAfter w:w="270" w:type="dxa"/>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EDDB">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BF43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FA77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7F99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8693C">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A269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E25B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9368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F0B3">
            <w:pPr>
              <w:widowControl/>
              <w:spacing w:line="200" w:lineRule="exact"/>
              <w:jc w:val="left"/>
              <w:rPr>
                <w:rFonts w:ascii="黑体" w:hAnsi="黑体" w:eastAsia="黑体" w:cs="黑体"/>
                <w:i/>
                <w:iCs/>
                <w:color w:val="000000"/>
                <w:sz w:val="18"/>
                <w:szCs w:val="18"/>
              </w:rPr>
            </w:pPr>
          </w:p>
        </w:tc>
      </w:tr>
      <w:tr w14:paraId="0F7C9342">
        <w:tblPrEx>
          <w:tblCellMar>
            <w:top w:w="0" w:type="dxa"/>
            <w:left w:w="108" w:type="dxa"/>
            <w:bottom w:w="0" w:type="dxa"/>
            <w:right w:w="108" w:type="dxa"/>
          </w:tblCellMar>
        </w:tblPrEx>
        <w:trPr>
          <w:gridAfter w:val="1"/>
          <w:wAfter w:w="270" w:type="dxa"/>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8ED9">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295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6AD79">
            <w:pPr>
              <w:widowControl/>
              <w:spacing w:line="200" w:lineRule="exact"/>
              <w:jc w:val="left"/>
              <w:rPr>
                <w:rFonts w:ascii="微软雅黑" w:hAnsi="微软雅黑" w:eastAsia="微软雅黑" w:cs="微软雅黑"/>
                <w:i/>
                <w:iCs/>
                <w:color w:val="000000"/>
                <w:sz w:val="16"/>
                <w:szCs w:val="16"/>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28022">
            <w:pPr>
              <w:widowControl/>
              <w:spacing w:line="200" w:lineRule="exact"/>
              <w:jc w:val="left"/>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B7109">
            <w:pPr>
              <w:widowControl/>
              <w:spacing w:line="20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F4CC">
            <w:pPr>
              <w:widowControl/>
              <w:spacing w:line="20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062CE">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AE05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42DF">
            <w:pPr>
              <w:widowControl/>
              <w:spacing w:line="200" w:lineRule="exact"/>
              <w:jc w:val="left"/>
              <w:rPr>
                <w:rFonts w:ascii="黑体" w:hAnsi="黑体" w:eastAsia="黑体" w:cs="黑体"/>
                <w:i/>
                <w:iCs/>
                <w:color w:val="000000"/>
                <w:sz w:val="18"/>
                <w:szCs w:val="18"/>
              </w:rPr>
            </w:pPr>
          </w:p>
        </w:tc>
      </w:tr>
      <w:tr w14:paraId="6FD53267">
        <w:tblPrEx>
          <w:tblCellMar>
            <w:top w:w="0" w:type="dxa"/>
            <w:left w:w="108" w:type="dxa"/>
            <w:bottom w:w="0" w:type="dxa"/>
            <w:right w:w="108" w:type="dxa"/>
          </w:tblCellMar>
        </w:tblPrEx>
        <w:trPr>
          <w:gridAfter w:val="1"/>
          <w:wAfter w:w="270" w:type="dxa"/>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AEE1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F04D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1A2D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5C85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2044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A0E76">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9398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12496">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3460C">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EC89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C161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567A9F4">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92A29">
            <w:pPr>
              <w:widowControl/>
              <w:spacing w:line="200" w:lineRule="exact"/>
              <w:jc w:val="left"/>
              <w:rPr>
                <w:rFonts w:ascii="宋体" w:hAnsi="宋体" w:cs="宋体"/>
                <w:color w:val="000000"/>
                <w:sz w:val="18"/>
                <w:szCs w:val="18"/>
              </w:rPr>
            </w:pP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7EB5D15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4D98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6CC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开展营销活动次数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EF41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99786">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ACBB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8406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5E36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E22D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21211">
            <w:pPr>
              <w:widowControl/>
              <w:spacing w:line="200" w:lineRule="exact"/>
              <w:jc w:val="left"/>
              <w:rPr>
                <w:rFonts w:ascii="宋体" w:hAnsi="宋体" w:cs="宋体"/>
                <w:color w:val="000000"/>
                <w:sz w:val="18"/>
                <w:szCs w:val="18"/>
              </w:rPr>
            </w:pPr>
          </w:p>
        </w:tc>
      </w:tr>
      <w:tr w14:paraId="529F90FF">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70977">
            <w:pPr>
              <w:widowControl/>
              <w:spacing w:line="200" w:lineRule="exact"/>
              <w:jc w:val="left"/>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D0EAC03">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C524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0" w:type="auto"/>
            <w:gridSpan w:val="2"/>
            <w:tcBorders>
              <w:top w:val="single" w:color="000000" w:sz="4" w:space="0"/>
              <w:left w:val="single" w:color="000000" w:sz="4" w:space="0"/>
              <w:right w:val="single" w:color="000000" w:sz="4" w:space="0"/>
            </w:tcBorders>
            <w:shd w:val="clear" w:color="auto" w:fill="auto"/>
            <w:vAlign w:val="center"/>
          </w:tcPr>
          <w:p w14:paraId="6F99DE4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资金支付率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194A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8424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BF8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9E10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6AA8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9115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6014F">
            <w:pPr>
              <w:widowControl/>
              <w:spacing w:line="200" w:lineRule="exact"/>
              <w:jc w:val="left"/>
              <w:rPr>
                <w:rFonts w:ascii="宋体" w:hAnsi="宋体" w:cs="宋体"/>
                <w:color w:val="000000"/>
                <w:sz w:val="18"/>
                <w:szCs w:val="18"/>
              </w:rPr>
            </w:pPr>
          </w:p>
        </w:tc>
      </w:tr>
      <w:tr w14:paraId="27970E6A">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0DAA">
            <w:pPr>
              <w:widowControl/>
              <w:spacing w:line="200" w:lineRule="exact"/>
              <w:jc w:val="left"/>
              <w:rPr>
                <w:rFonts w:ascii="宋体" w:hAnsi="宋体" w:cs="宋体"/>
                <w:color w:val="000000"/>
                <w:sz w:val="18"/>
                <w:szCs w:val="18"/>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4A08DB9">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C467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0" w:type="auto"/>
            <w:gridSpan w:val="2"/>
            <w:tcBorders>
              <w:left w:val="single" w:color="000000" w:sz="4" w:space="0"/>
              <w:bottom w:val="single" w:color="000000" w:sz="4" w:space="0"/>
              <w:right w:val="single" w:color="000000" w:sz="4" w:space="0"/>
            </w:tcBorders>
            <w:shd w:val="clear" w:color="auto" w:fill="auto"/>
            <w:vAlign w:val="center"/>
          </w:tcPr>
          <w:p w14:paraId="66B0CEF8">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2023年1-12月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C5A0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D8AA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26C8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FF4F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C9CF">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9C06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601B9">
            <w:pPr>
              <w:widowControl/>
              <w:spacing w:line="200" w:lineRule="exact"/>
              <w:jc w:val="left"/>
              <w:rPr>
                <w:rFonts w:ascii="宋体" w:hAnsi="宋体" w:cs="宋体"/>
                <w:color w:val="000000"/>
                <w:sz w:val="18"/>
                <w:szCs w:val="18"/>
              </w:rPr>
            </w:pPr>
          </w:p>
        </w:tc>
      </w:tr>
      <w:tr w14:paraId="081F4724">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A595">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E1FB6">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4B30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1797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通过多种渠道进行活动宣传，如社交媒体、官方网站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0523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791D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7A73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F743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557E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34A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61B38">
            <w:pPr>
              <w:widowControl/>
              <w:spacing w:line="200" w:lineRule="exact"/>
              <w:jc w:val="left"/>
              <w:rPr>
                <w:rFonts w:ascii="宋体" w:hAnsi="宋体" w:cs="宋体"/>
                <w:color w:val="000000"/>
                <w:sz w:val="18"/>
                <w:szCs w:val="18"/>
              </w:rPr>
            </w:pPr>
          </w:p>
        </w:tc>
      </w:tr>
      <w:tr w14:paraId="3000272D">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2315">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C6BB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19B1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34C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受益人满意度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7B460">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F8A3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046B6">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38204">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C8B95">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FDD0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C87D">
            <w:pPr>
              <w:widowControl/>
              <w:spacing w:line="200" w:lineRule="exact"/>
              <w:jc w:val="left"/>
              <w:rPr>
                <w:rFonts w:ascii="宋体" w:hAnsi="宋体" w:cs="宋体"/>
                <w:color w:val="000000"/>
                <w:sz w:val="18"/>
                <w:szCs w:val="18"/>
              </w:rPr>
            </w:pPr>
          </w:p>
        </w:tc>
      </w:tr>
      <w:tr w14:paraId="631C97F3">
        <w:tblPrEx>
          <w:tblCellMar>
            <w:top w:w="0" w:type="dxa"/>
            <w:left w:w="108" w:type="dxa"/>
            <w:bottom w:w="0" w:type="dxa"/>
            <w:right w:w="108" w:type="dxa"/>
          </w:tblCellMar>
        </w:tblPrEx>
        <w:trPr>
          <w:gridAfter w:val="1"/>
          <w:wAfter w:w="270" w:type="dxa"/>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76DF">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EDA9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24BC2">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6F1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75881">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8D49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86.92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503AC">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A521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6576B">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722CC">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A6A5D">
            <w:pPr>
              <w:widowControl/>
              <w:spacing w:line="200" w:lineRule="exact"/>
              <w:jc w:val="left"/>
              <w:rPr>
                <w:rFonts w:ascii="宋体" w:hAnsi="宋体" w:cs="宋体"/>
                <w:color w:val="000000"/>
                <w:sz w:val="18"/>
                <w:szCs w:val="18"/>
              </w:rPr>
            </w:pPr>
          </w:p>
        </w:tc>
      </w:tr>
      <w:tr w14:paraId="21F5E0DD">
        <w:tblPrEx>
          <w:tblCellMar>
            <w:top w:w="0" w:type="dxa"/>
            <w:left w:w="108" w:type="dxa"/>
            <w:bottom w:w="0" w:type="dxa"/>
            <w:right w:w="108" w:type="dxa"/>
          </w:tblCellMar>
        </w:tblPrEx>
        <w:trPr>
          <w:gridAfter w:val="1"/>
          <w:wAfter w:w="270" w:type="dxa"/>
          <w:trHeight w:val="285" w:hRule="atLeast"/>
        </w:trPr>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3D436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D9FB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89674">
            <w:pPr>
              <w:widowControl/>
              <w:spacing w:line="20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BCB3A">
            <w:pPr>
              <w:widowControl/>
              <w:spacing w:line="200" w:lineRule="exact"/>
              <w:jc w:val="left"/>
              <w:rPr>
                <w:rFonts w:ascii="宋体" w:hAnsi="宋体" w:cs="宋体"/>
                <w:color w:val="000000"/>
                <w:sz w:val="18"/>
                <w:szCs w:val="18"/>
              </w:rPr>
            </w:pPr>
          </w:p>
        </w:tc>
      </w:tr>
      <w:tr w14:paraId="3019CB22">
        <w:tblPrEx>
          <w:tblCellMar>
            <w:top w:w="0" w:type="dxa"/>
            <w:left w:w="108" w:type="dxa"/>
            <w:bottom w:w="0" w:type="dxa"/>
            <w:right w:w="108" w:type="dxa"/>
          </w:tblCellMar>
        </w:tblPrEx>
        <w:trPr>
          <w:gridAfter w:val="1"/>
          <w:wAfter w:w="270" w:type="dxa"/>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BF6C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49A6E3">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为游客提供丰富多彩的旅游体验和文化娱乐活动。</w:t>
            </w:r>
          </w:p>
        </w:tc>
      </w:tr>
      <w:tr w14:paraId="2CFA4DEA">
        <w:tblPrEx>
          <w:tblCellMar>
            <w:top w:w="0" w:type="dxa"/>
            <w:left w:w="108" w:type="dxa"/>
            <w:bottom w:w="0" w:type="dxa"/>
            <w:right w:w="108" w:type="dxa"/>
          </w:tblCellMar>
        </w:tblPrEx>
        <w:trPr>
          <w:gridAfter w:val="1"/>
          <w:wAfter w:w="270" w:type="dxa"/>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DB05D">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D68CCA">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资金支付不及时。</w:t>
            </w:r>
          </w:p>
        </w:tc>
      </w:tr>
      <w:tr w14:paraId="253A4D2D">
        <w:tblPrEx>
          <w:tblCellMar>
            <w:top w:w="0" w:type="dxa"/>
            <w:left w:w="108" w:type="dxa"/>
            <w:bottom w:w="0" w:type="dxa"/>
            <w:right w:w="108" w:type="dxa"/>
          </w:tblCellMar>
        </w:tblPrEx>
        <w:trPr>
          <w:gridAfter w:val="1"/>
          <w:wAfter w:w="270" w:type="dxa"/>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18759">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C4BDE7">
            <w:pPr>
              <w:widowControl/>
              <w:spacing w:line="20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加大力度宣传，</w:t>
            </w:r>
            <w:r>
              <w:rPr>
                <w:rFonts w:hint="eastAsia" w:ascii="宋体" w:hAnsi="宋体" w:cs="宋体"/>
                <w:color w:val="000000"/>
                <w:kern w:val="0"/>
                <w:sz w:val="18"/>
                <w:szCs w:val="18"/>
                <w:lang w:eastAsia="zh-CN" w:bidi="ar"/>
              </w:rPr>
              <w:t>积极</w:t>
            </w:r>
            <w:r>
              <w:rPr>
                <w:rFonts w:ascii="宋体" w:hAnsi="宋体" w:cs="宋体"/>
                <w:color w:val="000000"/>
                <w:kern w:val="0"/>
                <w:sz w:val="18"/>
                <w:szCs w:val="18"/>
                <w:lang w:bidi="ar"/>
              </w:rPr>
              <w:t>支付资金。</w:t>
            </w:r>
          </w:p>
        </w:tc>
      </w:tr>
      <w:tr w14:paraId="6EE4340F">
        <w:tblPrEx>
          <w:tblCellMar>
            <w:top w:w="0" w:type="dxa"/>
            <w:left w:w="108" w:type="dxa"/>
            <w:bottom w:w="0" w:type="dxa"/>
            <w:right w:w="108" w:type="dxa"/>
          </w:tblCellMar>
        </w:tblPrEx>
        <w:trPr>
          <w:gridAfter w:val="1"/>
          <w:wAfter w:w="270" w:type="dxa"/>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2FD33">
            <w:pPr>
              <w:widowControl/>
              <w:spacing w:line="20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BA4DD">
            <w:pPr>
              <w:widowControl/>
              <w:spacing w:line="20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r w14:paraId="670816A1">
        <w:tblPrEx>
          <w:tblCellMar>
            <w:top w:w="0" w:type="dxa"/>
            <w:left w:w="108" w:type="dxa"/>
            <w:bottom w:w="0" w:type="dxa"/>
            <w:right w:w="108" w:type="dxa"/>
          </w:tblCellMar>
        </w:tblPrEx>
        <w:trPr>
          <w:gridAfter w:val="1"/>
          <w:wAfter w:w="270" w:type="dxa"/>
          <w:trHeight w:val="285" w:hRule="atLeast"/>
        </w:trPr>
        <w:tc>
          <w:tcPr>
            <w:tcW w:w="0" w:type="auto"/>
            <w:tcBorders>
              <w:top w:val="nil"/>
              <w:left w:val="nil"/>
              <w:bottom w:val="nil"/>
              <w:right w:val="nil"/>
            </w:tcBorders>
            <w:shd w:val="clear" w:color="auto" w:fill="auto"/>
            <w:vAlign w:val="center"/>
          </w:tcPr>
          <w:p w14:paraId="20E33E9F">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5D9D7A28">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06D2B70F">
            <w:pPr>
              <w:rPr>
                <w:rFonts w:ascii="宋体" w:hAnsi="宋体" w:cs="宋体"/>
                <w:color w:val="000000"/>
                <w:sz w:val="18"/>
                <w:szCs w:val="18"/>
              </w:rPr>
            </w:pPr>
          </w:p>
        </w:tc>
        <w:tc>
          <w:tcPr>
            <w:tcW w:w="0" w:type="auto"/>
            <w:gridSpan w:val="2"/>
            <w:tcBorders>
              <w:top w:val="nil"/>
              <w:left w:val="nil"/>
              <w:bottom w:val="nil"/>
              <w:right w:val="nil"/>
            </w:tcBorders>
            <w:shd w:val="clear" w:color="auto" w:fill="auto"/>
            <w:vAlign w:val="center"/>
          </w:tcPr>
          <w:p w14:paraId="70B5E946">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6A83A232">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7534532A">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2B4FEA80">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73F834B9">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1E87BBF4">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5C7792E8">
            <w:pPr>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423FD223">
            <w:pPr>
              <w:rPr>
                <w:rFonts w:ascii="宋体" w:hAnsi="宋体" w:cs="宋体"/>
                <w:color w:val="000000"/>
                <w:sz w:val="18"/>
                <w:szCs w:val="18"/>
              </w:rPr>
            </w:pPr>
          </w:p>
        </w:tc>
      </w:tr>
      <w:tr w14:paraId="110DAB36">
        <w:tblPrEx>
          <w:tblCellMar>
            <w:top w:w="0" w:type="dxa"/>
            <w:left w:w="108" w:type="dxa"/>
            <w:bottom w:w="0" w:type="dxa"/>
            <w:right w:w="108" w:type="dxa"/>
          </w:tblCellMar>
        </w:tblPrEx>
        <w:trPr>
          <w:trHeight w:val="982" w:hRule="atLeast"/>
        </w:trPr>
        <w:tc>
          <w:tcPr>
            <w:tcW w:w="0" w:type="auto"/>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9E49F0">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1ED6BF41">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C9ED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C33F8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51090423T000008853863-文旅园区产业招引产业补助</w:t>
            </w:r>
          </w:p>
        </w:tc>
      </w:tr>
      <w:tr w14:paraId="74C77235">
        <w:tblPrEx>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A2F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ADD85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0" w:type="auto"/>
            <w:tcBorders>
              <w:top w:val="nil"/>
              <w:left w:val="nil"/>
              <w:bottom w:val="nil"/>
              <w:right w:val="nil"/>
            </w:tcBorders>
            <w:shd w:val="clear" w:color="auto" w:fill="auto"/>
            <w:vAlign w:val="center"/>
          </w:tcPr>
          <w:p w14:paraId="674CE90D">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898D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37A94122">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679B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DAC4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5C595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7B3F3">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6139F8F6">
        <w:tblPrEx>
          <w:tblCellMar>
            <w:top w:w="0" w:type="dxa"/>
            <w:left w:w="108" w:type="dxa"/>
            <w:bottom w:w="0" w:type="dxa"/>
            <w:right w:w="108" w:type="dxa"/>
          </w:tblCellMar>
        </w:tblPrEx>
        <w:trPr>
          <w:trHeight w:val="7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9BCE">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7270">
            <w:pPr>
              <w:widowControl/>
              <w:spacing w:line="240" w:lineRule="exact"/>
              <w:jc w:val="left"/>
              <w:rPr>
                <w:rFonts w:ascii="宋体" w:hAnsi="宋体" w:cs="宋体"/>
                <w:color w:val="000000"/>
                <w:sz w:val="18"/>
                <w:szCs w:val="18"/>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931AD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提升区海龙凯歌文旅园区的</w:t>
            </w:r>
            <w:bookmarkStart w:id="45" w:name="_GoBack"/>
            <w:bookmarkEnd w:id="45"/>
            <w:r>
              <w:rPr>
                <w:rFonts w:ascii="宋体" w:hAnsi="宋体" w:cs="宋体"/>
                <w:color w:val="000000"/>
                <w:kern w:val="0"/>
                <w:sz w:val="18"/>
                <w:szCs w:val="18"/>
                <w:lang w:bidi="ar"/>
              </w:rPr>
              <w:t>产业发展，促进更多社会资本参与旅游开发，提升旅游产品文化品位，提出园区发展方向和思路。</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37843">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2023年园区提提升区海龙凯歌文旅园区的的产业发展.</w:t>
            </w:r>
          </w:p>
        </w:tc>
      </w:tr>
      <w:tr w14:paraId="1503BAD0">
        <w:tblPrEx>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A8F0">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02B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1C5A0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深入分析目标行业的现状、发展趋势、市场需求以及竞争态势。明确招引项目的具体目标，如引进龙头企业、构建产业集群、提升产业层次等。</w:t>
            </w:r>
          </w:p>
        </w:tc>
      </w:tr>
      <w:tr w14:paraId="008341AB">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3B29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CE29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C99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DD0F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BF30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81E8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2993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109B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AD2E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7A2E04DF">
        <w:tblPrEx>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3331F">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E502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5C2B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52BC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3E5A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746A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670C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B0385">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C25E9">
            <w:pPr>
              <w:widowControl/>
              <w:spacing w:line="240" w:lineRule="exact"/>
              <w:jc w:val="left"/>
              <w:rPr>
                <w:rFonts w:ascii="黑体" w:hAnsi="黑体" w:eastAsia="黑体" w:cs="黑体"/>
                <w:i/>
                <w:iCs/>
                <w:color w:val="000000"/>
                <w:sz w:val="18"/>
                <w:szCs w:val="18"/>
              </w:rPr>
            </w:pPr>
          </w:p>
        </w:tc>
      </w:tr>
      <w:tr w14:paraId="3389107F">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FDC3">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7288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8773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1CB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CFFE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AAEB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0AD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853C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C9D7">
            <w:pPr>
              <w:widowControl/>
              <w:spacing w:line="240" w:lineRule="exact"/>
              <w:jc w:val="left"/>
              <w:rPr>
                <w:rFonts w:ascii="黑体" w:hAnsi="黑体" w:eastAsia="黑体" w:cs="黑体"/>
                <w:i/>
                <w:iCs/>
                <w:color w:val="000000"/>
                <w:sz w:val="18"/>
                <w:szCs w:val="18"/>
              </w:rPr>
            </w:pPr>
          </w:p>
        </w:tc>
      </w:tr>
      <w:tr w14:paraId="2E6B2459">
        <w:tblPrEx>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7C96">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5772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6DC0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1A1D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58CF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C45B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D271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C885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5CDB">
            <w:pPr>
              <w:widowControl/>
              <w:spacing w:line="240" w:lineRule="exact"/>
              <w:jc w:val="left"/>
              <w:rPr>
                <w:rFonts w:ascii="黑体" w:hAnsi="黑体" w:eastAsia="黑体" w:cs="黑体"/>
                <w:i/>
                <w:iCs/>
                <w:color w:val="000000"/>
                <w:sz w:val="18"/>
                <w:szCs w:val="18"/>
              </w:rPr>
            </w:pPr>
          </w:p>
        </w:tc>
      </w:tr>
      <w:tr w14:paraId="09F6B673">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7E87">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019C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64A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B2F2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C0A1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44FF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3DCC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02A9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6D22">
            <w:pPr>
              <w:widowControl/>
              <w:spacing w:line="240" w:lineRule="exact"/>
              <w:jc w:val="left"/>
              <w:rPr>
                <w:rFonts w:ascii="黑体" w:hAnsi="黑体" w:eastAsia="黑体" w:cs="黑体"/>
                <w:i/>
                <w:iCs/>
                <w:color w:val="000000"/>
                <w:sz w:val="18"/>
                <w:szCs w:val="18"/>
              </w:rPr>
            </w:pPr>
          </w:p>
        </w:tc>
      </w:tr>
      <w:tr w14:paraId="7979CB31">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1F1D9">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5A43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7CA0B">
            <w:pPr>
              <w:widowControl/>
              <w:spacing w:line="240" w:lineRule="exact"/>
              <w:jc w:val="left"/>
              <w:rPr>
                <w:rFonts w:ascii="微软雅黑" w:hAnsi="微软雅黑" w:eastAsia="微软雅黑" w:cs="微软雅黑"/>
                <w:i/>
                <w:iCs/>
                <w:color w:val="000000"/>
                <w:sz w:val="16"/>
                <w:szCs w:val="16"/>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5BCE">
            <w:pPr>
              <w:widowControl/>
              <w:spacing w:line="240" w:lineRule="exact"/>
              <w:jc w:val="left"/>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2D743">
            <w:pPr>
              <w:widowControl/>
              <w:spacing w:line="24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9D995">
            <w:pPr>
              <w:widowControl/>
              <w:spacing w:line="24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8EE9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2087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A7D4A">
            <w:pPr>
              <w:widowControl/>
              <w:spacing w:line="240" w:lineRule="exact"/>
              <w:jc w:val="left"/>
              <w:rPr>
                <w:rFonts w:ascii="黑体" w:hAnsi="黑体" w:eastAsia="黑体" w:cs="黑体"/>
                <w:i/>
                <w:iCs/>
                <w:color w:val="000000"/>
                <w:sz w:val="18"/>
                <w:szCs w:val="18"/>
              </w:rPr>
            </w:pPr>
          </w:p>
        </w:tc>
      </w:tr>
      <w:tr w14:paraId="12723917">
        <w:tblPrEx>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05F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9CDF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C06F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443F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6A16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6F7A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D18C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462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DC4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7C55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635D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556E8E7D">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125E8">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88CD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4EB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0AC2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招商引资企业数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98C3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D6A9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6E71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C28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1073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501C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5575">
            <w:pPr>
              <w:widowControl/>
              <w:spacing w:line="240" w:lineRule="exact"/>
              <w:jc w:val="left"/>
              <w:rPr>
                <w:rFonts w:ascii="微软雅黑" w:hAnsi="微软雅黑" w:eastAsia="微软雅黑" w:cs="微软雅黑"/>
                <w:i/>
                <w:iCs/>
                <w:color w:val="000000"/>
                <w:sz w:val="16"/>
                <w:szCs w:val="16"/>
              </w:rPr>
            </w:pPr>
          </w:p>
        </w:tc>
      </w:tr>
      <w:tr w14:paraId="7948B7CB">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AEBC">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05A9">
            <w:pPr>
              <w:widowControl/>
              <w:spacing w:line="240" w:lineRule="exact"/>
              <w:jc w:val="left"/>
              <w:rPr>
                <w:rFonts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2A000">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8CF2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开展旅游宣传活动次数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96D8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3E28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F7EB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A791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3AB8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AB43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BD26F">
            <w:pPr>
              <w:widowControl/>
              <w:spacing w:line="240" w:lineRule="exact"/>
              <w:jc w:val="left"/>
              <w:rPr>
                <w:rFonts w:ascii="微软雅黑" w:hAnsi="微软雅黑" w:eastAsia="微软雅黑" w:cs="微软雅黑"/>
                <w:i/>
                <w:iCs/>
                <w:color w:val="000000"/>
                <w:sz w:val="16"/>
                <w:szCs w:val="16"/>
              </w:rPr>
            </w:pPr>
          </w:p>
        </w:tc>
      </w:tr>
      <w:tr w14:paraId="17E222F1">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F37F">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E2D0">
            <w:pPr>
              <w:widowControl/>
              <w:spacing w:line="240" w:lineRule="exact"/>
              <w:jc w:val="left"/>
              <w:rPr>
                <w:rFonts w:ascii="宋体" w:hAnsi="宋体" w:cs="宋体"/>
                <w:color w:val="000000"/>
                <w:sz w:val="18"/>
                <w:szCs w:val="18"/>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C1F9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209F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企业入住率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30C9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B7B5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86DD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D49F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3F6B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E568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F0CBC">
            <w:pPr>
              <w:widowControl/>
              <w:spacing w:line="240" w:lineRule="exact"/>
              <w:jc w:val="left"/>
              <w:rPr>
                <w:rFonts w:ascii="微软雅黑" w:hAnsi="微软雅黑" w:eastAsia="微软雅黑" w:cs="微软雅黑"/>
                <w:i/>
                <w:iCs/>
                <w:color w:val="000000"/>
                <w:sz w:val="16"/>
                <w:szCs w:val="16"/>
              </w:rPr>
            </w:pPr>
          </w:p>
        </w:tc>
      </w:tr>
      <w:tr w14:paraId="68CE15FC">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141F9">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208C">
            <w:pPr>
              <w:widowControl/>
              <w:spacing w:line="240" w:lineRule="exact"/>
              <w:jc w:val="left"/>
              <w:rPr>
                <w:rFonts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B124">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E0D6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FF17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FD83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70B0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4FB2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CFA8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E6D4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DC998">
            <w:pPr>
              <w:widowControl/>
              <w:spacing w:line="240" w:lineRule="exact"/>
              <w:jc w:val="left"/>
              <w:rPr>
                <w:rFonts w:ascii="微软雅黑" w:hAnsi="微软雅黑" w:eastAsia="微软雅黑" w:cs="微软雅黑"/>
                <w:i/>
                <w:iCs/>
                <w:color w:val="000000"/>
                <w:sz w:val="16"/>
                <w:szCs w:val="16"/>
              </w:rPr>
            </w:pPr>
          </w:p>
        </w:tc>
      </w:tr>
      <w:tr w14:paraId="60787F7A">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97617">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C763">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5689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566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7156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C82E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91A4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19A1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5830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83AA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6AF0C">
            <w:pPr>
              <w:widowControl/>
              <w:spacing w:line="240" w:lineRule="exact"/>
              <w:jc w:val="left"/>
              <w:rPr>
                <w:rFonts w:ascii="微软雅黑" w:hAnsi="微软雅黑" w:eastAsia="微软雅黑" w:cs="微软雅黑"/>
                <w:i/>
                <w:iCs/>
                <w:color w:val="000000"/>
                <w:sz w:val="16"/>
                <w:szCs w:val="16"/>
              </w:rPr>
            </w:pPr>
          </w:p>
        </w:tc>
      </w:tr>
      <w:tr w14:paraId="1F2854D9">
        <w:tblPrEx>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D230E">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8171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1863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DC84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促进社会资本参与旅游项目开发政策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6348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69EC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6517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FD4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1EB6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2EE4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13CAD">
            <w:pPr>
              <w:widowControl/>
              <w:spacing w:line="240" w:lineRule="exact"/>
              <w:jc w:val="left"/>
              <w:rPr>
                <w:rFonts w:ascii="微软雅黑" w:hAnsi="微软雅黑" w:eastAsia="微软雅黑" w:cs="微软雅黑"/>
                <w:i/>
                <w:iCs/>
                <w:color w:val="000000"/>
                <w:sz w:val="16"/>
                <w:szCs w:val="16"/>
              </w:rPr>
            </w:pPr>
          </w:p>
        </w:tc>
      </w:tr>
      <w:tr w14:paraId="1E803DC8">
        <w:tblPrEx>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39F6">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D3F9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9469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E1DDF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09BB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D879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4DE2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145F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E8A0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73F8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D9EE3">
            <w:pPr>
              <w:widowControl/>
              <w:spacing w:line="240" w:lineRule="exact"/>
              <w:jc w:val="left"/>
              <w:rPr>
                <w:rFonts w:ascii="微软雅黑" w:hAnsi="微软雅黑" w:eastAsia="微软雅黑" w:cs="微软雅黑"/>
                <w:i/>
                <w:iCs/>
                <w:color w:val="000000"/>
                <w:sz w:val="16"/>
                <w:szCs w:val="16"/>
              </w:rPr>
            </w:pPr>
          </w:p>
        </w:tc>
      </w:tr>
      <w:tr w14:paraId="0DDAF4BA">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753A">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ABA7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5C46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D93F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797D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3A26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3E4E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975F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F13C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FF26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D7856">
            <w:pPr>
              <w:widowControl/>
              <w:spacing w:line="240" w:lineRule="exact"/>
              <w:jc w:val="left"/>
              <w:rPr>
                <w:rFonts w:ascii="微软雅黑" w:hAnsi="微软雅黑" w:eastAsia="微软雅黑" w:cs="微软雅黑"/>
                <w:i/>
                <w:iCs/>
                <w:color w:val="000000"/>
                <w:sz w:val="16"/>
                <w:szCs w:val="16"/>
              </w:rPr>
            </w:pPr>
          </w:p>
        </w:tc>
      </w:tr>
      <w:tr w14:paraId="57997082">
        <w:tblPrEx>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C08A">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EB986">
            <w:pPr>
              <w:widowControl/>
              <w:spacing w:line="240" w:lineRule="exact"/>
              <w:jc w:val="left"/>
              <w:rPr>
                <w:rFonts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25D4">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AF2E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购买园区观赏绿植花卉 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A7F2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CF27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392E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F059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45AA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C27F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BAC1F">
            <w:pPr>
              <w:widowControl/>
              <w:spacing w:line="240" w:lineRule="exact"/>
              <w:jc w:val="left"/>
              <w:rPr>
                <w:rFonts w:ascii="微软雅黑" w:hAnsi="微软雅黑" w:eastAsia="微软雅黑" w:cs="微软雅黑"/>
                <w:i/>
                <w:iCs/>
                <w:color w:val="000000"/>
                <w:sz w:val="16"/>
                <w:szCs w:val="16"/>
              </w:rPr>
            </w:pPr>
          </w:p>
        </w:tc>
      </w:tr>
      <w:tr w14:paraId="102A9BAF">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8A83D">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8939E">
            <w:pPr>
              <w:widowControl/>
              <w:spacing w:line="240" w:lineRule="exact"/>
              <w:jc w:val="left"/>
              <w:rPr>
                <w:rFonts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B62C">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3EDC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宣传广告投放费用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A517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2085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D228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FCC7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82EF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1865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F1EC8">
            <w:pPr>
              <w:widowControl/>
              <w:spacing w:line="240" w:lineRule="exact"/>
              <w:jc w:val="left"/>
              <w:rPr>
                <w:rFonts w:ascii="微软雅黑" w:hAnsi="微软雅黑" w:eastAsia="微软雅黑" w:cs="微软雅黑"/>
                <w:i/>
                <w:iCs/>
                <w:color w:val="000000"/>
                <w:sz w:val="16"/>
                <w:szCs w:val="16"/>
              </w:rPr>
            </w:pPr>
          </w:p>
        </w:tc>
      </w:tr>
      <w:tr w14:paraId="4822F085">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3BFE">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66D8">
            <w:pPr>
              <w:widowControl/>
              <w:spacing w:line="240" w:lineRule="exact"/>
              <w:jc w:val="left"/>
              <w:rPr>
                <w:rFonts w:ascii="宋体" w:hAnsi="宋体" w:cs="宋体"/>
                <w:color w:val="000000"/>
                <w:sz w:val="18"/>
                <w:szCs w:val="1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711EE">
            <w:pPr>
              <w:widowControl/>
              <w:spacing w:line="240" w:lineRule="exact"/>
              <w:jc w:val="left"/>
              <w:rPr>
                <w:rFonts w:ascii="宋体" w:hAnsi="宋体" w:cs="宋体"/>
                <w:color w:val="000000"/>
                <w:sz w:val="18"/>
                <w:szCs w:val="18"/>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247C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招商差旅费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91B0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654F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FD95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D83A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65FC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1B9D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83103">
            <w:pPr>
              <w:widowControl/>
              <w:spacing w:line="240" w:lineRule="exact"/>
              <w:jc w:val="left"/>
              <w:rPr>
                <w:rFonts w:ascii="微软雅黑" w:hAnsi="微软雅黑" w:eastAsia="微软雅黑" w:cs="微软雅黑"/>
                <w:i/>
                <w:iCs/>
                <w:color w:val="000000"/>
                <w:sz w:val="16"/>
                <w:szCs w:val="16"/>
              </w:rPr>
            </w:pPr>
          </w:p>
        </w:tc>
      </w:tr>
      <w:tr w14:paraId="53213CA1">
        <w:tblPrEx>
          <w:tblCellMar>
            <w:top w:w="0" w:type="dxa"/>
            <w:left w:w="108" w:type="dxa"/>
            <w:bottom w:w="0" w:type="dxa"/>
            <w:right w:w="108" w:type="dxa"/>
          </w:tblCellMar>
        </w:tblPrEx>
        <w:trPr>
          <w:trHeight w:val="28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8943F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952C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B310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6335C">
            <w:pPr>
              <w:widowControl/>
              <w:spacing w:line="240" w:lineRule="exact"/>
              <w:jc w:val="left"/>
              <w:rPr>
                <w:rFonts w:ascii="宋体" w:hAnsi="宋体" w:cs="宋体"/>
                <w:color w:val="000000"/>
                <w:sz w:val="18"/>
                <w:szCs w:val="18"/>
              </w:rPr>
            </w:pPr>
          </w:p>
        </w:tc>
      </w:tr>
      <w:tr w14:paraId="22766D3C">
        <w:tblPrEx>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7FA1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6ED509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总体上看，项目目标明确、资金到位率高、组织监管体系完善。我园区对文旅园区产业招引产业补助经费项目资金较好地实现了绩效目标。</w:t>
            </w:r>
          </w:p>
        </w:tc>
      </w:tr>
      <w:tr w14:paraId="198E8AFE">
        <w:tblPrEx>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3B56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55D79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在实际执行过程中，可能存在经费使用不规范的情况,对经费使用的监管可能存在不足，导致资金使用的效率和效果受到影响。</w:t>
            </w:r>
          </w:p>
        </w:tc>
      </w:tr>
      <w:tr w14:paraId="181BA60C">
        <w:tblPrEx>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BC6B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38B1AE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争取节约工作经费，全面开展好工作，不断提高工作科学化、规范化、法治化水平。</w:t>
            </w:r>
          </w:p>
        </w:tc>
      </w:tr>
      <w:tr w14:paraId="220ED723">
        <w:tblPrEx>
          <w:tblCellMar>
            <w:top w:w="0" w:type="dxa"/>
            <w:left w:w="108" w:type="dxa"/>
            <w:bottom w:w="0" w:type="dxa"/>
            <w:right w:w="108" w:type="dxa"/>
          </w:tblCellMar>
        </w:tblPrEx>
        <w:trPr>
          <w:trHeight w:val="28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C681C1">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43CAD0">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bl>
    <w:p w14:paraId="313C12BA">
      <w:pPr>
        <w:pStyle w:val="3"/>
        <w:spacing w:before="93" w:line="560" w:lineRule="exact"/>
        <w:ind w:left="0" w:leftChars="0" w:firstLine="0" w:firstLineChars="0"/>
      </w:pPr>
    </w:p>
    <w:p w14:paraId="7D3C2CD1">
      <w:pPr>
        <w:spacing w:line="576" w:lineRule="exact"/>
        <w:jc w:val="center"/>
        <w:rPr>
          <w:rFonts w:ascii="方正小标宋简体" w:hAnsi="宋体" w:eastAsia="方正小标宋简体"/>
          <w:color w:val="000000"/>
          <w:kern w:val="0"/>
          <w:sz w:val="44"/>
          <w:szCs w:val="44"/>
        </w:rPr>
      </w:pPr>
    </w:p>
    <w:p w14:paraId="6186C1CE">
      <w:pPr>
        <w:pStyle w:val="2"/>
        <w:rPr>
          <w:rFonts w:ascii="方正小标宋简体" w:hAnsi="宋体" w:eastAsia="方正小标宋简体"/>
          <w:color w:val="000000"/>
          <w:kern w:val="0"/>
          <w:sz w:val="44"/>
          <w:szCs w:val="44"/>
        </w:rPr>
      </w:pPr>
    </w:p>
    <w:p w14:paraId="576FC484">
      <w:pPr>
        <w:pStyle w:val="3"/>
        <w:ind w:left="420" w:firstLine="880"/>
        <w:rPr>
          <w:rFonts w:ascii="方正小标宋简体" w:hAnsi="宋体" w:eastAsia="方正小标宋简体"/>
          <w:color w:val="000000"/>
          <w:kern w:val="0"/>
          <w:sz w:val="44"/>
          <w:szCs w:val="44"/>
        </w:rPr>
      </w:pPr>
    </w:p>
    <w:tbl>
      <w:tblPr>
        <w:tblStyle w:val="18"/>
        <w:tblW w:w="0" w:type="auto"/>
        <w:tblInd w:w="93" w:type="dxa"/>
        <w:tblLayout w:type="autofit"/>
        <w:tblCellMar>
          <w:top w:w="0" w:type="dxa"/>
          <w:left w:w="108" w:type="dxa"/>
          <w:bottom w:w="0" w:type="dxa"/>
          <w:right w:w="108" w:type="dxa"/>
        </w:tblCellMar>
      </w:tblPr>
      <w:tblGrid>
        <w:gridCol w:w="918"/>
        <w:gridCol w:w="991"/>
        <w:gridCol w:w="1100"/>
        <w:gridCol w:w="971"/>
        <w:gridCol w:w="639"/>
        <w:gridCol w:w="714"/>
        <w:gridCol w:w="639"/>
        <w:gridCol w:w="1167"/>
        <w:gridCol w:w="656"/>
        <w:gridCol w:w="656"/>
        <w:gridCol w:w="1027"/>
      </w:tblGrid>
      <w:tr w14:paraId="1DAB749F">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F417AF">
            <w:pPr>
              <w:widowControl/>
              <w:spacing w:line="240" w:lineRule="exact"/>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19CC4C3D">
        <w:tblPrEx>
          <w:tblCellMar>
            <w:top w:w="0" w:type="dxa"/>
            <w:left w:w="108" w:type="dxa"/>
            <w:bottom w:w="0" w:type="dxa"/>
            <w:right w:w="108" w:type="dxa"/>
          </w:tblCellMar>
        </w:tblPrEx>
        <w:trPr>
          <w:trHeight w:val="2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987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D7D9D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51090423T000008868822-文旅园区宣传营销</w:t>
            </w:r>
          </w:p>
        </w:tc>
      </w:tr>
      <w:tr w14:paraId="6A8DE3A6">
        <w:tblPrEx>
          <w:tblCellMar>
            <w:top w:w="0" w:type="dxa"/>
            <w:left w:w="108" w:type="dxa"/>
            <w:bottom w:w="0" w:type="dxa"/>
            <w:right w:w="108" w:type="dxa"/>
          </w:tblCellMar>
        </w:tblPrEx>
        <w:trPr>
          <w:trHeight w:val="514"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BA9F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C374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0" w:type="auto"/>
            <w:tcBorders>
              <w:top w:val="nil"/>
              <w:left w:val="nil"/>
              <w:bottom w:val="nil"/>
              <w:right w:val="nil"/>
            </w:tcBorders>
            <w:shd w:val="clear" w:color="auto" w:fill="auto"/>
            <w:vAlign w:val="center"/>
          </w:tcPr>
          <w:p w14:paraId="05F31E0A">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5617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09656CA3">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2BB4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4CEC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814E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0682E5">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0C89F93C">
        <w:tblPrEx>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20617">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9F14E">
            <w:pPr>
              <w:widowControl/>
              <w:spacing w:line="240" w:lineRule="exact"/>
              <w:jc w:val="left"/>
              <w:rPr>
                <w:rFonts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A9E0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文旅园区景区宣传营销，并制定营销方案并筹备大型营销宣传活动。力求提升园区文化品位，拓宽文化旅游市场。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D6927">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2023年度我园区利用官方网站，社交媒体，发布园区介绍，活动信息等，增加曝光率和访问量。</w:t>
            </w:r>
          </w:p>
        </w:tc>
      </w:tr>
      <w:tr w14:paraId="4DF97D61">
        <w:tblPrEx>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9160">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F1BC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7C5F1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对目标市场进行深入调研，了解游客需求，积极宣传提高园区知名度。</w:t>
            </w:r>
          </w:p>
        </w:tc>
      </w:tr>
      <w:tr w14:paraId="3C2E6B85">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352C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346A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06C7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7352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BDD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3F0C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DD00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8C9A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01A3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17E8036A">
        <w:tblPrEx>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F3A4">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D44E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E299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74EB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E3FFE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B7BD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6EA3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34FF2">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31590">
            <w:pPr>
              <w:widowControl/>
              <w:spacing w:line="240" w:lineRule="exact"/>
              <w:jc w:val="left"/>
              <w:rPr>
                <w:rFonts w:ascii="黑体" w:hAnsi="黑体" w:eastAsia="黑体" w:cs="黑体"/>
                <w:i/>
                <w:iCs/>
                <w:color w:val="000000"/>
                <w:sz w:val="18"/>
                <w:szCs w:val="18"/>
              </w:rPr>
            </w:pPr>
          </w:p>
        </w:tc>
      </w:tr>
      <w:tr w14:paraId="1F2C21B9">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C138">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6BF2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3A79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DFC9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81AC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BE01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52CB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1920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2BB8F">
            <w:pPr>
              <w:widowControl/>
              <w:spacing w:line="240" w:lineRule="exact"/>
              <w:jc w:val="left"/>
              <w:rPr>
                <w:rFonts w:ascii="黑体" w:hAnsi="黑体" w:eastAsia="黑体" w:cs="黑体"/>
                <w:i/>
                <w:iCs/>
                <w:color w:val="000000"/>
                <w:sz w:val="18"/>
                <w:szCs w:val="18"/>
              </w:rPr>
            </w:pPr>
          </w:p>
        </w:tc>
      </w:tr>
      <w:tr w14:paraId="2E4C083D">
        <w:tblPrEx>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A891">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D307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AFD7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9631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AA5E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386F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83ED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7AEC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C4FC">
            <w:pPr>
              <w:widowControl/>
              <w:spacing w:line="240" w:lineRule="exact"/>
              <w:jc w:val="left"/>
              <w:rPr>
                <w:rFonts w:ascii="黑体" w:hAnsi="黑体" w:eastAsia="黑体" w:cs="黑体"/>
                <w:i/>
                <w:iCs/>
                <w:color w:val="000000"/>
                <w:sz w:val="18"/>
                <w:szCs w:val="18"/>
              </w:rPr>
            </w:pPr>
          </w:p>
        </w:tc>
      </w:tr>
      <w:tr w14:paraId="50B05851">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0176A">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C7A7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A181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8289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D1E4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6BED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74E7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504E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5219">
            <w:pPr>
              <w:widowControl/>
              <w:spacing w:line="240" w:lineRule="exact"/>
              <w:jc w:val="left"/>
              <w:rPr>
                <w:rFonts w:ascii="黑体" w:hAnsi="黑体" w:eastAsia="黑体" w:cs="黑体"/>
                <w:i/>
                <w:iCs/>
                <w:color w:val="000000"/>
                <w:sz w:val="18"/>
                <w:szCs w:val="18"/>
              </w:rPr>
            </w:pPr>
          </w:p>
        </w:tc>
      </w:tr>
      <w:tr w14:paraId="13F2B520">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CE7F">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A8E6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79A18">
            <w:pPr>
              <w:widowControl/>
              <w:spacing w:line="24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D26E">
            <w:pPr>
              <w:widowControl/>
              <w:spacing w:line="240" w:lineRule="exact"/>
              <w:jc w:val="left"/>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87132">
            <w:pPr>
              <w:widowControl/>
              <w:spacing w:line="24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AE810">
            <w:pPr>
              <w:widowControl/>
              <w:spacing w:line="24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C03C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D2CB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490CF">
            <w:pPr>
              <w:widowControl/>
              <w:spacing w:line="240" w:lineRule="exact"/>
              <w:jc w:val="left"/>
              <w:rPr>
                <w:rFonts w:ascii="黑体" w:hAnsi="黑体" w:eastAsia="黑体" w:cs="黑体"/>
                <w:i/>
                <w:iCs/>
                <w:color w:val="000000"/>
                <w:sz w:val="18"/>
                <w:szCs w:val="18"/>
              </w:rPr>
            </w:pPr>
          </w:p>
        </w:tc>
      </w:tr>
      <w:tr w14:paraId="73D86CBA">
        <w:tblPrEx>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8AF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A150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983F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6B5B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CA7E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DDE2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E70F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38AF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2057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57F9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731E3">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76A8C891">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DFE7">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5325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5D95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61F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投放广告牌数量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596F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D824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CE39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08A6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E7E0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0D4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B7EEA">
            <w:pPr>
              <w:widowControl/>
              <w:spacing w:line="240" w:lineRule="exact"/>
              <w:jc w:val="left"/>
              <w:rPr>
                <w:rFonts w:ascii="微软雅黑" w:hAnsi="微软雅黑" w:eastAsia="微软雅黑" w:cs="微软雅黑"/>
                <w:i/>
                <w:iCs/>
                <w:color w:val="000000"/>
                <w:sz w:val="16"/>
                <w:szCs w:val="16"/>
              </w:rPr>
            </w:pPr>
          </w:p>
        </w:tc>
      </w:tr>
      <w:tr w14:paraId="72E919D5">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6C18">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19E0">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D5238">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66ED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举行活动次数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C1A9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C9C3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0307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3AF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B99E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940E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0B3D9">
            <w:pPr>
              <w:widowControl/>
              <w:spacing w:line="240" w:lineRule="exact"/>
              <w:jc w:val="left"/>
              <w:rPr>
                <w:rFonts w:ascii="微软雅黑" w:hAnsi="微软雅黑" w:eastAsia="微软雅黑" w:cs="微软雅黑"/>
                <w:i/>
                <w:iCs/>
                <w:color w:val="000000"/>
                <w:sz w:val="16"/>
                <w:szCs w:val="16"/>
              </w:rPr>
            </w:pPr>
          </w:p>
        </w:tc>
      </w:tr>
      <w:tr w14:paraId="089D4219">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AEEA">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1B29">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8217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5792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D14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83F4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50AF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C33E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B00B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BC72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1A906">
            <w:pPr>
              <w:widowControl/>
              <w:spacing w:line="240" w:lineRule="exact"/>
              <w:jc w:val="left"/>
              <w:rPr>
                <w:rFonts w:ascii="微软雅黑" w:hAnsi="微软雅黑" w:eastAsia="微软雅黑" w:cs="微软雅黑"/>
                <w:i/>
                <w:iCs/>
                <w:color w:val="000000"/>
                <w:sz w:val="16"/>
                <w:szCs w:val="16"/>
              </w:rPr>
            </w:pPr>
          </w:p>
        </w:tc>
      </w:tr>
      <w:tr w14:paraId="5D2BD319">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46E9">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1A14">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9EFD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139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0A41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092B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4314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0FDB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21FA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9CC0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FBFAE">
            <w:pPr>
              <w:widowControl/>
              <w:spacing w:line="240" w:lineRule="exact"/>
              <w:jc w:val="left"/>
              <w:rPr>
                <w:rFonts w:ascii="微软雅黑" w:hAnsi="微软雅黑" w:eastAsia="微软雅黑" w:cs="微软雅黑"/>
                <w:i/>
                <w:iCs/>
                <w:color w:val="000000"/>
                <w:sz w:val="16"/>
                <w:szCs w:val="16"/>
              </w:rPr>
            </w:pPr>
          </w:p>
        </w:tc>
      </w:tr>
      <w:tr w14:paraId="2C8D87CE">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1B8A">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FD55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0AFC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610E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拓宽文旅市场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FAAE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40C9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AD88D">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4A43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76BAF">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24FE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0EFB2">
            <w:pPr>
              <w:widowControl/>
              <w:spacing w:line="240" w:lineRule="exact"/>
              <w:jc w:val="left"/>
              <w:rPr>
                <w:rFonts w:ascii="微软雅黑" w:hAnsi="微软雅黑" w:eastAsia="微软雅黑" w:cs="微软雅黑"/>
                <w:i/>
                <w:iCs/>
                <w:color w:val="000000"/>
                <w:sz w:val="16"/>
                <w:szCs w:val="16"/>
              </w:rPr>
            </w:pPr>
          </w:p>
        </w:tc>
      </w:tr>
      <w:tr w14:paraId="0928C5BB">
        <w:tblPrEx>
          <w:tblCellMar>
            <w:top w:w="0" w:type="dxa"/>
            <w:left w:w="108" w:type="dxa"/>
            <w:bottom w:w="0" w:type="dxa"/>
            <w:right w:w="108" w:type="dxa"/>
          </w:tblCellMar>
        </w:tblPrEx>
        <w:trPr>
          <w:trHeight w:val="45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E573">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3CC41">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99E4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E47E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72967">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32E1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B44E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C8A1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50C3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0FB6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B2B83">
            <w:pPr>
              <w:widowControl/>
              <w:spacing w:line="240" w:lineRule="exact"/>
              <w:jc w:val="left"/>
              <w:rPr>
                <w:rFonts w:ascii="微软雅黑" w:hAnsi="微软雅黑" w:eastAsia="微软雅黑" w:cs="微软雅黑"/>
                <w:i/>
                <w:iCs/>
                <w:color w:val="000000"/>
                <w:sz w:val="16"/>
                <w:szCs w:val="16"/>
              </w:rPr>
            </w:pPr>
          </w:p>
        </w:tc>
      </w:tr>
      <w:tr w14:paraId="1CA08C0B">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03FAB">
            <w:pPr>
              <w:widowControl/>
              <w:spacing w:line="24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CFAB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186B2">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9A57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活动举办费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EDCE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3E21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44FB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6413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3E89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1717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1EFFF">
            <w:pPr>
              <w:widowControl/>
              <w:spacing w:line="240" w:lineRule="exact"/>
              <w:jc w:val="left"/>
              <w:rPr>
                <w:rFonts w:ascii="微软雅黑" w:hAnsi="微软雅黑" w:eastAsia="微软雅黑" w:cs="微软雅黑"/>
                <w:i/>
                <w:iCs/>
                <w:color w:val="000000"/>
                <w:sz w:val="16"/>
                <w:szCs w:val="16"/>
              </w:rPr>
            </w:pPr>
          </w:p>
        </w:tc>
      </w:tr>
      <w:tr w14:paraId="66B048D8">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4B5CC">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842B">
            <w:pPr>
              <w:widowControl/>
              <w:spacing w:line="240" w:lineRule="exact"/>
              <w:jc w:val="left"/>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45C0">
            <w:pPr>
              <w:widowControl/>
              <w:spacing w:line="24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06A5B">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广告费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BB12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E2A0A">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A03C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95D6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F5B35">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1C590">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3A524">
            <w:pPr>
              <w:widowControl/>
              <w:spacing w:line="240" w:lineRule="exact"/>
              <w:jc w:val="left"/>
              <w:rPr>
                <w:rFonts w:ascii="微软雅黑" w:hAnsi="微软雅黑" w:eastAsia="微软雅黑" w:cs="微软雅黑"/>
                <w:i/>
                <w:iCs/>
                <w:color w:val="000000"/>
                <w:sz w:val="16"/>
                <w:szCs w:val="16"/>
              </w:rPr>
            </w:pPr>
          </w:p>
        </w:tc>
      </w:tr>
      <w:tr w14:paraId="5B1E6631">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FBCA3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3C51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1A2A8">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1370D">
            <w:pPr>
              <w:widowControl/>
              <w:spacing w:line="240" w:lineRule="exact"/>
              <w:jc w:val="left"/>
              <w:rPr>
                <w:rFonts w:ascii="宋体" w:hAnsi="宋体" w:cs="宋体"/>
                <w:color w:val="000000"/>
                <w:sz w:val="18"/>
                <w:szCs w:val="18"/>
              </w:rPr>
            </w:pPr>
          </w:p>
        </w:tc>
      </w:tr>
      <w:tr w14:paraId="069878CF">
        <w:tblPrEx>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489A6">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EFF822">
            <w:pPr>
              <w:widowControl/>
              <w:spacing w:line="240" w:lineRule="exact"/>
              <w:jc w:val="left"/>
              <w:textAlignment w:val="center"/>
              <w:rPr>
                <w:rFonts w:hint="eastAsia" w:ascii="宋体" w:hAnsi="宋体" w:eastAsia="宋体" w:cs="宋体"/>
                <w:color w:val="000000"/>
                <w:kern w:val="0"/>
                <w:sz w:val="18"/>
                <w:szCs w:val="18"/>
                <w:lang w:eastAsia="zh-CN" w:bidi="ar"/>
              </w:rPr>
            </w:pPr>
            <w:r>
              <w:rPr>
                <w:rFonts w:ascii="宋体" w:hAnsi="宋体" w:cs="宋体"/>
                <w:color w:val="000000"/>
                <w:kern w:val="0"/>
                <w:sz w:val="18"/>
                <w:szCs w:val="18"/>
                <w:lang w:bidi="ar"/>
              </w:rPr>
              <w:t>通过有效的宣传营销策略，文旅园区可以显著提升品牌知名度和市场影响力，吸引更多游客前来参观体验。</w:t>
            </w:r>
          </w:p>
          <w:p w14:paraId="3DB94229">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同时，园区内的文化展览、演艺活动、体验项目等也将得到更好的推广和展示，为游客提供更加丰富多彩的文化旅游体验。</w:t>
            </w:r>
          </w:p>
        </w:tc>
      </w:tr>
      <w:tr w14:paraId="292EF997">
        <w:tblPrEx>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12644">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5942E">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在实际执行过程中，可能存在经费使用不规范的情况,对经费使用的监管可能存在不足，导致资金使用的效率和效果受到影响。</w:t>
            </w:r>
          </w:p>
        </w:tc>
      </w:tr>
      <w:tr w14:paraId="5B1B769D">
        <w:tblPrEx>
          <w:tblCellMar>
            <w:top w:w="0" w:type="dxa"/>
            <w:left w:w="108" w:type="dxa"/>
            <w:bottom w:w="0" w:type="dxa"/>
            <w:right w:w="108" w:type="dxa"/>
          </w:tblCellMar>
        </w:tblPrEx>
        <w:trPr>
          <w:trHeight w:val="63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E1FC">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0C2C6D">
            <w:pPr>
              <w:widowControl/>
              <w:spacing w:line="24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争取节约工作经费，全面开展好工作，不断提高工作科学化、规范化、法治化水平。</w:t>
            </w:r>
          </w:p>
        </w:tc>
      </w:tr>
      <w:tr w14:paraId="4F1DAAC4">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80F14">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73ACEB">
            <w:pPr>
              <w:widowControl/>
              <w:spacing w:line="24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r w14:paraId="00DFD7E5">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vAlign w:val="center"/>
          </w:tcPr>
          <w:p w14:paraId="15BE64F2">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6F5B8085">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0831496F">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3592028A">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2C50A8D2">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211BD525">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09823DB3">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7C0A48B0">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6A6835FE">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3EE5D1E2">
            <w:pPr>
              <w:widowControl/>
              <w:spacing w:line="240" w:lineRule="exact"/>
              <w:jc w:val="left"/>
              <w:rPr>
                <w:rFonts w:ascii="宋体" w:hAnsi="宋体" w:cs="宋体"/>
                <w:color w:val="000000"/>
                <w:sz w:val="18"/>
                <w:szCs w:val="18"/>
              </w:rPr>
            </w:pPr>
          </w:p>
        </w:tc>
        <w:tc>
          <w:tcPr>
            <w:tcW w:w="0" w:type="auto"/>
            <w:tcBorders>
              <w:top w:val="nil"/>
              <w:left w:val="nil"/>
              <w:bottom w:val="nil"/>
              <w:right w:val="nil"/>
            </w:tcBorders>
            <w:shd w:val="clear" w:color="auto" w:fill="auto"/>
            <w:vAlign w:val="center"/>
          </w:tcPr>
          <w:p w14:paraId="6AA49A6D">
            <w:pPr>
              <w:widowControl/>
              <w:spacing w:line="240" w:lineRule="exact"/>
              <w:jc w:val="left"/>
              <w:rPr>
                <w:rFonts w:ascii="宋体" w:hAnsi="宋体" w:cs="宋体"/>
                <w:color w:val="000000"/>
                <w:sz w:val="18"/>
                <w:szCs w:val="18"/>
              </w:rPr>
            </w:pPr>
          </w:p>
        </w:tc>
      </w:tr>
    </w:tbl>
    <w:tbl>
      <w:tblPr>
        <w:tblStyle w:val="18"/>
        <w:tblpPr w:leftFromText="180" w:rightFromText="180" w:vertAnchor="text" w:horzAnchor="page" w:tblpX="1525" w:tblpY="294"/>
        <w:tblOverlap w:val="never"/>
        <w:tblW w:w="0" w:type="auto"/>
        <w:tblInd w:w="0" w:type="dxa"/>
        <w:tblLayout w:type="autofit"/>
        <w:tblCellMar>
          <w:top w:w="0" w:type="dxa"/>
          <w:left w:w="108" w:type="dxa"/>
          <w:bottom w:w="0" w:type="dxa"/>
          <w:right w:w="108" w:type="dxa"/>
        </w:tblCellMar>
      </w:tblPr>
      <w:tblGrid>
        <w:gridCol w:w="1133"/>
        <w:gridCol w:w="988"/>
        <w:gridCol w:w="1088"/>
        <w:gridCol w:w="846"/>
        <w:gridCol w:w="599"/>
        <w:gridCol w:w="644"/>
        <w:gridCol w:w="599"/>
        <w:gridCol w:w="1184"/>
        <w:gridCol w:w="662"/>
        <w:gridCol w:w="662"/>
        <w:gridCol w:w="1166"/>
      </w:tblGrid>
      <w:tr w14:paraId="36EE3B6E">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E1D4FC">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部门预算项目支出绩效自评表（2023年度）</w:t>
            </w:r>
          </w:p>
        </w:tc>
      </w:tr>
      <w:tr w14:paraId="7E88C1F5">
        <w:tblPrEx>
          <w:tblCellMar>
            <w:top w:w="0" w:type="dxa"/>
            <w:left w:w="108" w:type="dxa"/>
            <w:bottom w:w="0" w:type="dxa"/>
            <w:right w:w="108" w:type="dxa"/>
          </w:tblCellMar>
        </w:tblPrEx>
        <w:trPr>
          <w:trHeight w:val="285" w:hRule="atLeast"/>
        </w:trPr>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427C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4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D475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51090423T000008869651-省星级现代农业园区创建升星经费</w:t>
            </w:r>
          </w:p>
        </w:tc>
      </w:tr>
      <w:tr w14:paraId="08AAA782">
        <w:tblPrEx>
          <w:tblCellMar>
            <w:top w:w="0" w:type="dxa"/>
            <w:left w:w="108" w:type="dxa"/>
            <w:bottom w:w="0" w:type="dxa"/>
            <w:right w:w="108" w:type="dxa"/>
          </w:tblCellMar>
        </w:tblPrEx>
        <w:trPr>
          <w:trHeight w:val="514" w:hRule="atLeast"/>
        </w:trPr>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D5C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FFB5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遂宁市安居区海龙凯歌文化旅游产业园区管理委员会部门</w:t>
            </w:r>
          </w:p>
        </w:tc>
        <w:tc>
          <w:tcPr>
            <w:tcW w:w="0" w:type="auto"/>
            <w:tcBorders>
              <w:top w:val="nil"/>
              <w:left w:val="nil"/>
              <w:bottom w:val="nil"/>
              <w:right w:val="nil"/>
            </w:tcBorders>
            <w:shd w:val="clear" w:color="auto" w:fill="auto"/>
            <w:vAlign w:val="center"/>
          </w:tcPr>
          <w:p w14:paraId="7F9C8B21">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B722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遂宁市安居区海龙凯歌文化旅游产业园区管理委员会</w:t>
            </w:r>
          </w:p>
        </w:tc>
      </w:tr>
      <w:tr w14:paraId="0C9723A1">
        <w:tblPrEx>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3477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FE8D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1.项目年度目标完成情况</w:t>
            </w: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4B42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AE979B">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55E3F170">
        <w:tblPrEx>
          <w:tblCellMar>
            <w:top w:w="0" w:type="dxa"/>
            <w:left w:w="108" w:type="dxa"/>
            <w:bottom w:w="0" w:type="dxa"/>
            <w:right w:w="108" w:type="dxa"/>
          </w:tblCellMar>
        </w:tblPrEx>
        <w:trPr>
          <w:trHeight w:val="112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B64BF">
            <w:pPr>
              <w:spacing w:line="210" w:lineRule="exact"/>
              <w:jc w:val="left"/>
              <w:rPr>
                <w:rFonts w:ascii="宋体" w:hAnsi="宋体" w:cs="宋体"/>
                <w:color w:val="000000"/>
                <w:sz w:val="18"/>
                <w:szCs w:val="18"/>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08959">
            <w:pPr>
              <w:spacing w:line="210" w:lineRule="exact"/>
              <w:jc w:val="left"/>
              <w:rPr>
                <w:rFonts w:ascii="宋体" w:hAnsi="宋体" w:cs="宋体"/>
                <w:color w:val="000000"/>
                <w:sz w:val="18"/>
                <w:szCs w:val="18"/>
              </w:rPr>
            </w:pPr>
          </w:p>
        </w:tc>
        <w:tc>
          <w:tcPr>
            <w:tcW w:w="38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5D83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省星级现代农业园区创建升星经费1个50万元，市星级现代农业园区创建升星经费3个30万元。文件依据： 中共四川省委农村工作领导小组&lt;关于印发《四川省现代农业园区分类创建认定评分标准&gt;的通知》（川农领〔2022〕12号 ），2022年5月1日起施行的《四川省现代农业园区条例》。为海龙凯歌整体升级而奠定基础。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F1582F">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2023年度完成园区创建升星级3个。</w:t>
            </w:r>
          </w:p>
        </w:tc>
      </w:tr>
      <w:tr w14:paraId="0C91D4E5">
        <w:tblPrEx>
          <w:tblCellMar>
            <w:top w:w="0" w:type="dxa"/>
            <w:left w:w="108" w:type="dxa"/>
            <w:bottom w:w="0" w:type="dxa"/>
            <w:right w:w="108" w:type="dxa"/>
          </w:tblCellMar>
        </w:tblPrEx>
        <w:trPr>
          <w:trHeight w:val="69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560C">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F15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74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1066A6">
            <w:pPr>
              <w:spacing w:line="210" w:lineRule="exact"/>
              <w:jc w:val="left"/>
              <w:rPr>
                <w:rFonts w:ascii="宋体" w:hAnsi="宋体" w:cs="宋体"/>
                <w:color w:val="000000"/>
                <w:sz w:val="18"/>
                <w:szCs w:val="18"/>
              </w:rPr>
            </w:pPr>
          </w:p>
        </w:tc>
      </w:tr>
      <w:tr w14:paraId="5142D5BF">
        <w:tblPrEx>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E62F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预算执行情况（10分）</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D57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06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BA30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7865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B7C1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E7A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25B9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A538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14:paraId="4107EB10">
        <w:tblPrEx>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8468">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15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5AC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7B5E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A200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2EDA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1AD3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2667C">
            <w:pPr>
              <w:spacing w:line="210" w:lineRule="exact"/>
              <w:jc w:val="left"/>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B1C9">
            <w:pPr>
              <w:spacing w:line="210" w:lineRule="exact"/>
              <w:jc w:val="left"/>
              <w:rPr>
                <w:rFonts w:ascii="黑体" w:hAnsi="黑体" w:eastAsia="黑体" w:cs="黑体"/>
                <w:i/>
                <w:iCs/>
                <w:color w:val="000000"/>
                <w:sz w:val="18"/>
                <w:szCs w:val="18"/>
              </w:rPr>
            </w:pPr>
          </w:p>
        </w:tc>
      </w:tr>
      <w:tr w14:paraId="2D5A92E4">
        <w:tblPrEx>
          <w:tblCellMar>
            <w:top w:w="0" w:type="dxa"/>
            <w:left w:w="108" w:type="dxa"/>
            <w:bottom w:w="0" w:type="dxa"/>
            <w:right w:w="108" w:type="dxa"/>
          </w:tblCellMar>
        </w:tblPrEx>
        <w:trPr>
          <w:trHeight w:val="3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8213">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C3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708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669E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676D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87A5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93AC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5425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E6FD">
            <w:pPr>
              <w:spacing w:line="210" w:lineRule="exact"/>
              <w:jc w:val="left"/>
              <w:rPr>
                <w:rFonts w:ascii="黑体" w:hAnsi="黑体" w:eastAsia="黑体" w:cs="黑体"/>
                <w:i/>
                <w:iCs/>
                <w:color w:val="000000"/>
                <w:sz w:val="18"/>
                <w:szCs w:val="18"/>
              </w:rPr>
            </w:pPr>
          </w:p>
        </w:tc>
      </w:tr>
      <w:tr w14:paraId="217F3305">
        <w:tblPrEx>
          <w:tblCellMar>
            <w:top w:w="0" w:type="dxa"/>
            <w:left w:w="108" w:type="dxa"/>
            <w:bottom w:w="0" w:type="dxa"/>
            <w:right w:w="108" w:type="dxa"/>
          </w:tblCellMar>
        </w:tblPrEx>
        <w:trPr>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EC58">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AD8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41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173B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FAFE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6CBB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0BB8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EF7F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6AC9F">
            <w:pPr>
              <w:spacing w:line="210" w:lineRule="exact"/>
              <w:jc w:val="left"/>
              <w:rPr>
                <w:rFonts w:ascii="黑体" w:hAnsi="黑体" w:eastAsia="黑体" w:cs="黑体"/>
                <w:i/>
                <w:iCs/>
                <w:color w:val="000000"/>
                <w:sz w:val="18"/>
                <w:szCs w:val="18"/>
              </w:rPr>
            </w:pPr>
          </w:p>
        </w:tc>
      </w:tr>
      <w:tr w14:paraId="3B255203">
        <w:tblPrEx>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5F59">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EF8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60A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F431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FB82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6044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3EE0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AEF2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B5BAA">
            <w:pPr>
              <w:spacing w:line="210" w:lineRule="exact"/>
              <w:jc w:val="left"/>
              <w:rPr>
                <w:rFonts w:ascii="黑体" w:hAnsi="黑体" w:eastAsia="黑体" w:cs="黑体"/>
                <w:i/>
                <w:iCs/>
                <w:color w:val="000000"/>
                <w:sz w:val="18"/>
                <w:szCs w:val="18"/>
              </w:rPr>
            </w:pPr>
          </w:p>
        </w:tc>
      </w:tr>
      <w:tr w14:paraId="071993D7">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101F2">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D72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CE05">
            <w:pPr>
              <w:spacing w:line="21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339A8">
            <w:pPr>
              <w:spacing w:line="210" w:lineRule="exact"/>
              <w:jc w:val="left"/>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DA026">
            <w:pPr>
              <w:spacing w:line="21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DFBC">
            <w:pPr>
              <w:spacing w:line="210" w:lineRule="exact"/>
              <w:jc w:val="left"/>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9A31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40D1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6E20">
            <w:pPr>
              <w:spacing w:line="210" w:lineRule="exact"/>
              <w:jc w:val="left"/>
              <w:rPr>
                <w:rFonts w:ascii="黑体" w:hAnsi="黑体" w:eastAsia="黑体" w:cs="黑体"/>
                <w:i/>
                <w:iCs/>
                <w:color w:val="000000"/>
                <w:sz w:val="18"/>
                <w:szCs w:val="18"/>
              </w:rPr>
            </w:pPr>
          </w:p>
        </w:tc>
      </w:tr>
      <w:tr w14:paraId="141C0336">
        <w:tblPrEx>
          <w:tblCellMar>
            <w:top w:w="0" w:type="dxa"/>
            <w:left w:w="108" w:type="dxa"/>
            <w:bottom w:w="0" w:type="dxa"/>
            <w:right w:w="108" w:type="dxa"/>
          </w:tblCellMar>
        </w:tblPrEx>
        <w:trPr>
          <w:trHeight w:val="45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FFF3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绩效指标（90分）</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49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6A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2D3C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3F77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E475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467B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78A8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C0F2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D390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9716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14:paraId="2D517442">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C12E">
            <w:pPr>
              <w:spacing w:line="210" w:lineRule="exact"/>
              <w:jc w:val="left"/>
              <w:rPr>
                <w:rFonts w:ascii="宋体" w:hAnsi="宋体" w:cs="宋体"/>
                <w:color w:val="000000"/>
                <w:sz w:val="18"/>
                <w:szCs w:val="18"/>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7931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54F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FC5F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升级园区个数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EC67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3585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142E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C2A0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9B64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5758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AAC8A">
            <w:pPr>
              <w:spacing w:line="210" w:lineRule="exact"/>
              <w:jc w:val="left"/>
              <w:rPr>
                <w:rFonts w:ascii="微软雅黑" w:hAnsi="微软雅黑" w:eastAsia="微软雅黑" w:cs="微软雅黑"/>
                <w:i/>
                <w:iCs/>
                <w:color w:val="000000"/>
                <w:sz w:val="16"/>
                <w:szCs w:val="16"/>
              </w:rPr>
            </w:pPr>
          </w:p>
        </w:tc>
      </w:tr>
      <w:tr w14:paraId="46CD6CD0">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8D87">
            <w:pPr>
              <w:spacing w:line="210" w:lineRule="exact"/>
              <w:jc w:val="left"/>
              <w:rPr>
                <w:rFonts w:ascii="宋体" w:hAnsi="宋体" w:cs="宋体"/>
                <w:color w:val="000000"/>
                <w:sz w:val="18"/>
                <w:szCs w:val="18"/>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C4D9">
            <w:pPr>
              <w:spacing w:line="210" w:lineRule="exact"/>
              <w:jc w:val="left"/>
              <w:rPr>
                <w:rFonts w:ascii="宋体" w:hAnsi="宋体" w:cs="宋体"/>
                <w:color w:val="000000"/>
                <w:sz w:val="18"/>
                <w:szCs w:val="18"/>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F9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F14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创星入围率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2F05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E001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30E1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0195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245E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87DB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4C8E0">
            <w:pPr>
              <w:spacing w:line="210" w:lineRule="exact"/>
              <w:jc w:val="left"/>
              <w:rPr>
                <w:rFonts w:ascii="微软雅黑" w:hAnsi="微软雅黑" w:eastAsia="微软雅黑" w:cs="微软雅黑"/>
                <w:i/>
                <w:iCs/>
                <w:color w:val="000000"/>
                <w:sz w:val="16"/>
                <w:szCs w:val="16"/>
              </w:rPr>
            </w:pPr>
          </w:p>
        </w:tc>
      </w:tr>
      <w:tr w14:paraId="60AB0F4F">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962E">
            <w:pPr>
              <w:spacing w:line="210" w:lineRule="exact"/>
              <w:jc w:val="left"/>
              <w:rPr>
                <w:rFonts w:ascii="宋体" w:hAnsi="宋体" w:cs="宋体"/>
                <w:color w:val="000000"/>
                <w:sz w:val="18"/>
                <w:szCs w:val="18"/>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1712">
            <w:pPr>
              <w:spacing w:line="210" w:lineRule="exact"/>
              <w:jc w:val="left"/>
              <w:rPr>
                <w:rFonts w:ascii="宋体" w:hAnsi="宋体" w:cs="宋体"/>
                <w:color w:val="000000"/>
                <w:sz w:val="18"/>
                <w:szCs w:val="18"/>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E00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3BBF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2157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E61E">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830D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8645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24D6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96E3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992CA">
            <w:pPr>
              <w:spacing w:line="210" w:lineRule="exact"/>
              <w:jc w:val="left"/>
              <w:rPr>
                <w:rFonts w:ascii="微软雅黑" w:hAnsi="微软雅黑" w:eastAsia="微软雅黑" w:cs="微软雅黑"/>
                <w:i/>
                <w:iCs/>
                <w:color w:val="000000"/>
                <w:sz w:val="16"/>
                <w:szCs w:val="16"/>
              </w:rPr>
            </w:pPr>
          </w:p>
        </w:tc>
      </w:tr>
      <w:tr w14:paraId="5CB0F823">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09DA">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583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64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FCE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扩大知名度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4EDF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F98E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E1B5C">
            <w:pPr>
              <w:spacing w:line="21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2BAE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7A8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4CC9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8FA32">
            <w:pPr>
              <w:spacing w:line="210" w:lineRule="exact"/>
              <w:jc w:val="left"/>
              <w:rPr>
                <w:rFonts w:ascii="微软雅黑" w:hAnsi="微软雅黑" w:eastAsia="微软雅黑" w:cs="微软雅黑"/>
                <w:i/>
                <w:iCs/>
                <w:color w:val="000000"/>
                <w:sz w:val="16"/>
                <w:szCs w:val="16"/>
              </w:rPr>
            </w:pPr>
          </w:p>
        </w:tc>
      </w:tr>
      <w:tr w14:paraId="6A5DEA0F">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2D8C">
            <w:pPr>
              <w:spacing w:line="210" w:lineRule="exact"/>
              <w:jc w:val="left"/>
              <w:rPr>
                <w:rFonts w:ascii="宋体" w:hAnsi="宋体" w:cs="宋体"/>
                <w:color w:val="000000"/>
                <w:sz w:val="18"/>
                <w:szCs w:val="18"/>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75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9E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FDE0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服务对象满意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2F01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4D26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B7C1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4307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1F421">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DA47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64760">
            <w:pPr>
              <w:spacing w:line="210" w:lineRule="exact"/>
              <w:jc w:val="left"/>
              <w:rPr>
                <w:rFonts w:ascii="微软雅黑" w:hAnsi="微软雅黑" w:eastAsia="微软雅黑" w:cs="微软雅黑"/>
                <w:i/>
                <w:iCs/>
                <w:color w:val="000000"/>
                <w:sz w:val="16"/>
                <w:szCs w:val="16"/>
              </w:rPr>
            </w:pPr>
          </w:p>
        </w:tc>
      </w:tr>
      <w:tr w14:paraId="3F87BDBB">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4482">
            <w:pPr>
              <w:spacing w:line="210" w:lineRule="exact"/>
              <w:jc w:val="left"/>
              <w:rPr>
                <w:rFonts w:ascii="宋体" w:hAnsi="宋体" w:cs="宋体"/>
                <w:color w:val="000000"/>
                <w:sz w:val="18"/>
                <w:szCs w:val="18"/>
              </w:rPr>
            </w:pPr>
          </w:p>
        </w:tc>
        <w:tc>
          <w:tcPr>
            <w:tcW w:w="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C670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54C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0E52D">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C9C3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687E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BB28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965A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CAC0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727C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F1883">
            <w:pPr>
              <w:spacing w:line="210" w:lineRule="exact"/>
              <w:jc w:val="left"/>
              <w:rPr>
                <w:rFonts w:ascii="微软雅黑" w:hAnsi="微软雅黑" w:eastAsia="微软雅黑" w:cs="微软雅黑"/>
                <w:i/>
                <w:iCs/>
                <w:color w:val="000000"/>
                <w:sz w:val="16"/>
                <w:szCs w:val="16"/>
              </w:rPr>
            </w:pPr>
          </w:p>
        </w:tc>
      </w:tr>
      <w:tr w14:paraId="13724237">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4BEAB">
            <w:pPr>
              <w:spacing w:line="210" w:lineRule="exact"/>
              <w:jc w:val="left"/>
              <w:rPr>
                <w:rFonts w:ascii="宋体" w:hAnsi="宋体" w:cs="宋体"/>
                <w:color w:val="000000"/>
                <w:sz w:val="18"/>
                <w:szCs w:val="18"/>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D3EC">
            <w:pPr>
              <w:spacing w:line="210" w:lineRule="exact"/>
              <w:jc w:val="left"/>
              <w:rPr>
                <w:rFonts w:ascii="宋体" w:hAnsi="宋体" w:cs="宋体"/>
                <w:color w:val="000000"/>
                <w:sz w:val="18"/>
                <w:szCs w:val="18"/>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015D">
            <w:pPr>
              <w:spacing w:line="21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D21E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宣传费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5CD8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A7F4B">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21A8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C7F2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AE7C9">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9464C">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C8AA4">
            <w:pPr>
              <w:spacing w:line="210" w:lineRule="exact"/>
              <w:jc w:val="left"/>
              <w:rPr>
                <w:rFonts w:ascii="微软雅黑" w:hAnsi="微软雅黑" w:eastAsia="微软雅黑" w:cs="微软雅黑"/>
                <w:i/>
                <w:iCs/>
                <w:color w:val="000000"/>
                <w:sz w:val="16"/>
                <w:szCs w:val="16"/>
              </w:rPr>
            </w:pPr>
          </w:p>
        </w:tc>
      </w:tr>
      <w:tr w14:paraId="44B0D003">
        <w:tblPrEx>
          <w:tblCellMar>
            <w:top w:w="0" w:type="dxa"/>
            <w:left w:w="108" w:type="dxa"/>
            <w:bottom w:w="0" w:type="dxa"/>
            <w:right w:w="108" w:type="dxa"/>
          </w:tblCellMar>
        </w:tblPrEx>
        <w:trPr>
          <w:trHeight w:val="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60B3">
            <w:pPr>
              <w:spacing w:line="210" w:lineRule="exact"/>
              <w:jc w:val="left"/>
              <w:rPr>
                <w:rFonts w:ascii="宋体" w:hAnsi="宋体" w:cs="宋体"/>
                <w:color w:val="000000"/>
                <w:sz w:val="18"/>
                <w:szCs w:val="18"/>
              </w:rPr>
            </w:pPr>
          </w:p>
        </w:tc>
        <w:tc>
          <w:tcPr>
            <w:tcW w:w="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40333">
            <w:pPr>
              <w:spacing w:line="210" w:lineRule="exact"/>
              <w:jc w:val="left"/>
              <w:rPr>
                <w:rFonts w:ascii="宋体" w:hAnsi="宋体" w:cs="宋体"/>
                <w:color w:val="000000"/>
                <w:sz w:val="18"/>
                <w:szCs w:val="18"/>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1174">
            <w:pPr>
              <w:spacing w:line="210" w:lineRule="exact"/>
              <w:jc w:val="left"/>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65468">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ECBC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F0A60">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7F69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F8D5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AD704">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D4B75">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C7A89">
            <w:pPr>
              <w:spacing w:line="210" w:lineRule="exact"/>
              <w:jc w:val="left"/>
              <w:rPr>
                <w:rFonts w:ascii="微软雅黑" w:hAnsi="微软雅黑" w:eastAsia="微软雅黑" w:cs="微软雅黑"/>
                <w:i/>
                <w:iCs/>
                <w:color w:val="000000"/>
                <w:sz w:val="16"/>
                <w:szCs w:val="16"/>
              </w:rPr>
            </w:pPr>
          </w:p>
        </w:tc>
      </w:tr>
      <w:tr w14:paraId="28E7982B">
        <w:tblPrEx>
          <w:tblCellMar>
            <w:top w:w="0" w:type="dxa"/>
            <w:left w:w="108" w:type="dxa"/>
            <w:bottom w:w="0" w:type="dxa"/>
            <w:right w:w="108" w:type="dxa"/>
          </w:tblCellMar>
        </w:tblPrEx>
        <w:trPr>
          <w:trHeight w:val="28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3A1FAA">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8808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DE7A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DF9D2">
            <w:pPr>
              <w:spacing w:line="210" w:lineRule="exact"/>
              <w:jc w:val="left"/>
              <w:rPr>
                <w:rFonts w:ascii="宋体" w:hAnsi="宋体" w:cs="宋体"/>
                <w:color w:val="000000"/>
                <w:sz w:val="18"/>
                <w:szCs w:val="18"/>
              </w:rPr>
            </w:pPr>
          </w:p>
        </w:tc>
      </w:tr>
      <w:tr w14:paraId="2F622577">
        <w:tblPrEx>
          <w:tblCellMar>
            <w:top w:w="0" w:type="dxa"/>
            <w:left w:w="108" w:type="dxa"/>
            <w:bottom w:w="0" w:type="dxa"/>
            <w:right w:w="108" w:type="dxa"/>
          </w:tblCellMar>
        </w:tblPrEx>
        <w:trPr>
          <w:trHeight w:val="6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C7EC3">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A1DDBF">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总体上看，项目目标明确、资金到位率高、组织监管体系完善。我园区对文旅园区产业招引产业补助经费项目资金较好地实现了绩效目标。</w:t>
            </w:r>
          </w:p>
        </w:tc>
      </w:tr>
      <w:tr w14:paraId="463E1773">
        <w:tblPrEx>
          <w:tblCellMar>
            <w:top w:w="0" w:type="dxa"/>
            <w:left w:w="108" w:type="dxa"/>
            <w:bottom w:w="0" w:type="dxa"/>
            <w:right w:w="108" w:type="dxa"/>
          </w:tblCellMar>
        </w:tblPrEx>
        <w:trPr>
          <w:trHeight w:val="5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51C2">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E14E77">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在实际执行过程中，可能存在经费使用不规范的情况,对经费使用的监管可能存在不足，导致资金使用的效率和效果受到影响。</w:t>
            </w:r>
          </w:p>
        </w:tc>
      </w:tr>
      <w:tr w14:paraId="58312515">
        <w:tblPrEx>
          <w:tblCellMar>
            <w:top w:w="0" w:type="dxa"/>
            <w:left w:w="108" w:type="dxa"/>
            <w:bottom w:w="0" w:type="dxa"/>
            <w:right w:w="108" w:type="dxa"/>
          </w:tblCellMar>
        </w:tblPrEx>
        <w:trPr>
          <w:trHeight w:val="634" w:hRule="atLeast"/>
        </w:trPr>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23A8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74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B8756">
            <w:pPr>
              <w:widowControl/>
              <w:spacing w:line="210" w:lineRule="exact"/>
              <w:jc w:val="left"/>
              <w:textAlignment w:val="center"/>
              <w:rPr>
                <w:rFonts w:ascii="宋体" w:hAnsi="宋体" w:cs="宋体"/>
                <w:color w:val="000000"/>
                <w:sz w:val="18"/>
                <w:szCs w:val="18"/>
              </w:rPr>
            </w:pPr>
            <w:r>
              <w:rPr>
                <w:rFonts w:ascii="宋体" w:hAnsi="宋体" w:cs="宋体"/>
                <w:color w:val="000000"/>
                <w:kern w:val="0"/>
                <w:sz w:val="18"/>
                <w:szCs w:val="18"/>
                <w:lang w:bidi="ar"/>
              </w:rPr>
              <w:t>争取节约工作经费，全面开展好工作，不断提高工作科学化、规范化、法治化水平。</w:t>
            </w:r>
          </w:p>
        </w:tc>
      </w:tr>
      <w:tr w14:paraId="436748C4">
        <w:tblPrEx>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CEEC74">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项目负责人：肖命钦</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1DC320">
            <w:pPr>
              <w:widowControl/>
              <w:spacing w:line="210" w:lineRule="exact"/>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财务负责人：段高辉</w:t>
            </w:r>
          </w:p>
        </w:tc>
      </w:tr>
    </w:tbl>
    <w:p w14:paraId="259B1E32">
      <w:pPr>
        <w:spacing w:line="576" w:lineRule="exact"/>
        <w:jc w:val="center"/>
        <w:rPr>
          <w:rFonts w:ascii="方正小标宋简体" w:hAnsi="宋体" w:eastAsia="方正小标宋简体"/>
          <w:color w:val="000000"/>
          <w:kern w:val="0"/>
          <w:sz w:val="44"/>
          <w:szCs w:val="44"/>
        </w:rPr>
      </w:pPr>
    </w:p>
    <w:p w14:paraId="372BE326">
      <w:pPr>
        <w:spacing w:line="576" w:lineRule="exact"/>
        <w:jc w:val="center"/>
        <w:rPr>
          <w:rFonts w:ascii="方正小标宋简体" w:hAnsi="宋体" w:eastAsia="方正小标宋简体"/>
          <w:color w:val="000000"/>
          <w:kern w:val="0"/>
          <w:sz w:val="44"/>
          <w:szCs w:val="44"/>
        </w:rPr>
      </w:pPr>
    </w:p>
    <w:p w14:paraId="1CC2F2DE">
      <w:pPr>
        <w:spacing w:line="576" w:lineRule="exact"/>
        <w:jc w:val="center"/>
        <w:rPr>
          <w:rFonts w:ascii="方正小标宋简体" w:hAnsi="宋体" w:eastAsia="方正小标宋简体"/>
          <w:color w:val="000000"/>
          <w:kern w:val="0"/>
          <w:sz w:val="44"/>
          <w:szCs w:val="44"/>
        </w:rPr>
      </w:pPr>
    </w:p>
    <w:p w14:paraId="0B6DB7C1">
      <w:pPr>
        <w:spacing w:line="576" w:lineRule="exact"/>
        <w:jc w:val="center"/>
        <w:rPr>
          <w:rFonts w:ascii="方正小标宋简体" w:hAnsi="宋体" w:eastAsia="方正小标宋简体"/>
          <w:color w:val="000000"/>
          <w:kern w:val="0"/>
          <w:sz w:val="44"/>
          <w:szCs w:val="44"/>
        </w:rPr>
      </w:pPr>
    </w:p>
    <w:p w14:paraId="3FF2D9CF">
      <w:pPr>
        <w:spacing w:line="576" w:lineRule="exact"/>
        <w:jc w:val="center"/>
        <w:rPr>
          <w:rFonts w:ascii="方正小标宋简体" w:hAnsi="宋体" w:eastAsia="方正小标宋简体"/>
          <w:color w:val="000000"/>
          <w:kern w:val="0"/>
          <w:sz w:val="44"/>
          <w:szCs w:val="44"/>
        </w:rPr>
      </w:pPr>
    </w:p>
    <w:p w14:paraId="43CADD13">
      <w:pPr>
        <w:spacing w:line="576" w:lineRule="exact"/>
        <w:jc w:val="center"/>
        <w:rPr>
          <w:rFonts w:ascii="方正小标宋简体" w:hAnsi="宋体" w:eastAsia="方正小标宋简体"/>
          <w:color w:val="000000"/>
          <w:kern w:val="0"/>
          <w:sz w:val="44"/>
          <w:szCs w:val="44"/>
        </w:rPr>
      </w:pPr>
    </w:p>
    <w:p w14:paraId="0E64B64C">
      <w:pPr>
        <w:spacing w:line="576" w:lineRule="exact"/>
        <w:jc w:val="center"/>
        <w:rPr>
          <w:rFonts w:ascii="方正小标宋简体" w:hAnsi="宋体" w:eastAsia="方正小标宋简体"/>
          <w:color w:val="000000"/>
          <w:kern w:val="0"/>
          <w:sz w:val="44"/>
          <w:szCs w:val="44"/>
        </w:rPr>
      </w:pPr>
    </w:p>
    <w:tbl>
      <w:tblPr>
        <w:tblStyle w:val="18"/>
        <w:tblW w:w="9260" w:type="dxa"/>
        <w:tblInd w:w="108" w:type="dxa"/>
        <w:tblLayout w:type="fixed"/>
        <w:tblCellMar>
          <w:top w:w="0" w:type="dxa"/>
          <w:left w:w="108" w:type="dxa"/>
          <w:bottom w:w="0" w:type="dxa"/>
          <w:right w:w="108" w:type="dxa"/>
        </w:tblCellMar>
      </w:tblPr>
      <w:tblGrid>
        <w:gridCol w:w="577"/>
        <w:gridCol w:w="576"/>
        <w:gridCol w:w="690"/>
        <w:gridCol w:w="1278"/>
        <w:gridCol w:w="396"/>
        <w:gridCol w:w="486"/>
        <w:gridCol w:w="831"/>
        <w:gridCol w:w="846"/>
        <w:gridCol w:w="1831"/>
        <w:gridCol w:w="486"/>
        <w:gridCol w:w="1263"/>
      </w:tblGrid>
      <w:tr w14:paraId="315EA5FE">
        <w:tblPrEx>
          <w:tblCellMar>
            <w:top w:w="0" w:type="dxa"/>
            <w:left w:w="108" w:type="dxa"/>
            <w:bottom w:w="0" w:type="dxa"/>
            <w:right w:w="108" w:type="dxa"/>
          </w:tblCellMar>
        </w:tblPrEx>
        <w:trPr>
          <w:trHeight w:val="904" w:hRule="atLeast"/>
        </w:trPr>
        <w:tc>
          <w:tcPr>
            <w:tcW w:w="92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032C28">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664B6F3D">
        <w:tblPrEx>
          <w:tblCellMar>
            <w:top w:w="0" w:type="dxa"/>
            <w:left w:w="108" w:type="dxa"/>
            <w:bottom w:w="0" w:type="dxa"/>
            <w:right w:w="108" w:type="dxa"/>
          </w:tblCellMar>
        </w:tblPrEx>
        <w:trPr>
          <w:trHeight w:val="285"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0DC77">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8107" w:type="dxa"/>
            <w:gridSpan w:val="9"/>
            <w:tcBorders>
              <w:top w:val="single" w:color="000000" w:sz="4" w:space="0"/>
              <w:left w:val="nil"/>
              <w:bottom w:val="single" w:color="000000" w:sz="4" w:space="0"/>
              <w:right w:val="single" w:color="000000" w:sz="4" w:space="0"/>
            </w:tcBorders>
            <w:shd w:val="clear" w:color="auto" w:fill="auto"/>
            <w:vAlign w:val="center"/>
          </w:tcPr>
          <w:p w14:paraId="5DE78DDD">
            <w:pPr>
              <w:widowControl/>
              <w:jc w:val="left"/>
              <w:rPr>
                <w:rFonts w:ascii="宋体" w:hAnsi="宋体" w:cs="宋体"/>
                <w:color w:val="000000"/>
                <w:kern w:val="0"/>
                <w:sz w:val="18"/>
                <w:szCs w:val="18"/>
              </w:rPr>
            </w:pPr>
            <w:r>
              <w:rPr>
                <w:rFonts w:hint="eastAsia" w:ascii="宋体" w:hAnsi="宋体" w:cs="宋体"/>
                <w:color w:val="000000"/>
                <w:kern w:val="0"/>
                <w:sz w:val="18"/>
                <w:szCs w:val="18"/>
              </w:rPr>
              <w:t>51090423T000008968408-2023年中省财政衔接推进乡村振兴补助资金</w:t>
            </w:r>
          </w:p>
        </w:tc>
      </w:tr>
      <w:tr w14:paraId="3D0BC3EA">
        <w:tblPrEx>
          <w:tblCellMar>
            <w:top w:w="0" w:type="dxa"/>
            <w:left w:w="108" w:type="dxa"/>
            <w:bottom w:w="0" w:type="dxa"/>
            <w:right w:w="108" w:type="dxa"/>
          </w:tblCellMar>
        </w:tblPrEx>
        <w:trPr>
          <w:trHeight w:val="514" w:hRule="atLeast"/>
        </w:trPr>
        <w:tc>
          <w:tcPr>
            <w:tcW w:w="1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BCED2">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6A336B07">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遂宁市安居区海龙凯歌文化旅游产业园区管理委员会部门</w:t>
            </w:r>
          </w:p>
        </w:tc>
        <w:tc>
          <w:tcPr>
            <w:tcW w:w="846" w:type="dxa"/>
            <w:tcBorders>
              <w:top w:val="nil"/>
              <w:left w:val="nil"/>
              <w:bottom w:val="nil"/>
              <w:right w:val="nil"/>
            </w:tcBorders>
            <w:shd w:val="clear" w:color="auto" w:fill="auto"/>
            <w:vAlign w:val="center"/>
          </w:tcPr>
          <w:p w14:paraId="4D350DCC">
            <w:pPr>
              <w:widowControl/>
              <w:jc w:val="left"/>
              <w:rPr>
                <w:rFonts w:hint="eastAsia" w:ascii="黑体" w:hAnsi="黑体" w:cs="宋体"/>
                <w:color w:val="000000"/>
                <w:kern w:val="0"/>
                <w:sz w:val="18"/>
                <w:szCs w:val="18"/>
              </w:rPr>
            </w:pPr>
            <w:r>
              <w:rPr>
                <w:rFonts w:ascii="黑体" w:hAnsi="黑体" w:cs="宋体"/>
                <w:color w:val="000000"/>
                <w:kern w:val="0"/>
                <w:sz w:val="18"/>
                <w:szCs w:val="18"/>
              </w:rPr>
              <w:t>实施单位 （盖章）</w:t>
            </w:r>
          </w:p>
        </w:tc>
        <w:tc>
          <w:tcPr>
            <w:tcW w:w="3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DDADF">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遂宁市安居区海龙凯歌文化旅游产业园区管理委员会</w:t>
            </w:r>
          </w:p>
        </w:tc>
      </w:tr>
      <w:tr w14:paraId="46A1BFB7">
        <w:tblPrEx>
          <w:tblCellMar>
            <w:top w:w="0" w:type="dxa"/>
            <w:left w:w="108" w:type="dxa"/>
            <w:bottom w:w="0" w:type="dxa"/>
            <w:right w:w="108" w:type="dxa"/>
          </w:tblCellMar>
        </w:tblPrEx>
        <w:trPr>
          <w:trHeight w:val="285"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13A6853C">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3B1EA2F">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5FCB22A4">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426" w:type="dxa"/>
            <w:gridSpan w:val="4"/>
            <w:tcBorders>
              <w:top w:val="single" w:color="000000" w:sz="4" w:space="0"/>
              <w:left w:val="nil"/>
              <w:bottom w:val="single" w:color="000000" w:sz="4" w:space="0"/>
              <w:right w:val="single" w:color="000000" w:sz="4" w:space="0"/>
            </w:tcBorders>
            <w:shd w:val="clear" w:color="auto" w:fill="auto"/>
            <w:vAlign w:val="center"/>
          </w:tcPr>
          <w:p w14:paraId="1FD67B86">
            <w:pPr>
              <w:widowControl/>
              <w:jc w:val="center"/>
              <w:rPr>
                <w:rFonts w:hint="eastAsia" w:ascii="黑体" w:hAnsi="黑体" w:cs="宋体"/>
                <w:color w:val="000000"/>
                <w:kern w:val="0"/>
                <w:sz w:val="18"/>
                <w:szCs w:val="18"/>
              </w:rPr>
            </w:pPr>
            <w:r>
              <w:rPr>
                <w:rFonts w:ascii="黑体" w:hAnsi="黑体" w:cs="宋体"/>
                <w:color w:val="000000"/>
                <w:kern w:val="0"/>
                <w:sz w:val="18"/>
                <w:szCs w:val="18"/>
              </w:rPr>
              <w:t>年度目标完成情况</w:t>
            </w:r>
          </w:p>
        </w:tc>
      </w:tr>
      <w:tr w14:paraId="57BFA3A2">
        <w:tblPrEx>
          <w:tblCellMar>
            <w:top w:w="0" w:type="dxa"/>
            <w:left w:w="108" w:type="dxa"/>
            <w:bottom w:w="0" w:type="dxa"/>
            <w:right w:w="108" w:type="dxa"/>
          </w:tblCellMar>
        </w:tblPrEx>
        <w:trPr>
          <w:trHeight w:val="709" w:hRule="atLeast"/>
        </w:trPr>
        <w:tc>
          <w:tcPr>
            <w:tcW w:w="577" w:type="dxa"/>
            <w:vMerge w:val="continue"/>
            <w:tcBorders>
              <w:top w:val="nil"/>
              <w:left w:val="single" w:color="000000" w:sz="4" w:space="0"/>
              <w:bottom w:val="single" w:color="000000" w:sz="4" w:space="0"/>
              <w:right w:val="single" w:color="000000" w:sz="4" w:space="0"/>
            </w:tcBorders>
            <w:vAlign w:val="center"/>
          </w:tcPr>
          <w:p w14:paraId="461FC36E">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57BE1E07">
            <w:pPr>
              <w:widowControl/>
              <w:jc w:val="left"/>
              <w:rPr>
                <w:rFonts w:ascii="宋体" w:hAnsi="宋体" w:cs="宋体"/>
                <w:color w:val="000000"/>
                <w:kern w:val="0"/>
                <w:sz w:val="18"/>
                <w:szCs w:val="18"/>
              </w:rPr>
            </w:pPr>
          </w:p>
        </w:tc>
        <w:tc>
          <w:tcPr>
            <w:tcW w:w="3681" w:type="dxa"/>
            <w:gridSpan w:val="5"/>
            <w:tcBorders>
              <w:top w:val="single" w:color="000000" w:sz="4" w:space="0"/>
              <w:left w:val="nil"/>
              <w:bottom w:val="single" w:color="000000" w:sz="4" w:space="0"/>
              <w:right w:val="single" w:color="000000" w:sz="4" w:space="0"/>
            </w:tcBorders>
            <w:shd w:val="clear" w:color="auto" w:fill="auto"/>
            <w:vAlign w:val="center"/>
          </w:tcPr>
          <w:p w14:paraId="3593F362">
            <w:pPr>
              <w:widowControl/>
              <w:jc w:val="left"/>
              <w:rPr>
                <w:rFonts w:ascii="宋体" w:hAnsi="宋体" w:cs="宋体"/>
                <w:color w:val="000000"/>
                <w:kern w:val="0"/>
                <w:sz w:val="18"/>
                <w:szCs w:val="18"/>
              </w:rPr>
            </w:pPr>
            <w:r>
              <w:rPr>
                <w:rFonts w:hint="eastAsia" w:ascii="宋体" w:hAnsi="宋体" w:cs="宋体"/>
                <w:color w:val="000000"/>
                <w:kern w:val="0"/>
                <w:sz w:val="18"/>
                <w:szCs w:val="18"/>
              </w:rPr>
              <w:t>农业品种培优、品质提升、品牌打造，推动产销对接和消费帮扶，支持产业配套基础设施建设，促进村级集体经济发展</w:t>
            </w:r>
          </w:p>
        </w:tc>
        <w:tc>
          <w:tcPr>
            <w:tcW w:w="4426" w:type="dxa"/>
            <w:gridSpan w:val="4"/>
            <w:tcBorders>
              <w:top w:val="single" w:color="000000" w:sz="4" w:space="0"/>
              <w:left w:val="nil"/>
              <w:bottom w:val="single" w:color="000000" w:sz="4" w:space="0"/>
              <w:right w:val="single" w:color="000000" w:sz="4" w:space="0"/>
            </w:tcBorders>
            <w:shd w:val="clear" w:color="auto" w:fill="auto"/>
            <w:vAlign w:val="center"/>
          </w:tcPr>
          <w:p w14:paraId="65E5DDBE">
            <w:pPr>
              <w:widowControl/>
              <w:jc w:val="left"/>
              <w:rPr>
                <w:rFonts w:ascii="宋体" w:hAnsi="宋体" w:cs="宋体"/>
                <w:color w:val="000000"/>
                <w:kern w:val="0"/>
                <w:sz w:val="18"/>
                <w:szCs w:val="18"/>
              </w:rPr>
            </w:pPr>
            <w:r>
              <w:rPr>
                <w:rFonts w:hint="eastAsia" w:ascii="宋体" w:hAnsi="宋体" w:cs="宋体"/>
                <w:color w:val="000000"/>
                <w:kern w:val="0"/>
                <w:sz w:val="18"/>
                <w:szCs w:val="18"/>
              </w:rPr>
              <w:t>2023年园区完成产业配套基础设施建设，促进村级集体经济发展.</w:t>
            </w:r>
          </w:p>
        </w:tc>
      </w:tr>
      <w:tr w14:paraId="7FE35C99">
        <w:tblPrEx>
          <w:tblCellMar>
            <w:top w:w="0" w:type="dxa"/>
            <w:left w:w="108" w:type="dxa"/>
            <w:bottom w:w="0" w:type="dxa"/>
            <w:right w:w="108" w:type="dxa"/>
          </w:tblCellMar>
        </w:tblPrEx>
        <w:trPr>
          <w:trHeight w:val="694" w:hRule="atLeast"/>
        </w:trPr>
        <w:tc>
          <w:tcPr>
            <w:tcW w:w="577" w:type="dxa"/>
            <w:vMerge w:val="continue"/>
            <w:tcBorders>
              <w:top w:val="nil"/>
              <w:left w:val="single" w:color="000000" w:sz="4" w:space="0"/>
              <w:bottom w:val="single" w:color="000000" w:sz="4" w:space="0"/>
              <w:right w:val="single" w:color="000000" w:sz="4" w:space="0"/>
            </w:tcBorders>
            <w:vAlign w:val="center"/>
          </w:tcPr>
          <w:p w14:paraId="3EEA9DF2">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E8E6A5D">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8107" w:type="dxa"/>
            <w:gridSpan w:val="9"/>
            <w:tcBorders>
              <w:top w:val="single" w:color="000000" w:sz="4" w:space="0"/>
              <w:left w:val="nil"/>
              <w:bottom w:val="single" w:color="000000" w:sz="4" w:space="0"/>
              <w:right w:val="single" w:color="000000" w:sz="4" w:space="0"/>
            </w:tcBorders>
            <w:shd w:val="clear" w:color="auto" w:fill="auto"/>
            <w:vAlign w:val="center"/>
          </w:tcPr>
          <w:p w14:paraId="74C25929">
            <w:pPr>
              <w:widowControl/>
              <w:jc w:val="left"/>
              <w:rPr>
                <w:rFonts w:ascii="宋体" w:hAnsi="宋体" w:cs="宋体"/>
                <w:color w:val="000000"/>
                <w:kern w:val="0"/>
                <w:sz w:val="18"/>
                <w:szCs w:val="18"/>
              </w:rPr>
            </w:pPr>
            <w:r>
              <w:rPr>
                <w:rFonts w:hint="eastAsia" w:ascii="宋体" w:hAnsi="宋体" w:cs="宋体"/>
                <w:color w:val="000000"/>
                <w:kern w:val="0"/>
                <w:sz w:val="18"/>
                <w:szCs w:val="18"/>
              </w:rPr>
              <w:t>培育和壮大特色优势产业：支持农业品种培优、品质提升、品牌打造，推动产销对接和消费帮扶，支持产业配套基础设施建设，促进村级集体经济发展</w:t>
            </w:r>
          </w:p>
        </w:tc>
      </w:tr>
      <w:tr w14:paraId="62577A75">
        <w:tblPrEx>
          <w:tblCellMar>
            <w:top w:w="0" w:type="dxa"/>
            <w:left w:w="108" w:type="dxa"/>
            <w:bottom w:w="0" w:type="dxa"/>
            <w:right w:w="108" w:type="dxa"/>
          </w:tblCellMar>
        </w:tblPrEx>
        <w:trPr>
          <w:trHeight w:val="360"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1F2AB2A9">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576" w:type="dxa"/>
            <w:tcBorders>
              <w:top w:val="nil"/>
              <w:left w:val="nil"/>
              <w:bottom w:val="single" w:color="000000" w:sz="4" w:space="0"/>
              <w:right w:val="single" w:color="000000" w:sz="4" w:space="0"/>
            </w:tcBorders>
            <w:shd w:val="clear" w:color="auto" w:fill="auto"/>
            <w:vAlign w:val="center"/>
          </w:tcPr>
          <w:p w14:paraId="0E70AE32">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90" w:type="dxa"/>
            <w:tcBorders>
              <w:top w:val="nil"/>
              <w:left w:val="nil"/>
              <w:bottom w:val="single" w:color="000000" w:sz="4" w:space="0"/>
              <w:right w:val="single" w:color="000000" w:sz="4" w:space="0"/>
            </w:tcBorders>
            <w:shd w:val="clear" w:color="auto" w:fill="auto"/>
            <w:vAlign w:val="center"/>
          </w:tcPr>
          <w:p w14:paraId="21706AF9">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1278" w:type="dxa"/>
            <w:tcBorders>
              <w:top w:val="nil"/>
              <w:left w:val="nil"/>
              <w:bottom w:val="single" w:color="000000" w:sz="4" w:space="0"/>
              <w:right w:val="single" w:color="000000" w:sz="4" w:space="0"/>
            </w:tcBorders>
            <w:shd w:val="clear" w:color="auto" w:fill="auto"/>
            <w:vAlign w:val="center"/>
          </w:tcPr>
          <w:p w14:paraId="57621579">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1D20E1A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846" w:type="dxa"/>
            <w:tcBorders>
              <w:top w:val="nil"/>
              <w:left w:val="nil"/>
              <w:bottom w:val="single" w:color="000000" w:sz="4" w:space="0"/>
              <w:right w:val="single" w:color="000000" w:sz="4" w:space="0"/>
            </w:tcBorders>
            <w:shd w:val="clear" w:color="auto" w:fill="auto"/>
            <w:vAlign w:val="center"/>
          </w:tcPr>
          <w:p w14:paraId="23F6A01B">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1831" w:type="dxa"/>
            <w:tcBorders>
              <w:top w:val="nil"/>
              <w:left w:val="nil"/>
              <w:bottom w:val="single" w:color="000000" w:sz="4" w:space="0"/>
              <w:right w:val="single" w:color="000000" w:sz="4" w:space="0"/>
            </w:tcBorders>
            <w:shd w:val="clear" w:color="auto" w:fill="auto"/>
            <w:vAlign w:val="center"/>
          </w:tcPr>
          <w:p w14:paraId="3773E4A4">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5ABF6E7F">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63" w:type="dxa"/>
            <w:tcBorders>
              <w:top w:val="nil"/>
              <w:left w:val="nil"/>
              <w:bottom w:val="single" w:color="000000" w:sz="4" w:space="0"/>
              <w:right w:val="single" w:color="000000" w:sz="4" w:space="0"/>
            </w:tcBorders>
            <w:shd w:val="clear" w:color="auto" w:fill="auto"/>
            <w:vAlign w:val="center"/>
          </w:tcPr>
          <w:p w14:paraId="17286250">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14:paraId="2BB27F98">
        <w:tblPrEx>
          <w:tblCellMar>
            <w:top w:w="0" w:type="dxa"/>
            <w:left w:w="108" w:type="dxa"/>
            <w:bottom w:w="0" w:type="dxa"/>
            <w:right w:w="108" w:type="dxa"/>
          </w:tblCellMar>
        </w:tblPrEx>
        <w:trPr>
          <w:trHeight w:val="345" w:hRule="atLeast"/>
        </w:trPr>
        <w:tc>
          <w:tcPr>
            <w:tcW w:w="577" w:type="dxa"/>
            <w:vMerge w:val="continue"/>
            <w:tcBorders>
              <w:top w:val="nil"/>
              <w:left w:val="single" w:color="000000" w:sz="4" w:space="0"/>
              <w:bottom w:val="single" w:color="000000" w:sz="4" w:space="0"/>
              <w:right w:val="single" w:color="000000" w:sz="4" w:space="0"/>
            </w:tcBorders>
            <w:vAlign w:val="center"/>
          </w:tcPr>
          <w:p w14:paraId="01F6D92A">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74D22387">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690" w:type="dxa"/>
            <w:tcBorders>
              <w:top w:val="nil"/>
              <w:left w:val="nil"/>
              <w:bottom w:val="single" w:color="000000" w:sz="4" w:space="0"/>
              <w:right w:val="single" w:color="000000" w:sz="4" w:space="0"/>
            </w:tcBorders>
            <w:shd w:val="clear" w:color="auto" w:fill="auto"/>
            <w:vAlign w:val="center"/>
          </w:tcPr>
          <w:p w14:paraId="24220E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1F5F5710">
            <w:pPr>
              <w:widowControl/>
              <w:jc w:val="center"/>
              <w:rPr>
                <w:rFonts w:ascii="宋体" w:hAnsi="宋体" w:cs="宋体"/>
                <w:color w:val="000000"/>
                <w:kern w:val="0"/>
                <w:sz w:val="18"/>
                <w:szCs w:val="18"/>
              </w:rPr>
            </w:pPr>
            <w:r>
              <w:rPr>
                <w:rFonts w:hint="eastAsia" w:ascii="宋体" w:hAnsi="宋体" w:cs="宋体"/>
                <w:color w:val="000000"/>
                <w:kern w:val="0"/>
                <w:sz w:val="18"/>
                <w:szCs w:val="18"/>
              </w:rPr>
              <w:t>125.00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1A12682A">
            <w:pPr>
              <w:widowControl/>
              <w:jc w:val="center"/>
              <w:rPr>
                <w:rFonts w:ascii="宋体" w:hAnsi="宋体" w:cs="宋体"/>
                <w:color w:val="000000"/>
                <w:kern w:val="0"/>
                <w:sz w:val="18"/>
                <w:szCs w:val="18"/>
              </w:rPr>
            </w:pPr>
            <w:r>
              <w:rPr>
                <w:rFonts w:hint="eastAsia" w:ascii="宋体" w:hAnsi="宋体" w:cs="宋体"/>
                <w:color w:val="000000"/>
                <w:kern w:val="0"/>
                <w:sz w:val="18"/>
                <w:szCs w:val="18"/>
              </w:rPr>
              <w:t>125.00</w:t>
            </w:r>
          </w:p>
        </w:tc>
        <w:tc>
          <w:tcPr>
            <w:tcW w:w="846" w:type="dxa"/>
            <w:tcBorders>
              <w:top w:val="nil"/>
              <w:left w:val="nil"/>
              <w:bottom w:val="single" w:color="000000" w:sz="4" w:space="0"/>
              <w:right w:val="single" w:color="000000" w:sz="4" w:space="0"/>
            </w:tcBorders>
            <w:shd w:val="clear" w:color="auto" w:fill="auto"/>
            <w:vAlign w:val="center"/>
          </w:tcPr>
          <w:p w14:paraId="0D041D16">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3887377F">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0245601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263" w:type="dxa"/>
            <w:vMerge w:val="restart"/>
            <w:tcBorders>
              <w:top w:val="nil"/>
              <w:left w:val="single" w:color="000000" w:sz="4" w:space="0"/>
              <w:bottom w:val="single" w:color="000000" w:sz="4" w:space="0"/>
              <w:right w:val="single" w:color="000000" w:sz="4" w:space="0"/>
            </w:tcBorders>
            <w:shd w:val="clear" w:color="auto" w:fill="auto"/>
            <w:vAlign w:val="center"/>
          </w:tcPr>
          <w:p w14:paraId="256BA5A7">
            <w:pPr>
              <w:widowControl/>
              <w:jc w:val="left"/>
              <w:rPr>
                <w:rFonts w:hint="eastAsia" w:ascii="黑体" w:hAnsi="黑体" w:cs="宋体"/>
                <w:i/>
                <w:iCs/>
                <w:color w:val="000000"/>
                <w:kern w:val="0"/>
                <w:sz w:val="18"/>
                <w:szCs w:val="18"/>
              </w:rPr>
            </w:pPr>
            <w:r>
              <w:rPr>
                <w:rFonts w:ascii="黑体" w:hAnsi="黑体" w:cs="宋体"/>
                <w:i/>
                <w:iCs/>
                <w:color w:val="000000"/>
                <w:kern w:val="0"/>
                <w:sz w:val="18"/>
                <w:szCs w:val="18"/>
              </w:rPr>
              <w:t>　</w:t>
            </w:r>
          </w:p>
        </w:tc>
      </w:tr>
      <w:tr w14:paraId="23A05E7E">
        <w:tblPrEx>
          <w:tblCellMar>
            <w:top w:w="0" w:type="dxa"/>
            <w:left w:w="108" w:type="dxa"/>
            <w:bottom w:w="0" w:type="dxa"/>
            <w:right w:w="108" w:type="dxa"/>
          </w:tblCellMar>
        </w:tblPrEx>
        <w:trPr>
          <w:trHeight w:val="906" w:hRule="atLeast"/>
        </w:trPr>
        <w:tc>
          <w:tcPr>
            <w:tcW w:w="577" w:type="dxa"/>
            <w:vMerge w:val="continue"/>
            <w:tcBorders>
              <w:top w:val="nil"/>
              <w:left w:val="single" w:color="000000" w:sz="4" w:space="0"/>
              <w:bottom w:val="single" w:color="000000" w:sz="4" w:space="0"/>
              <w:right w:val="single" w:color="000000" w:sz="4" w:space="0"/>
            </w:tcBorders>
            <w:vAlign w:val="center"/>
          </w:tcPr>
          <w:p w14:paraId="11B4DB7F">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1BD0C73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90" w:type="dxa"/>
            <w:tcBorders>
              <w:top w:val="nil"/>
              <w:left w:val="nil"/>
              <w:bottom w:val="single" w:color="000000" w:sz="4" w:space="0"/>
              <w:right w:val="single" w:color="000000" w:sz="4" w:space="0"/>
            </w:tcBorders>
            <w:shd w:val="clear" w:color="auto" w:fill="auto"/>
            <w:vAlign w:val="center"/>
          </w:tcPr>
          <w:p w14:paraId="0886512A">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42B82C35">
            <w:pPr>
              <w:widowControl/>
              <w:jc w:val="center"/>
              <w:rPr>
                <w:rFonts w:ascii="宋体" w:hAnsi="宋体" w:cs="宋体"/>
                <w:color w:val="000000"/>
                <w:kern w:val="0"/>
                <w:sz w:val="18"/>
                <w:szCs w:val="18"/>
              </w:rPr>
            </w:pPr>
            <w:r>
              <w:rPr>
                <w:rFonts w:hint="eastAsia" w:ascii="宋体" w:hAnsi="宋体" w:cs="宋体"/>
                <w:color w:val="000000"/>
                <w:kern w:val="0"/>
                <w:sz w:val="18"/>
                <w:szCs w:val="18"/>
              </w:rPr>
              <w:t>125.00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54732390">
            <w:pPr>
              <w:widowControl/>
              <w:jc w:val="center"/>
              <w:rPr>
                <w:rFonts w:ascii="宋体" w:hAnsi="宋体" w:cs="宋体"/>
                <w:color w:val="000000"/>
                <w:kern w:val="0"/>
                <w:sz w:val="18"/>
                <w:szCs w:val="18"/>
              </w:rPr>
            </w:pPr>
            <w:r>
              <w:rPr>
                <w:rFonts w:hint="eastAsia" w:ascii="宋体" w:hAnsi="宋体" w:cs="宋体"/>
                <w:color w:val="000000"/>
                <w:kern w:val="0"/>
                <w:sz w:val="18"/>
                <w:szCs w:val="18"/>
              </w:rPr>
              <w:t>125.00</w:t>
            </w:r>
          </w:p>
        </w:tc>
        <w:tc>
          <w:tcPr>
            <w:tcW w:w="846" w:type="dxa"/>
            <w:tcBorders>
              <w:top w:val="nil"/>
              <w:left w:val="nil"/>
              <w:bottom w:val="single" w:color="000000" w:sz="4" w:space="0"/>
              <w:right w:val="single" w:color="000000" w:sz="4" w:space="0"/>
            </w:tcBorders>
            <w:shd w:val="clear" w:color="auto" w:fill="auto"/>
            <w:vAlign w:val="center"/>
          </w:tcPr>
          <w:p w14:paraId="7011FE24">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1831" w:type="dxa"/>
            <w:tcBorders>
              <w:top w:val="nil"/>
              <w:left w:val="nil"/>
              <w:bottom w:val="single" w:color="000000" w:sz="4" w:space="0"/>
              <w:right w:val="single" w:color="000000" w:sz="4" w:space="0"/>
            </w:tcBorders>
            <w:shd w:val="clear" w:color="auto" w:fill="auto"/>
            <w:vAlign w:val="center"/>
          </w:tcPr>
          <w:p w14:paraId="43F8CED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5563F2E">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63" w:type="dxa"/>
            <w:vMerge w:val="continue"/>
            <w:tcBorders>
              <w:top w:val="nil"/>
              <w:left w:val="single" w:color="000000" w:sz="4" w:space="0"/>
              <w:bottom w:val="single" w:color="000000" w:sz="4" w:space="0"/>
              <w:right w:val="single" w:color="000000" w:sz="4" w:space="0"/>
            </w:tcBorders>
            <w:vAlign w:val="center"/>
          </w:tcPr>
          <w:p w14:paraId="066F10C1">
            <w:pPr>
              <w:widowControl/>
              <w:jc w:val="left"/>
              <w:rPr>
                <w:rFonts w:hint="eastAsia" w:ascii="黑体" w:hAnsi="黑体" w:cs="宋体"/>
                <w:i/>
                <w:iCs/>
                <w:color w:val="000000"/>
                <w:kern w:val="0"/>
                <w:sz w:val="18"/>
                <w:szCs w:val="18"/>
              </w:rPr>
            </w:pPr>
          </w:p>
        </w:tc>
      </w:tr>
      <w:tr w14:paraId="770ACE49">
        <w:tblPrEx>
          <w:tblCellMar>
            <w:top w:w="0" w:type="dxa"/>
            <w:left w:w="108" w:type="dxa"/>
            <w:bottom w:w="0" w:type="dxa"/>
            <w:right w:w="108" w:type="dxa"/>
          </w:tblCellMar>
        </w:tblPrEx>
        <w:trPr>
          <w:trHeight w:val="409" w:hRule="atLeast"/>
        </w:trPr>
        <w:tc>
          <w:tcPr>
            <w:tcW w:w="577" w:type="dxa"/>
            <w:vMerge w:val="continue"/>
            <w:tcBorders>
              <w:top w:val="nil"/>
              <w:left w:val="single" w:color="000000" w:sz="4" w:space="0"/>
              <w:bottom w:val="single" w:color="000000" w:sz="4" w:space="0"/>
              <w:right w:val="single" w:color="000000" w:sz="4" w:space="0"/>
            </w:tcBorders>
            <w:vAlign w:val="center"/>
          </w:tcPr>
          <w:p w14:paraId="79963285">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789C3D2">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90" w:type="dxa"/>
            <w:tcBorders>
              <w:top w:val="nil"/>
              <w:left w:val="nil"/>
              <w:bottom w:val="single" w:color="000000" w:sz="4" w:space="0"/>
              <w:right w:val="single" w:color="000000" w:sz="4" w:space="0"/>
            </w:tcBorders>
            <w:shd w:val="clear" w:color="auto" w:fill="auto"/>
            <w:vAlign w:val="center"/>
          </w:tcPr>
          <w:p w14:paraId="2412515E">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5099E4E9">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22631E3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3EE0D1C6">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05F2548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7D2F390">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63" w:type="dxa"/>
            <w:vMerge w:val="continue"/>
            <w:tcBorders>
              <w:top w:val="nil"/>
              <w:left w:val="single" w:color="000000" w:sz="4" w:space="0"/>
              <w:bottom w:val="single" w:color="000000" w:sz="4" w:space="0"/>
              <w:right w:val="single" w:color="000000" w:sz="4" w:space="0"/>
            </w:tcBorders>
            <w:vAlign w:val="center"/>
          </w:tcPr>
          <w:p w14:paraId="6AB5F477">
            <w:pPr>
              <w:widowControl/>
              <w:jc w:val="left"/>
              <w:rPr>
                <w:rFonts w:hint="eastAsia" w:ascii="黑体" w:hAnsi="黑体" w:cs="宋体"/>
                <w:i/>
                <w:iCs/>
                <w:color w:val="000000"/>
                <w:kern w:val="0"/>
                <w:sz w:val="18"/>
                <w:szCs w:val="18"/>
              </w:rPr>
            </w:pPr>
          </w:p>
        </w:tc>
      </w:tr>
      <w:tr w14:paraId="02241263">
        <w:tblPrEx>
          <w:tblCellMar>
            <w:top w:w="0" w:type="dxa"/>
            <w:left w:w="108" w:type="dxa"/>
            <w:bottom w:w="0" w:type="dxa"/>
            <w:right w:w="108" w:type="dxa"/>
          </w:tblCellMar>
        </w:tblPrEx>
        <w:trPr>
          <w:trHeight w:val="360" w:hRule="atLeast"/>
        </w:trPr>
        <w:tc>
          <w:tcPr>
            <w:tcW w:w="577" w:type="dxa"/>
            <w:vMerge w:val="continue"/>
            <w:tcBorders>
              <w:top w:val="nil"/>
              <w:left w:val="single" w:color="000000" w:sz="4" w:space="0"/>
              <w:bottom w:val="single" w:color="000000" w:sz="4" w:space="0"/>
              <w:right w:val="single" w:color="000000" w:sz="4" w:space="0"/>
            </w:tcBorders>
            <w:vAlign w:val="center"/>
          </w:tcPr>
          <w:p w14:paraId="1CB13864">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134F61B5">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690" w:type="dxa"/>
            <w:tcBorders>
              <w:top w:val="nil"/>
              <w:left w:val="nil"/>
              <w:bottom w:val="single" w:color="000000" w:sz="4" w:space="0"/>
              <w:right w:val="single" w:color="000000" w:sz="4" w:space="0"/>
            </w:tcBorders>
            <w:shd w:val="clear" w:color="auto" w:fill="auto"/>
            <w:vAlign w:val="center"/>
          </w:tcPr>
          <w:p w14:paraId="766D778C">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278" w:type="dxa"/>
            <w:tcBorders>
              <w:top w:val="nil"/>
              <w:left w:val="nil"/>
              <w:bottom w:val="single" w:color="000000" w:sz="4" w:space="0"/>
              <w:right w:val="single" w:color="000000" w:sz="4" w:space="0"/>
            </w:tcBorders>
            <w:shd w:val="clear" w:color="auto" w:fill="auto"/>
            <w:vAlign w:val="center"/>
          </w:tcPr>
          <w:p w14:paraId="31F72C43">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5C657754">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846" w:type="dxa"/>
            <w:tcBorders>
              <w:top w:val="nil"/>
              <w:left w:val="nil"/>
              <w:bottom w:val="single" w:color="000000" w:sz="4" w:space="0"/>
              <w:right w:val="single" w:color="000000" w:sz="4" w:space="0"/>
            </w:tcBorders>
            <w:shd w:val="clear" w:color="auto" w:fill="auto"/>
            <w:vAlign w:val="center"/>
          </w:tcPr>
          <w:p w14:paraId="6A356301">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1831" w:type="dxa"/>
            <w:tcBorders>
              <w:top w:val="nil"/>
              <w:left w:val="nil"/>
              <w:bottom w:val="single" w:color="000000" w:sz="4" w:space="0"/>
              <w:right w:val="single" w:color="000000" w:sz="4" w:space="0"/>
            </w:tcBorders>
            <w:shd w:val="clear" w:color="auto" w:fill="auto"/>
            <w:vAlign w:val="center"/>
          </w:tcPr>
          <w:p w14:paraId="388ED64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F2C7A32">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63" w:type="dxa"/>
            <w:vMerge w:val="continue"/>
            <w:tcBorders>
              <w:top w:val="nil"/>
              <w:left w:val="single" w:color="000000" w:sz="4" w:space="0"/>
              <w:bottom w:val="single" w:color="000000" w:sz="4" w:space="0"/>
              <w:right w:val="single" w:color="000000" w:sz="4" w:space="0"/>
            </w:tcBorders>
            <w:vAlign w:val="center"/>
          </w:tcPr>
          <w:p w14:paraId="0D3CE861">
            <w:pPr>
              <w:widowControl/>
              <w:jc w:val="left"/>
              <w:rPr>
                <w:rFonts w:hint="eastAsia" w:ascii="黑体" w:hAnsi="黑体" w:cs="宋体"/>
                <w:i/>
                <w:iCs/>
                <w:color w:val="000000"/>
                <w:kern w:val="0"/>
                <w:sz w:val="18"/>
                <w:szCs w:val="18"/>
              </w:rPr>
            </w:pPr>
          </w:p>
        </w:tc>
      </w:tr>
      <w:tr w14:paraId="12353F14">
        <w:tblPrEx>
          <w:tblCellMar>
            <w:top w:w="0" w:type="dxa"/>
            <w:left w:w="108" w:type="dxa"/>
            <w:bottom w:w="0" w:type="dxa"/>
            <w:right w:w="108" w:type="dxa"/>
          </w:tblCellMar>
        </w:tblPrEx>
        <w:trPr>
          <w:trHeight w:val="338" w:hRule="atLeast"/>
        </w:trPr>
        <w:tc>
          <w:tcPr>
            <w:tcW w:w="577" w:type="dxa"/>
            <w:vMerge w:val="continue"/>
            <w:tcBorders>
              <w:top w:val="nil"/>
              <w:left w:val="single" w:color="000000" w:sz="4" w:space="0"/>
              <w:bottom w:val="single" w:color="000000" w:sz="4" w:space="0"/>
              <w:right w:val="single" w:color="000000" w:sz="4" w:space="0"/>
            </w:tcBorders>
            <w:vAlign w:val="center"/>
          </w:tcPr>
          <w:p w14:paraId="75D45789">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5B3B3E27">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690" w:type="dxa"/>
            <w:tcBorders>
              <w:top w:val="nil"/>
              <w:left w:val="nil"/>
              <w:bottom w:val="single" w:color="000000" w:sz="4" w:space="0"/>
              <w:right w:val="single" w:color="000000" w:sz="4" w:space="0"/>
            </w:tcBorders>
            <w:shd w:val="clear" w:color="auto" w:fill="auto"/>
            <w:vAlign w:val="center"/>
          </w:tcPr>
          <w:p w14:paraId="6BA84B8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278" w:type="dxa"/>
            <w:tcBorders>
              <w:top w:val="nil"/>
              <w:left w:val="nil"/>
              <w:bottom w:val="single" w:color="000000" w:sz="4" w:space="0"/>
              <w:right w:val="single" w:color="000000" w:sz="4" w:space="0"/>
            </w:tcBorders>
            <w:shd w:val="clear" w:color="auto" w:fill="auto"/>
            <w:vAlign w:val="center"/>
          </w:tcPr>
          <w:p w14:paraId="7C16C6F7">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713" w:type="dxa"/>
            <w:gridSpan w:val="3"/>
            <w:tcBorders>
              <w:top w:val="single" w:color="000000" w:sz="4" w:space="0"/>
              <w:left w:val="nil"/>
              <w:bottom w:val="single" w:color="000000" w:sz="4" w:space="0"/>
              <w:right w:val="single" w:color="000000" w:sz="4" w:space="0"/>
            </w:tcBorders>
            <w:shd w:val="clear" w:color="auto" w:fill="auto"/>
            <w:vAlign w:val="center"/>
          </w:tcPr>
          <w:p w14:paraId="6CBC9E3E">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46" w:type="dxa"/>
            <w:tcBorders>
              <w:top w:val="nil"/>
              <w:left w:val="nil"/>
              <w:bottom w:val="single" w:color="000000" w:sz="4" w:space="0"/>
              <w:right w:val="single" w:color="000000" w:sz="4" w:space="0"/>
            </w:tcBorders>
            <w:shd w:val="clear" w:color="auto" w:fill="auto"/>
            <w:vAlign w:val="center"/>
          </w:tcPr>
          <w:p w14:paraId="5FADD95B">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831" w:type="dxa"/>
            <w:tcBorders>
              <w:top w:val="nil"/>
              <w:left w:val="nil"/>
              <w:bottom w:val="single" w:color="000000" w:sz="4" w:space="0"/>
              <w:right w:val="single" w:color="000000" w:sz="4" w:space="0"/>
            </w:tcBorders>
            <w:shd w:val="clear" w:color="auto" w:fill="auto"/>
            <w:vAlign w:val="center"/>
          </w:tcPr>
          <w:p w14:paraId="72E9DDB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2C17043">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263" w:type="dxa"/>
            <w:vMerge w:val="continue"/>
            <w:tcBorders>
              <w:top w:val="nil"/>
              <w:left w:val="single" w:color="000000" w:sz="4" w:space="0"/>
              <w:bottom w:val="single" w:color="000000" w:sz="4" w:space="0"/>
              <w:right w:val="single" w:color="000000" w:sz="4" w:space="0"/>
            </w:tcBorders>
            <w:vAlign w:val="center"/>
          </w:tcPr>
          <w:p w14:paraId="07419CF4">
            <w:pPr>
              <w:widowControl/>
              <w:jc w:val="left"/>
              <w:rPr>
                <w:rFonts w:hint="eastAsia" w:ascii="黑体" w:hAnsi="黑体" w:cs="宋体"/>
                <w:i/>
                <w:iCs/>
                <w:color w:val="000000"/>
                <w:kern w:val="0"/>
                <w:sz w:val="18"/>
                <w:szCs w:val="18"/>
              </w:rPr>
            </w:pPr>
          </w:p>
        </w:tc>
      </w:tr>
      <w:tr w14:paraId="43D6B0EF">
        <w:tblPrEx>
          <w:tblCellMar>
            <w:top w:w="0" w:type="dxa"/>
            <w:left w:w="108" w:type="dxa"/>
            <w:bottom w:w="0" w:type="dxa"/>
            <w:right w:w="108" w:type="dxa"/>
          </w:tblCellMar>
        </w:tblPrEx>
        <w:trPr>
          <w:trHeight w:val="454" w:hRule="atLeast"/>
        </w:trPr>
        <w:tc>
          <w:tcPr>
            <w:tcW w:w="577" w:type="dxa"/>
            <w:vMerge w:val="restart"/>
            <w:tcBorders>
              <w:top w:val="nil"/>
              <w:left w:val="single" w:color="000000" w:sz="4" w:space="0"/>
              <w:bottom w:val="single" w:color="000000" w:sz="4" w:space="0"/>
              <w:right w:val="single" w:color="000000" w:sz="4" w:space="0"/>
            </w:tcBorders>
            <w:shd w:val="clear" w:color="auto" w:fill="auto"/>
            <w:vAlign w:val="center"/>
          </w:tcPr>
          <w:p w14:paraId="7855EB34">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576" w:type="dxa"/>
            <w:tcBorders>
              <w:top w:val="nil"/>
              <w:left w:val="nil"/>
              <w:bottom w:val="single" w:color="000000" w:sz="4" w:space="0"/>
              <w:right w:val="single" w:color="000000" w:sz="4" w:space="0"/>
            </w:tcBorders>
            <w:shd w:val="clear" w:color="auto" w:fill="auto"/>
            <w:vAlign w:val="center"/>
          </w:tcPr>
          <w:p w14:paraId="602D0CDF">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690" w:type="dxa"/>
            <w:tcBorders>
              <w:top w:val="nil"/>
              <w:left w:val="nil"/>
              <w:bottom w:val="single" w:color="000000" w:sz="4" w:space="0"/>
              <w:right w:val="single" w:color="000000" w:sz="4" w:space="0"/>
            </w:tcBorders>
            <w:shd w:val="clear" w:color="auto" w:fill="auto"/>
            <w:vAlign w:val="center"/>
          </w:tcPr>
          <w:p w14:paraId="6477F3CB">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1278" w:type="dxa"/>
            <w:tcBorders>
              <w:top w:val="nil"/>
              <w:left w:val="nil"/>
              <w:bottom w:val="single" w:color="000000" w:sz="4" w:space="0"/>
              <w:right w:val="single" w:color="000000" w:sz="4" w:space="0"/>
            </w:tcBorders>
            <w:shd w:val="clear" w:color="auto" w:fill="auto"/>
            <w:vAlign w:val="center"/>
          </w:tcPr>
          <w:p w14:paraId="25AA654A">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396" w:type="dxa"/>
            <w:tcBorders>
              <w:top w:val="nil"/>
              <w:left w:val="nil"/>
              <w:bottom w:val="single" w:color="000000" w:sz="4" w:space="0"/>
              <w:right w:val="single" w:color="000000" w:sz="4" w:space="0"/>
            </w:tcBorders>
            <w:shd w:val="clear" w:color="auto" w:fill="auto"/>
            <w:vAlign w:val="center"/>
          </w:tcPr>
          <w:p w14:paraId="530BF252">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486" w:type="dxa"/>
            <w:tcBorders>
              <w:top w:val="nil"/>
              <w:left w:val="nil"/>
              <w:bottom w:val="single" w:color="000000" w:sz="4" w:space="0"/>
              <w:right w:val="single" w:color="000000" w:sz="4" w:space="0"/>
            </w:tcBorders>
            <w:shd w:val="clear" w:color="auto" w:fill="auto"/>
            <w:vAlign w:val="center"/>
          </w:tcPr>
          <w:p w14:paraId="04ACDE04">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831" w:type="dxa"/>
            <w:tcBorders>
              <w:top w:val="nil"/>
              <w:left w:val="nil"/>
              <w:bottom w:val="single" w:color="000000" w:sz="4" w:space="0"/>
              <w:right w:val="single" w:color="000000" w:sz="4" w:space="0"/>
            </w:tcBorders>
            <w:shd w:val="clear" w:color="auto" w:fill="auto"/>
            <w:vAlign w:val="center"/>
          </w:tcPr>
          <w:p w14:paraId="130C7E37">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846" w:type="dxa"/>
            <w:tcBorders>
              <w:top w:val="nil"/>
              <w:left w:val="nil"/>
              <w:bottom w:val="single" w:color="000000" w:sz="4" w:space="0"/>
              <w:right w:val="single" w:color="000000" w:sz="4" w:space="0"/>
            </w:tcBorders>
            <w:shd w:val="clear" w:color="auto" w:fill="auto"/>
            <w:vAlign w:val="center"/>
          </w:tcPr>
          <w:p w14:paraId="5A72FCB8">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1831" w:type="dxa"/>
            <w:tcBorders>
              <w:top w:val="nil"/>
              <w:left w:val="nil"/>
              <w:bottom w:val="single" w:color="000000" w:sz="4" w:space="0"/>
              <w:right w:val="single" w:color="000000" w:sz="4" w:space="0"/>
            </w:tcBorders>
            <w:shd w:val="clear" w:color="auto" w:fill="auto"/>
            <w:vAlign w:val="center"/>
          </w:tcPr>
          <w:p w14:paraId="2A4BA83C">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86" w:type="dxa"/>
            <w:tcBorders>
              <w:top w:val="nil"/>
              <w:left w:val="nil"/>
              <w:bottom w:val="single" w:color="000000" w:sz="4" w:space="0"/>
              <w:right w:val="single" w:color="000000" w:sz="4" w:space="0"/>
            </w:tcBorders>
            <w:shd w:val="clear" w:color="auto" w:fill="auto"/>
            <w:vAlign w:val="center"/>
          </w:tcPr>
          <w:p w14:paraId="0A8F6065">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1263" w:type="dxa"/>
            <w:tcBorders>
              <w:top w:val="nil"/>
              <w:left w:val="nil"/>
              <w:bottom w:val="single" w:color="000000" w:sz="4" w:space="0"/>
              <w:right w:val="single" w:color="000000" w:sz="4" w:space="0"/>
            </w:tcBorders>
            <w:shd w:val="clear" w:color="auto" w:fill="auto"/>
            <w:vAlign w:val="center"/>
          </w:tcPr>
          <w:p w14:paraId="558C62BD">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F8BFEE0">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0DD69D7F">
            <w:pPr>
              <w:widowControl/>
              <w:jc w:val="left"/>
              <w:rPr>
                <w:rFonts w:ascii="宋体" w:hAnsi="宋体" w:cs="宋体"/>
                <w:color w:val="000000"/>
                <w:kern w:val="0"/>
                <w:sz w:val="18"/>
                <w:szCs w:val="18"/>
              </w:rPr>
            </w:pPr>
          </w:p>
        </w:tc>
        <w:tc>
          <w:tcPr>
            <w:tcW w:w="576" w:type="dxa"/>
            <w:vMerge w:val="restart"/>
            <w:tcBorders>
              <w:top w:val="nil"/>
              <w:left w:val="single" w:color="000000" w:sz="4" w:space="0"/>
              <w:bottom w:val="single" w:color="000000" w:sz="4" w:space="0"/>
              <w:right w:val="single" w:color="000000" w:sz="4" w:space="0"/>
            </w:tcBorders>
            <w:shd w:val="clear" w:color="auto" w:fill="auto"/>
            <w:vAlign w:val="center"/>
          </w:tcPr>
          <w:p w14:paraId="40165294">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w:t>
            </w:r>
          </w:p>
        </w:tc>
        <w:tc>
          <w:tcPr>
            <w:tcW w:w="690" w:type="dxa"/>
            <w:tcBorders>
              <w:top w:val="nil"/>
              <w:left w:val="nil"/>
              <w:bottom w:val="single" w:color="000000" w:sz="4" w:space="0"/>
              <w:right w:val="single" w:color="000000" w:sz="4" w:space="0"/>
            </w:tcBorders>
            <w:shd w:val="clear" w:color="auto" w:fill="auto"/>
            <w:vAlign w:val="center"/>
          </w:tcPr>
          <w:p w14:paraId="1430D849">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1278" w:type="dxa"/>
            <w:tcBorders>
              <w:top w:val="nil"/>
              <w:left w:val="nil"/>
              <w:bottom w:val="single" w:color="000000" w:sz="4" w:space="0"/>
              <w:right w:val="single" w:color="000000" w:sz="4" w:space="0"/>
            </w:tcBorders>
            <w:shd w:val="clear" w:color="auto" w:fill="auto"/>
            <w:vAlign w:val="center"/>
          </w:tcPr>
          <w:p w14:paraId="438FEF65">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资金支付准确率</w:t>
            </w:r>
          </w:p>
        </w:tc>
        <w:tc>
          <w:tcPr>
            <w:tcW w:w="396" w:type="dxa"/>
            <w:tcBorders>
              <w:top w:val="nil"/>
              <w:left w:val="nil"/>
              <w:bottom w:val="single" w:color="000000" w:sz="4" w:space="0"/>
              <w:right w:val="single" w:color="000000" w:sz="4" w:space="0"/>
            </w:tcBorders>
            <w:shd w:val="clear" w:color="auto" w:fill="auto"/>
            <w:vAlign w:val="center"/>
          </w:tcPr>
          <w:p w14:paraId="2DA1C0D8">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761F03E">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31" w:type="dxa"/>
            <w:tcBorders>
              <w:top w:val="nil"/>
              <w:left w:val="nil"/>
              <w:bottom w:val="single" w:color="000000" w:sz="4" w:space="0"/>
              <w:right w:val="single" w:color="000000" w:sz="4" w:space="0"/>
            </w:tcBorders>
            <w:shd w:val="clear" w:color="auto" w:fill="auto"/>
            <w:vAlign w:val="center"/>
          </w:tcPr>
          <w:p w14:paraId="655F6766">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60CACE98">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831" w:type="dxa"/>
            <w:tcBorders>
              <w:top w:val="nil"/>
              <w:left w:val="nil"/>
              <w:bottom w:val="single" w:color="000000" w:sz="4" w:space="0"/>
              <w:right w:val="single" w:color="000000" w:sz="4" w:space="0"/>
            </w:tcBorders>
            <w:shd w:val="clear" w:color="auto" w:fill="auto"/>
            <w:vAlign w:val="center"/>
          </w:tcPr>
          <w:p w14:paraId="12E5A7A7">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86" w:type="dxa"/>
            <w:tcBorders>
              <w:top w:val="nil"/>
              <w:left w:val="nil"/>
              <w:bottom w:val="single" w:color="000000" w:sz="4" w:space="0"/>
              <w:right w:val="single" w:color="000000" w:sz="4" w:space="0"/>
            </w:tcBorders>
            <w:shd w:val="clear" w:color="auto" w:fill="auto"/>
            <w:vAlign w:val="center"/>
          </w:tcPr>
          <w:p w14:paraId="45DAA85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63" w:type="dxa"/>
            <w:tcBorders>
              <w:top w:val="nil"/>
              <w:left w:val="nil"/>
              <w:bottom w:val="single" w:color="000000" w:sz="4" w:space="0"/>
              <w:right w:val="single" w:color="000000" w:sz="4" w:space="0"/>
            </w:tcBorders>
            <w:shd w:val="clear" w:color="auto" w:fill="auto"/>
            <w:vAlign w:val="center"/>
          </w:tcPr>
          <w:p w14:paraId="4257DEF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9CA07F9">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033BFEDD">
            <w:pPr>
              <w:widowControl/>
              <w:jc w:val="left"/>
              <w:rPr>
                <w:rFonts w:ascii="宋体" w:hAnsi="宋体" w:cs="宋体"/>
                <w:color w:val="000000"/>
                <w:kern w:val="0"/>
                <w:sz w:val="18"/>
                <w:szCs w:val="18"/>
              </w:rPr>
            </w:pPr>
          </w:p>
        </w:tc>
        <w:tc>
          <w:tcPr>
            <w:tcW w:w="576" w:type="dxa"/>
            <w:vMerge w:val="continue"/>
            <w:tcBorders>
              <w:top w:val="nil"/>
              <w:left w:val="single" w:color="000000" w:sz="4" w:space="0"/>
              <w:bottom w:val="single" w:color="000000" w:sz="4" w:space="0"/>
              <w:right w:val="single" w:color="000000" w:sz="4" w:space="0"/>
            </w:tcBorders>
            <w:vAlign w:val="center"/>
          </w:tcPr>
          <w:p w14:paraId="56D319BD">
            <w:pPr>
              <w:widowControl/>
              <w:jc w:val="left"/>
              <w:rPr>
                <w:rFonts w:ascii="宋体" w:hAnsi="宋体" w:cs="宋体"/>
                <w:color w:val="000000"/>
                <w:kern w:val="0"/>
                <w:sz w:val="18"/>
                <w:szCs w:val="18"/>
              </w:rPr>
            </w:pPr>
          </w:p>
        </w:tc>
        <w:tc>
          <w:tcPr>
            <w:tcW w:w="690" w:type="dxa"/>
            <w:tcBorders>
              <w:top w:val="nil"/>
              <w:left w:val="nil"/>
              <w:bottom w:val="single" w:color="000000" w:sz="4" w:space="0"/>
              <w:right w:val="single" w:color="000000" w:sz="4" w:space="0"/>
            </w:tcBorders>
            <w:shd w:val="clear" w:color="auto" w:fill="auto"/>
            <w:vAlign w:val="center"/>
          </w:tcPr>
          <w:p w14:paraId="104D4D47">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1278" w:type="dxa"/>
            <w:tcBorders>
              <w:top w:val="nil"/>
              <w:left w:val="nil"/>
              <w:bottom w:val="single" w:color="000000" w:sz="4" w:space="0"/>
              <w:right w:val="single" w:color="000000" w:sz="4" w:space="0"/>
            </w:tcBorders>
            <w:shd w:val="clear" w:color="auto" w:fill="auto"/>
            <w:vAlign w:val="center"/>
          </w:tcPr>
          <w:p w14:paraId="5B9CB9AC">
            <w:pPr>
              <w:widowControl/>
              <w:jc w:val="center"/>
              <w:rPr>
                <w:rFonts w:ascii="宋体" w:hAnsi="宋体" w:cs="宋体"/>
                <w:color w:val="000000"/>
                <w:kern w:val="0"/>
                <w:sz w:val="18"/>
                <w:szCs w:val="18"/>
              </w:rPr>
            </w:pPr>
            <w:r>
              <w:rPr>
                <w:rFonts w:hint="eastAsia" w:ascii="宋体" w:hAnsi="宋体" w:cs="宋体"/>
                <w:color w:val="000000"/>
                <w:kern w:val="0"/>
                <w:sz w:val="18"/>
                <w:szCs w:val="18"/>
              </w:rPr>
              <w:t>2023年1-12月</w:t>
            </w:r>
          </w:p>
        </w:tc>
        <w:tc>
          <w:tcPr>
            <w:tcW w:w="396" w:type="dxa"/>
            <w:tcBorders>
              <w:top w:val="nil"/>
              <w:left w:val="nil"/>
              <w:bottom w:val="single" w:color="000000" w:sz="4" w:space="0"/>
              <w:right w:val="single" w:color="000000" w:sz="4" w:space="0"/>
            </w:tcBorders>
            <w:shd w:val="clear" w:color="auto" w:fill="auto"/>
            <w:vAlign w:val="center"/>
          </w:tcPr>
          <w:p w14:paraId="0CEDF06A">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29829F6D">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31" w:type="dxa"/>
            <w:tcBorders>
              <w:top w:val="nil"/>
              <w:left w:val="nil"/>
              <w:bottom w:val="single" w:color="000000" w:sz="4" w:space="0"/>
              <w:right w:val="single" w:color="000000" w:sz="4" w:space="0"/>
            </w:tcBorders>
            <w:shd w:val="clear" w:color="auto" w:fill="auto"/>
            <w:vAlign w:val="center"/>
          </w:tcPr>
          <w:p w14:paraId="35DC264B">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846" w:type="dxa"/>
            <w:tcBorders>
              <w:top w:val="nil"/>
              <w:left w:val="nil"/>
              <w:bottom w:val="single" w:color="000000" w:sz="4" w:space="0"/>
              <w:right w:val="single" w:color="000000" w:sz="4" w:space="0"/>
            </w:tcBorders>
            <w:shd w:val="clear" w:color="auto" w:fill="auto"/>
            <w:vAlign w:val="center"/>
          </w:tcPr>
          <w:p w14:paraId="25C52C09">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831" w:type="dxa"/>
            <w:tcBorders>
              <w:top w:val="nil"/>
              <w:left w:val="nil"/>
              <w:bottom w:val="single" w:color="000000" w:sz="4" w:space="0"/>
              <w:right w:val="single" w:color="000000" w:sz="4" w:space="0"/>
            </w:tcBorders>
            <w:shd w:val="clear" w:color="auto" w:fill="auto"/>
            <w:vAlign w:val="center"/>
          </w:tcPr>
          <w:p w14:paraId="2ABB948C">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454A3A63">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63" w:type="dxa"/>
            <w:tcBorders>
              <w:top w:val="nil"/>
              <w:left w:val="nil"/>
              <w:bottom w:val="single" w:color="000000" w:sz="4" w:space="0"/>
              <w:right w:val="single" w:color="000000" w:sz="4" w:space="0"/>
            </w:tcBorders>
            <w:shd w:val="clear" w:color="auto" w:fill="auto"/>
            <w:vAlign w:val="center"/>
          </w:tcPr>
          <w:p w14:paraId="49E72A9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BB216EF">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768C2E5F">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3B0AC321">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690" w:type="dxa"/>
            <w:tcBorders>
              <w:top w:val="nil"/>
              <w:left w:val="nil"/>
              <w:bottom w:val="single" w:color="000000" w:sz="4" w:space="0"/>
              <w:right w:val="single" w:color="000000" w:sz="4" w:space="0"/>
            </w:tcBorders>
            <w:shd w:val="clear" w:color="auto" w:fill="auto"/>
            <w:vAlign w:val="center"/>
          </w:tcPr>
          <w:p w14:paraId="664BA37A">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1278" w:type="dxa"/>
            <w:tcBorders>
              <w:top w:val="nil"/>
              <w:left w:val="nil"/>
              <w:bottom w:val="single" w:color="000000" w:sz="4" w:space="0"/>
              <w:right w:val="single" w:color="000000" w:sz="4" w:space="0"/>
            </w:tcBorders>
            <w:shd w:val="clear" w:color="auto" w:fill="auto"/>
            <w:vAlign w:val="center"/>
          </w:tcPr>
          <w:p w14:paraId="0CB6A367">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通过补助资金的投入，促进了农村产业的发展壮大和转型升级，提高了农业综合效益和农民收入水平。同时，带动了相关产业链的发展，促进了农村经济的多元化和可持续发展通过</w:t>
            </w:r>
          </w:p>
        </w:tc>
        <w:tc>
          <w:tcPr>
            <w:tcW w:w="396" w:type="dxa"/>
            <w:tcBorders>
              <w:top w:val="nil"/>
              <w:left w:val="nil"/>
              <w:bottom w:val="single" w:color="000000" w:sz="4" w:space="0"/>
              <w:right w:val="single" w:color="000000" w:sz="4" w:space="0"/>
            </w:tcBorders>
            <w:shd w:val="clear" w:color="auto" w:fill="auto"/>
            <w:vAlign w:val="center"/>
          </w:tcPr>
          <w:p w14:paraId="4049DEA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5EC26BD4">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31" w:type="dxa"/>
            <w:tcBorders>
              <w:top w:val="nil"/>
              <w:left w:val="nil"/>
              <w:bottom w:val="single" w:color="000000" w:sz="4" w:space="0"/>
              <w:right w:val="single" w:color="000000" w:sz="4" w:space="0"/>
            </w:tcBorders>
            <w:shd w:val="clear" w:color="auto" w:fill="auto"/>
            <w:vAlign w:val="center"/>
          </w:tcPr>
          <w:p w14:paraId="15814475">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06068B86">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7E204DB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486" w:type="dxa"/>
            <w:tcBorders>
              <w:top w:val="nil"/>
              <w:left w:val="nil"/>
              <w:bottom w:val="single" w:color="000000" w:sz="4" w:space="0"/>
              <w:right w:val="single" w:color="000000" w:sz="4" w:space="0"/>
            </w:tcBorders>
            <w:shd w:val="clear" w:color="auto" w:fill="auto"/>
            <w:vAlign w:val="center"/>
          </w:tcPr>
          <w:p w14:paraId="79A02082">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63" w:type="dxa"/>
            <w:tcBorders>
              <w:top w:val="nil"/>
              <w:left w:val="nil"/>
              <w:bottom w:val="single" w:color="000000" w:sz="4" w:space="0"/>
              <w:right w:val="single" w:color="000000" w:sz="4" w:space="0"/>
            </w:tcBorders>
            <w:shd w:val="clear" w:color="auto" w:fill="auto"/>
            <w:vAlign w:val="center"/>
          </w:tcPr>
          <w:p w14:paraId="61C090E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6F047E72">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1A94E875">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526BE9C3">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690" w:type="dxa"/>
            <w:tcBorders>
              <w:top w:val="nil"/>
              <w:left w:val="nil"/>
              <w:bottom w:val="single" w:color="000000" w:sz="4" w:space="0"/>
              <w:right w:val="single" w:color="000000" w:sz="4" w:space="0"/>
            </w:tcBorders>
            <w:shd w:val="clear" w:color="auto" w:fill="auto"/>
            <w:vAlign w:val="center"/>
          </w:tcPr>
          <w:p w14:paraId="4DA11D87">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278" w:type="dxa"/>
            <w:tcBorders>
              <w:top w:val="nil"/>
              <w:left w:val="nil"/>
              <w:bottom w:val="single" w:color="000000" w:sz="4" w:space="0"/>
              <w:right w:val="single" w:color="000000" w:sz="4" w:space="0"/>
            </w:tcBorders>
            <w:shd w:val="clear" w:color="auto" w:fill="auto"/>
            <w:vAlign w:val="center"/>
          </w:tcPr>
          <w:p w14:paraId="2F50A9EE">
            <w:pPr>
              <w:widowControl/>
              <w:jc w:val="center"/>
              <w:rPr>
                <w:rFonts w:ascii="宋体" w:hAnsi="宋体" w:cs="宋体"/>
                <w:color w:val="000000"/>
                <w:kern w:val="0"/>
                <w:sz w:val="18"/>
                <w:szCs w:val="18"/>
              </w:rPr>
            </w:pPr>
            <w:r>
              <w:rPr>
                <w:rFonts w:hint="eastAsia" w:ascii="宋体" w:hAnsi="宋体" w:cs="宋体"/>
                <w:color w:val="000000"/>
                <w:kern w:val="0"/>
                <w:sz w:val="18"/>
                <w:szCs w:val="18"/>
              </w:rPr>
              <w:t>通过群众满意度调查等方式发现，农民对乡村振兴补助资金项目的实施效果普遍表示满意。</w:t>
            </w:r>
          </w:p>
        </w:tc>
        <w:tc>
          <w:tcPr>
            <w:tcW w:w="396" w:type="dxa"/>
            <w:tcBorders>
              <w:top w:val="nil"/>
              <w:left w:val="nil"/>
              <w:bottom w:val="single" w:color="000000" w:sz="4" w:space="0"/>
              <w:right w:val="single" w:color="000000" w:sz="4" w:space="0"/>
            </w:tcBorders>
            <w:shd w:val="clear" w:color="auto" w:fill="auto"/>
            <w:vAlign w:val="center"/>
          </w:tcPr>
          <w:p w14:paraId="69D78E67">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3F620A0B">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31" w:type="dxa"/>
            <w:tcBorders>
              <w:top w:val="nil"/>
              <w:left w:val="nil"/>
              <w:bottom w:val="single" w:color="000000" w:sz="4" w:space="0"/>
              <w:right w:val="single" w:color="000000" w:sz="4" w:space="0"/>
            </w:tcBorders>
            <w:shd w:val="clear" w:color="auto" w:fill="auto"/>
            <w:vAlign w:val="center"/>
          </w:tcPr>
          <w:p w14:paraId="5F938B5F">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846" w:type="dxa"/>
            <w:tcBorders>
              <w:top w:val="nil"/>
              <w:left w:val="nil"/>
              <w:bottom w:val="single" w:color="000000" w:sz="4" w:space="0"/>
              <w:right w:val="single" w:color="000000" w:sz="4" w:space="0"/>
            </w:tcBorders>
            <w:shd w:val="clear" w:color="auto" w:fill="auto"/>
            <w:vAlign w:val="center"/>
          </w:tcPr>
          <w:p w14:paraId="0356B169">
            <w:pPr>
              <w:widowControl/>
              <w:jc w:val="center"/>
              <w:rPr>
                <w:rFonts w:ascii="宋体" w:hAnsi="宋体" w:cs="宋体"/>
                <w:color w:val="000000"/>
                <w:kern w:val="0"/>
                <w:sz w:val="18"/>
                <w:szCs w:val="18"/>
              </w:rPr>
            </w:pPr>
            <w:r>
              <w:rPr>
                <w:rFonts w:hint="eastAsia" w:ascii="宋体" w:hAnsi="宋体" w:cs="宋体"/>
                <w:color w:val="000000"/>
                <w:kern w:val="0"/>
                <w:sz w:val="18"/>
                <w:szCs w:val="18"/>
              </w:rPr>
              <w:t>96</w:t>
            </w:r>
          </w:p>
        </w:tc>
        <w:tc>
          <w:tcPr>
            <w:tcW w:w="1831" w:type="dxa"/>
            <w:tcBorders>
              <w:top w:val="nil"/>
              <w:left w:val="nil"/>
              <w:bottom w:val="single" w:color="000000" w:sz="4" w:space="0"/>
              <w:right w:val="single" w:color="000000" w:sz="4" w:space="0"/>
            </w:tcBorders>
            <w:shd w:val="clear" w:color="auto" w:fill="auto"/>
            <w:vAlign w:val="center"/>
          </w:tcPr>
          <w:p w14:paraId="1E1BD757">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4BB04FA5">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63" w:type="dxa"/>
            <w:tcBorders>
              <w:top w:val="nil"/>
              <w:left w:val="nil"/>
              <w:bottom w:val="single" w:color="000000" w:sz="4" w:space="0"/>
              <w:right w:val="single" w:color="000000" w:sz="4" w:space="0"/>
            </w:tcBorders>
            <w:shd w:val="clear" w:color="auto" w:fill="auto"/>
            <w:vAlign w:val="center"/>
          </w:tcPr>
          <w:p w14:paraId="047E0CF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98F35BB">
        <w:tblPrEx>
          <w:tblCellMar>
            <w:top w:w="0" w:type="dxa"/>
            <w:left w:w="108" w:type="dxa"/>
            <w:bottom w:w="0" w:type="dxa"/>
            <w:right w:w="108" w:type="dxa"/>
          </w:tblCellMar>
        </w:tblPrEx>
        <w:trPr>
          <w:trHeight w:val="454" w:hRule="atLeast"/>
        </w:trPr>
        <w:tc>
          <w:tcPr>
            <w:tcW w:w="577" w:type="dxa"/>
            <w:vMerge w:val="continue"/>
            <w:tcBorders>
              <w:top w:val="nil"/>
              <w:left w:val="single" w:color="000000" w:sz="4" w:space="0"/>
              <w:bottom w:val="single" w:color="000000" w:sz="4" w:space="0"/>
              <w:right w:val="single" w:color="000000" w:sz="4" w:space="0"/>
            </w:tcBorders>
            <w:vAlign w:val="center"/>
          </w:tcPr>
          <w:p w14:paraId="6D36444F">
            <w:pPr>
              <w:widowControl/>
              <w:jc w:val="left"/>
              <w:rPr>
                <w:rFonts w:ascii="宋体" w:hAnsi="宋体" w:cs="宋体"/>
                <w:color w:val="000000"/>
                <w:kern w:val="0"/>
                <w:sz w:val="18"/>
                <w:szCs w:val="18"/>
              </w:rPr>
            </w:pPr>
          </w:p>
        </w:tc>
        <w:tc>
          <w:tcPr>
            <w:tcW w:w="576" w:type="dxa"/>
            <w:tcBorders>
              <w:top w:val="nil"/>
              <w:left w:val="nil"/>
              <w:bottom w:val="single" w:color="000000" w:sz="4" w:space="0"/>
              <w:right w:val="single" w:color="000000" w:sz="4" w:space="0"/>
            </w:tcBorders>
            <w:shd w:val="clear" w:color="auto" w:fill="auto"/>
            <w:vAlign w:val="center"/>
          </w:tcPr>
          <w:p w14:paraId="2AB34D82">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690" w:type="dxa"/>
            <w:tcBorders>
              <w:top w:val="nil"/>
              <w:left w:val="nil"/>
              <w:bottom w:val="single" w:color="000000" w:sz="4" w:space="0"/>
              <w:right w:val="single" w:color="000000" w:sz="4" w:space="0"/>
            </w:tcBorders>
            <w:shd w:val="clear" w:color="auto" w:fill="auto"/>
            <w:vAlign w:val="center"/>
          </w:tcPr>
          <w:p w14:paraId="39DD556F">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经济成本</w:t>
            </w:r>
          </w:p>
        </w:tc>
        <w:tc>
          <w:tcPr>
            <w:tcW w:w="1278" w:type="dxa"/>
            <w:tcBorders>
              <w:top w:val="nil"/>
              <w:left w:val="nil"/>
              <w:bottom w:val="single" w:color="000000" w:sz="4" w:space="0"/>
              <w:right w:val="single" w:color="000000" w:sz="4" w:space="0"/>
            </w:tcBorders>
            <w:shd w:val="clear" w:color="auto" w:fill="auto"/>
            <w:vAlign w:val="center"/>
          </w:tcPr>
          <w:p w14:paraId="4FD83DFA">
            <w:pPr>
              <w:widowControl/>
              <w:jc w:val="center"/>
              <w:rPr>
                <w:rFonts w:ascii="宋体" w:hAnsi="宋体" w:cs="宋体"/>
                <w:color w:val="000000"/>
                <w:kern w:val="0"/>
                <w:sz w:val="18"/>
                <w:szCs w:val="18"/>
              </w:rPr>
            </w:pPr>
            <w:r>
              <w:rPr>
                <w:rFonts w:hint="eastAsia" w:ascii="宋体" w:hAnsi="宋体" w:cs="宋体"/>
                <w:color w:val="000000"/>
                <w:kern w:val="0"/>
                <w:sz w:val="18"/>
                <w:szCs w:val="18"/>
              </w:rPr>
              <w:t>125万元</w:t>
            </w:r>
          </w:p>
        </w:tc>
        <w:tc>
          <w:tcPr>
            <w:tcW w:w="396" w:type="dxa"/>
            <w:tcBorders>
              <w:top w:val="nil"/>
              <w:left w:val="nil"/>
              <w:bottom w:val="single" w:color="000000" w:sz="4" w:space="0"/>
              <w:right w:val="single" w:color="000000" w:sz="4" w:space="0"/>
            </w:tcBorders>
            <w:shd w:val="clear" w:color="auto" w:fill="auto"/>
            <w:vAlign w:val="center"/>
          </w:tcPr>
          <w:p w14:paraId="473563A4">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86" w:type="dxa"/>
            <w:tcBorders>
              <w:top w:val="nil"/>
              <w:left w:val="nil"/>
              <w:bottom w:val="single" w:color="000000" w:sz="4" w:space="0"/>
              <w:right w:val="single" w:color="000000" w:sz="4" w:space="0"/>
            </w:tcBorders>
            <w:shd w:val="clear" w:color="auto" w:fill="auto"/>
            <w:vAlign w:val="center"/>
          </w:tcPr>
          <w:p w14:paraId="7449EEA6">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831" w:type="dxa"/>
            <w:tcBorders>
              <w:top w:val="nil"/>
              <w:left w:val="nil"/>
              <w:bottom w:val="single" w:color="000000" w:sz="4" w:space="0"/>
              <w:right w:val="single" w:color="000000" w:sz="4" w:space="0"/>
            </w:tcBorders>
            <w:shd w:val="clear" w:color="auto" w:fill="auto"/>
            <w:vAlign w:val="center"/>
          </w:tcPr>
          <w:p w14:paraId="2F64F7F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846" w:type="dxa"/>
            <w:tcBorders>
              <w:top w:val="nil"/>
              <w:left w:val="nil"/>
              <w:bottom w:val="single" w:color="000000" w:sz="4" w:space="0"/>
              <w:right w:val="single" w:color="000000" w:sz="4" w:space="0"/>
            </w:tcBorders>
            <w:shd w:val="clear" w:color="auto" w:fill="auto"/>
            <w:vAlign w:val="center"/>
          </w:tcPr>
          <w:p w14:paraId="21EC249C">
            <w:pPr>
              <w:widowControl/>
              <w:jc w:val="center"/>
              <w:rPr>
                <w:rFonts w:ascii="宋体" w:hAnsi="宋体" w:cs="宋体"/>
                <w:color w:val="000000"/>
                <w:kern w:val="0"/>
                <w:sz w:val="18"/>
                <w:szCs w:val="18"/>
              </w:rPr>
            </w:pPr>
            <w:r>
              <w:rPr>
                <w:rFonts w:hint="eastAsia" w:ascii="宋体" w:hAnsi="宋体" w:cs="宋体"/>
                <w:color w:val="000000"/>
                <w:kern w:val="0"/>
                <w:sz w:val="18"/>
                <w:szCs w:val="18"/>
              </w:rPr>
              <w:t>125</w:t>
            </w:r>
          </w:p>
        </w:tc>
        <w:tc>
          <w:tcPr>
            <w:tcW w:w="1831" w:type="dxa"/>
            <w:tcBorders>
              <w:top w:val="nil"/>
              <w:left w:val="nil"/>
              <w:bottom w:val="single" w:color="000000" w:sz="4" w:space="0"/>
              <w:right w:val="single" w:color="000000" w:sz="4" w:space="0"/>
            </w:tcBorders>
            <w:shd w:val="clear" w:color="auto" w:fill="auto"/>
            <w:vAlign w:val="center"/>
          </w:tcPr>
          <w:p w14:paraId="307652B6">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86" w:type="dxa"/>
            <w:tcBorders>
              <w:top w:val="nil"/>
              <w:left w:val="nil"/>
              <w:bottom w:val="single" w:color="000000" w:sz="4" w:space="0"/>
              <w:right w:val="single" w:color="000000" w:sz="4" w:space="0"/>
            </w:tcBorders>
            <w:shd w:val="clear" w:color="auto" w:fill="auto"/>
            <w:vAlign w:val="center"/>
          </w:tcPr>
          <w:p w14:paraId="2830BAC6">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63" w:type="dxa"/>
            <w:tcBorders>
              <w:top w:val="nil"/>
              <w:left w:val="nil"/>
              <w:bottom w:val="single" w:color="000000" w:sz="4" w:space="0"/>
              <w:right w:val="single" w:color="000000" w:sz="4" w:space="0"/>
            </w:tcBorders>
            <w:shd w:val="clear" w:color="auto" w:fill="auto"/>
            <w:vAlign w:val="center"/>
          </w:tcPr>
          <w:p w14:paraId="47BAB8A1">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F2342D7">
        <w:tblPrEx>
          <w:tblCellMar>
            <w:top w:w="0" w:type="dxa"/>
            <w:left w:w="108" w:type="dxa"/>
            <w:bottom w:w="0" w:type="dxa"/>
            <w:right w:w="108" w:type="dxa"/>
          </w:tblCellMar>
        </w:tblPrEx>
        <w:trPr>
          <w:trHeight w:val="285" w:hRule="atLeast"/>
        </w:trPr>
        <w:tc>
          <w:tcPr>
            <w:tcW w:w="5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7BC85E">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1831" w:type="dxa"/>
            <w:tcBorders>
              <w:top w:val="nil"/>
              <w:left w:val="nil"/>
              <w:bottom w:val="single" w:color="000000" w:sz="4" w:space="0"/>
              <w:right w:val="single" w:color="000000" w:sz="4" w:space="0"/>
            </w:tcBorders>
            <w:shd w:val="clear" w:color="auto" w:fill="auto"/>
            <w:vAlign w:val="center"/>
          </w:tcPr>
          <w:p w14:paraId="61A81DCB">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86" w:type="dxa"/>
            <w:tcBorders>
              <w:top w:val="nil"/>
              <w:left w:val="nil"/>
              <w:bottom w:val="single" w:color="000000" w:sz="4" w:space="0"/>
              <w:right w:val="single" w:color="000000" w:sz="4" w:space="0"/>
            </w:tcBorders>
            <w:shd w:val="clear" w:color="auto" w:fill="auto"/>
            <w:vAlign w:val="center"/>
          </w:tcPr>
          <w:p w14:paraId="17116271">
            <w:pPr>
              <w:widowControl/>
              <w:jc w:val="right"/>
              <w:rPr>
                <w:rFonts w:ascii="宋体" w:hAnsi="宋体" w:cs="宋体"/>
                <w:color w:val="000000"/>
                <w:kern w:val="0"/>
                <w:sz w:val="18"/>
                <w:szCs w:val="18"/>
              </w:rPr>
            </w:pPr>
            <w:r>
              <w:rPr>
                <w:rFonts w:hint="eastAsia" w:ascii="宋体" w:hAnsi="宋体" w:cs="宋体"/>
                <w:color w:val="000000"/>
                <w:kern w:val="0"/>
                <w:sz w:val="18"/>
                <w:szCs w:val="18"/>
              </w:rPr>
              <w:t>100</w:t>
            </w:r>
          </w:p>
        </w:tc>
        <w:tc>
          <w:tcPr>
            <w:tcW w:w="1263" w:type="dxa"/>
            <w:tcBorders>
              <w:top w:val="nil"/>
              <w:left w:val="nil"/>
              <w:bottom w:val="single" w:color="000000" w:sz="4" w:space="0"/>
              <w:right w:val="single" w:color="000000" w:sz="4" w:space="0"/>
            </w:tcBorders>
            <w:shd w:val="clear" w:color="auto" w:fill="auto"/>
            <w:vAlign w:val="center"/>
          </w:tcPr>
          <w:p w14:paraId="2631611B">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4F495DD">
        <w:tblPrEx>
          <w:tblCellMar>
            <w:top w:w="0" w:type="dxa"/>
            <w:left w:w="108" w:type="dxa"/>
            <w:bottom w:w="0" w:type="dxa"/>
            <w:right w:w="108" w:type="dxa"/>
          </w:tblCellMar>
        </w:tblPrEx>
        <w:trPr>
          <w:trHeight w:val="60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21618A97">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8683" w:type="dxa"/>
            <w:gridSpan w:val="10"/>
            <w:tcBorders>
              <w:top w:val="single" w:color="000000" w:sz="4" w:space="0"/>
              <w:left w:val="nil"/>
              <w:bottom w:val="single" w:color="000000" w:sz="4" w:space="0"/>
              <w:right w:val="single" w:color="000000" w:sz="4" w:space="0"/>
            </w:tcBorders>
            <w:shd w:val="clear" w:color="auto" w:fill="auto"/>
            <w:vAlign w:val="center"/>
          </w:tcPr>
          <w:p w14:paraId="44C54F10">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财政衔接推进乡村振兴补助经费在资金投入、使用、管理和最终效果等方面均取得了显著成效。未来应继续加强资金监管和绩效管理力度，确保资金精准投入、高效使用并持续发挥效益。</w:t>
            </w:r>
          </w:p>
        </w:tc>
      </w:tr>
      <w:tr w14:paraId="00839182">
        <w:tblPrEx>
          <w:tblCellMar>
            <w:top w:w="0" w:type="dxa"/>
            <w:left w:w="108" w:type="dxa"/>
            <w:bottom w:w="0" w:type="dxa"/>
            <w:right w:w="108" w:type="dxa"/>
          </w:tblCellMar>
        </w:tblPrEx>
        <w:trPr>
          <w:trHeight w:val="57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02B6ED97">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8683" w:type="dxa"/>
            <w:gridSpan w:val="10"/>
            <w:tcBorders>
              <w:top w:val="single" w:color="000000" w:sz="4" w:space="0"/>
              <w:left w:val="nil"/>
              <w:bottom w:val="single" w:color="000000" w:sz="4" w:space="0"/>
              <w:right w:val="single" w:color="000000" w:sz="4" w:space="0"/>
            </w:tcBorders>
            <w:shd w:val="clear" w:color="auto" w:fill="auto"/>
            <w:vAlign w:val="center"/>
          </w:tcPr>
          <w:p w14:paraId="4A8213F5">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资金监管和绩效管理力度不足</w:t>
            </w:r>
          </w:p>
        </w:tc>
      </w:tr>
      <w:tr w14:paraId="51AA2E03">
        <w:tblPrEx>
          <w:tblCellMar>
            <w:top w:w="0" w:type="dxa"/>
            <w:left w:w="108" w:type="dxa"/>
            <w:bottom w:w="0" w:type="dxa"/>
            <w:right w:w="108" w:type="dxa"/>
          </w:tblCellMar>
        </w:tblPrEx>
        <w:trPr>
          <w:trHeight w:val="634" w:hRule="atLeast"/>
        </w:trPr>
        <w:tc>
          <w:tcPr>
            <w:tcW w:w="577" w:type="dxa"/>
            <w:tcBorders>
              <w:top w:val="nil"/>
              <w:left w:val="single" w:color="000000" w:sz="4" w:space="0"/>
              <w:bottom w:val="single" w:color="000000" w:sz="4" w:space="0"/>
              <w:right w:val="single" w:color="000000" w:sz="4" w:space="0"/>
            </w:tcBorders>
            <w:shd w:val="clear" w:color="auto" w:fill="auto"/>
            <w:vAlign w:val="center"/>
          </w:tcPr>
          <w:p w14:paraId="358F1AAC">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8683" w:type="dxa"/>
            <w:gridSpan w:val="10"/>
            <w:tcBorders>
              <w:top w:val="single" w:color="000000" w:sz="4" w:space="0"/>
              <w:left w:val="nil"/>
              <w:bottom w:val="single" w:color="000000" w:sz="4" w:space="0"/>
              <w:right w:val="single" w:color="000000" w:sz="4" w:space="0"/>
            </w:tcBorders>
            <w:shd w:val="clear" w:color="auto" w:fill="auto"/>
            <w:vAlign w:val="center"/>
          </w:tcPr>
          <w:p w14:paraId="4B916B9D">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加强资金监管和绩效管理力度，确保资金精准投入、高效使用并持续发挥效益。</w:t>
            </w:r>
          </w:p>
        </w:tc>
      </w:tr>
      <w:tr w14:paraId="575B6A9B">
        <w:tblPrEx>
          <w:tblCellMar>
            <w:top w:w="0" w:type="dxa"/>
            <w:left w:w="108" w:type="dxa"/>
            <w:bottom w:w="0" w:type="dxa"/>
            <w:right w:w="108" w:type="dxa"/>
          </w:tblCellMar>
        </w:tblPrEx>
        <w:trPr>
          <w:trHeight w:val="285" w:hRule="atLeast"/>
        </w:trPr>
        <w:tc>
          <w:tcPr>
            <w:tcW w:w="35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B9BF3">
            <w:pPr>
              <w:widowControl/>
              <w:jc w:val="left"/>
              <w:rPr>
                <w:rFonts w:hint="eastAsia" w:ascii="黑体" w:hAnsi="黑体" w:cs="宋体"/>
                <w:color w:val="000000"/>
                <w:kern w:val="0"/>
                <w:sz w:val="18"/>
                <w:szCs w:val="18"/>
              </w:rPr>
            </w:pPr>
            <w:r>
              <w:rPr>
                <w:rFonts w:ascii="黑体" w:hAnsi="黑体" w:cs="宋体"/>
                <w:color w:val="000000"/>
                <w:kern w:val="0"/>
                <w:sz w:val="18"/>
                <w:szCs w:val="18"/>
              </w:rPr>
              <w:t>项目负责人：肖命钦</w:t>
            </w:r>
          </w:p>
        </w:tc>
        <w:tc>
          <w:tcPr>
            <w:tcW w:w="5743" w:type="dxa"/>
            <w:gridSpan w:val="6"/>
            <w:tcBorders>
              <w:top w:val="single" w:color="000000" w:sz="4" w:space="0"/>
              <w:left w:val="nil"/>
              <w:bottom w:val="single" w:color="000000" w:sz="4" w:space="0"/>
              <w:right w:val="single" w:color="000000" w:sz="4" w:space="0"/>
            </w:tcBorders>
            <w:shd w:val="clear" w:color="auto" w:fill="auto"/>
            <w:vAlign w:val="center"/>
          </w:tcPr>
          <w:p w14:paraId="6FB03064">
            <w:pPr>
              <w:widowControl/>
              <w:jc w:val="left"/>
              <w:rPr>
                <w:rFonts w:hint="eastAsia" w:ascii="黑体" w:hAnsi="黑体" w:cs="宋体"/>
                <w:color w:val="000000"/>
                <w:kern w:val="0"/>
                <w:sz w:val="18"/>
                <w:szCs w:val="18"/>
              </w:rPr>
            </w:pPr>
            <w:r>
              <w:rPr>
                <w:rFonts w:ascii="黑体" w:hAnsi="黑体" w:cs="宋体"/>
                <w:color w:val="000000"/>
                <w:kern w:val="0"/>
                <w:sz w:val="18"/>
                <w:szCs w:val="18"/>
              </w:rPr>
              <w:t>财务负责人：段高辉</w:t>
            </w:r>
          </w:p>
        </w:tc>
      </w:tr>
    </w:tbl>
    <w:p w14:paraId="0FB96BA9">
      <w:pPr>
        <w:spacing w:line="576" w:lineRule="exact"/>
        <w:jc w:val="center"/>
        <w:rPr>
          <w:rFonts w:ascii="方正小标宋简体" w:hAnsi="宋体" w:eastAsia="方正小标宋简体"/>
          <w:color w:val="000000"/>
          <w:kern w:val="0"/>
          <w:sz w:val="44"/>
          <w:szCs w:val="44"/>
        </w:rPr>
      </w:pPr>
    </w:p>
    <w:p w14:paraId="275EB5DE">
      <w:pPr>
        <w:spacing w:line="576" w:lineRule="exact"/>
        <w:jc w:val="center"/>
        <w:rPr>
          <w:rFonts w:ascii="方正小标宋简体" w:hAnsi="宋体" w:eastAsia="方正小标宋简体"/>
          <w:color w:val="000000"/>
          <w:kern w:val="0"/>
          <w:sz w:val="44"/>
          <w:szCs w:val="44"/>
        </w:rPr>
      </w:pPr>
    </w:p>
    <w:p w14:paraId="51190F65">
      <w:pPr>
        <w:pStyle w:val="2"/>
      </w:pPr>
    </w:p>
    <w:p w14:paraId="1A5070AE">
      <w:pPr>
        <w:spacing w:line="576" w:lineRule="exact"/>
        <w:jc w:val="center"/>
        <w:rPr>
          <w:rFonts w:ascii="方正小标宋简体" w:hAnsi="宋体" w:eastAsia="方正小标宋简体"/>
          <w:color w:val="000000"/>
          <w:kern w:val="0"/>
          <w:sz w:val="44"/>
          <w:szCs w:val="44"/>
        </w:rPr>
      </w:pPr>
    </w:p>
    <w:p w14:paraId="7E007350">
      <w:pPr>
        <w:pStyle w:val="2"/>
      </w:pPr>
    </w:p>
    <w:p w14:paraId="2E81B203">
      <w:pPr>
        <w:pStyle w:val="3"/>
        <w:ind w:left="420"/>
      </w:pPr>
    </w:p>
    <w:p w14:paraId="31A27C30">
      <w:pPr>
        <w:pStyle w:val="3"/>
        <w:ind w:left="420"/>
      </w:pPr>
    </w:p>
    <w:p w14:paraId="6B49B3BC">
      <w:pPr>
        <w:pStyle w:val="3"/>
        <w:ind w:left="420"/>
      </w:pPr>
    </w:p>
    <w:p w14:paraId="3393F9F1">
      <w:pPr>
        <w:pStyle w:val="3"/>
        <w:ind w:left="420"/>
      </w:pPr>
    </w:p>
    <w:p w14:paraId="47FF9CE9">
      <w:pPr>
        <w:pStyle w:val="3"/>
        <w:ind w:left="420"/>
      </w:pPr>
    </w:p>
    <w:p w14:paraId="2B618622">
      <w:pPr>
        <w:pStyle w:val="3"/>
        <w:ind w:left="420"/>
      </w:pPr>
    </w:p>
    <w:p w14:paraId="66D07DFC">
      <w:pPr>
        <w:pStyle w:val="3"/>
        <w:ind w:left="420"/>
      </w:pPr>
    </w:p>
    <w:p w14:paraId="7A98B467">
      <w:pPr>
        <w:pStyle w:val="3"/>
        <w:ind w:left="420"/>
        <w:rPr>
          <w:rFonts w:hint="eastAsia"/>
        </w:rPr>
      </w:pPr>
    </w:p>
    <w:p w14:paraId="28B6EAA9">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rPr>
        <w:t>部门预算项目支出</w:t>
      </w:r>
      <w:r>
        <w:rPr>
          <w:rFonts w:hint="eastAsia" w:ascii="仿宋_GB2312" w:hAnsi="宋体" w:eastAsia="仿宋_GB2312"/>
          <w:b/>
          <w:color w:val="000000"/>
          <w:kern w:val="0"/>
          <w:sz w:val="44"/>
          <w:szCs w:val="44"/>
          <w:lang w:val="zh-CN"/>
        </w:rPr>
        <w:t>绩效自评报告</w:t>
      </w:r>
    </w:p>
    <w:p w14:paraId="63A13DB9">
      <w:pPr>
        <w:pStyle w:val="2"/>
        <w:rPr>
          <w:rFonts w:ascii="仿宋_GB2312" w:eastAsia="仿宋_GB2312"/>
          <w:b/>
          <w:lang w:val="zh-CN"/>
        </w:rPr>
      </w:pPr>
    </w:p>
    <w:p w14:paraId="5E1879D6">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lang w:val="zh-CN"/>
        </w:rPr>
        <w:t>（海龙凯歌国庆营销活动经费项目）</w:t>
      </w:r>
    </w:p>
    <w:p w14:paraId="07E96CDB">
      <w:pPr>
        <w:snapToGrid w:val="0"/>
        <w:spacing w:line="576" w:lineRule="exact"/>
        <w:jc w:val="left"/>
        <w:rPr>
          <w:rFonts w:ascii="仿宋_GB2312" w:eastAsia="仿宋_GB2312"/>
          <w:b/>
        </w:rPr>
      </w:pPr>
    </w:p>
    <w:p w14:paraId="26935AA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一、项目概况</w:t>
      </w:r>
    </w:p>
    <w:p w14:paraId="0921815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（一）设立背景及基本情况</w:t>
      </w:r>
    </w:p>
    <w:p w14:paraId="4A328FBA">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随着全球化的加速和国际间经济合作的深化，消费者对高品质、国际化的产品和服务需求日益增长。为了满足这一市场需求，海龙凯歌决定加大市场的营销力度，提升品牌知名度和市场份额。</w:t>
      </w:r>
    </w:p>
    <w:p w14:paraId="306B4D6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（二）实施目的及支持方向</w:t>
      </w:r>
    </w:p>
    <w:p w14:paraId="0E05CA7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Fonts w:hint="eastAsia" w:ascii="仿宋_GB2312" w:hAnsi="微软雅黑" w:eastAsia="仿宋_GB2312" w:cs="仿宋_GB2312"/>
          <w:b/>
          <w:sz w:val="31"/>
          <w:szCs w:val="31"/>
        </w:rPr>
        <w:t>实施目的：</w:t>
      </w:r>
      <w:r>
        <w:rPr>
          <w:rFonts w:hint="eastAsia" w:ascii="仿宋_GB2312" w:hAnsi="微软雅黑" w:eastAsia="仿宋_GB2312" w:cs="仿宋_GB2312"/>
          <w:sz w:val="31"/>
          <w:szCs w:val="31"/>
        </w:rPr>
        <w:t>提升品牌知名度，通过市场开展大规模、高密度的营销活动，增强消费者对海龙凯歌品牌的认知和记忆。</w:t>
      </w:r>
    </w:p>
    <w:p w14:paraId="49E672D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b/>
          <w:sz w:val="31"/>
          <w:szCs w:val="31"/>
        </w:rPr>
        <w:t>2支持方向：</w:t>
      </w:r>
      <w:r>
        <w:rPr>
          <w:rFonts w:hint="eastAsia" w:ascii="仿宋_GB2312" w:hAnsi="微软雅黑" w:eastAsia="仿宋_GB2312" w:cs="仿宋_GB2312"/>
          <w:sz w:val="31"/>
          <w:szCs w:val="31"/>
        </w:rPr>
        <w:t>支持在主流媒体、网络平台、社交媒体等渠道投放广告，提升品牌曝光度和影响力。对目标市场进行深入的研究和分析，了解消费者需求、竞争对手动态和市场趋势，为制定营销策略提供依据。</w:t>
      </w:r>
    </w:p>
    <w:p w14:paraId="753B5764">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（三）预算安排及分配管理</w:t>
      </w:r>
    </w:p>
    <w:p w14:paraId="542C54A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海龙凯歌国庆营销活动经费项目2023年初预算</w:t>
      </w:r>
      <w:r>
        <w:rPr>
          <w:rFonts w:ascii="仿宋_GB2312" w:hAnsi="微软雅黑" w:eastAsia="仿宋_GB2312" w:cs="仿宋_GB2312"/>
          <w:sz w:val="31"/>
          <w:szCs w:val="31"/>
        </w:rPr>
        <w:t>86.9</w:t>
      </w:r>
      <w:r>
        <w:rPr>
          <w:rFonts w:hint="eastAsia" w:ascii="仿宋_GB2312" w:hAnsi="微软雅黑" w:eastAsia="仿宋_GB2312" w:cs="仿宋_GB2312"/>
          <w:sz w:val="31"/>
          <w:szCs w:val="31"/>
        </w:rPr>
        <w:t>万元 ，预算批复</w:t>
      </w:r>
      <w:r>
        <w:rPr>
          <w:rFonts w:ascii="仿宋_GB2312" w:hAnsi="微软雅黑" w:eastAsia="仿宋_GB2312" w:cs="仿宋_GB2312"/>
          <w:sz w:val="31"/>
          <w:szCs w:val="31"/>
        </w:rPr>
        <w:t>86.9</w:t>
      </w:r>
      <w:r>
        <w:rPr>
          <w:rFonts w:hint="eastAsia" w:ascii="仿宋_GB2312" w:hAnsi="微软雅黑" w:eastAsia="仿宋_GB2312" w:cs="仿宋_GB2312"/>
          <w:sz w:val="31"/>
          <w:szCs w:val="31"/>
        </w:rPr>
        <w:t>万元。资金主要用于提升知名度，扩大营销等费用。</w:t>
      </w:r>
    </w:p>
    <w:p w14:paraId="75CC31DF">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（四）项目绩效目标设置</w:t>
      </w:r>
    </w:p>
    <w:p w14:paraId="4624E924">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主要是将围绕“全过程、全方位、全覆盖”预算绩效管理体系，保证全面完成各项目标。按工作安排完成海龙凯歌国庆营销活动各项工作任务,为海龙凯歌国庆营销活动依法履行职责提供财力的保证。</w:t>
      </w:r>
    </w:p>
    <w:p w14:paraId="4FCAE54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二、评价实施</w:t>
      </w:r>
    </w:p>
    <w:p w14:paraId="4AB8803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（一）评价目的</w:t>
      </w:r>
    </w:p>
    <w:p w14:paraId="686378B8">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通过对海龙凯歌国庆营销活动经费</w:t>
      </w:r>
      <w:r>
        <w:rPr>
          <w:rFonts w:hint="eastAsia" w:ascii="仿宋_GB2312" w:hAnsi="微软雅黑" w:eastAsia="仿宋_GB2312" w:cs="仿宋_GB2312"/>
          <w:sz w:val="31"/>
          <w:szCs w:val="31"/>
          <w:lang w:val="zh-CN"/>
        </w:rPr>
        <w:t>等</w:t>
      </w:r>
      <w:r>
        <w:rPr>
          <w:rFonts w:hint="eastAsia" w:ascii="仿宋_GB2312" w:hAnsi="微软雅黑" w:eastAsia="仿宋_GB2312" w:cs="仿宋_GB2312"/>
          <w:sz w:val="31"/>
          <w:szCs w:val="31"/>
        </w:rPr>
        <w:t>项目专项资金的绩效评价，了解安海龙凯歌国庆营销活动经费项目的资金来源、使用和管理情况、项目组织和实施情况，检验项目投入是否达到预期目标，总结经验，分析问题，强化项目资金管理，进一步提升预算项目资金使用成效。</w:t>
      </w:r>
    </w:p>
    <w:p w14:paraId="3E1AB9E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（二）预设问题及评价重点</w:t>
      </w:r>
    </w:p>
    <w:p w14:paraId="2BD01484">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通过项目绩效自评海龙凯歌国庆营销活动经费自评按照绩效评价指标体系，对资金支出使用全过程及其实施效果进行综合评价和判断。</w:t>
      </w:r>
    </w:p>
    <w:p w14:paraId="2D8D1E99">
      <w:pPr>
        <w:adjustRightInd w:val="0"/>
        <w:snapToGrid w:val="0"/>
        <w:spacing w:line="576" w:lineRule="exact"/>
        <w:ind w:firstLine="720"/>
        <w:jc w:val="left"/>
        <w:rPr>
          <w:rFonts w:ascii="仿宋_GB2312" w:hAnsi="微软雅黑" w:eastAsia="仿宋_GB2312" w:cs="仿宋_GB2312"/>
          <w:b/>
          <w:sz w:val="31"/>
          <w:szCs w:val="31"/>
          <w:highlight w:val="green"/>
        </w:rPr>
      </w:pPr>
      <w:r>
        <w:rPr>
          <w:rFonts w:hint="eastAsia" w:ascii="仿宋_GB2312" w:hAnsi="微软雅黑" w:eastAsia="仿宋_GB2312" w:cs="仿宋_GB2312"/>
          <w:b/>
          <w:sz w:val="31"/>
          <w:szCs w:val="31"/>
        </w:rPr>
        <w:t>（三）评价选点</w:t>
      </w:r>
    </w:p>
    <w:p w14:paraId="2572788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海龙凯歌国庆营销活动经费</w:t>
      </w:r>
      <w:r>
        <w:rPr>
          <w:rFonts w:hint="eastAsia" w:ascii="仿宋_GB2312" w:hAnsi="微软雅黑" w:eastAsia="仿宋_GB2312" w:cs="仿宋_GB2312"/>
          <w:sz w:val="31"/>
          <w:szCs w:val="31"/>
          <w:lang w:val="zh-CN"/>
        </w:rPr>
        <w:t>的评价选点应当围绕经费的使用效率、效果以及合规性等方面开展。</w:t>
      </w:r>
    </w:p>
    <w:p w14:paraId="1B3F6BF4">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（四）评价方法</w:t>
      </w:r>
    </w:p>
    <w:p w14:paraId="0EDB9E3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本次绩效评价采用了成本效益比较法、单位自评法、实地勘察法、问卷调查法、座谈调研法等多种方法。</w:t>
      </w:r>
    </w:p>
    <w:p w14:paraId="3865E78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（五）评价组织</w:t>
      </w:r>
    </w:p>
    <w:p w14:paraId="104BC46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党工委书记：项目决策及资金使用管理情况</w:t>
      </w:r>
    </w:p>
    <w:p w14:paraId="42B4D10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管委会主任：绩效评价工作‌</w:t>
      </w:r>
    </w:p>
    <w:p w14:paraId="2CD5881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管委会副主任：监督检查本次项目自评工作</w:t>
      </w:r>
    </w:p>
    <w:p w14:paraId="401EA7B9">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财务人员：专项资金的管理和使用‌</w:t>
      </w:r>
    </w:p>
    <w:p w14:paraId="3F0BD07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三、绩效分析</w:t>
      </w:r>
      <w:r>
        <w:rPr>
          <w:rFonts w:hint="eastAsia" w:ascii="仿宋_GB2312" w:hAnsi="微软雅黑" w:eastAsia="仿宋_GB2312" w:cs="仿宋_GB2312"/>
          <w:b/>
          <w:sz w:val="31"/>
          <w:szCs w:val="31"/>
        </w:rPr>
        <w:tab/>
      </w:r>
    </w:p>
    <w:p w14:paraId="6E01FB9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（一）通用指标绩效分析</w:t>
      </w:r>
    </w:p>
    <w:p w14:paraId="334F623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1.项目决策：海龙凯歌国庆营销活动经费项目为延续性项目，已在年初进行项目绩效目标申报，项目规划合理，年度绩效目标与中长期规划一致。资金管理办法健全完善。</w:t>
      </w:r>
    </w:p>
    <w:p w14:paraId="2EBE35F9">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2.项目管理：为使项目如期完成，结合海龙凯歌园区实际情况，对。海龙凯歌国庆营销活动经费</w:t>
      </w:r>
      <w:r>
        <w:rPr>
          <w:rFonts w:hint="eastAsia" w:ascii="仿宋_GB2312" w:hAnsi="微软雅黑" w:eastAsia="仿宋_GB2312" w:cs="仿宋_GB2312"/>
          <w:sz w:val="31"/>
          <w:szCs w:val="31"/>
          <w:lang w:val="zh-CN"/>
        </w:rPr>
        <w:t>项目</w:t>
      </w:r>
      <w:r>
        <w:rPr>
          <w:rFonts w:hint="eastAsia" w:ascii="仿宋_GB2312" w:hAnsi="微软雅黑" w:eastAsia="仿宋_GB2312" w:cs="仿宋_GB2312"/>
          <w:sz w:val="31"/>
          <w:szCs w:val="31"/>
        </w:rPr>
        <w:t>按照</w:t>
      </w:r>
      <w:r>
        <w:rPr>
          <w:rFonts w:hint="eastAsia" w:ascii="仿宋_GB2312" w:hAnsi="微软雅黑" w:eastAsia="仿宋_GB2312" w:cs="仿宋_GB2312"/>
          <w:sz w:val="31"/>
          <w:szCs w:val="31"/>
          <w:lang w:val="en-US" w:eastAsia="zh-CN"/>
        </w:rPr>
        <w:t>园区</w:t>
      </w:r>
      <w:r>
        <w:rPr>
          <w:rFonts w:hint="eastAsia" w:ascii="仿宋_GB2312" w:hAnsi="微软雅黑" w:eastAsia="仿宋_GB2312" w:cs="仿宋_GB2312"/>
          <w:sz w:val="31"/>
          <w:szCs w:val="31"/>
        </w:rPr>
        <w:t>党</w:t>
      </w:r>
      <w:r>
        <w:rPr>
          <w:rFonts w:hint="eastAsia" w:ascii="仿宋_GB2312" w:hAnsi="微软雅黑" w:eastAsia="仿宋_GB2312" w:cs="仿宋_GB2312"/>
          <w:sz w:val="31"/>
          <w:szCs w:val="31"/>
          <w:lang w:val="en-US" w:eastAsia="zh-CN"/>
        </w:rPr>
        <w:t>工</w:t>
      </w:r>
      <w:r>
        <w:rPr>
          <w:rFonts w:hint="eastAsia" w:ascii="仿宋_GB2312" w:hAnsi="微软雅黑" w:eastAsia="仿宋_GB2312" w:cs="仿宋_GB2312"/>
          <w:sz w:val="31"/>
          <w:szCs w:val="31"/>
        </w:rPr>
        <w:t>委工作分工，将所有项目分解到相关班子成员，由分管领导具体负责项目实施。在项目资金发放工作中，建立了符合财务会计制度的</w:t>
      </w:r>
      <w:r>
        <w:rPr>
          <w:rFonts w:hint="eastAsia" w:ascii="仿宋_GB2312" w:hAnsi="微软雅黑" w:eastAsia="仿宋_GB2312" w:cs="仿宋_GB2312"/>
          <w:sz w:val="31"/>
          <w:szCs w:val="31"/>
          <w:lang w:val="zh-CN"/>
        </w:rPr>
        <w:t>防灾应急管理救助经费</w:t>
      </w:r>
      <w:r>
        <w:rPr>
          <w:rFonts w:hint="eastAsia" w:ascii="仿宋_GB2312" w:hAnsi="微软雅黑" w:eastAsia="仿宋_GB2312" w:cs="仿宋_GB2312"/>
          <w:sz w:val="31"/>
          <w:szCs w:val="31"/>
        </w:rPr>
        <w:t>项目资金管理制度，专项管理、拨付规范、发放及时。</w:t>
      </w:r>
    </w:p>
    <w:p w14:paraId="66BC851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3.项目实施：海龙凯歌园区成立了以</w:t>
      </w:r>
      <w:r>
        <w:rPr>
          <w:rFonts w:hint="eastAsia" w:ascii="仿宋_GB2312" w:hAnsi="微软雅黑" w:eastAsia="仿宋_GB2312" w:cs="仿宋_GB2312"/>
          <w:sz w:val="31"/>
          <w:szCs w:val="31"/>
          <w:lang w:val="en-US" w:eastAsia="zh-CN"/>
        </w:rPr>
        <w:t>园区管委会</w:t>
      </w:r>
      <w:r>
        <w:rPr>
          <w:rFonts w:hint="eastAsia" w:ascii="仿宋_GB2312" w:hAnsi="微软雅黑" w:eastAsia="仿宋_GB2312" w:cs="仿宋_GB2312"/>
          <w:sz w:val="31"/>
          <w:szCs w:val="31"/>
        </w:rPr>
        <w:t>主任为组长，班子成员为成员的海龙凯歌国庆营销活动经费领导小组，统筹推进各项国庆营销活动工作。</w:t>
      </w:r>
    </w:p>
    <w:p w14:paraId="3CBEF86B">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4.项目结果：项目目标明确、资金到位率高、组织监管体系完善。海龙凯歌国庆营销活动经费项目资金较好地实现了绩效目标。自评得分100分。</w:t>
      </w:r>
    </w:p>
    <w:p w14:paraId="023117D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（二）专用指标绩效分析</w:t>
      </w:r>
    </w:p>
    <w:p w14:paraId="5FE6F92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行政运转。根据对海龙凯歌国庆营销活动经费项目进行项目绩效目标进行自评，对该项目专项资金进行绩效分析，该项目资金使用合规合法。</w:t>
      </w:r>
    </w:p>
    <w:p w14:paraId="55B9260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（三）个性指标绩效分析</w:t>
      </w:r>
    </w:p>
    <w:p w14:paraId="1C25CC30">
      <w:pPr>
        <w:adjustRightInd w:val="0"/>
        <w:snapToGrid w:val="0"/>
        <w:spacing w:line="576" w:lineRule="exact"/>
        <w:ind w:firstLine="1240" w:firstLineChars="4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质量指标：活动产与度</w:t>
      </w:r>
    </w:p>
    <w:p w14:paraId="00CE4BF0">
      <w:pPr>
        <w:adjustRightInd w:val="0"/>
        <w:snapToGrid w:val="0"/>
        <w:spacing w:line="576" w:lineRule="exact"/>
        <w:ind w:firstLine="1240" w:firstLineChars="4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社会效益指标：</w:t>
      </w:r>
      <w:r>
        <w:rPr>
          <w:rFonts w:hint="eastAsia" w:ascii="仿宋_GB2312" w:hAnsi="微软雅黑" w:eastAsia="仿宋_GB2312" w:cs="仿宋_GB2312"/>
          <w:sz w:val="31"/>
          <w:szCs w:val="31"/>
          <w:lang w:val="zh-CN"/>
        </w:rPr>
        <w:t>社会影响力</w:t>
      </w:r>
      <w:r>
        <w:rPr>
          <w:rFonts w:hint="eastAsia" w:ascii="仿宋_GB2312" w:hAnsi="微软雅黑" w:eastAsia="仿宋_GB2312" w:cs="仿宋_GB2312"/>
          <w:sz w:val="31"/>
          <w:szCs w:val="31"/>
        </w:rPr>
        <w:t>。</w:t>
      </w:r>
    </w:p>
    <w:p w14:paraId="4C2B8208">
      <w:pPr>
        <w:adjustRightInd w:val="0"/>
        <w:snapToGrid w:val="0"/>
        <w:spacing w:line="576" w:lineRule="exact"/>
        <w:ind w:firstLine="1240" w:firstLineChars="4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满意度指标：客户满意度。</w:t>
      </w:r>
    </w:p>
    <w:p w14:paraId="0367B45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四、评价结论</w:t>
      </w:r>
    </w:p>
    <w:p w14:paraId="5F08E7F7">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总体上看，项目目标明确、资金到位率高、组织监管体系完善。我园区对海龙凯歌国庆营销活动经费项目资金较好地实现了绩效目标。自评得分100分。</w:t>
      </w:r>
    </w:p>
    <w:p w14:paraId="191C4A6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五、存在主要问题</w:t>
      </w:r>
    </w:p>
    <w:p w14:paraId="6BF8CAB1">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在实际执行过程中，可能存在经费使用不规范的情况,对经费使用的监管可能存在不足，导致资金使用的效率和效果受到影响。</w:t>
      </w:r>
    </w:p>
    <w:p w14:paraId="7880FB7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六、改进建议</w:t>
      </w:r>
    </w:p>
    <w:p w14:paraId="193EDDED">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争取节约工作经费，全面开展好工作，不断提高工作科学化、规范化、法治化水平。</w:t>
      </w:r>
    </w:p>
    <w:p w14:paraId="0DAC0B6C">
      <w:pPr>
        <w:snapToGrid w:val="0"/>
        <w:spacing w:line="576" w:lineRule="exact"/>
        <w:ind w:firstLine="640" w:firstLineChars="200"/>
        <w:jc w:val="left"/>
        <w:rPr>
          <w:rFonts w:ascii="仿宋_GB2312" w:hAnsi="仿宋_GB2312" w:eastAsia="仿宋_GB2312" w:cs="仿宋_GB2312"/>
          <w:sz w:val="32"/>
          <w:szCs w:val="32"/>
        </w:rPr>
      </w:pPr>
    </w:p>
    <w:p w14:paraId="4A5FD96E">
      <w:pPr>
        <w:pStyle w:val="3"/>
        <w:ind w:left="420"/>
      </w:pPr>
    </w:p>
    <w:p w14:paraId="024EFF26">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rPr>
        <w:t>部门预算项目支出</w:t>
      </w:r>
      <w:r>
        <w:rPr>
          <w:rFonts w:hint="eastAsia" w:ascii="仿宋_GB2312" w:hAnsi="宋体" w:eastAsia="仿宋_GB2312"/>
          <w:b/>
          <w:color w:val="000000"/>
          <w:kern w:val="0"/>
          <w:sz w:val="44"/>
          <w:szCs w:val="44"/>
          <w:lang w:val="zh-CN"/>
        </w:rPr>
        <w:t>绩效自评报告</w:t>
      </w:r>
    </w:p>
    <w:p w14:paraId="7322A356">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lang w:val="zh-CN"/>
        </w:rPr>
        <w:t>（文旅园区产业招引产业补助项目）</w:t>
      </w:r>
    </w:p>
    <w:p w14:paraId="159386E9">
      <w:pPr>
        <w:snapToGrid w:val="0"/>
        <w:spacing w:line="576" w:lineRule="exact"/>
        <w:jc w:val="left"/>
        <w:rPr>
          <w:b/>
        </w:rPr>
      </w:pPr>
    </w:p>
    <w:p w14:paraId="47142574">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一、项目概况</w:t>
      </w:r>
    </w:p>
    <w:p w14:paraId="544357D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（一）设立背景及基本情况</w:t>
      </w:r>
    </w:p>
    <w:p w14:paraId="6F402CA7">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产业招引的设立背景是基于经济发展需求、产业结构优化、创新驱动发展和区域协同发展的需要。而产业招引的基本情况则包括政府主导、多部门协同、目标明确、机制完善以及实践案例等方面。</w:t>
      </w:r>
    </w:p>
    <w:p w14:paraId="46E567E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（二）实施目的及支持方向</w:t>
      </w:r>
    </w:p>
    <w:p w14:paraId="1C97936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Fonts w:hint="eastAsia" w:ascii="仿宋_GB2312" w:hAnsi="微软雅黑" w:eastAsia="仿宋_GB2312" w:cs="仿宋_GB2312"/>
          <w:b/>
          <w:sz w:val="31"/>
          <w:szCs w:val="31"/>
        </w:rPr>
        <w:t>实施目的：</w:t>
      </w:r>
      <w:r>
        <w:rPr>
          <w:rFonts w:hint="eastAsia" w:ascii="仿宋_GB2312" w:hAnsi="微软雅黑" w:eastAsia="仿宋_GB2312" w:cs="仿宋_GB2312"/>
          <w:sz w:val="31"/>
          <w:szCs w:val="31"/>
        </w:rPr>
        <w:t>提升竞争力：通过引进龙头企业和核心项目，形成产业集群效应，提升地区产业的整体竞争力和市场影响力。推动创新发展：吸引创新型企业和高层次人才，促进技术创新和成果转化，为地区经济发展注入新动能。</w:t>
      </w:r>
    </w:p>
    <w:p w14:paraId="53E0F8F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b/>
          <w:sz w:val="31"/>
          <w:szCs w:val="31"/>
        </w:rPr>
        <w:t>2支持方向：</w:t>
      </w:r>
      <w:r>
        <w:rPr>
          <w:rFonts w:hint="eastAsia" w:ascii="仿宋_GB2312" w:hAnsi="微软雅黑" w:eastAsia="仿宋_GB2312" w:cs="仿宋_GB2312"/>
          <w:sz w:val="31"/>
          <w:szCs w:val="31"/>
        </w:rPr>
        <w:t>鼓励和支持传统产业通过技术改造、产业升级等方式实现转型升级，提升传统产业的竞争力和附加值。为初创企业和创新创业项目提供政策支持和资金扶持，激发创新创业活力，培育新的经济增长点</w:t>
      </w:r>
    </w:p>
    <w:p w14:paraId="11E46314">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（三）预算安排及分配管理</w:t>
      </w:r>
    </w:p>
    <w:p w14:paraId="0EFD021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文旅园区产业招引产业补助项目2023年初预算</w:t>
      </w:r>
      <w:r>
        <w:rPr>
          <w:rFonts w:ascii="仿宋_GB2312" w:hAnsi="微软雅黑" w:eastAsia="仿宋_GB2312" w:cs="仿宋_GB2312"/>
          <w:sz w:val="31"/>
          <w:szCs w:val="31"/>
        </w:rPr>
        <w:t>20</w:t>
      </w:r>
      <w:r>
        <w:rPr>
          <w:rFonts w:hint="eastAsia" w:ascii="仿宋_GB2312" w:hAnsi="微软雅黑" w:eastAsia="仿宋_GB2312" w:cs="仿宋_GB2312"/>
          <w:sz w:val="31"/>
          <w:szCs w:val="31"/>
        </w:rPr>
        <w:t>万元 ，预算批复</w:t>
      </w:r>
      <w:r>
        <w:rPr>
          <w:rFonts w:ascii="仿宋_GB2312" w:hAnsi="微软雅黑" w:eastAsia="仿宋_GB2312" w:cs="仿宋_GB2312"/>
          <w:sz w:val="31"/>
          <w:szCs w:val="31"/>
        </w:rPr>
        <w:t>20</w:t>
      </w:r>
      <w:r>
        <w:rPr>
          <w:rFonts w:hint="eastAsia" w:ascii="仿宋_GB2312" w:hAnsi="微软雅黑" w:eastAsia="仿宋_GB2312" w:cs="仿宋_GB2312"/>
          <w:sz w:val="31"/>
          <w:szCs w:val="31"/>
        </w:rPr>
        <w:t>万元。资金主要用于招商引资等费用。</w:t>
      </w:r>
    </w:p>
    <w:p w14:paraId="7038A8DD">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（四）项目绩效目标设置</w:t>
      </w:r>
    </w:p>
    <w:p w14:paraId="69B7042B">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主要是将围绕“全过程、全方位、全覆盖”预算绩效管理体系，保证全面完成各项目标。按工作安排完成文旅园区产业招引活动各项工作任务,为海龙凯歌国庆营销活动依法履行职责提供财力的保证。</w:t>
      </w:r>
    </w:p>
    <w:p w14:paraId="08D4C91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二、评价实施</w:t>
      </w:r>
    </w:p>
    <w:p w14:paraId="119C391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（一）评价目的</w:t>
      </w:r>
    </w:p>
    <w:p w14:paraId="02629EE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对文旅园区产业招引产业补助项目专项资金的绩效评价，了解文旅园区产业招引产业补助经费项目的资金来源、使用和管理情况、项目组织和实施情况，检验项目投入是否达到预期目标，总结经验，分析问题，强化项目资金管理，进一步提升预算项目资金使用成效。</w:t>
      </w:r>
    </w:p>
    <w:p w14:paraId="2B4FFAA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（二）预设问题及评价重点</w:t>
      </w:r>
    </w:p>
    <w:p w14:paraId="649F806D">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通过项目绩效自评对文旅园区产业招引产业补助经费自评按照绩效评价指标体系，对资金支出使用全过程及其实施效果进行综合评价和判断。</w:t>
      </w:r>
    </w:p>
    <w:p w14:paraId="11CB7FCB">
      <w:pPr>
        <w:adjustRightInd w:val="0"/>
        <w:snapToGrid w:val="0"/>
        <w:spacing w:line="576" w:lineRule="exact"/>
        <w:ind w:firstLine="720"/>
        <w:jc w:val="left"/>
        <w:rPr>
          <w:rFonts w:ascii="仿宋_GB2312" w:hAnsi="微软雅黑" w:eastAsia="仿宋_GB2312" w:cs="仿宋_GB2312"/>
          <w:b/>
          <w:sz w:val="31"/>
          <w:szCs w:val="31"/>
          <w:highlight w:val="green"/>
        </w:rPr>
      </w:pPr>
      <w:r>
        <w:rPr>
          <w:rFonts w:hint="eastAsia" w:ascii="仿宋_GB2312" w:hAnsi="微软雅黑" w:eastAsia="仿宋_GB2312" w:cs="仿宋_GB2312"/>
          <w:b/>
          <w:sz w:val="31"/>
          <w:szCs w:val="31"/>
        </w:rPr>
        <w:t>（三）评价选点</w:t>
      </w:r>
    </w:p>
    <w:p w14:paraId="4721FAD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产业招引产业补助活动</w:t>
      </w:r>
      <w:r>
        <w:rPr>
          <w:rFonts w:hint="eastAsia" w:ascii="仿宋_GB2312" w:hAnsi="微软雅黑" w:eastAsia="仿宋_GB2312" w:cs="仿宋_GB2312"/>
          <w:sz w:val="31"/>
          <w:szCs w:val="31"/>
          <w:lang w:val="zh-CN"/>
        </w:rPr>
        <w:t>的评价选点应当围绕经费的使用效率、效果以及合规性等方面开展。</w:t>
      </w:r>
    </w:p>
    <w:p w14:paraId="1DFCA9D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（四）评价方法</w:t>
      </w:r>
    </w:p>
    <w:p w14:paraId="7364848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本次绩效评价采用了成本效益比较法、单位自评法、实地勘察法、问卷调查法、座谈调研法等多种方法。</w:t>
      </w:r>
    </w:p>
    <w:p w14:paraId="15F403DA">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（五）评价组织。</w:t>
      </w:r>
    </w:p>
    <w:p w14:paraId="00820E2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党工委书记：项目决策及资金使用管理情况</w:t>
      </w:r>
    </w:p>
    <w:p w14:paraId="0A3A61AB">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管委会主任：绩效评价工作‌</w:t>
      </w:r>
    </w:p>
    <w:p w14:paraId="65E967B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管委会副主任：监督检查本次项目自评工作</w:t>
      </w:r>
    </w:p>
    <w:p w14:paraId="71C1026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财务人员：专项资金的管理和使用‌</w:t>
      </w:r>
    </w:p>
    <w:p w14:paraId="743D395C">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三、绩效分析</w:t>
      </w:r>
      <w:r>
        <w:rPr>
          <w:rFonts w:hint="eastAsia" w:ascii="仿宋_GB2312" w:hAnsi="微软雅黑" w:eastAsia="仿宋_GB2312" w:cs="仿宋_GB2312"/>
          <w:b/>
          <w:sz w:val="31"/>
          <w:szCs w:val="31"/>
        </w:rPr>
        <w:tab/>
      </w:r>
    </w:p>
    <w:p w14:paraId="7310CFDC">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（一）通用指标绩效分析</w:t>
      </w:r>
    </w:p>
    <w:p w14:paraId="6C9133A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1.项目决策：文旅园区产业招引产业补助活动经费项目为延续性项目，已在年初进行项目绩效目标申报，项目规划合理，年度绩效目标与中长期规划一致。资金管理办法健全完善。</w:t>
      </w:r>
    </w:p>
    <w:p w14:paraId="0AEA935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2.项目管理：为使项目如期完成，结合海龙凯歌园区实际情况，对。文旅园区产业招引产业补助活动经费</w:t>
      </w:r>
      <w:r>
        <w:rPr>
          <w:rFonts w:hint="eastAsia" w:ascii="仿宋_GB2312" w:hAnsi="微软雅黑" w:eastAsia="仿宋_GB2312" w:cs="仿宋_GB2312"/>
          <w:sz w:val="31"/>
          <w:szCs w:val="31"/>
          <w:lang w:val="zh-CN"/>
        </w:rPr>
        <w:t>项目</w:t>
      </w:r>
      <w:r>
        <w:rPr>
          <w:rFonts w:hint="eastAsia" w:ascii="仿宋_GB2312" w:hAnsi="微软雅黑" w:eastAsia="仿宋_GB2312" w:cs="仿宋_GB2312"/>
          <w:sz w:val="31"/>
          <w:szCs w:val="31"/>
        </w:rPr>
        <w:t>按照</w:t>
      </w:r>
      <w:r>
        <w:rPr>
          <w:rFonts w:hint="eastAsia" w:ascii="仿宋_GB2312" w:hAnsi="微软雅黑" w:eastAsia="仿宋_GB2312" w:cs="仿宋_GB2312"/>
          <w:sz w:val="31"/>
          <w:szCs w:val="31"/>
          <w:lang w:val="en-US" w:eastAsia="zh-CN"/>
        </w:rPr>
        <w:t>园区党工委</w:t>
      </w:r>
      <w:r>
        <w:rPr>
          <w:rFonts w:hint="eastAsia" w:ascii="仿宋_GB2312" w:hAnsi="微软雅黑" w:eastAsia="仿宋_GB2312" w:cs="仿宋_GB2312"/>
          <w:sz w:val="31"/>
          <w:szCs w:val="31"/>
        </w:rPr>
        <w:t>工作分工，将所有项目分解到相关班子成员，由分管领导具体负责项目实施。在项目资金发放工作中，建立了符合财务会计制度的</w:t>
      </w:r>
      <w:r>
        <w:rPr>
          <w:rFonts w:hint="eastAsia" w:ascii="仿宋_GB2312" w:hAnsi="微软雅黑" w:eastAsia="仿宋_GB2312" w:cs="仿宋_GB2312"/>
          <w:sz w:val="31"/>
          <w:szCs w:val="31"/>
          <w:lang w:val="zh-CN"/>
        </w:rPr>
        <w:t>防灾应急管理救助经费</w:t>
      </w:r>
      <w:r>
        <w:rPr>
          <w:rFonts w:hint="eastAsia" w:ascii="仿宋_GB2312" w:hAnsi="微软雅黑" w:eastAsia="仿宋_GB2312" w:cs="仿宋_GB2312"/>
          <w:sz w:val="31"/>
          <w:szCs w:val="31"/>
        </w:rPr>
        <w:t>项目资金管理制度，专项管理、拨付规范、发放及时。</w:t>
      </w:r>
    </w:p>
    <w:p w14:paraId="2995836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3.项目实施：海龙凯歌园区成立了以</w:t>
      </w:r>
      <w:r>
        <w:rPr>
          <w:rFonts w:hint="eastAsia" w:ascii="仿宋_GB2312" w:hAnsi="微软雅黑" w:eastAsia="仿宋_GB2312" w:cs="仿宋_GB2312"/>
          <w:sz w:val="31"/>
          <w:szCs w:val="31"/>
          <w:lang w:val="en-US" w:eastAsia="zh-CN"/>
        </w:rPr>
        <w:t>园区管委会</w:t>
      </w:r>
      <w:r>
        <w:rPr>
          <w:rFonts w:hint="eastAsia" w:ascii="仿宋_GB2312" w:hAnsi="微软雅黑" w:eastAsia="仿宋_GB2312" w:cs="仿宋_GB2312"/>
          <w:sz w:val="31"/>
          <w:szCs w:val="31"/>
        </w:rPr>
        <w:t>主任为组长，</w:t>
      </w:r>
      <w:r>
        <w:rPr>
          <w:rFonts w:hint="eastAsia" w:ascii="仿宋_GB2312" w:hAnsi="微软雅黑" w:eastAsia="仿宋_GB2312" w:cs="仿宋_GB2312"/>
          <w:sz w:val="31"/>
          <w:szCs w:val="31"/>
          <w:lang w:val="en-US" w:eastAsia="zh-CN"/>
        </w:rPr>
        <w:t>党工委</w:t>
      </w:r>
      <w:r>
        <w:rPr>
          <w:rFonts w:hint="eastAsia" w:ascii="仿宋_GB2312" w:hAnsi="微软雅黑" w:eastAsia="仿宋_GB2312" w:cs="仿宋_GB2312"/>
          <w:sz w:val="31"/>
          <w:szCs w:val="31"/>
        </w:rPr>
        <w:t>班子</w:t>
      </w:r>
      <w:r>
        <w:rPr>
          <w:rFonts w:hint="eastAsia" w:ascii="仿宋_GB2312" w:hAnsi="微软雅黑" w:eastAsia="仿宋_GB2312" w:cs="仿宋_GB2312"/>
          <w:sz w:val="31"/>
          <w:szCs w:val="31"/>
          <w:lang w:val="en-US" w:eastAsia="zh-CN"/>
        </w:rPr>
        <w:t>为</w:t>
      </w:r>
      <w:r>
        <w:rPr>
          <w:rFonts w:hint="eastAsia" w:ascii="仿宋_GB2312" w:hAnsi="微软雅黑" w:eastAsia="仿宋_GB2312" w:cs="仿宋_GB2312"/>
          <w:sz w:val="31"/>
          <w:szCs w:val="31"/>
        </w:rPr>
        <w:t>成员</w:t>
      </w:r>
      <w:r>
        <w:rPr>
          <w:rFonts w:hint="eastAsia" w:ascii="仿宋_GB2312" w:hAnsi="微软雅黑" w:eastAsia="仿宋_GB2312" w:cs="仿宋_GB2312"/>
          <w:sz w:val="31"/>
          <w:szCs w:val="31"/>
          <w:lang w:val="en-US" w:eastAsia="zh-CN"/>
        </w:rPr>
        <w:t>的</w:t>
      </w:r>
      <w:r>
        <w:rPr>
          <w:rFonts w:hint="eastAsia" w:ascii="仿宋_GB2312" w:hAnsi="微软雅黑" w:eastAsia="仿宋_GB2312" w:cs="仿宋_GB2312"/>
          <w:sz w:val="31"/>
          <w:szCs w:val="31"/>
        </w:rPr>
        <w:t>文旅园区产业招引领导小组，统筹推进各项产业招引活动工作。</w:t>
      </w:r>
    </w:p>
    <w:p w14:paraId="31AD6AB9">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4.项目结果：项目目标明确、资金到位率高、组织监管体系完善。文旅园区产业招引产业补助经费项目资金较好地实现了绩效目标。自评得分100分。</w:t>
      </w:r>
    </w:p>
    <w:p w14:paraId="02E66D74">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（二）专用指标绩效分析</w:t>
      </w:r>
    </w:p>
    <w:p w14:paraId="1C880D46">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行政运转。根据对文旅园区产业招引产业补助经费项目进行项目绩效目标进行自评，对该项目专项资金进行绩效分析，该项目资金使用合规合法。</w:t>
      </w:r>
    </w:p>
    <w:p w14:paraId="4EE6EB4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（三）个性指标绩效分析</w:t>
      </w:r>
    </w:p>
    <w:p w14:paraId="052B785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质量指标：企业入住率</w:t>
      </w:r>
    </w:p>
    <w:p w14:paraId="5324D9C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社会效益指标：</w:t>
      </w:r>
      <w:r>
        <w:rPr>
          <w:rFonts w:hint="eastAsia" w:ascii="仿宋_GB2312" w:hAnsi="微软雅黑" w:eastAsia="仿宋_GB2312" w:cs="仿宋_GB2312"/>
          <w:sz w:val="31"/>
          <w:szCs w:val="31"/>
          <w:lang w:val="zh-CN"/>
        </w:rPr>
        <w:t>促进社会资本参与旅游项目开发政策</w:t>
      </w:r>
      <w:r>
        <w:rPr>
          <w:rFonts w:hint="eastAsia" w:ascii="仿宋_GB2312" w:hAnsi="微软雅黑" w:eastAsia="仿宋_GB2312" w:cs="仿宋_GB2312"/>
          <w:sz w:val="31"/>
          <w:szCs w:val="31"/>
        </w:rPr>
        <w:t>。</w:t>
      </w:r>
    </w:p>
    <w:p w14:paraId="2201B95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满意度指标：村民满意程度得到提高。</w:t>
      </w:r>
    </w:p>
    <w:p w14:paraId="36BE2E7F">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四、评价结论</w:t>
      </w:r>
    </w:p>
    <w:p w14:paraId="5C61B209">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总体上看，项目目标明确、资金到位率高、组织监管体系完善。我园区对文旅园区产业招引产业补助经费项目资金较好地实现了绩效目标。自评得分100分。</w:t>
      </w:r>
    </w:p>
    <w:p w14:paraId="0A1B872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五、存在主要问题</w:t>
      </w:r>
    </w:p>
    <w:p w14:paraId="5A5CB850">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在实际执行过程中，可能存在经费使用不规范的情况,对经费使用的监管可能存在不足，导致资金使用的效率和效果受到影响。</w:t>
      </w:r>
    </w:p>
    <w:p w14:paraId="510580A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六、改进建议</w:t>
      </w:r>
    </w:p>
    <w:p w14:paraId="7DA38488">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争取节约工作经费，全面开展好工作，不断提高工作科学化、规范化、法治化水平。</w:t>
      </w:r>
    </w:p>
    <w:p w14:paraId="50A563D0">
      <w:pPr>
        <w:pStyle w:val="2"/>
      </w:pPr>
    </w:p>
    <w:p w14:paraId="31AB540C">
      <w:pPr>
        <w:pStyle w:val="3"/>
        <w:ind w:left="420"/>
      </w:pPr>
    </w:p>
    <w:p w14:paraId="58AEBABD">
      <w:pPr>
        <w:pStyle w:val="3"/>
        <w:ind w:left="420"/>
        <w:rPr>
          <w:rFonts w:hint="eastAsia"/>
        </w:rPr>
      </w:pPr>
    </w:p>
    <w:bookmarkEnd w:id="41"/>
    <w:p w14:paraId="639003FC">
      <w:pPr>
        <w:spacing w:line="576" w:lineRule="exact"/>
        <w:jc w:val="center"/>
        <w:rPr>
          <w:rFonts w:ascii="仿宋_GB2312" w:hAnsi="宋体" w:eastAsia="仿宋_GB2312"/>
          <w:b/>
          <w:color w:val="000000"/>
          <w:kern w:val="0"/>
          <w:sz w:val="44"/>
          <w:szCs w:val="44"/>
          <w:lang w:val="zh-CN"/>
        </w:rPr>
      </w:pPr>
      <w:bookmarkStart w:id="43" w:name="_Toc15396618"/>
      <w:r>
        <w:rPr>
          <w:rFonts w:hint="eastAsia" w:ascii="仿宋_GB2312" w:hAnsi="宋体" w:eastAsia="仿宋_GB2312"/>
          <w:b/>
          <w:color w:val="000000"/>
          <w:kern w:val="0"/>
          <w:sz w:val="44"/>
          <w:szCs w:val="44"/>
        </w:rPr>
        <w:t>部门预算项目支出</w:t>
      </w:r>
      <w:r>
        <w:rPr>
          <w:rFonts w:hint="eastAsia" w:ascii="仿宋_GB2312" w:hAnsi="宋体" w:eastAsia="仿宋_GB2312"/>
          <w:b/>
          <w:color w:val="000000"/>
          <w:kern w:val="0"/>
          <w:sz w:val="44"/>
          <w:szCs w:val="44"/>
          <w:lang w:val="zh-CN"/>
        </w:rPr>
        <w:t>绩效自评报告</w:t>
      </w:r>
    </w:p>
    <w:p w14:paraId="190CB69C">
      <w:pPr>
        <w:spacing w:line="576" w:lineRule="exact"/>
        <w:jc w:val="center"/>
        <w:rPr>
          <w:rFonts w:hint="eastAsia"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lang w:val="zh-CN"/>
        </w:rPr>
        <w:t>（文旅园区宣传营销项目）</w:t>
      </w:r>
    </w:p>
    <w:p w14:paraId="34253F4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一、项目概况</w:t>
      </w:r>
    </w:p>
    <w:p w14:paraId="50DDAC7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（一）设立背景及基本情况</w:t>
      </w:r>
    </w:p>
    <w:p w14:paraId="0051E371">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文旅园区通常集文化、旅游、休闲、娱乐等多种功能于一体，拥有独特的文化资源和自然景观，是展示地方文化和历史的重要窗口。园区内设有各类文化展览、演艺活动、体验项目等，旨在满足游客的多元化需求。</w:t>
      </w:r>
    </w:p>
    <w:p w14:paraId="06ECD192">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（二）实施目的及支持方向</w:t>
      </w:r>
    </w:p>
    <w:p w14:paraId="244C9E5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Fonts w:hint="eastAsia" w:ascii="仿宋_GB2312" w:hAnsi="微软雅黑" w:eastAsia="仿宋_GB2312" w:cs="仿宋_GB2312"/>
          <w:b/>
          <w:sz w:val="31"/>
          <w:szCs w:val="31"/>
        </w:rPr>
        <w:t>实施目的：</w:t>
      </w:r>
      <w:r>
        <w:rPr>
          <w:rFonts w:hint="eastAsia" w:ascii="仿宋_GB2312" w:hAnsi="微软雅黑" w:eastAsia="仿宋_GB2312" w:cs="仿宋_GB2312"/>
          <w:sz w:val="31"/>
          <w:szCs w:val="31"/>
        </w:rPr>
        <w:t>通过精准有效的宣传营销活动，提升文旅园区的品牌知名度和美誉度，使更多潜在游客对园区产生兴趣并愿意前来体验。借助多元化的宣传渠道和创新的营销策略，吸引更多游客到文旅园区游览，增加游客数量和游览频次，从而提升园区的经济效益。</w:t>
      </w:r>
    </w:p>
    <w:p w14:paraId="1631611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b/>
          <w:sz w:val="31"/>
          <w:szCs w:val="31"/>
        </w:rPr>
        <w:t>2支持方向：</w:t>
      </w:r>
      <w:r>
        <w:rPr>
          <w:rFonts w:hint="eastAsia" w:ascii="仿宋_GB2312" w:hAnsi="微软雅黑" w:eastAsia="仿宋_GB2312" w:cs="仿宋_GB2312"/>
          <w:sz w:val="31"/>
          <w:szCs w:val="31"/>
        </w:rPr>
        <w:t>深入挖掘园区的文化内涵和历史故事，打造具有独特性和吸引力的文化IP。根据市场需求和游客喜好，不断创新旅游产品和服务形式，如研学旅行、沉浸式体验等。</w:t>
      </w:r>
    </w:p>
    <w:p w14:paraId="57402D20">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（三）预算安排及分配管理</w:t>
      </w:r>
    </w:p>
    <w:p w14:paraId="18145C84">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文旅园区宣传营销项目2023年初预算</w:t>
      </w:r>
      <w:r>
        <w:rPr>
          <w:rFonts w:ascii="仿宋_GB2312" w:hAnsi="微软雅黑" w:eastAsia="仿宋_GB2312" w:cs="仿宋_GB2312"/>
          <w:sz w:val="31"/>
          <w:szCs w:val="31"/>
        </w:rPr>
        <w:t>5</w:t>
      </w:r>
      <w:r>
        <w:rPr>
          <w:rFonts w:hint="eastAsia" w:ascii="仿宋_GB2312" w:hAnsi="微软雅黑" w:eastAsia="仿宋_GB2312" w:cs="仿宋_GB2312"/>
          <w:sz w:val="31"/>
          <w:szCs w:val="31"/>
        </w:rPr>
        <w:t>万元 ，预算批复</w:t>
      </w:r>
      <w:r>
        <w:rPr>
          <w:rFonts w:ascii="仿宋_GB2312" w:hAnsi="微软雅黑" w:eastAsia="仿宋_GB2312" w:cs="仿宋_GB2312"/>
          <w:sz w:val="31"/>
          <w:szCs w:val="31"/>
        </w:rPr>
        <w:t>5</w:t>
      </w:r>
      <w:r>
        <w:rPr>
          <w:rFonts w:hint="eastAsia" w:ascii="仿宋_GB2312" w:hAnsi="微软雅黑" w:eastAsia="仿宋_GB2312" w:cs="仿宋_GB2312"/>
          <w:sz w:val="31"/>
          <w:szCs w:val="31"/>
        </w:rPr>
        <w:t>万元。资金主要用于提升知名度，扩大营销等费用。</w:t>
      </w:r>
    </w:p>
    <w:p w14:paraId="31B57B0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（四）项目绩效目标设置</w:t>
      </w:r>
    </w:p>
    <w:p w14:paraId="2E6AD95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主要是将围绕“全过程、全方位、全覆盖”预算绩效管理体系，保证全面完成各项目标。按工作安排完成文旅园区宣传营销活动各项工作任务,为海龙凯歌文旅园区宣传营销提供财力的保证。</w:t>
      </w:r>
    </w:p>
    <w:p w14:paraId="5DFDFC3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二、评价实施</w:t>
      </w:r>
    </w:p>
    <w:p w14:paraId="0CB0D74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（一）评价目的</w:t>
      </w:r>
    </w:p>
    <w:p w14:paraId="45DAFC73">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对文旅园区宣传营销专项资金的绩效评价，了解文旅园区宣传营销补助经费项目的资金来源、使用和管理情况、项目组织和实施情况，检验项目投入是否达到预期目标，总结经验，分析问题，强化项目资金管理，进一步提升预算项目资金使用成效。</w:t>
      </w:r>
    </w:p>
    <w:p w14:paraId="73BFDB2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（二）预设问题及评价重点</w:t>
      </w:r>
    </w:p>
    <w:p w14:paraId="4085D6A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通过项目绩效自评对文旅园区宣传营销经费自评按照绩效评价指标体系，对资金支出使用全过程及其实施效果进行综合评价和判断。</w:t>
      </w:r>
    </w:p>
    <w:p w14:paraId="04392D48">
      <w:pPr>
        <w:adjustRightInd w:val="0"/>
        <w:snapToGrid w:val="0"/>
        <w:spacing w:line="576" w:lineRule="exact"/>
        <w:ind w:firstLine="720"/>
        <w:jc w:val="left"/>
        <w:rPr>
          <w:rFonts w:ascii="仿宋_GB2312" w:hAnsi="微软雅黑" w:eastAsia="仿宋_GB2312" w:cs="仿宋_GB2312"/>
          <w:b/>
          <w:sz w:val="31"/>
          <w:szCs w:val="31"/>
          <w:highlight w:val="green"/>
        </w:rPr>
      </w:pPr>
      <w:r>
        <w:rPr>
          <w:rFonts w:hint="eastAsia" w:ascii="仿宋_GB2312" w:hAnsi="微软雅黑" w:eastAsia="仿宋_GB2312" w:cs="仿宋_GB2312"/>
          <w:b/>
          <w:sz w:val="31"/>
          <w:szCs w:val="31"/>
        </w:rPr>
        <w:t>（三）评价选点</w:t>
      </w:r>
    </w:p>
    <w:p w14:paraId="7C2DBA8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文旅园区宣传营销经费</w:t>
      </w:r>
      <w:r>
        <w:rPr>
          <w:rFonts w:hint="eastAsia" w:ascii="仿宋_GB2312" w:hAnsi="微软雅黑" w:eastAsia="仿宋_GB2312" w:cs="仿宋_GB2312"/>
          <w:sz w:val="31"/>
          <w:szCs w:val="31"/>
          <w:lang w:val="zh-CN"/>
        </w:rPr>
        <w:t>的评价选点应当围绕经费的使用效率、效果以及合规性等方面开展。</w:t>
      </w:r>
    </w:p>
    <w:p w14:paraId="1C225C4A">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（四）评价方法</w:t>
      </w:r>
    </w:p>
    <w:p w14:paraId="158DCAA8">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本次绩效评价采用了成本效益比较法、单位自评法、实地勘察法、问卷调查法、座谈调研法等多种方法。</w:t>
      </w:r>
    </w:p>
    <w:p w14:paraId="3892470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（五）评价组织。</w:t>
      </w:r>
    </w:p>
    <w:p w14:paraId="31007CD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党工委书记：项目决策及资金使用管理情况</w:t>
      </w:r>
    </w:p>
    <w:p w14:paraId="717F340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管委会主任：绩效评价工作</w:t>
      </w:r>
      <w:r>
        <w:rPr>
          <w:rFonts w:hint="eastAsia" w:ascii="MS Gothic" w:hAnsi="MS Gothic" w:eastAsia="MS Gothic" w:cs="MS Gothic"/>
          <w:sz w:val="31"/>
          <w:szCs w:val="31"/>
        </w:rPr>
        <w:t>‌</w:t>
      </w:r>
    </w:p>
    <w:p w14:paraId="07B3F3DB">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管委会副主任：监督检查本次项目自评工作</w:t>
      </w:r>
    </w:p>
    <w:p w14:paraId="7C68F1AD">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财务人员：专项资金的管理和使用</w:t>
      </w:r>
      <w:r>
        <w:rPr>
          <w:rFonts w:hint="eastAsia" w:ascii="MS Gothic" w:hAnsi="MS Gothic" w:eastAsia="MS Gothic" w:cs="MS Gothic"/>
          <w:sz w:val="31"/>
          <w:szCs w:val="31"/>
        </w:rPr>
        <w:t>‌</w:t>
      </w:r>
    </w:p>
    <w:p w14:paraId="12B5413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三、绩效分析</w:t>
      </w:r>
      <w:r>
        <w:rPr>
          <w:rFonts w:hint="eastAsia" w:ascii="仿宋_GB2312" w:hAnsi="微软雅黑" w:eastAsia="仿宋_GB2312" w:cs="仿宋_GB2312"/>
          <w:b/>
          <w:sz w:val="31"/>
          <w:szCs w:val="31"/>
        </w:rPr>
        <w:tab/>
      </w:r>
    </w:p>
    <w:p w14:paraId="44EF7D3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（一）通用指标绩效分析</w:t>
      </w:r>
    </w:p>
    <w:p w14:paraId="050D802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1.项目决策：文旅园区宣传营销经费项目为延续性项目，已在年初进行项目绩效目标申报，项目规划合理，年度绩效目标与中长期规划一致。资金管理办法健全完善。</w:t>
      </w:r>
    </w:p>
    <w:p w14:paraId="3EBC80E6">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2.项目管理：为使项目如期完成，结合海龙凯歌园区实际情况，对。文旅园区宣传营销经费</w:t>
      </w:r>
      <w:r>
        <w:rPr>
          <w:rFonts w:hint="eastAsia" w:ascii="仿宋_GB2312" w:hAnsi="微软雅黑" w:eastAsia="仿宋_GB2312" w:cs="仿宋_GB2312"/>
          <w:sz w:val="31"/>
          <w:szCs w:val="31"/>
          <w:lang w:val="zh-CN"/>
        </w:rPr>
        <w:t>项目</w:t>
      </w:r>
      <w:r>
        <w:rPr>
          <w:rFonts w:hint="eastAsia" w:ascii="仿宋_GB2312" w:hAnsi="微软雅黑" w:eastAsia="仿宋_GB2312" w:cs="仿宋_GB2312"/>
          <w:sz w:val="31"/>
          <w:szCs w:val="31"/>
        </w:rPr>
        <w:t>按照</w:t>
      </w:r>
      <w:r>
        <w:rPr>
          <w:rFonts w:hint="eastAsia" w:ascii="仿宋_GB2312" w:hAnsi="微软雅黑" w:eastAsia="仿宋_GB2312" w:cs="仿宋_GB2312"/>
          <w:sz w:val="31"/>
          <w:szCs w:val="31"/>
          <w:lang w:val="en-US" w:eastAsia="zh-CN"/>
        </w:rPr>
        <w:t>园区</w:t>
      </w:r>
      <w:r>
        <w:rPr>
          <w:rFonts w:hint="eastAsia" w:ascii="仿宋_GB2312" w:hAnsi="微软雅黑" w:eastAsia="仿宋_GB2312" w:cs="仿宋_GB2312"/>
          <w:sz w:val="31"/>
          <w:szCs w:val="31"/>
        </w:rPr>
        <w:t>党</w:t>
      </w:r>
      <w:r>
        <w:rPr>
          <w:rFonts w:hint="eastAsia" w:ascii="仿宋_GB2312" w:hAnsi="微软雅黑" w:eastAsia="仿宋_GB2312" w:cs="仿宋_GB2312"/>
          <w:sz w:val="31"/>
          <w:szCs w:val="31"/>
          <w:lang w:val="en-US" w:eastAsia="zh-CN"/>
        </w:rPr>
        <w:t>工</w:t>
      </w:r>
      <w:r>
        <w:rPr>
          <w:rFonts w:hint="eastAsia" w:ascii="仿宋_GB2312" w:hAnsi="微软雅黑" w:eastAsia="仿宋_GB2312" w:cs="仿宋_GB2312"/>
          <w:sz w:val="31"/>
          <w:szCs w:val="31"/>
        </w:rPr>
        <w:t>委工作分工，将所有项目分解到相关班子成员，由分管领导具体负责项目实施。在项目资金发放工作中，建立了符合财务会计制度的</w:t>
      </w:r>
      <w:r>
        <w:rPr>
          <w:rFonts w:hint="eastAsia" w:ascii="仿宋_GB2312" w:hAnsi="微软雅黑" w:eastAsia="仿宋_GB2312" w:cs="仿宋_GB2312"/>
          <w:sz w:val="31"/>
          <w:szCs w:val="31"/>
          <w:lang w:val="zh-CN"/>
        </w:rPr>
        <w:t>防灾应急管理救助经费</w:t>
      </w:r>
      <w:r>
        <w:rPr>
          <w:rFonts w:hint="eastAsia" w:ascii="仿宋_GB2312" w:hAnsi="微软雅黑" w:eastAsia="仿宋_GB2312" w:cs="仿宋_GB2312"/>
          <w:sz w:val="31"/>
          <w:szCs w:val="31"/>
        </w:rPr>
        <w:t>项目资金管理制度，专项管理、拨付规范、发放及时。</w:t>
      </w:r>
    </w:p>
    <w:p w14:paraId="32ECB6A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3.项目实施：海龙凯歌园区成立了以园区管委会主任为组长，党工委班子为成员的文旅园区宣传营销领导小组，统筹推进各项产业招引活动工作。</w:t>
      </w:r>
    </w:p>
    <w:p w14:paraId="2DDFB40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4.项目结果：项目目标明确、资金到位率高、组织监管体系完善。文旅园区宣传营销经费项目资金较好地实现了绩效目标。自评得分100分。</w:t>
      </w:r>
    </w:p>
    <w:p w14:paraId="051B234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（二）专用指标绩效分析</w:t>
      </w:r>
    </w:p>
    <w:p w14:paraId="19F74D1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行政运转。根据对文旅园区宣传营销经费项目进行项目绩效目标进行自评，对该项目专项资金进行绩效分析，该项目资金使用合规合法。</w:t>
      </w:r>
    </w:p>
    <w:p w14:paraId="2C813AD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（三）个性指标绩效分析</w:t>
      </w:r>
    </w:p>
    <w:p w14:paraId="645663C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质量指标：资金支付准确率</w:t>
      </w:r>
    </w:p>
    <w:p w14:paraId="65089C0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可持续发展指标：</w:t>
      </w:r>
      <w:r>
        <w:rPr>
          <w:rFonts w:hint="eastAsia" w:ascii="仿宋_GB2312" w:hAnsi="微软雅黑" w:eastAsia="仿宋_GB2312" w:cs="仿宋_GB2312"/>
          <w:sz w:val="31"/>
          <w:szCs w:val="31"/>
          <w:lang w:val="zh-CN"/>
        </w:rPr>
        <w:t>拓宽文旅市场</w:t>
      </w:r>
      <w:r>
        <w:rPr>
          <w:rFonts w:hint="eastAsia" w:ascii="仿宋_GB2312" w:hAnsi="微软雅黑" w:eastAsia="仿宋_GB2312" w:cs="仿宋_GB2312"/>
          <w:sz w:val="31"/>
          <w:szCs w:val="31"/>
        </w:rPr>
        <w:t>。</w:t>
      </w:r>
    </w:p>
    <w:p w14:paraId="6FA402C6">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满意度指标：村民满意程度得到提高。</w:t>
      </w:r>
    </w:p>
    <w:p w14:paraId="246D633D">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四、评价结论</w:t>
      </w:r>
    </w:p>
    <w:p w14:paraId="1F51BB74">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总体上看，项目目标明确、资金到位率高、组织监管体系完善。我园区文旅园区宣传营销经费项目资金较好地实现了绩效目标。自评得分100分。</w:t>
      </w:r>
    </w:p>
    <w:p w14:paraId="61C3E4B0">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五、存在主要问题</w:t>
      </w:r>
    </w:p>
    <w:p w14:paraId="0C1D5816">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在实际执行过程中，可能存在经费使用不规范的情况,对经费使用的监管可能存在不足，导致资金使用的效率和效果受到影响。</w:t>
      </w:r>
    </w:p>
    <w:p w14:paraId="27FA7CC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六、改进建议</w:t>
      </w:r>
    </w:p>
    <w:p w14:paraId="79262BA9">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争取节约工作经费，全面开展好工作，不断提高工作科学化、规范化、法治化水平。</w:t>
      </w:r>
    </w:p>
    <w:p w14:paraId="15D892B2">
      <w:pPr>
        <w:snapToGrid w:val="0"/>
        <w:spacing w:line="576" w:lineRule="exact"/>
        <w:ind w:firstLine="640" w:firstLineChars="200"/>
        <w:jc w:val="left"/>
        <w:rPr>
          <w:rFonts w:ascii="仿宋_GB2312" w:hAnsi="仿宋_GB2312" w:eastAsia="仿宋_GB2312" w:cs="仿宋_GB2312"/>
          <w:sz w:val="32"/>
          <w:szCs w:val="32"/>
        </w:rPr>
      </w:pPr>
    </w:p>
    <w:p w14:paraId="180FC88A">
      <w:pPr>
        <w:pStyle w:val="15"/>
        <w:spacing w:line="576" w:lineRule="exact"/>
        <w:jc w:val="left"/>
      </w:pPr>
    </w:p>
    <w:p w14:paraId="2AE72664">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rPr>
        <w:t>部门预算项目支出</w:t>
      </w:r>
      <w:r>
        <w:rPr>
          <w:rFonts w:hint="eastAsia" w:ascii="仿宋_GB2312" w:hAnsi="宋体" w:eastAsia="仿宋_GB2312"/>
          <w:b/>
          <w:color w:val="000000"/>
          <w:kern w:val="0"/>
          <w:sz w:val="44"/>
          <w:szCs w:val="44"/>
          <w:lang w:val="zh-CN"/>
        </w:rPr>
        <w:t>绩效自评报告</w:t>
      </w:r>
    </w:p>
    <w:p w14:paraId="2F6B07D3">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lang w:val="zh-CN"/>
        </w:rPr>
        <w:t>（省星级现代农业园区创建升星经费项目）</w:t>
      </w:r>
    </w:p>
    <w:p w14:paraId="78DD5A65">
      <w:pPr>
        <w:snapToGrid w:val="0"/>
        <w:spacing w:line="576" w:lineRule="exact"/>
        <w:jc w:val="center"/>
        <w:rPr>
          <w:rFonts w:ascii="仿宋_GB2312" w:eastAsia="仿宋_GB2312"/>
          <w:b/>
        </w:rPr>
      </w:pPr>
    </w:p>
    <w:p w14:paraId="63EE213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一、项目概况</w:t>
      </w:r>
    </w:p>
    <w:p w14:paraId="752B39D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（一）设立背景及基本情况。</w:t>
      </w:r>
    </w:p>
    <w:p w14:paraId="0839BED8">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随着全球化的加速和国际间经济合作的深化，消费者对高品质、国际化的产品和服务需求日益增长。为了满足这一市场需求，海龙凯歌决定加大市场的营销力度，提升品牌知名度和市场份额。</w:t>
      </w:r>
    </w:p>
    <w:p w14:paraId="7FF59E9F">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（二）实施目的及支持方向。</w:t>
      </w:r>
    </w:p>
    <w:p w14:paraId="332252F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Fonts w:hint="eastAsia" w:ascii="仿宋_GB2312" w:hAnsi="微软雅黑" w:eastAsia="仿宋_GB2312" w:cs="仿宋_GB2312"/>
          <w:b/>
          <w:sz w:val="31"/>
          <w:szCs w:val="31"/>
        </w:rPr>
        <w:t>实施目的：</w:t>
      </w:r>
      <w:r>
        <w:rPr>
          <w:rFonts w:hint="eastAsia" w:ascii="仿宋_GB2312" w:hAnsi="微软雅黑" w:eastAsia="仿宋_GB2312" w:cs="仿宋_GB2312"/>
          <w:sz w:val="31"/>
          <w:szCs w:val="31"/>
        </w:rPr>
        <w:t>提升品牌知名度，通过市场开展大规模、高密度的营销活动，增强消费者对海龙凯歌品牌的认知和记忆。</w:t>
      </w:r>
    </w:p>
    <w:p w14:paraId="6EBC54A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b/>
          <w:sz w:val="31"/>
          <w:szCs w:val="31"/>
        </w:rPr>
        <w:t>2支持方向：</w:t>
      </w:r>
      <w:r>
        <w:rPr>
          <w:rFonts w:hint="eastAsia" w:ascii="仿宋_GB2312" w:hAnsi="微软雅黑" w:eastAsia="仿宋_GB2312" w:cs="仿宋_GB2312"/>
          <w:sz w:val="31"/>
          <w:szCs w:val="31"/>
        </w:rPr>
        <w:t>支持在主流媒体、网络平台、社交媒体等渠道投放广告，提升品牌曝光度和影响力。对目标市场进行深入的研究和分析，了解消费者需求、竞争对手动态和市场趋势，为制定营销策略提供依据。</w:t>
      </w:r>
    </w:p>
    <w:p w14:paraId="554477EB">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（三）预算安排及分配管理。</w:t>
      </w:r>
    </w:p>
    <w:p w14:paraId="1C6D8D5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省星级现代农业园区创建升星经费项目2023年初预算</w:t>
      </w:r>
      <w:r>
        <w:rPr>
          <w:rFonts w:ascii="仿宋_GB2312" w:hAnsi="微软雅黑" w:eastAsia="仿宋_GB2312" w:cs="仿宋_GB2312"/>
          <w:sz w:val="31"/>
          <w:szCs w:val="31"/>
        </w:rPr>
        <w:t>5</w:t>
      </w:r>
      <w:r>
        <w:rPr>
          <w:rFonts w:hint="eastAsia" w:ascii="仿宋_GB2312" w:hAnsi="微软雅黑" w:eastAsia="仿宋_GB2312" w:cs="仿宋_GB2312"/>
          <w:sz w:val="31"/>
          <w:szCs w:val="31"/>
        </w:rPr>
        <w:t>万元 ，预算批复</w:t>
      </w:r>
      <w:r>
        <w:rPr>
          <w:rFonts w:ascii="仿宋_GB2312" w:hAnsi="微软雅黑" w:eastAsia="仿宋_GB2312" w:cs="仿宋_GB2312"/>
          <w:sz w:val="31"/>
          <w:szCs w:val="31"/>
        </w:rPr>
        <w:t>5</w:t>
      </w:r>
      <w:r>
        <w:rPr>
          <w:rFonts w:hint="eastAsia" w:ascii="仿宋_GB2312" w:hAnsi="微软雅黑" w:eastAsia="仿宋_GB2312" w:cs="仿宋_GB2312"/>
          <w:sz w:val="31"/>
          <w:szCs w:val="31"/>
        </w:rPr>
        <w:t>万元。资金主要用于创建升星等费用。</w:t>
      </w:r>
    </w:p>
    <w:p w14:paraId="76C6030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（四）项目绩效目标设置。</w:t>
      </w:r>
    </w:p>
    <w:p w14:paraId="311A3D8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主要是将围绕“全过程、全方位、全覆盖”预算绩效管理体系，保证全面完成各项目标。按工作安排完成省星级现代农业园区创建活动各项工作任务,为海龙凯歌文旅园区创建升星提供财力的保证。</w:t>
      </w:r>
    </w:p>
    <w:p w14:paraId="6F0C1BD0">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二、评价实施</w:t>
      </w:r>
    </w:p>
    <w:p w14:paraId="43F1D8B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（一）评价目的。</w:t>
      </w:r>
    </w:p>
    <w:p w14:paraId="0769B6A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对省星级现代农业园区创建升星专项资金的绩效评价，了解省星级现代农业园区创建升星补助经费项目的资金来源、使用和管理情况、项目组织和实施情况，检验项目投入是否达到预期目标，总结经验，分析问题，强化项目资金管理，进一步提升预算项目资金使用成效。</w:t>
      </w:r>
    </w:p>
    <w:p w14:paraId="143EEB4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（二）预设问题及评价重点。</w:t>
      </w:r>
    </w:p>
    <w:p w14:paraId="6A441BD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通过项目绩效自评省星级现代农业园区创建升星经费自评按照绩效评价指标体系，对资金支出使用全过程及其实施效果进行综合评价和判断。</w:t>
      </w:r>
    </w:p>
    <w:p w14:paraId="059CAED4">
      <w:pPr>
        <w:adjustRightInd w:val="0"/>
        <w:snapToGrid w:val="0"/>
        <w:spacing w:line="576" w:lineRule="exact"/>
        <w:ind w:firstLine="720"/>
        <w:jc w:val="left"/>
        <w:rPr>
          <w:rFonts w:ascii="仿宋_GB2312" w:hAnsi="微软雅黑" w:eastAsia="仿宋_GB2312" w:cs="仿宋_GB2312"/>
          <w:b/>
          <w:sz w:val="31"/>
          <w:szCs w:val="31"/>
          <w:highlight w:val="green"/>
        </w:rPr>
      </w:pPr>
      <w:r>
        <w:rPr>
          <w:rFonts w:hint="eastAsia" w:ascii="仿宋_GB2312" w:hAnsi="微软雅黑" w:eastAsia="仿宋_GB2312" w:cs="仿宋_GB2312"/>
          <w:b/>
          <w:sz w:val="31"/>
          <w:szCs w:val="31"/>
        </w:rPr>
        <w:t>（三）评价选点。</w:t>
      </w:r>
    </w:p>
    <w:p w14:paraId="29CE800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省星级现代农业园区创建升星经费</w:t>
      </w:r>
      <w:r>
        <w:rPr>
          <w:rFonts w:hint="eastAsia" w:ascii="仿宋_GB2312" w:hAnsi="微软雅黑" w:eastAsia="仿宋_GB2312" w:cs="仿宋_GB2312"/>
          <w:sz w:val="31"/>
          <w:szCs w:val="31"/>
          <w:lang w:val="zh-CN"/>
        </w:rPr>
        <w:t>的评价选点应当围绕经费的使用效率、效果以及合规性等方面开展。</w:t>
      </w:r>
    </w:p>
    <w:p w14:paraId="45F168C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（四）评价方法。</w:t>
      </w:r>
    </w:p>
    <w:p w14:paraId="2731EE2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本次绩效评价采用了成本效益比较法、单位自评法、实地勘察法、问卷调查法、座谈调研法等多种方法。</w:t>
      </w:r>
    </w:p>
    <w:p w14:paraId="019C944B">
      <w:pPr>
        <w:adjustRightInd w:val="0"/>
        <w:snapToGrid w:val="0"/>
        <w:spacing w:line="576" w:lineRule="exact"/>
        <w:ind w:firstLine="934" w:firstLineChars="30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五）评价组织。</w:t>
      </w:r>
    </w:p>
    <w:p w14:paraId="4ED1877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党工委书记：项目决策及资金使用管理情况</w:t>
      </w:r>
    </w:p>
    <w:p w14:paraId="7CE3BE0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管委会主任：绩效评价工作</w:t>
      </w:r>
      <w:r>
        <w:rPr>
          <w:rFonts w:hint="eastAsia" w:ascii="MS Gothic" w:hAnsi="MS Gothic" w:eastAsia="MS Gothic" w:cs="MS Gothic"/>
          <w:sz w:val="31"/>
          <w:szCs w:val="31"/>
        </w:rPr>
        <w:t>‌</w:t>
      </w:r>
    </w:p>
    <w:p w14:paraId="331CD9A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管委会副主任：监督检查本次项目自评工作</w:t>
      </w:r>
    </w:p>
    <w:p w14:paraId="5943121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财务人员：专项资金的管理和使用</w:t>
      </w:r>
      <w:r>
        <w:rPr>
          <w:rFonts w:hint="eastAsia" w:ascii="MS Gothic" w:hAnsi="MS Gothic" w:eastAsia="MS Gothic" w:cs="MS Gothic"/>
          <w:sz w:val="31"/>
          <w:szCs w:val="31"/>
        </w:rPr>
        <w:t>‌</w:t>
      </w:r>
    </w:p>
    <w:p w14:paraId="76815E99">
      <w:pPr>
        <w:adjustRightInd w:val="0"/>
        <w:snapToGrid w:val="0"/>
        <w:spacing w:line="576" w:lineRule="exact"/>
        <w:ind w:firstLine="720"/>
        <w:jc w:val="left"/>
        <w:rPr>
          <w:rFonts w:ascii="仿宋_GB2312" w:hAnsi="微软雅黑" w:eastAsia="仿宋_GB2312" w:cs="仿宋_GB2312"/>
          <w:sz w:val="31"/>
          <w:szCs w:val="31"/>
        </w:rPr>
      </w:pPr>
      <w:r>
        <w:rPr>
          <w:rFonts w:hint="eastAsia" w:ascii="MS Gothic" w:hAnsi="MS Gothic" w:eastAsia="MS Gothic" w:cs="MS Gothic"/>
          <w:sz w:val="31"/>
          <w:szCs w:val="31"/>
        </w:rPr>
        <w:t>‌</w:t>
      </w:r>
    </w:p>
    <w:p w14:paraId="5AC717A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三、绩效分析</w:t>
      </w:r>
      <w:r>
        <w:rPr>
          <w:rFonts w:hint="eastAsia" w:ascii="仿宋_GB2312" w:hAnsi="微软雅黑" w:eastAsia="仿宋_GB2312" w:cs="仿宋_GB2312"/>
          <w:b/>
          <w:sz w:val="31"/>
          <w:szCs w:val="31"/>
        </w:rPr>
        <w:tab/>
      </w:r>
    </w:p>
    <w:p w14:paraId="55351BC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（一）通用指标绩效分析。</w:t>
      </w:r>
    </w:p>
    <w:p w14:paraId="19E4C1F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1.项目决策。省星级现代农业园区创建升星经费项目为延续性项目，已在年初进行项目绩效目标申报，项目规划合理，年度绩效目标与中长期规划一致。资金管理办法健全完善。</w:t>
      </w:r>
    </w:p>
    <w:p w14:paraId="45B0FB6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2.项目管理。为使项目如期完成，结合海龙凯歌园区实际情况，对。省星级现代农业园区创建升星经费</w:t>
      </w:r>
      <w:r>
        <w:rPr>
          <w:rFonts w:hint="eastAsia" w:ascii="仿宋_GB2312" w:hAnsi="微软雅黑" w:eastAsia="仿宋_GB2312" w:cs="仿宋_GB2312"/>
          <w:sz w:val="31"/>
          <w:szCs w:val="31"/>
          <w:lang w:val="zh-CN"/>
        </w:rPr>
        <w:t>项目</w:t>
      </w:r>
      <w:r>
        <w:rPr>
          <w:rFonts w:hint="eastAsia" w:ascii="仿宋_GB2312" w:hAnsi="微软雅黑" w:eastAsia="仿宋_GB2312" w:cs="仿宋_GB2312"/>
          <w:sz w:val="31"/>
          <w:szCs w:val="31"/>
        </w:rPr>
        <w:t>按照</w:t>
      </w:r>
      <w:r>
        <w:rPr>
          <w:rFonts w:hint="eastAsia" w:ascii="仿宋_GB2312" w:hAnsi="微软雅黑" w:eastAsia="仿宋_GB2312" w:cs="仿宋_GB2312"/>
          <w:sz w:val="31"/>
          <w:szCs w:val="31"/>
          <w:lang w:val="en-US" w:eastAsia="zh-CN"/>
        </w:rPr>
        <w:t>园区党工委</w:t>
      </w:r>
      <w:r>
        <w:rPr>
          <w:rFonts w:hint="eastAsia" w:ascii="仿宋_GB2312" w:hAnsi="微软雅黑" w:eastAsia="仿宋_GB2312" w:cs="仿宋_GB2312"/>
          <w:sz w:val="31"/>
          <w:szCs w:val="31"/>
        </w:rPr>
        <w:t>工作分工，将所有项目分解到相关班子成员，由分管领导具体负责项目实施。在项目资金发放工作中，建立了符合财务会计制度的</w:t>
      </w:r>
      <w:r>
        <w:rPr>
          <w:rFonts w:hint="eastAsia" w:ascii="仿宋_GB2312" w:hAnsi="微软雅黑" w:eastAsia="仿宋_GB2312" w:cs="仿宋_GB2312"/>
          <w:sz w:val="31"/>
          <w:szCs w:val="31"/>
          <w:lang w:val="zh-CN"/>
        </w:rPr>
        <w:t>防灾应急管理救助经费</w:t>
      </w:r>
      <w:r>
        <w:rPr>
          <w:rFonts w:hint="eastAsia" w:ascii="仿宋_GB2312" w:hAnsi="微软雅黑" w:eastAsia="仿宋_GB2312" w:cs="仿宋_GB2312"/>
          <w:sz w:val="31"/>
          <w:szCs w:val="31"/>
        </w:rPr>
        <w:t>项目资金管理制度，专项管理、拨付规范、发放及时。</w:t>
      </w:r>
    </w:p>
    <w:p w14:paraId="53FC822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3.项目实施。海龙凯歌园区成立了以园区管委会主任为组长，党工委班子为成员的省星级现代农业园区创建升星领导小组，统筹推进各项创建升星活动工作。</w:t>
      </w:r>
    </w:p>
    <w:p w14:paraId="66E6073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4.项目结果。项目目标明确、资金到位率高、组织监管体系完善。省星级现代农业园区创建升星经费项目资金较好地实现了绩效目标。自评得分100分。</w:t>
      </w:r>
    </w:p>
    <w:p w14:paraId="56A9E38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（二）专用指标绩效分析。</w:t>
      </w:r>
    </w:p>
    <w:p w14:paraId="2C0D820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行政运转。根据省星级现代农业园区创建升星经费经费项目进行项目绩效目标进行自评，对该项目专项资金进行绩效分析，该项目资金使用合规合法。</w:t>
      </w:r>
    </w:p>
    <w:p w14:paraId="679F4AAD">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Cs/>
          <w:sz w:val="31"/>
          <w:szCs w:val="31"/>
        </w:rPr>
        <w:t>（三）个性指标绩效分析</w:t>
      </w:r>
      <w:r>
        <w:rPr>
          <w:rFonts w:hint="eastAsia" w:ascii="仿宋_GB2312" w:hAnsi="微软雅黑" w:eastAsia="仿宋_GB2312" w:cs="仿宋_GB2312"/>
          <w:b/>
          <w:sz w:val="31"/>
          <w:szCs w:val="31"/>
        </w:rPr>
        <w:t>。</w:t>
      </w:r>
    </w:p>
    <w:p w14:paraId="6BF47CE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质量指标：创星入围率</w:t>
      </w:r>
    </w:p>
    <w:p w14:paraId="60724D6F">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经济效益指标：扩大知名度。</w:t>
      </w:r>
    </w:p>
    <w:p w14:paraId="7B1DEC66">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满意度指标：村民满意程度得到提高。</w:t>
      </w:r>
    </w:p>
    <w:p w14:paraId="440F6630">
      <w:pPr>
        <w:adjustRightInd w:val="0"/>
        <w:snapToGrid w:val="0"/>
        <w:spacing w:line="576" w:lineRule="exact"/>
        <w:ind w:firstLine="720"/>
        <w:jc w:val="left"/>
        <w:rPr>
          <w:rFonts w:ascii="仿宋_GB2312" w:hAnsi="微软雅黑" w:eastAsia="仿宋_GB2312" w:cs="仿宋_GB2312"/>
          <w:b/>
          <w:bCs/>
          <w:sz w:val="31"/>
          <w:szCs w:val="31"/>
        </w:rPr>
      </w:pPr>
      <w:r>
        <w:rPr>
          <w:rFonts w:hint="eastAsia" w:ascii="仿宋_GB2312" w:hAnsi="微软雅黑" w:eastAsia="仿宋_GB2312" w:cs="仿宋_GB2312"/>
          <w:b/>
          <w:bCs/>
          <w:sz w:val="31"/>
          <w:szCs w:val="31"/>
        </w:rPr>
        <w:t>四、评价结论</w:t>
      </w:r>
    </w:p>
    <w:p w14:paraId="7A5BCAD4">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总体上看，项目目标明确、资金到位率高、组织监管体系完善。我园区省星级现代农业园区创建升星经费项目资金较好地实现了绩效目标。自评得分100分。</w:t>
      </w:r>
    </w:p>
    <w:p w14:paraId="003ED6D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五、存在主要问题</w:t>
      </w:r>
    </w:p>
    <w:p w14:paraId="6FCB17BA">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在实际执行过程中，可能存在经费使用不规范的情况,对经费使用的监管可能存在不足，导致资金使用的效率和效果受到影响。</w:t>
      </w:r>
    </w:p>
    <w:p w14:paraId="4E075AB6">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六、改进建议</w:t>
      </w:r>
    </w:p>
    <w:p w14:paraId="5C8CF86E">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争取节约工作经费，全面开展好工作，不断提高工作科学化、规范化。</w:t>
      </w:r>
    </w:p>
    <w:p w14:paraId="2BB395D0">
      <w:pPr>
        <w:spacing w:line="576" w:lineRule="exact"/>
        <w:jc w:val="center"/>
      </w:pPr>
    </w:p>
    <w:p w14:paraId="654CDCCE">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rPr>
        <w:t>部门预算项目支出</w:t>
      </w:r>
      <w:r>
        <w:rPr>
          <w:rFonts w:hint="eastAsia" w:ascii="仿宋_GB2312" w:hAnsi="宋体" w:eastAsia="仿宋_GB2312"/>
          <w:b/>
          <w:color w:val="000000"/>
          <w:kern w:val="0"/>
          <w:sz w:val="44"/>
          <w:szCs w:val="44"/>
          <w:lang w:val="zh-CN"/>
        </w:rPr>
        <w:t>绩效自评报告</w:t>
      </w:r>
    </w:p>
    <w:p w14:paraId="602ED07B">
      <w:pPr>
        <w:spacing w:line="576" w:lineRule="exact"/>
        <w:jc w:val="center"/>
        <w:rPr>
          <w:rFonts w:ascii="仿宋_GB2312" w:hAnsi="宋体" w:eastAsia="仿宋_GB2312"/>
          <w:b/>
          <w:color w:val="000000"/>
          <w:kern w:val="0"/>
          <w:sz w:val="44"/>
          <w:szCs w:val="44"/>
          <w:lang w:val="zh-CN"/>
        </w:rPr>
      </w:pPr>
      <w:r>
        <w:rPr>
          <w:rFonts w:hint="eastAsia" w:ascii="仿宋_GB2312" w:hAnsi="宋体" w:eastAsia="仿宋_GB2312"/>
          <w:b/>
          <w:color w:val="000000"/>
          <w:kern w:val="0"/>
          <w:sz w:val="44"/>
          <w:szCs w:val="44"/>
          <w:lang w:val="zh-CN"/>
        </w:rPr>
        <w:t>（2023年中省财政衔接推进乡村振兴补助资金项目）</w:t>
      </w:r>
    </w:p>
    <w:p w14:paraId="03D04EAE">
      <w:pPr>
        <w:snapToGrid w:val="0"/>
        <w:spacing w:line="576" w:lineRule="exact"/>
        <w:jc w:val="left"/>
        <w:rPr>
          <w:b/>
        </w:rPr>
      </w:pPr>
    </w:p>
    <w:p w14:paraId="5B7F60B5">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一、项目概况</w:t>
      </w:r>
    </w:p>
    <w:p w14:paraId="365719D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（一）设立背景及基本情况</w:t>
      </w:r>
    </w:p>
    <w:p w14:paraId="343D01D1">
      <w:pPr>
        <w:adjustRightInd w:val="0"/>
        <w:snapToGrid w:val="0"/>
        <w:spacing w:line="576" w:lineRule="exact"/>
        <w:ind w:firstLine="930" w:firstLineChars="30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为进一步</w:t>
      </w:r>
      <w:r>
        <w:rPr>
          <w:rFonts w:hint="eastAsia" w:ascii="仿宋_GB2312" w:hAnsi="微软雅黑" w:eastAsia="仿宋_GB2312" w:cs="仿宋_GB2312"/>
          <w:sz w:val="31"/>
          <w:szCs w:val="31"/>
          <w:lang w:eastAsia="zh-CN"/>
        </w:rPr>
        <w:t>巩固拓展脱贫攻坚成果</w:t>
      </w:r>
      <w:r>
        <w:rPr>
          <w:rFonts w:hint="eastAsia" w:ascii="仿宋_GB2312" w:hAnsi="微软雅黑" w:eastAsia="仿宋_GB2312" w:cs="仿宋_GB2312"/>
          <w:sz w:val="31"/>
          <w:szCs w:val="31"/>
        </w:rPr>
        <w:t>，推动乡村振兴战略的深入实施，中央财政设立了衔接推进乡村振兴补助资金项目。该项目旨在通过财政资金的精准投入。</w:t>
      </w:r>
    </w:p>
    <w:p w14:paraId="6F90339E">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（二）实施目的及支持方向</w:t>
      </w:r>
    </w:p>
    <w:p w14:paraId="7ED02FB5">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Fonts w:hint="eastAsia" w:ascii="仿宋_GB2312" w:hAnsi="微软雅黑" w:eastAsia="仿宋_GB2312" w:cs="仿宋_GB2312"/>
          <w:b/>
          <w:sz w:val="31"/>
          <w:szCs w:val="31"/>
        </w:rPr>
        <w:t>实施目的：</w:t>
      </w:r>
      <w:r>
        <w:rPr>
          <w:rFonts w:hint="eastAsia" w:ascii="仿宋_GB2312" w:hAnsi="微软雅黑" w:eastAsia="仿宋_GB2312" w:cs="仿宋_GB2312"/>
          <w:sz w:val="31"/>
          <w:szCs w:val="31"/>
        </w:rPr>
        <w:t>通过乡村振兴补助资金的投入，推动城乡基本公共服务均等化，促进城乡要素自由流动和公共资源在城乡间均衡配置，实现城乡融合发展。</w:t>
      </w:r>
    </w:p>
    <w:p w14:paraId="45D16A0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b/>
          <w:sz w:val="31"/>
          <w:szCs w:val="31"/>
        </w:rPr>
        <w:t>2支持方向：</w:t>
      </w:r>
      <w:r>
        <w:rPr>
          <w:rFonts w:hint="eastAsia" w:ascii="仿宋_GB2312" w:hAnsi="微软雅黑" w:eastAsia="仿宋_GB2312" w:cs="仿宋_GB2312"/>
          <w:sz w:val="31"/>
          <w:szCs w:val="31"/>
        </w:rPr>
        <w:t>资金主要用于支持产业发展、就业扶持、乡村建设、等方面，以推动乡村振兴各项任务的落实。</w:t>
      </w:r>
    </w:p>
    <w:p w14:paraId="53A604D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（三）预算安排及分配管理</w:t>
      </w:r>
    </w:p>
    <w:p w14:paraId="1744FC5D">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2023年中省财政衔接推进乡村振兴补助项目2023年初预算</w:t>
      </w:r>
      <w:r>
        <w:rPr>
          <w:rFonts w:ascii="仿宋_GB2312" w:hAnsi="微软雅黑" w:eastAsia="仿宋_GB2312" w:cs="仿宋_GB2312"/>
          <w:sz w:val="31"/>
          <w:szCs w:val="31"/>
        </w:rPr>
        <w:t>125</w:t>
      </w:r>
      <w:r>
        <w:rPr>
          <w:rFonts w:hint="eastAsia" w:ascii="仿宋_GB2312" w:hAnsi="微软雅黑" w:eastAsia="仿宋_GB2312" w:cs="仿宋_GB2312"/>
          <w:sz w:val="31"/>
          <w:szCs w:val="31"/>
        </w:rPr>
        <w:t>万元 ，预算批复</w:t>
      </w:r>
      <w:r>
        <w:rPr>
          <w:rFonts w:ascii="仿宋_GB2312" w:hAnsi="微软雅黑" w:eastAsia="仿宋_GB2312" w:cs="仿宋_GB2312"/>
          <w:sz w:val="31"/>
          <w:szCs w:val="31"/>
        </w:rPr>
        <w:t>125</w:t>
      </w:r>
      <w:r>
        <w:rPr>
          <w:rFonts w:hint="eastAsia" w:ascii="仿宋_GB2312" w:hAnsi="微软雅黑" w:eastAsia="仿宋_GB2312" w:cs="仿宋_GB2312"/>
          <w:sz w:val="31"/>
          <w:szCs w:val="31"/>
        </w:rPr>
        <w:t>万元。资金主要用于产业发展，就业扶持及乡村建设。</w:t>
      </w:r>
    </w:p>
    <w:p w14:paraId="3478617A">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（四）项目绩效目标设置</w:t>
      </w:r>
    </w:p>
    <w:p w14:paraId="53068652">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主要是将围绕“全过程、全方位、全覆盖”预算绩效管理体系，保证全面完成各项目标。按工作安排完成文旅园区乡村振兴工作任务,为海龙凯歌文旅园区建设、乡村振兴提供财力的保证。</w:t>
      </w:r>
    </w:p>
    <w:p w14:paraId="57DF1E2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二、评价实施</w:t>
      </w:r>
    </w:p>
    <w:p w14:paraId="46847C63">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（一）评价目的。</w:t>
      </w:r>
    </w:p>
    <w:p w14:paraId="5B504B9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对2023年中省财政衔接推进乡村振兴补助专项资金的绩效评价，了解文旅园区2023年中省财政衔接推进乡村振兴补助经费项目的资金来源、使用和管理情况、项目组织和实施情况，检验项目投入是否达到预期目标，总结经验，分析问题，强化项目资金管理，进一步提升预算项目资金使用成效。</w:t>
      </w:r>
    </w:p>
    <w:p w14:paraId="7D05491F">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（二）预设问题及评价重点。</w:t>
      </w:r>
    </w:p>
    <w:p w14:paraId="67DBE2E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通过项目绩效自评对2023年中省财政衔接推进乡村振兴补助经费自评按照绩效评价指标体系，对资金支出使用全过程及其实施效果进行综合评价和判断。</w:t>
      </w:r>
    </w:p>
    <w:p w14:paraId="082C9201">
      <w:pPr>
        <w:adjustRightInd w:val="0"/>
        <w:snapToGrid w:val="0"/>
        <w:spacing w:line="576" w:lineRule="exact"/>
        <w:ind w:firstLine="720"/>
        <w:jc w:val="left"/>
        <w:rPr>
          <w:rFonts w:ascii="仿宋_GB2312" w:hAnsi="微软雅黑" w:eastAsia="仿宋_GB2312" w:cs="仿宋_GB2312"/>
          <w:b/>
          <w:sz w:val="31"/>
          <w:szCs w:val="31"/>
          <w:highlight w:val="green"/>
        </w:rPr>
      </w:pPr>
      <w:r>
        <w:rPr>
          <w:rFonts w:hint="eastAsia" w:ascii="仿宋_GB2312" w:hAnsi="微软雅黑" w:eastAsia="仿宋_GB2312" w:cs="仿宋_GB2312"/>
          <w:b/>
          <w:sz w:val="31"/>
          <w:szCs w:val="31"/>
        </w:rPr>
        <w:t>（三）评价选点。</w:t>
      </w:r>
    </w:p>
    <w:p w14:paraId="559F9E4C">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2023年中省财政衔接推进乡村振兴补助经费</w:t>
      </w:r>
      <w:r>
        <w:rPr>
          <w:rFonts w:hint="eastAsia" w:ascii="仿宋_GB2312" w:hAnsi="微软雅黑" w:eastAsia="仿宋_GB2312" w:cs="仿宋_GB2312"/>
          <w:sz w:val="31"/>
          <w:szCs w:val="31"/>
          <w:lang w:val="zh-CN"/>
        </w:rPr>
        <w:t>的评价选点应当围绕经费的使用效率、效果以及合规性等方面开展。</w:t>
      </w:r>
    </w:p>
    <w:p w14:paraId="5701CD0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（四）评价方法。</w:t>
      </w:r>
    </w:p>
    <w:p w14:paraId="6123BD1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本次绩效评价采用了成本效益比较法、单位自评法、实地勘察法、问卷调查法、座谈调研法等多种方法。</w:t>
      </w:r>
    </w:p>
    <w:p w14:paraId="00338E1A">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五）评价组织。</w:t>
      </w:r>
    </w:p>
    <w:p w14:paraId="3E6DCF1A">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党工委书记：项目决策及资金使用管理情况</w:t>
      </w:r>
    </w:p>
    <w:p w14:paraId="17B6549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管委会主任：绩效评价工作</w:t>
      </w:r>
      <w:r>
        <w:rPr>
          <w:rFonts w:hint="eastAsia" w:ascii="MS Gothic" w:hAnsi="MS Gothic" w:eastAsia="MS Gothic" w:cs="MS Gothic"/>
          <w:sz w:val="31"/>
          <w:szCs w:val="31"/>
        </w:rPr>
        <w:t>‌</w:t>
      </w:r>
    </w:p>
    <w:p w14:paraId="0BED3A4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管委会副主任：监督检查本次项目自评工作</w:t>
      </w:r>
    </w:p>
    <w:p w14:paraId="36FDD78E">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财务人员：专项资金的管理和使用</w:t>
      </w:r>
      <w:r>
        <w:rPr>
          <w:rFonts w:hint="eastAsia" w:ascii="MS Gothic" w:hAnsi="MS Gothic" w:eastAsia="MS Gothic" w:cs="MS Gothic"/>
          <w:sz w:val="31"/>
          <w:szCs w:val="31"/>
        </w:rPr>
        <w:t>‌</w:t>
      </w:r>
    </w:p>
    <w:p w14:paraId="09EE24C9">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三、绩效分析</w:t>
      </w:r>
      <w:r>
        <w:rPr>
          <w:rFonts w:hint="eastAsia" w:ascii="仿宋_GB2312" w:hAnsi="微软雅黑" w:eastAsia="仿宋_GB2312" w:cs="仿宋_GB2312"/>
          <w:b/>
          <w:sz w:val="31"/>
          <w:szCs w:val="31"/>
        </w:rPr>
        <w:tab/>
      </w:r>
    </w:p>
    <w:p w14:paraId="5D74054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（一）通用指标绩效分析。</w:t>
      </w:r>
    </w:p>
    <w:p w14:paraId="55752ED1">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1.项目决策。2023年中省财政衔接推进乡村振兴补助经费项目为延续性项目，已在年初进行项目绩效目标申报，项目规划合理，年度绩效目标与中长期规划一致。资金管理办法健全完善。</w:t>
      </w:r>
    </w:p>
    <w:p w14:paraId="5965B320">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2.项目管理。为使项目如期完成，结合海龙凯歌园区实际情况，对。2023年中省财政衔接推进乡村振兴补助经费</w:t>
      </w:r>
      <w:r>
        <w:rPr>
          <w:rFonts w:hint="eastAsia" w:ascii="仿宋_GB2312" w:hAnsi="微软雅黑" w:eastAsia="仿宋_GB2312" w:cs="仿宋_GB2312"/>
          <w:sz w:val="31"/>
          <w:szCs w:val="31"/>
          <w:lang w:val="zh-CN"/>
        </w:rPr>
        <w:t>项目</w:t>
      </w:r>
      <w:r>
        <w:rPr>
          <w:rFonts w:hint="eastAsia" w:ascii="仿宋_GB2312" w:hAnsi="微软雅黑" w:eastAsia="仿宋_GB2312" w:cs="仿宋_GB2312"/>
          <w:sz w:val="31"/>
          <w:szCs w:val="31"/>
        </w:rPr>
        <w:t>按照</w:t>
      </w:r>
      <w:r>
        <w:rPr>
          <w:rFonts w:hint="eastAsia" w:ascii="仿宋_GB2312" w:hAnsi="微软雅黑" w:eastAsia="仿宋_GB2312" w:cs="仿宋_GB2312"/>
          <w:sz w:val="31"/>
          <w:szCs w:val="31"/>
          <w:lang w:val="en-US" w:eastAsia="zh-CN"/>
        </w:rPr>
        <w:t>园区党工委</w:t>
      </w:r>
      <w:r>
        <w:rPr>
          <w:rFonts w:hint="eastAsia" w:ascii="仿宋_GB2312" w:hAnsi="微软雅黑" w:eastAsia="仿宋_GB2312" w:cs="仿宋_GB2312"/>
          <w:sz w:val="31"/>
          <w:szCs w:val="31"/>
        </w:rPr>
        <w:t>工作分工，将所有项目分解到相关班子成员，由分管领导具体负责项目实施。在项目资金发放工作中，建立了符合财务会计制度的</w:t>
      </w:r>
      <w:r>
        <w:rPr>
          <w:rFonts w:hint="eastAsia" w:ascii="仿宋_GB2312" w:hAnsi="微软雅黑" w:eastAsia="仿宋_GB2312" w:cs="仿宋_GB2312"/>
          <w:sz w:val="31"/>
          <w:szCs w:val="31"/>
          <w:lang w:val="zh-CN"/>
        </w:rPr>
        <w:t>防灾应急管理救助经费</w:t>
      </w:r>
      <w:r>
        <w:rPr>
          <w:rFonts w:hint="eastAsia" w:ascii="仿宋_GB2312" w:hAnsi="微软雅黑" w:eastAsia="仿宋_GB2312" w:cs="仿宋_GB2312"/>
          <w:sz w:val="31"/>
          <w:szCs w:val="31"/>
        </w:rPr>
        <w:t>项目资金管理制度，专项管理、拨付规范、发放及时。</w:t>
      </w:r>
    </w:p>
    <w:p w14:paraId="53BC6AA8">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3.项目实施。海龙凯歌园区成立了以园区管委会主任为组长，党工委班子为成员的2023年中省财政衔接推进乡村振兴补助经费领导小组，统筹推进各项产业招引活动工作。</w:t>
      </w:r>
    </w:p>
    <w:p w14:paraId="1F870238">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4.项目结果。项目目标明确、资金到位率高、组织监管体系完善。2023年中省财政衔接推进乡村振兴补助经费项目资金较好地实现了绩效目标。自评得分100分。</w:t>
      </w:r>
    </w:p>
    <w:p w14:paraId="4E25BAA1">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（二）专用指标绩效分析。</w:t>
      </w:r>
    </w:p>
    <w:p w14:paraId="611166F7">
      <w:pPr>
        <w:adjustRightInd w:val="0"/>
        <w:snapToGrid w:val="0"/>
        <w:spacing w:line="576" w:lineRule="exact"/>
        <w:ind w:firstLine="720"/>
        <w:jc w:val="left"/>
        <w:rPr>
          <w:rFonts w:ascii="仿宋_GB2312" w:hAnsi="微软雅黑" w:eastAsia="仿宋_GB2312" w:cs="仿宋_GB2312"/>
          <w:sz w:val="31"/>
          <w:szCs w:val="31"/>
        </w:rPr>
      </w:pPr>
      <w:r>
        <w:rPr>
          <w:rFonts w:hint="eastAsia" w:ascii="仿宋_GB2312" w:hAnsi="微软雅黑" w:eastAsia="仿宋_GB2312" w:cs="仿宋_GB2312"/>
          <w:sz w:val="31"/>
          <w:szCs w:val="31"/>
        </w:rPr>
        <w:t>行政运转。根据对2023年中省财政衔接推进乡村振兴补助经费进行项目绩效目标进行自评，对该项目专项资金进行绩效分析，该项目资金使用合规合法。</w:t>
      </w:r>
    </w:p>
    <w:p w14:paraId="2B99E107">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（三）个性指标绩效分析。</w:t>
      </w:r>
    </w:p>
    <w:p w14:paraId="27096244">
      <w:pPr>
        <w:adjustRightInd w:val="0"/>
        <w:snapToGrid w:val="0"/>
        <w:spacing w:line="576" w:lineRule="exact"/>
        <w:ind w:firstLine="720"/>
        <w:jc w:val="left"/>
        <w:rPr>
          <w:rFonts w:hint="eastAsia" w:ascii="仿宋_GB2312" w:hAnsi="微软雅黑" w:eastAsia="仿宋_GB2312" w:cs="仿宋_GB2312"/>
          <w:sz w:val="31"/>
          <w:szCs w:val="31"/>
        </w:rPr>
      </w:pPr>
      <w:r>
        <w:rPr>
          <w:rFonts w:hint="eastAsia" w:ascii="仿宋_GB2312" w:hAnsi="微软雅黑" w:eastAsia="仿宋_GB2312" w:cs="仿宋_GB2312"/>
          <w:sz w:val="31"/>
          <w:szCs w:val="31"/>
        </w:rPr>
        <w:t>生态效益指标：在项目实施过程中，注重生态保护和可持续发展理念的贯彻落实。通过推广绿色生产方式和生态农业技术，减少了农业面源污染和生态破坏现象的发生，促进了农村生态环境的改善和保护。</w:t>
      </w:r>
    </w:p>
    <w:p w14:paraId="13B51F13">
      <w:pPr>
        <w:adjustRightInd w:val="0"/>
        <w:snapToGrid w:val="0"/>
        <w:spacing w:line="576" w:lineRule="exact"/>
        <w:ind w:firstLine="720"/>
        <w:jc w:val="left"/>
        <w:rPr>
          <w:rFonts w:ascii="仿宋_GB2312" w:hAnsi="微软雅黑" w:eastAsia="仿宋_GB2312" w:cs="仿宋_GB2312"/>
          <w:sz w:val="31"/>
          <w:szCs w:val="31"/>
          <w:highlight w:val="yellow"/>
        </w:rPr>
      </w:pPr>
      <w:r>
        <w:rPr>
          <w:rFonts w:hint="eastAsia" w:ascii="仿宋_GB2312" w:hAnsi="微软雅黑" w:eastAsia="仿宋_GB2312" w:cs="仿宋_GB2312"/>
          <w:sz w:val="31"/>
          <w:szCs w:val="31"/>
        </w:rPr>
        <w:t>经济效益指标：通过补助资金的投入，促进了农村产业的发展壮大和转型升级，提高了农业综合效益和农民收入水平。同时，带动了相关产业链的发展，促进了农村经济的多元化和可持续发展。</w:t>
      </w:r>
    </w:p>
    <w:p w14:paraId="43AF1D1E">
      <w:pPr>
        <w:adjustRightInd w:val="0"/>
        <w:snapToGrid w:val="0"/>
        <w:spacing w:line="576" w:lineRule="exact"/>
        <w:ind w:firstLine="720"/>
        <w:jc w:val="left"/>
        <w:rPr>
          <w:rFonts w:hint="eastAsia" w:ascii="仿宋_GB2312" w:hAnsi="微软雅黑" w:eastAsia="仿宋_GB2312" w:cs="仿宋_GB2312"/>
          <w:sz w:val="31"/>
          <w:szCs w:val="31"/>
        </w:rPr>
      </w:pPr>
      <w:r>
        <w:rPr>
          <w:rFonts w:hint="eastAsia" w:ascii="仿宋_GB2312" w:hAnsi="微软雅黑" w:eastAsia="仿宋_GB2312" w:cs="仿宋_GB2312"/>
          <w:sz w:val="31"/>
          <w:szCs w:val="31"/>
        </w:rPr>
        <w:t>满意度指标：通过群众满意度调查等方式发现，农民对乡村振兴补助资金项目的实施效果普遍表示满意。</w:t>
      </w:r>
    </w:p>
    <w:p w14:paraId="599064BC">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四、评价结论</w:t>
      </w:r>
    </w:p>
    <w:p w14:paraId="65DA0E3B">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jc w:val="left"/>
        <w:textAlignment w:val="auto"/>
        <w:rPr>
          <w:rFonts w:ascii="仿宋_GB2312" w:hAnsi="微软雅黑" w:eastAsia="仿宋_GB2312" w:cs="仿宋_GB2312"/>
          <w:sz w:val="31"/>
          <w:szCs w:val="31"/>
        </w:rPr>
      </w:pPr>
      <w:r>
        <w:rPr>
          <w:rFonts w:hint="eastAsia" w:ascii="仿宋_GB2312" w:hAnsi="微软雅黑" w:eastAsia="仿宋_GB2312" w:cs="仿宋_GB2312"/>
          <w:sz w:val="31"/>
          <w:szCs w:val="31"/>
        </w:rPr>
        <w:t>总体上看，项目目标明确、资金到位率高、组织监管体系完善。我园区2023年中省财政衔接推进乡村振兴补助经费项目资金较好地实现了绩效目标。自评得分100分。</w:t>
      </w:r>
    </w:p>
    <w:p w14:paraId="6F8CF97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五、存在主要问题</w:t>
      </w:r>
    </w:p>
    <w:p w14:paraId="4EC82CE2">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jc w:val="left"/>
        <w:textAlignment w:val="auto"/>
        <w:rPr>
          <w:rFonts w:ascii="仿宋_GB2312" w:hAnsi="微软雅黑" w:eastAsia="仿宋_GB2312" w:cs="仿宋_GB2312"/>
          <w:sz w:val="31"/>
          <w:szCs w:val="31"/>
        </w:rPr>
      </w:pPr>
      <w:r>
        <w:rPr>
          <w:rFonts w:hint="eastAsia" w:ascii="仿宋_GB2312" w:hAnsi="微软雅黑" w:eastAsia="仿宋_GB2312" w:cs="仿宋_GB2312"/>
          <w:sz w:val="31"/>
          <w:szCs w:val="31"/>
        </w:rPr>
        <w:t>在实际执行过程中，可能存在经费使用不规范的情况,对经费使用的监管可能存在不足，导致资金使用的效率和效果受到影响。</w:t>
      </w:r>
    </w:p>
    <w:p w14:paraId="14B056A8">
      <w:pPr>
        <w:adjustRightInd w:val="0"/>
        <w:snapToGrid w:val="0"/>
        <w:spacing w:line="576" w:lineRule="exact"/>
        <w:ind w:firstLine="720"/>
        <w:jc w:val="left"/>
        <w:rPr>
          <w:rFonts w:ascii="仿宋_GB2312" w:hAnsi="微软雅黑" w:eastAsia="仿宋_GB2312" w:cs="仿宋_GB2312"/>
          <w:b/>
          <w:sz w:val="31"/>
          <w:szCs w:val="31"/>
        </w:rPr>
      </w:pPr>
      <w:r>
        <w:rPr>
          <w:rFonts w:hint="eastAsia" w:ascii="仿宋_GB2312" w:hAnsi="微软雅黑" w:eastAsia="仿宋_GB2312" w:cs="仿宋_GB2312"/>
          <w:b/>
          <w:sz w:val="31"/>
          <w:szCs w:val="31"/>
        </w:rPr>
        <w:t>六、改进建议</w:t>
      </w:r>
    </w:p>
    <w:p w14:paraId="225CFA33">
      <w:pPr>
        <w:keepNext w:val="0"/>
        <w:keepLines w:val="0"/>
        <w:pageBreakBefore w:val="0"/>
        <w:widowControl w:val="0"/>
        <w:kinsoku/>
        <w:wordWrap/>
        <w:overflowPunct/>
        <w:topLinePunct w:val="0"/>
        <w:autoSpaceDE/>
        <w:autoSpaceDN/>
        <w:bidi w:val="0"/>
        <w:adjustRightInd w:val="0"/>
        <w:snapToGrid w:val="0"/>
        <w:spacing w:line="576" w:lineRule="exact"/>
        <w:ind w:firstLine="620" w:firstLineChars="200"/>
        <w:jc w:val="left"/>
        <w:textAlignment w:val="auto"/>
        <w:rPr>
          <w:rFonts w:ascii="仿宋_GB2312" w:hAnsi="微软雅黑" w:eastAsia="仿宋_GB2312" w:cs="仿宋_GB2312"/>
          <w:sz w:val="31"/>
          <w:szCs w:val="31"/>
        </w:rPr>
      </w:pPr>
      <w:r>
        <w:rPr>
          <w:rFonts w:hint="eastAsia" w:ascii="仿宋_GB2312" w:hAnsi="微软雅黑" w:eastAsia="仿宋_GB2312" w:cs="仿宋_GB2312"/>
          <w:sz w:val="31"/>
          <w:szCs w:val="31"/>
        </w:rPr>
        <w:t>争取节约工作经费，全面开展好工作，不断提高工作科学化、规范化、法治化水平。</w:t>
      </w:r>
    </w:p>
    <w:p w14:paraId="58D6E6D3">
      <w:pPr>
        <w:pStyle w:val="2"/>
      </w:pPr>
    </w:p>
    <w:p w14:paraId="09CFDE49">
      <w:pPr>
        <w:pStyle w:val="3"/>
        <w:ind w:left="420"/>
      </w:pPr>
    </w:p>
    <w:p w14:paraId="1F5785AA">
      <w:pPr>
        <w:pStyle w:val="3"/>
        <w:ind w:left="420"/>
      </w:pPr>
    </w:p>
    <w:p w14:paraId="348CAA02">
      <w:pPr>
        <w:pStyle w:val="3"/>
        <w:ind w:left="420"/>
      </w:pPr>
    </w:p>
    <w:p w14:paraId="03A4D454">
      <w:pPr>
        <w:pStyle w:val="3"/>
        <w:ind w:left="420"/>
      </w:pPr>
    </w:p>
    <w:p w14:paraId="6A671B1E">
      <w:pPr>
        <w:pStyle w:val="3"/>
        <w:ind w:left="420"/>
      </w:pPr>
    </w:p>
    <w:p w14:paraId="0FAAC428">
      <w:pPr>
        <w:pStyle w:val="3"/>
        <w:ind w:left="420"/>
      </w:pPr>
    </w:p>
    <w:p w14:paraId="116A7AE6">
      <w:pPr>
        <w:pStyle w:val="3"/>
        <w:ind w:left="420"/>
      </w:pPr>
    </w:p>
    <w:p w14:paraId="4EE61EFF">
      <w:pPr>
        <w:numPr>
          <w:ilvl w:val="0"/>
          <w:numId w:val="5"/>
        </w:numPr>
        <w:spacing w:line="576" w:lineRule="exact"/>
        <w:ind w:firstLine="2640" w:firstLineChars="600"/>
        <w:jc w:val="left"/>
        <w:outlineLvl w:val="0"/>
        <w:rPr>
          <w:rStyle w:val="31"/>
          <w:rFonts w:ascii="黑体" w:hAnsi="黑体" w:eastAsia="黑体"/>
          <w:b w:val="0"/>
        </w:rPr>
      </w:pPr>
      <w:r>
        <w:rPr>
          <w:rStyle w:val="31"/>
          <w:rFonts w:hint="eastAsia" w:ascii="黑体" w:hAnsi="黑体" w:eastAsia="黑体"/>
          <w:b w:val="0"/>
        </w:rPr>
        <w:t>附表</w:t>
      </w:r>
      <w:bookmarkStart w:id="44" w:name="_Toc15396619"/>
    </w:p>
    <w:p w14:paraId="7A1AF3AA">
      <w:pPr>
        <w:pStyle w:val="2"/>
      </w:pPr>
    </w:p>
    <w:p w14:paraId="3A46596B">
      <w:pPr>
        <w:pStyle w:val="3"/>
        <w:ind w:left="420"/>
      </w:pPr>
    </w:p>
    <w:p w14:paraId="6E4416A9">
      <w:pPr>
        <w:spacing w:line="576" w:lineRule="exact"/>
        <w:ind w:firstLine="640" w:firstLineChars="200"/>
        <w:jc w:val="left"/>
        <w:outlineLvl w:val="0"/>
        <w:rPr>
          <w:rStyle w:val="32"/>
          <w:rFonts w:ascii="仿宋" w:hAnsi="仿宋" w:eastAsia="仿宋"/>
          <w:b w:val="0"/>
          <w:bCs w:val="0"/>
        </w:rPr>
      </w:pPr>
      <w:r>
        <w:rPr>
          <w:rStyle w:val="32"/>
          <w:rFonts w:hint="eastAsia" w:ascii="仿宋" w:hAnsi="仿宋" w:eastAsia="仿宋"/>
          <w:b w:val="0"/>
          <w:bCs w:val="0"/>
        </w:rPr>
        <w:t>一、收入支出决算总表</w:t>
      </w:r>
      <w:bookmarkEnd w:id="44"/>
    </w:p>
    <w:p w14:paraId="1164A67C">
      <w:pPr>
        <w:pStyle w:val="6"/>
        <w:spacing w:line="576" w:lineRule="exact"/>
        <w:ind w:firstLine="640" w:firstLineChars="200"/>
        <w:jc w:val="left"/>
        <w:rPr>
          <w:rFonts w:ascii="仿宋" w:hAnsi="仿宋" w:eastAsia="仿宋"/>
        </w:rPr>
      </w:pPr>
      <w:r>
        <w:rPr>
          <w:rFonts w:hint="eastAsia" w:ascii="仿宋" w:hAnsi="仿宋" w:eastAsia="仿宋"/>
          <w:b w:val="0"/>
        </w:rPr>
        <w:t>二、收</w:t>
      </w:r>
      <w:r>
        <w:rPr>
          <w:rStyle w:val="32"/>
          <w:rFonts w:hint="eastAsia" w:ascii="仿宋" w:hAnsi="仿宋" w:eastAsia="仿宋"/>
          <w:b w:val="0"/>
          <w:bCs w:val="0"/>
        </w:rPr>
        <w:t>入决算表</w:t>
      </w:r>
    </w:p>
    <w:p w14:paraId="2E167B64">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p>
    <w:p w14:paraId="2FE7A17D">
      <w:pPr>
        <w:pStyle w:val="6"/>
        <w:spacing w:line="576" w:lineRule="exact"/>
        <w:ind w:firstLine="640" w:firstLineChars="200"/>
        <w:jc w:val="left"/>
        <w:rPr>
          <w:rFonts w:ascii="仿宋" w:hAnsi="仿宋" w:eastAsia="仿宋"/>
          <w:b w:val="0"/>
        </w:rPr>
      </w:pPr>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p>
    <w:p w14:paraId="23A1A96C">
      <w:pPr>
        <w:pStyle w:val="6"/>
        <w:spacing w:line="576" w:lineRule="exact"/>
        <w:ind w:firstLine="640" w:firstLineChars="200"/>
        <w:jc w:val="left"/>
        <w:rPr>
          <w:rStyle w:val="32"/>
          <w:rFonts w:ascii="仿宋" w:hAnsi="仿宋" w:eastAsia="仿宋"/>
          <w:b w:val="0"/>
          <w:bCs w:val="0"/>
        </w:rPr>
      </w:pPr>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p>
    <w:p w14:paraId="32922BB1">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p>
    <w:p w14:paraId="6ED36405">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p>
    <w:p w14:paraId="313D7EFB">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p>
    <w:p w14:paraId="01DB4465">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p>
    <w:p w14:paraId="551565BF">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十、</w:t>
      </w:r>
      <w:r>
        <w:rPr>
          <w:rFonts w:hint="eastAsia" w:ascii="仿宋" w:hAnsi="仿宋" w:eastAsia="仿宋"/>
          <w:b w:val="0"/>
        </w:rPr>
        <w:t>政</w:t>
      </w:r>
      <w:r>
        <w:rPr>
          <w:rStyle w:val="32"/>
          <w:rFonts w:hint="eastAsia" w:ascii="仿宋" w:hAnsi="仿宋" w:eastAsia="仿宋"/>
          <w:b w:val="0"/>
          <w:bCs w:val="0"/>
        </w:rPr>
        <w:t>府性基金预算财政拨款收入支出决算表</w:t>
      </w:r>
    </w:p>
    <w:p w14:paraId="0306A507">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十一、</w:t>
      </w:r>
      <w:r>
        <w:rPr>
          <w:rFonts w:hint="eastAsia" w:ascii="仿宋" w:hAnsi="仿宋" w:eastAsia="仿宋"/>
          <w:b w:val="0"/>
        </w:rPr>
        <w:t>国</w:t>
      </w:r>
      <w:r>
        <w:rPr>
          <w:rStyle w:val="32"/>
          <w:rFonts w:hint="eastAsia" w:ascii="仿宋" w:hAnsi="仿宋" w:eastAsia="仿宋"/>
          <w:b w:val="0"/>
          <w:bCs w:val="0"/>
        </w:rPr>
        <w:t>有资本经营预算财政拨款收入支出决算表</w:t>
      </w:r>
    </w:p>
    <w:p w14:paraId="74E24F35">
      <w:pPr>
        <w:pStyle w:val="6"/>
        <w:spacing w:line="576" w:lineRule="exact"/>
        <w:ind w:firstLine="640" w:firstLineChars="200"/>
        <w:jc w:val="left"/>
        <w:rPr>
          <w:rFonts w:ascii="仿宋" w:hAnsi="仿宋" w:eastAsia="仿宋"/>
        </w:rPr>
      </w:pPr>
      <w:r>
        <w:rPr>
          <w:rStyle w:val="32"/>
          <w:rFonts w:hint="eastAsia" w:ascii="仿宋" w:hAnsi="仿宋" w:eastAsia="仿宋"/>
          <w:b w:val="0"/>
          <w:bCs w:val="0"/>
        </w:rPr>
        <w:t>十二、国有资本经营预算财政拨款支出决算表</w:t>
      </w:r>
    </w:p>
    <w:p w14:paraId="0E7B6BCC">
      <w:pPr>
        <w:pStyle w:val="6"/>
        <w:spacing w:line="576" w:lineRule="exact"/>
        <w:ind w:firstLine="640" w:firstLineChars="200"/>
        <w:jc w:val="left"/>
        <w:rPr>
          <w:rFonts w:eastAsia="仿宋"/>
        </w:rPr>
      </w:pPr>
      <w:r>
        <w:rPr>
          <w:rStyle w:val="32"/>
          <w:rFonts w:hint="eastAsia" w:ascii="仿宋" w:hAnsi="仿宋" w:eastAsia="仿宋"/>
          <w:b w:val="0"/>
          <w:bCs w:val="0"/>
        </w:rPr>
        <w:t>十三、财政拨款“三公”经费支出决算表</w:t>
      </w:r>
      <w:bookmarkEnd w:id="42"/>
      <w:bookmarkEnd w:id="43"/>
    </w:p>
    <w:sectPr>
      <w:headerReference r:id="rId3" w:type="default"/>
      <w:footerReference r:id="rId4" w:type="default"/>
      <w:pgSz w:w="11906" w:h="16838"/>
      <w:pgMar w:top="1440" w:right="1134" w:bottom="1440" w:left="141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4206801"/>
      <w:docPartObj>
        <w:docPartGallery w:val="autotext"/>
      </w:docPartObj>
    </w:sdtPr>
    <w:sdtContent>
      <w:p w14:paraId="4FA016AA">
        <w:pPr>
          <w:pStyle w:val="12"/>
          <w:jc w:val="center"/>
        </w:pPr>
        <w:r>
          <w:fldChar w:fldCharType="begin"/>
        </w:r>
        <w:r>
          <w:instrText xml:space="preserve">PAGE   \* MERGEFORMAT</w:instrText>
        </w:r>
        <w:r>
          <w:fldChar w:fldCharType="separate"/>
        </w:r>
        <w:r>
          <w:rPr>
            <w:lang w:val="zh-CN"/>
          </w:rPr>
          <w:t>3</w:t>
        </w:r>
        <w:r>
          <w:fldChar w:fldCharType="end"/>
        </w:r>
      </w:p>
    </w:sdtContent>
  </w:sdt>
  <w:p w14:paraId="3AD29B4A">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8EF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EFDD3EB"/>
    <w:multiLevelType w:val="singleLevel"/>
    <w:tmpl w:val="EEFDD3EB"/>
    <w:lvl w:ilvl="0" w:tentative="0">
      <w:start w:val="5"/>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9F62CE"/>
    <w:multiLevelType w:val="singleLevel"/>
    <w:tmpl w:val="389F62CE"/>
    <w:lvl w:ilvl="0" w:tentative="0">
      <w:start w:val="3"/>
      <w:numFmt w:val="chineseCounting"/>
      <w:suff w:val="nothing"/>
      <w:lvlText w:val="（%1）"/>
      <w:lvlJc w:val="left"/>
      <w:rPr>
        <w:rFonts w:hint="eastAsia"/>
      </w:rPr>
    </w:lvl>
  </w:abstractNum>
  <w:abstractNum w:abstractNumId="4">
    <w:nsid w:val="76BC91BC"/>
    <w:multiLevelType w:val="singleLevel"/>
    <w:tmpl w:val="76BC91BC"/>
    <w:lvl w:ilvl="0" w:tentative="0">
      <w:start w:val="1"/>
      <w:numFmt w:val="decimal"/>
      <w:pStyle w:val="8"/>
      <w:lvlText w:val="%1."/>
      <w:lvlJc w:val="left"/>
      <w:pPr>
        <w:tabs>
          <w:tab w:val="left" w:pos="360"/>
        </w:tabs>
        <w:ind w:left="36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UzNDA1NDkyY2MxZmJmZThlN2U3ZTFkMjcwOGYifQ=="/>
  </w:docVars>
  <w:rsids>
    <w:rsidRoot w:val="00F1361C"/>
    <w:rsid w:val="00007781"/>
    <w:rsid w:val="00012322"/>
    <w:rsid w:val="000222C6"/>
    <w:rsid w:val="0002549F"/>
    <w:rsid w:val="00034E6C"/>
    <w:rsid w:val="00042D00"/>
    <w:rsid w:val="00043281"/>
    <w:rsid w:val="0006487A"/>
    <w:rsid w:val="00065F8F"/>
    <w:rsid w:val="0007317A"/>
    <w:rsid w:val="000768F2"/>
    <w:rsid w:val="0009184B"/>
    <w:rsid w:val="0009593C"/>
    <w:rsid w:val="000B047F"/>
    <w:rsid w:val="000B5923"/>
    <w:rsid w:val="000B5A48"/>
    <w:rsid w:val="000B6FF3"/>
    <w:rsid w:val="000C3467"/>
    <w:rsid w:val="000C3CA6"/>
    <w:rsid w:val="000C60DA"/>
    <w:rsid w:val="000D1267"/>
    <w:rsid w:val="000D1D50"/>
    <w:rsid w:val="000D5782"/>
    <w:rsid w:val="000E6613"/>
    <w:rsid w:val="000E6F52"/>
    <w:rsid w:val="000E7119"/>
    <w:rsid w:val="000F1469"/>
    <w:rsid w:val="000F1B7A"/>
    <w:rsid w:val="00114E9B"/>
    <w:rsid w:val="00134EF0"/>
    <w:rsid w:val="0014729F"/>
    <w:rsid w:val="0015508D"/>
    <w:rsid w:val="00157BAB"/>
    <w:rsid w:val="001654D1"/>
    <w:rsid w:val="0018106D"/>
    <w:rsid w:val="001877A7"/>
    <w:rsid w:val="00191536"/>
    <w:rsid w:val="00196687"/>
    <w:rsid w:val="001A7833"/>
    <w:rsid w:val="001B173B"/>
    <w:rsid w:val="001C0962"/>
    <w:rsid w:val="001C3646"/>
    <w:rsid w:val="001D3BFE"/>
    <w:rsid w:val="001D7531"/>
    <w:rsid w:val="001E737D"/>
    <w:rsid w:val="001F0592"/>
    <w:rsid w:val="001F7506"/>
    <w:rsid w:val="002006CD"/>
    <w:rsid w:val="00202AE9"/>
    <w:rsid w:val="00202B36"/>
    <w:rsid w:val="00204B7A"/>
    <w:rsid w:val="0020672B"/>
    <w:rsid w:val="0021101A"/>
    <w:rsid w:val="00220536"/>
    <w:rsid w:val="0023172C"/>
    <w:rsid w:val="00235629"/>
    <w:rsid w:val="00241408"/>
    <w:rsid w:val="00243B3E"/>
    <w:rsid w:val="002545C1"/>
    <w:rsid w:val="00260C38"/>
    <w:rsid w:val="002616C0"/>
    <w:rsid w:val="002662AA"/>
    <w:rsid w:val="00271D6B"/>
    <w:rsid w:val="00280496"/>
    <w:rsid w:val="00295495"/>
    <w:rsid w:val="002A3225"/>
    <w:rsid w:val="002A5D36"/>
    <w:rsid w:val="002B2613"/>
    <w:rsid w:val="002F1818"/>
    <w:rsid w:val="002F567B"/>
    <w:rsid w:val="002F5DB3"/>
    <w:rsid w:val="00302BE7"/>
    <w:rsid w:val="0030338A"/>
    <w:rsid w:val="00312120"/>
    <w:rsid w:val="003129C1"/>
    <w:rsid w:val="00316F73"/>
    <w:rsid w:val="003216A9"/>
    <w:rsid w:val="00321F0A"/>
    <w:rsid w:val="0032269E"/>
    <w:rsid w:val="003311AA"/>
    <w:rsid w:val="00351732"/>
    <w:rsid w:val="0035271A"/>
    <w:rsid w:val="0037013F"/>
    <w:rsid w:val="00376923"/>
    <w:rsid w:val="00380C92"/>
    <w:rsid w:val="00385279"/>
    <w:rsid w:val="0038632B"/>
    <w:rsid w:val="003A484F"/>
    <w:rsid w:val="003B0BE0"/>
    <w:rsid w:val="003B0C1B"/>
    <w:rsid w:val="003B688C"/>
    <w:rsid w:val="003C0291"/>
    <w:rsid w:val="003C39AE"/>
    <w:rsid w:val="003C7B60"/>
    <w:rsid w:val="003D1FB2"/>
    <w:rsid w:val="003D3BDD"/>
    <w:rsid w:val="003D63D4"/>
    <w:rsid w:val="003D66DA"/>
    <w:rsid w:val="003E1310"/>
    <w:rsid w:val="003E5BD9"/>
    <w:rsid w:val="003E6F55"/>
    <w:rsid w:val="00406254"/>
    <w:rsid w:val="004223DE"/>
    <w:rsid w:val="00434489"/>
    <w:rsid w:val="00437085"/>
    <w:rsid w:val="00443880"/>
    <w:rsid w:val="004445F6"/>
    <w:rsid w:val="004464F4"/>
    <w:rsid w:val="00471401"/>
    <w:rsid w:val="00473F31"/>
    <w:rsid w:val="0048263A"/>
    <w:rsid w:val="00487E5D"/>
    <w:rsid w:val="004901D4"/>
    <w:rsid w:val="0049114F"/>
    <w:rsid w:val="00496DA9"/>
    <w:rsid w:val="004A22F1"/>
    <w:rsid w:val="004A711F"/>
    <w:rsid w:val="004B199D"/>
    <w:rsid w:val="004B4690"/>
    <w:rsid w:val="004B6755"/>
    <w:rsid w:val="004D21E1"/>
    <w:rsid w:val="004D7DC4"/>
    <w:rsid w:val="004E0A2D"/>
    <w:rsid w:val="004E206B"/>
    <w:rsid w:val="004E6DF7"/>
    <w:rsid w:val="004F0FBD"/>
    <w:rsid w:val="00505A47"/>
    <w:rsid w:val="00512FDA"/>
    <w:rsid w:val="00520DA0"/>
    <w:rsid w:val="00560720"/>
    <w:rsid w:val="005664BB"/>
    <w:rsid w:val="0057481D"/>
    <w:rsid w:val="0058486E"/>
    <w:rsid w:val="005B6683"/>
    <w:rsid w:val="005D0B76"/>
    <w:rsid w:val="005D1C8B"/>
    <w:rsid w:val="005D5CED"/>
    <w:rsid w:val="005F1A4C"/>
    <w:rsid w:val="00605688"/>
    <w:rsid w:val="006070AF"/>
    <w:rsid w:val="00607E6C"/>
    <w:rsid w:val="006101B1"/>
    <w:rsid w:val="00610C8F"/>
    <w:rsid w:val="00614E44"/>
    <w:rsid w:val="00622830"/>
    <w:rsid w:val="006277E3"/>
    <w:rsid w:val="00630AEF"/>
    <w:rsid w:val="006325F8"/>
    <w:rsid w:val="00634C9A"/>
    <w:rsid w:val="006440E4"/>
    <w:rsid w:val="0066343B"/>
    <w:rsid w:val="00664777"/>
    <w:rsid w:val="006748A4"/>
    <w:rsid w:val="006776CE"/>
    <w:rsid w:val="00683E73"/>
    <w:rsid w:val="006A3141"/>
    <w:rsid w:val="006A5E34"/>
    <w:rsid w:val="006B2422"/>
    <w:rsid w:val="006B2B9A"/>
    <w:rsid w:val="006C1937"/>
    <w:rsid w:val="006E021D"/>
    <w:rsid w:val="006E40E2"/>
    <w:rsid w:val="006F020C"/>
    <w:rsid w:val="007127B7"/>
    <w:rsid w:val="007416B6"/>
    <w:rsid w:val="00742010"/>
    <w:rsid w:val="00746F48"/>
    <w:rsid w:val="0075404D"/>
    <w:rsid w:val="00757014"/>
    <w:rsid w:val="0076182A"/>
    <w:rsid w:val="00767B7E"/>
    <w:rsid w:val="007720B6"/>
    <w:rsid w:val="007770C3"/>
    <w:rsid w:val="007827DD"/>
    <w:rsid w:val="00784D24"/>
    <w:rsid w:val="00785FBA"/>
    <w:rsid w:val="00786E4A"/>
    <w:rsid w:val="007875EB"/>
    <w:rsid w:val="0079426B"/>
    <w:rsid w:val="007A3BE1"/>
    <w:rsid w:val="007A63F5"/>
    <w:rsid w:val="007D312A"/>
    <w:rsid w:val="007D3F19"/>
    <w:rsid w:val="007D5FF2"/>
    <w:rsid w:val="007D7C6F"/>
    <w:rsid w:val="007E23B0"/>
    <w:rsid w:val="007E68AB"/>
    <w:rsid w:val="007F1991"/>
    <w:rsid w:val="007F2C2F"/>
    <w:rsid w:val="007F55FC"/>
    <w:rsid w:val="007F5665"/>
    <w:rsid w:val="00800112"/>
    <w:rsid w:val="0082317A"/>
    <w:rsid w:val="008253BB"/>
    <w:rsid w:val="0083626C"/>
    <w:rsid w:val="0083706E"/>
    <w:rsid w:val="008423A5"/>
    <w:rsid w:val="00850625"/>
    <w:rsid w:val="00853640"/>
    <w:rsid w:val="00853718"/>
    <w:rsid w:val="00855221"/>
    <w:rsid w:val="00860645"/>
    <w:rsid w:val="00871F71"/>
    <w:rsid w:val="00885AF4"/>
    <w:rsid w:val="008939CD"/>
    <w:rsid w:val="008B768C"/>
    <w:rsid w:val="008C26C1"/>
    <w:rsid w:val="008C4DB1"/>
    <w:rsid w:val="008C4EAF"/>
    <w:rsid w:val="008C5176"/>
    <w:rsid w:val="008C7FD0"/>
    <w:rsid w:val="008D37F6"/>
    <w:rsid w:val="008D5192"/>
    <w:rsid w:val="008E1DE7"/>
    <w:rsid w:val="008E707C"/>
    <w:rsid w:val="0090086C"/>
    <w:rsid w:val="00900B08"/>
    <w:rsid w:val="00901080"/>
    <w:rsid w:val="00902155"/>
    <w:rsid w:val="00902FA3"/>
    <w:rsid w:val="0091412F"/>
    <w:rsid w:val="00921B5D"/>
    <w:rsid w:val="00923564"/>
    <w:rsid w:val="0092392E"/>
    <w:rsid w:val="00925925"/>
    <w:rsid w:val="009315F9"/>
    <w:rsid w:val="00932F90"/>
    <w:rsid w:val="00946945"/>
    <w:rsid w:val="00951248"/>
    <w:rsid w:val="0095152F"/>
    <w:rsid w:val="00954C49"/>
    <w:rsid w:val="00962D50"/>
    <w:rsid w:val="0097099F"/>
    <w:rsid w:val="00971997"/>
    <w:rsid w:val="00971FFC"/>
    <w:rsid w:val="00974E1F"/>
    <w:rsid w:val="0098660A"/>
    <w:rsid w:val="009931C3"/>
    <w:rsid w:val="00993CF5"/>
    <w:rsid w:val="009B2330"/>
    <w:rsid w:val="009B2C43"/>
    <w:rsid w:val="009B4EAE"/>
    <w:rsid w:val="009B7573"/>
    <w:rsid w:val="009C22F4"/>
    <w:rsid w:val="009C2E98"/>
    <w:rsid w:val="009C5348"/>
    <w:rsid w:val="009D3447"/>
    <w:rsid w:val="009D4711"/>
    <w:rsid w:val="009F1185"/>
    <w:rsid w:val="009F16C3"/>
    <w:rsid w:val="009F18CD"/>
    <w:rsid w:val="009F2A13"/>
    <w:rsid w:val="00A02EE9"/>
    <w:rsid w:val="00A04EB0"/>
    <w:rsid w:val="00A13CC1"/>
    <w:rsid w:val="00A16847"/>
    <w:rsid w:val="00A226F9"/>
    <w:rsid w:val="00A237D8"/>
    <w:rsid w:val="00A268C4"/>
    <w:rsid w:val="00A307CD"/>
    <w:rsid w:val="00A30DD0"/>
    <w:rsid w:val="00A4098D"/>
    <w:rsid w:val="00A40A00"/>
    <w:rsid w:val="00A4142F"/>
    <w:rsid w:val="00A43483"/>
    <w:rsid w:val="00A56DF2"/>
    <w:rsid w:val="00A67AB5"/>
    <w:rsid w:val="00A91760"/>
    <w:rsid w:val="00A93B00"/>
    <w:rsid w:val="00A93C21"/>
    <w:rsid w:val="00AC3C6A"/>
    <w:rsid w:val="00AD5620"/>
    <w:rsid w:val="00AD7C1B"/>
    <w:rsid w:val="00AE16BA"/>
    <w:rsid w:val="00AE1EBE"/>
    <w:rsid w:val="00AE5342"/>
    <w:rsid w:val="00AF754D"/>
    <w:rsid w:val="00B026A6"/>
    <w:rsid w:val="00B03C9D"/>
    <w:rsid w:val="00B060AE"/>
    <w:rsid w:val="00B10517"/>
    <w:rsid w:val="00B10565"/>
    <w:rsid w:val="00B14E76"/>
    <w:rsid w:val="00B161B8"/>
    <w:rsid w:val="00B2048C"/>
    <w:rsid w:val="00B24322"/>
    <w:rsid w:val="00B30DBC"/>
    <w:rsid w:val="00B310B9"/>
    <w:rsid w:val="00B35F3F"/>
    <w:rsid w:val="00B36CBB"/>
    <w:rsid w:val="00B3786B"/>
    <w:rsid w:val="00B425E0"/>
    <w:rsid w:val="00B440AA"/>
    <w:rsid w:val="00B44B70"/>
    <w:rsid w:val="00B53C56"/>
    <w:rsid w:val="00B77EA6"/>
    <w:rsid w:val="00B81598"/>
    <w:rsid w:val="00B841F1"/>
    <w:rsid w:val="00B86CB2"/>
    <w:rsid w:val="00B91AD7"/>
    <w:rsid w:val="00B944D6"/>
    <w:rsid w:val="00BB4DF0"/>
    <w:rsid w:val="00BB678F"/>
    <w:rsid w:val="00BC289F"/>
    <w:rsid w:val="00BC5361"/>
    <w:rsid w:val="00BC5460"/>
    <w:rsid w:val="00BC6B50"/>
    <w:rsid w:val="00BD0E25"/>
    <w:rsid w:val="00BD3ACB"/>
    <w:rsid w:val="00BE7E88"/>
    <w:rsid w:val="00BF2C2D"/>
    <w:rsid w:val="00BF5BD6"/>
    <w:rsid w:val="00C034E1"/>
    <w:rsid w:val="00C03E31"/>
    <w:rsid w:val="00C159B0"/>
    <w:rsid w:val="00C16BFC"/>
    <w:rsid w:val="00C33E72"/>
    <w:rsid w:val="00C354B2"/>
    <w:rsid w:val="00C35554"/>
    <w:rsid w:val="00C4254B"/>
    <w:rsid w:val="00C42709"/>
    <w:rsid w:val="00C43F2D"/>
    <w:rsid w:val="00C51F46"/>
    <w:rsid w:val="00C533CC"/>
    <w:rsid w:val="00C55D76"/>
    <w:rsid w:val="00C5751C"/>
    <w:rsid w:val="00C57657"/>
    <w:rsid w:val="00C61BFC"/>
    <w:rsid w:val="00C62B85"/>
    <w:rsid w:val="00C65438"/>
    <w:rsid w:val="00C72989"/>
    <w:rsid w:val="00C73382"/>
    <w:rsid w:val="00C91CBB"/>
    <w:rsid w:val="00C93B3B"/>
    <w:rsid w:val="00CA5077"/>
    <w:rsid w:val="00CC09B6"/>
    <w:rsid w:val="00CC3354"/>
    <w:rsid w:val="00CC666F"/>
    <w:rsid w:val="00CD0136"/>
    <w:rsid w:val="00CD1E3F"/>
    <w:rsid w:val="00CD3005"/>
    <w:rsid w:val="00CD4D38"/>
    <w:rsid w:val="00CE44F6"/>
    <w:rsid w:val="00CE49DA"/>
    <w:rsid w:val="00CE7B61"/>
    <w:rsid w:val="00CF7A48"/>
    <w:rsid w:val="00D00095"/>
    <w:rsid w:val="00D01EE9"/>
    <w:rsid w:val="00D20620"/>
    <w:rsid w:val="00D26091"/>
    <w:rsid w:val="00D319E8"/>
    <w:rsid w:val="00D34E7C"/>
    <w:rsid w:val="00D35489"/>
    <w:rsid w:val="00D43F46"/>
    <w:rsid w:val="00D51276"/>
    <w:rsid w:val="00D7035F"/>
    <w:rsid w:val="00D77ECC"/>
    <w:rsid w:val="00D94589"/>
    <w:rsid w:val="00DA65AC"/>
    <w:rsid w:val="00DB1913"/>
    <w:rsid w:val="00DC410D"/>
    <w:rsid w:val="00DC68CA"/>
    <w:rsid w:val="00DC7CBA"/>
    <w:rsid w:val="00DD611C"/>
    <w:rsid w:val="00DD73B7"/>
    <w:rsid w:val="00DE1D32"/>
    <w:rsid w:val="00DF28BC"/>
    <w:rsid w:val="00DF34B9"/>
    <w:rsid w:val="00E01053"/>
    <w:rsid w:val="00E07ACF"/>
    <w:rsid w:val="00E2292F"/>
    <w:rsid w:val="00E331A1"/>
    <w:rsid w:val="00E33202"/>
    <w:rsid w:val="00E336A9"/>
    <w:rsid w:val="00E354BE"/>
    <w:rsid w:val="00E50624"/>
    <w:rsid w:val="00E568DF"/>
    <w:rsid w:val="00E64269"/>
    <w:rsid w:val="00E6793A"/>
    <w:rsid w:val="00E71EC2"/>
    <w:rsid w:val="00E82267"/>
    <w:rsid w:val="00E87B5E"/>
    <w:rsid w:val="00E97948"/>
    <w:rsid w:val="00EA010F"/>
    <w:rsid w:val="00EC1508"/>
    <w:rsid w:val="00ED1B63"/>
    <w:rsid w:val="00ED3C1F"/>
    <w:rsid w:val="00ED4085"/>
    <w:rsid w:val="00ED420E"/>
    <w:rsid w:val="00EE25B4"/>
    <w:rsid w:val="00EE2F57"/>
    <w:rsid w:val="00EF4C34"/>
    <w:rsid w:val="00EF77C6"/>
    <w:rsid w:val="00F05438"/>
    <w:rsid w:val="00F1361C"/>
    <w:rsid w:val="00F160C7"/>
    <w:rsid w:val="00F23AF1"/>
    <w:rsid w:val="00F340F9"/>
    <w:rsid w:val="00F36D8F"/>
    <w:rsid w:val="00F417B1"/>
    <w:rsid w:val="00F418D0"/>
    <w:rsid w:val="00F5067B"/>
    <w:rsid w:val="00F602DF"/>
    <w:rsid w:val="00F81FD9"/>
    <w:rsid w:val="00F841AA"/>
    <w:rsid w:val="00F90131"/>
    <w:rsid w:val="00FA23E8"/>
    <w:rsid w:val="00FB7ACA"/>
    <w:rsid w:val="00FC0334"/>
    <w:rsid w:val="00FD3CC1"/>
    <w:rsid w:val="00FF1E02"/>
    <w:rsid w:val="00FF30B4"/>
    <w:rsid w:val="01372323"/>
    <w:rsid w:val="018B6369"/>
    <w:rsid w:val="01936A02"/>
    <w:rsid w:val="0198587D"/>
    <w:rsid w:val="01A61282"/>
    <w:rsid w:val="02347682"/>
    <w:rsid w:val="024B505A"/>
    <w:rsid w:val="028D5673"/>
    <w:rsid w:val="03393468"/>
    <w:rsid w:val="037A63A2"/>
    <w:rsid w:val="03E001ED"/>
    <w:rsid w:val="040333C4"/>
    <w:rsid w:val="04185F6B"/>
    <w:rsid w:val="0441308B"/>
    <w:rsid w:val="04461F7D"/>
    <w:rsid w:val="04A76C1E"/>
    <w:rsid w:val="04AF13C9"/>
    <w:rsid w:val="04DB3E3D"/>
    <w:rsid w:val="04FF037E"/>
    <w:rsid w:val="052136C5"/>
    <w:rsid w:val="05341DD6"/>
    <w:rsid w:val="054A01C5"/>
    <w:rsid w:val="055B3806"/>
    <w:rsid w:val="057E6BBA"/>
    <w:rsid w:val="05AA193F"/>
    <w:rsid w:val="05C42179"/>
    <w:rsid w:val="06540DA8"/>
    <w:rsid w:val="06562AE5"/>
    <w:rsid w:val="069B3ACF"/>
    <w:rsid w:val="07344328"/>
    <w:rsid w:val="073638D8"/>
    <w:rsid w:val="07507D43"/>
    <w:rsid w:val="07941430"/>
    <w:rsid w:val="08181475"/>
    <w:rsid w:val="08206641"/>
    <w:rsid w:val="08323C43"/>
    <w:rsid w:val="0841191C"/>
    <w:rsid w:val="0876260D"/>
    <w:rsid w:val="087F2C26"/>
    <w:rsid w:val="08BB45BC"/>
    <w:rsid w:val="090441B5"/>
    <w:rsid w:val="09465142"/>
    <w:rsid w:val="0992531D"/>
    <w:rsid w:val="0A344E9F"/>
    <w:rsid w:val="0A3C07FE"/>
    <w:rsid w:val="0A8438E2"/>
    <w:rsid w:val="0ABA1821"/>
    <w:rsid w:val="0AE54168"/>
    <w:rsid w:val="0B180A1F"/>
    <w:rsid w:val="0B1D50BA"/>
    <w:rsid w:val="0B2C375A"/>
    <w:rsid w:val="0B6E03CB"/>
    <w:rsid w:val="0BC458DB"/>
    <w:rsid w:val="0C2947BC"/>
    <w:rsid w:val="0C436C39"/>
    <w:rsid w:val="0C623A17"/>
    <w:rsid w:val="0C985340"/>
    <w:rsid w:val="0C9F142C"/>
    <w:rsid w:val="0D154076"/>
    <w:rsid w:val="0D3054C3"/>
    <w:rsid w:val="0D9762BB"/>
    <w:rsid w:val="0DBA567A"/>
    <w:rsid w:val="0E186D0D"/>
    <w:rsid w:val="0E2E324F"/>
    <w:rsid w:val="0E614C23"/>
    <w:rsid w:val="0EDB1514"/>
    <w:rsid w:val="0EE2323D"/>
    <w:rsid w:val="0EE526EA"/>
    <w:rsid w:val="0F0236B0"/>
    <w:rsid w:val="0F0F5E83"/>
    <w:rsid w:val="0F752A44"/>
    <w:rsid w:val="0F7D0B61"/>
    <w:rsid w:val="0FB53557"/>
    <w:rsid w:val="10425654"/>
    <w:rsid w:val="10861954"/>
    <w:rsid w:val="10C055FF"/>
    <w:rsid w:val="10E46825"/>
    <w:rsid w:val="10E96DF4"/>
    <w:rsid w:val="10EE728C"/>
    <w:rsid w:val="11160D6C"/>
    <w:rsid w:val="112027B1"/>
    <w:rsid w:val="1143693A"/>
    <w:rsid w:val="11576F21"/>
    <w:rsid w:val="117479FE"/>
    <w:rsid w:val="11E155E3"/>
    <w:rsid w:val="12217B86"/>
    <w:rsid w:val="12352BEA"/>
    <w:rsid w:val="126F39E8"/>
    <w:rsid w:val="12832B06"/>
    <w:rsid w:val="12A02307"/>
    <w:rsid w:val="12B34F44"/>
    <w:rsid w:val="12FE64DD"/>
    <w:rsid w:val="1350242C"/>
    <w:rsid w:val="13A97E33"/>
    <w:rsid w:val="1427548C"/>
    <w:rsid w:val="142C0307"/>
    <w:rsid w:val="1459432B"/>
    <w:rsid w:val="146A1E01"/>
    <w:rsid w:val="149438EE"/>
    <w:rsid w:val="14982E7D"/>
    <w:rsid w:val="14BB1B4E"/>
    <w:rsid w:val="14D56A06"/>
    <w:rsid w:val="14FD1B73"/>
    <w:rsid w:val="15585F9B"/>
    <w:rsid w:val="158B2E33"/>
    <w:rsid w:val="15B813A4"/>
    <w:rsid w:val="15C50828"/>
    <w:rsid w:val="15E058EE"/>
    <w:rsid w:val="15ED227C"/>
    <w:rsid w:val="16003EE7"/>
    <w:rsid w:val="16077FC8"/>
    <w:rsid w:val="160D48E0"/>
    <w:rsid w:val="16571A99"/>
    <w:rsid w:val="16730E77"/>
    <w:rsid w:val="16BB723D"/>
    <w:rsid w:val="16C31E29"/>
    <w:rsid w:val="16EF4171"/>
    <w:rsid w:val="17964DF6"/>
    <w:rsid w:val="17E3061E"/>
    <w:rsid w:val="18622F95"/>
    <w:rsid w:val="18AE6838"/>
    <w:rsid w:val="18EA12A6"/>
    <w:rsid w:val="18EB61BE"/>
    <w:rsid w:val="18F6471E"/>
    <w:rsid w:val="190459E4"/>
    <w:rsid w:val="19063631"/>
    <w:rsid w:val="19144D19"/>
    <w:rsid w:val="19350653"/>
    <w:rsid w:val="194427E8"/>
    <w:rsid w:val="19720745"/>
    <w:rsid w:val="19B25223"/>
    <w:rsid w:val="1A3B20FD"/>
    <w:rsid w:val="1A3D5415"/>
    <w:rsid w:val="1A8567D8"/>
    <w:rsid w:val="1B0A527B"/>
    <w:rsid w:val="1B2E1CD2"/>
    <w:rsid w:val="1B456347"/>
    <w:rsid w:val="1B4F54AC"/>
    <w:rsid w:val="1B805EED"/>
    <w:rsid w:val="1BCB180E"/>
    <w:rsid w:val="1BD7751C"/>
    <w:rsid w:val="1BE66188"/>
    <w:rsid w:val="1C4630E0"/>
    <w:rsid w:val="1C4E4299"/>
    <w:rsid w:val="1C5F19D6"/>
    <w:rsid w:val="1C672639"/>
    <w:rsid w:val="1C8E1370"/>
    <w:rsid w:val="1D426418"/>
    <w:rsid w:val="1DA65540"/>
    <w:rsid w:val="1DC75A85"/>
    <w:rsid w:val="1DD7788B"/>
    <w:rsid w:val="1E3D05D9"/>
    <w:rsid w:val="1E95099F"/>
    <w:rsid w:val="1ED33D2F"/>
    <w:rsid w:val="1EE9068F"/>
    <w:rsid w:val="1F1D2E05"/>
    <w:rsid w:val="1F6572D5"/>
    <w:rsid w:val="1F972093"/>
    <w:rsid w:val="205963E5"/>
    <w:rsid w:val="20821DE2"/>
    <w:rsid w:val="208323B0"/>
    <w:rsid w:val="20895274"/>
    <w:rsid w:val="20DA0A71"/>
    <w:rsid w:val="21385595"/>
    <w:rsid w:val="219F2875"/>
    <w:rsid w:val="21D966CE"/>
    <w:rsid w:val="21FE197F"/>
    <w:rsid w:val="222A1053"/>
    <w:rsid w:val="223960B1"/>
    <w:rsid w:val="226905E7"/>
    <w:rsid w:val="228B7B4C"/>
    <w:rsid w:val="22C73CA1"/>
    <w:rsid w:val="22E30C4F"/>
    <w:rsid w:val="230128B1"/>
    <w:rsid w:val="235E52BF"/>
    <w:rsid w:val="236478D2"/>
    <w:rsid w:val="23CA52D6"/>
    <w:rsid w:val="23D93670"/>
    <w:rsid w:val="23F538E4"/>
    <w:rsid w:val="240371BF"/>
    <w:rsid w:val="241A2891"/>
    <w:rsid w:val="242F69A3"/>
    <w:rsid w:val="246612E9"/>
    <w:rsid w:val="247E2E8E"/>
    <w:rsid w:val="248E0275"/>
    <w:rsid w:val="249D3030"/>
    <w:rsid w:val="24C26FA6"/>
    <w:rsid w:val="24CC6F10"/>
    <w:rsid w:val="24F506AF"/>
    <w:rsid w:val="25044C48"/>
    <w:rsid w:val="253D3678"/>
    <w:rsid w:val="257F3371"/>
    <w:rsid w:val="259F4BF2"/>
    <w:rsid w:val="26123616"/>
    <w:rsid w:val="26BE379D"/>
    <w:rsid w:val="26C47DDC"/>
    <w:rsid w:val="26CC5EBA"/>
    <w:rsid w:val="26DB434F"/>
    <w:rsid w:val="271E7DEC"/>
    <w:rsid w:val="272F01F7"/>
    <w:rsid w:val="27C84AFD"/>
    <w:rsid w:val="27D66E7A"/>
    <w:rsid w:val="28700AC7"/>
    <w:rsid w:val="287C708A"/>
    <w:rsid w:val="288D0CE6"/>
    <w:rsid w:val="289B3919"/>
    <w:rsid w:val="28A41280"/>
    <w:rsid w:val="29062EB9"/>
    <w:rsid w:val="29B361B4"/>
    <w:rsid w:val="29F106E0"/>
    <w:rsid w:val="29FD04D3"/>
    <w:rsid w:val="2A043BBD"/>
    <w:rsid w:val="2A0C2A72"/>
    <w:rsid w:val="2A107F74"/>
    <w:rsid w:val="2A303B17"/>
    <w:rsid w:val="2A566BA5"/>
    <w:rsid w:val="2A6D3AE5"/>
    <w:rsid w:val="2A7379D6"/>
    <w:rsid w:val="2AC6406E"/>
    <w:rsid w:val="2AFA3507"/>
    <w:rsid w:val="2B08148B"/>
    <w:rsid w:val="2B2B1D45"/>
    <w:rsid w:val="2B5B62B2"/>
    <w:rsid w:val="2B6658FC"/>
    <w:rsid w:val="2BE37D65"/>
    <w:rsid w:val="2C6B2D25"/>
    <w:rsid w:val="2C720488"/>
    <w:rsid w:val="2C88736B"/>
    <w:rsid w:val="2C8F4334"/>
    <w:rsid w:val="2CD330BF"/>
    <w:rsid w:val="2CDC37A3"/>
    <w:rsid w:val="2D047A30"/>
    <w:rsid w:val="2D1905F2"/>
    <w:rsid w:val="2D8363D0"/>
    <w:rsid w:val="2D9E1C33"/>
    <w:rsid w:val="2E4427DA"/>
    <w:rsid w:val="2E7D3AD5"/>
    <w:rsid w:val="2EBA2261"/>
    <w:rsid w:val="2ED93001"/>
    <w:rsid w:val="2F467ADC"/>
    <w:rsid w:val="2F760120"/>
    <w:rsid w:val="2FC763B4"/>
    <w:rsid w:val="30354AD0"/>
    <w:rsid w:val="30515C27"/>
    <w:rsid w:val="3069477A"/>
    <w:rsid w:val="309C4B4F"/>
    <w:rsid w:val="30AF5DF7"/>
    <w:rsid w:val="30F3375D"/>
    <w:rsid w:val="30FA1876"/>
    <w:rsid w:val="310B2313"/>
    <w:rsid w:val="314E65C2"/>
    <w:rsid w:val="31971C15"/>
    <w:rsid w:val="31996026"/>
    <w:rsid w:val="319F7F4E"/>
    <w:rsid w:val="31D1096D"/>
    <w:rsid w:val="32122118"/>
    <w:rsid w:val="325D20BC"/>
    <w:rsid w:val="3317670F"/>
    <w:rsid w:val="337C11F3"/>
    <w:rsid w:val="33B87464"/>
    <w:rsid w:val="33D67AFA"/>
    <w:rsid w:val="33F541D5"/>
    <w:rsid w:val="341472E4"/>
    <w:rsid w:val="343E1A7A"/>
    <w:rsid w:val="34CD0256"/>
    <w:rsid w:val="34DC01CF"/>
    <w:rsid w:val="354421E9"/>
    <w:rsid w:val="35586B6B"/>
    <w:rsid w:val="35780FBB"/>
    <w:rsid w:val="357A3CA7"/>
    <w:rsid w:val="35A81DE2"/>
    <w:rsid w:val="35B37503"/>
    <w:rsid w:val="35FB2318"/>
    <w:rsid w:val="36330222"/>
    <w:rsid w:val="36527A5E"/>
    <w:rsid w:val="36571524"/>
    <w:rsid w:val="366D189D"/>
    <w:rsid w:val="36A302BA"/>
    <w:rsid w:val="372E5533"/>
    <w:rsid w:val="373165B0"/>
    <w:rsid w:val="37593BA1"/>
    <w:rsid w:val="37600606"/>
    <w:rsid w:val="37AB4489"/>
    <w:rsid w:val="37B502A5"/>
    <w:rsid w:val="37C67274"/>
    <w:rsid w:val="37D56B99"/>
    <w:rsid w:val="382471D8"/>
    <w:rsid w:val="38500809"/>
    <w:rsid w:val="387D1A86"/>
    <w:rsid w:val="387E6334"/>
    <w:rsid w:val="3880428F"/>
    <w:rsid w:val="38C56C0D"/>
    <w:rsid w:val="38E0550C"/>
    <w:rsid w:val="391C373A"/>
    <w:rsid w:val="392B75FF"/>
    <w:rsid w:val="393E3FC7"/>
    <w:rsid w:val="395F0017"/>
    <w:rsid w:val="396C0181"/>
    <w:rsid w:val="399C472B"/>
    <w:rsid w:val="3A1A0893"/>
    <w:rsid w:val="3A252AB1"/>
    <w:rsid w:val="3A4C1AFC"/>
    <w:rsid w:val="3A6D30B9"/>
    <w:rsid w:val="3A720BEE"/>
    <w:rsid w:val="3A724BBF"/>
    <w:rsid w:val="3A8054C4"/>
    <w:rsid w:val="3ABC508D"/>
    <w:rsid w:val="3B0A4DAB"/>
    <w:rsid w:val="3B1D3F71"/>
    <w:rsid w:val="3B65138C"/>
    <w:rsid w:val="3B9C1EA7"/>
    <w:rsid w:val="3BE4055E"/>
    <w:rsid w:val="3C321FC6"/>
    <w:rsid w:val="3C325206"/>
    <w:rsid w:val="3C337A30"/>
    <w:rsid w:val="3C6E497A"/>
    <w:rsid w:val="3C933C18"/>
    <w:rsid w:val="3CE77152"/>
    <w:rsid w:val="3D1A36B2"/>
    <w:rsid w:val="3D2C61BE"/>
    <w:rsid w:val="3E017148"/>
    <w:rsid w:val="3E060C40"/>
    <w:rsid w:val="3E1F13E7"/>
    <w:rsid w:val="3E7978B4"/>
    <w:rsid w:val="3EF234A9"/>
    <w:rsid w:val="3F157DE5"/>
    <w:rsid w:val="3F1D03FE"/>
    <w:rsid w:val="3F3E5454"/>
    <w:rsid w:val="3FA52EF5"/>
    <w:rsid w:val="3FDB2873"/>
    <w:rsid w:val="40007212"/>
    <w:rsid w:val="40123390"/>
    <w:rsid w:val="402D6810"/>
    <w:rsid w:val="40A504A7"/>
    <w:rsid w:val="40AF3345"/>
    <w:rsid w:val="40E554EF"/>
    <w:rsid w:val="40EA4655"/>
    <w:rsid w:val="412A3AB2"/>
    <w:rsid w:val="41D57EC1"/>
    <w:rsid w:val="425103BC"/>
    <w:rsid w:val="42532A33"/>
    <w:rsid w:val="427C24E1"/>
    <w:rsid w:val="42B13B71"/>
    <w:rsid w:val="42C4406E"/>
    <w:rsid w:val="43070205"/>
    <w:rsid w:val="43394480"/>
    <w:rsid w:val="435A677F"/>
    <w:rsid w:val="43F9776B"/>
    <w:rsid w:val="44626F67"/>
    <w:rsid w:val="44AD6B1E"/>
    <w:rsid w:val="45ED68FD"/>
    <w:rsid w:val="46081C5D"/>
    <w:rsid w:val="46346EA6"/>
    <w:rsid w:val="46485133"/>
    <w:rsid w:val="46652972"/>
    <w:rsid w:val="4670445C"/>
    <w:rsid w:val="46A07F0F"/>
    <w:rsid w:val="46D7520D"/>
    <w:rsid w:val="46E73CB4"/>
    <w:rsid w:val="470D5149"/>
    <w:rsid w:val="4733305D"/>
    <w:rsid w:val="48524222"/>
    <w:rsid w:val="486149F0"/>
    <w:rsid w:val="48752C58"/>
    <w:rsid w:val="487E0519"/>
    <w:rsid w:val="4893018E"/>
    <w:rsid w:val="48C60564"/>
    <w:rsid w:val="48F14EB5"/>
    <w:rsid w:val="48F7696F"/>
    <w:rsid w:val="48FF4AAA"/>
    <w:rsid w:val="491230DD"/>
    <w:rsid w:val="49355907"/>
    <w:rsid w:val="494B470E"/>
    <w:rsid w:val="4952185C"/>
    <w:rsid w:val="495E69EE"/>
    <w:rsid w:val="496E1A1B"/>
    <w:rsid w:val="499D3DA6"/>
    <w:rsid w:val="4A08201A"/>
    <w:rsid w:val="4A436FF1"/>
    <w:rsid w:val="4A510301"/>
    <w:rsid w:val="4AF9070D"/>
    <w:rsid w:val="4B4F4CE6"/>
    <w:rsid w:val="4B862B49"/>
    <w:rsid w:val="4B940289"/>
    <w:rsid w:val="4BE62177"/>
    <w:rsid w:val="4C0849EF"/>
    <w:rsid w:val="4C171BFB"/>
    <w:rsid w:val="4C6C31D0"/>
    <w:rsid w:val="4C737FEB"/>
    <w:rsid w:val="4C792879"/>
    <w:rsid w:val="4CA65A91"/>
    <w:rsid w:val="4CBB672C"/>
    <w:rsid w:val="4D135D42"/>
    <w:rsid w:val="4D374464"/>
    <w:rsid w:val="4D6A2335"/>
    <w:rsid w:val="4D780280"/>
    <w:rsid w:val="4DC540A1"/>
    <w:rsid w:val="4DCB77B3"/>
    <w:rsid w:val="4DEC2A80"/>
    <w:rsid w:val="4E5E1682"/>
    <w:rsid w:val="4E764940"/>
    <w:rsid w:val="4ED908C5"/>
    <w:rsid w:val="4F2024E8"/>
    <w:rsid w:val="4F435AAB"/>
    <w:rsid w:val="4F475C45"/>
    <w:rsid w:val="4F541A58"/>
    <w:rsid w:val="4F875B23"/>
    <w:rsid w:val="4FC71344"/>
    <w:rsid w:val="4FE14544"/>
    <w:rsid w:val="502F4C40"/>
    <w:rsid w:val="50347D02"/>
    <w:rsid w:val="50485B88"/>
    <w:rsid w:val="50734785"/>
    <w:rsid w:val="507840EC"/>
    <w:rsid w:val="507C1C17"/>
    <w:rsid w:val="50A17A6E"/>
    <w:rsid w:val="513937E0"/>
    <w:rsid w:val="51A53CEE"/>
    <w:rsid w:val="51E26CB5"/>
    <w:rsid w:val="51E47F7B"/>
    <w:rsid w:val="521856D5"/>
    <w:rsid w:val="525743CB"/>
    <w:rsid w:val="526003A1"/>
    <w:rsid w:val="526D5C04"/>
    <w:rsid w:val="52B81FBE"/>
    <w:rsid w:val="52CD60A9"/>
    <w:rsid w:val="535B479F"/>
    <w:rsid w:val="538F0D7F"/>
    <w:rsid w:val="539741EF"/>
    <w:rsid w:val="53BE3A4E"/>
    <w:rsid w:val="53E671BA"/>
    <w:rsid w:val="54803E05"/>
    <w:rsid w:val="54A828BF"/>
    <w:rsid w:val="54D41A0F"/>
    <w:rsid w:val="550D2661"/>
    <w:rsid w:val="55122895"/>
    <w:rsid w:val="55174DBD"/>
    <w:rsid w:val="552F2E48"/>
    <w:rsid w:val="55365700"/>
    <w:rsid w:val="55626A0C"/>
    <w:rsid w:val="556C47F5"/>
    <w:rsid w:val="55705E0B"/>
    <w:rsid w:val="55981E45"/>
    <w:rsid w:val="55B773AB"/>
    <w:rsid w:val="55BE07DD"/>
    <w:rsid w:val="55E96A3A"/>
    <w:rsid w:val="56081A51"/>
    <w:rsid w:val="56365FAA"/>
    <w:rsid w:val="5674365D"/>
    <w:rsid w:val="568E0ABB"/>
    <w:rsid w:val="56971BE9"/>
    <w:rsid w:val="56A156AF"/>
    <w:rsid w:val="56A16762"/>
    <w:rsid w:val="56B65760"/>
    <w:rsid w:val="571701DC"/>
    <w:rsid w:val="571844CB"/>
    <w:rsid w:val="571E71F4"/>
    <w:rsid w:val="572A6162"/>
    <w:rsid w:val="574662D9"/>
    <w:rsid w:val="577E025B"/>
    <w:rsid w:val="578C4726"/>
    <w:rsid w:val="57E411DB"/>
    <w:rsid w:val="582E1C82"/>
    <w:rsid w:val="588C2079"/>
    <w:rsid w:val="58C433D3"/>
    <w:rsid w:val="58C7642D"/>
    <w:rsid w:val="58DE5456"/>
    <w:rsid w:val="59114C9C"/>
    <w:rsid w:val="593B0A22"/>
    <w:rsid w:val="59413C36"/>
    <w:rsid w:val="59500C86"/>
    <w:rsid w:val="59B62470"/>
    <w:rsid w:val="59BD150F"/>
    <w:rsid w:val="59C81AD1"/>
    <w:rsid w:val="59CA248B"/>
    <w:rsid w:val="59F1199A"/>
    <w:rsid w:val="5A1D0700"/>
    <w:rsid w:val="5A4B1DC3"/>
    <w:rsid w:val="5A5B72E5"/>
    <w:rsid w:val="5A646463"/>
    <w:rsid w:val="5AB0697E"/>
    <w:rsid w:val="5AC111EA"/>
    <w:rsid w:val="5AD308BE"/>
    <w:rsid w:val="5B0942E0"/>
    <w:rsid w:val="5B7D79B0"/>
    <w:rsid w:val="5B992A9D"/>
    <w:rsid w:val="5BC325E3"/>
    <w:rsid w:val="5C1476F5"/>
    <w:rsid w:val="5C351D6C"/>
    <w:rsid w:val="5C6B5EFB"/>
    <w:rsid w:val="5C9D73D6"/>
    <w:rsid w:val="5CA86647"/>
    <w:rsid w:val="5CB07109"/>
    <w:rsid w:val="5CC63ACD"/>
    <w:rsid w:val="5CDA41FC"/>
    <w:rsid w:val="5CDC6F31"/>
    <w:rsid w:val="5CEE29A8"/>
    <w:rsid w:val="5CF03E38"/>
    <w:rsid w:val="5D8A2160"/>
    <w:rsid w:val="5DAB2230"/>
    <w:rsid w:val="5E0857C0"/>
    <w:rsid w:val="5EE06497"/>
    <w:rsid w:val="5EFD75EB"/>
    <w:rsid w:val="5F463D55"/>
    <w:rsid w:val="5F6D7FCB"/>
    <w:rsid w:val="5F842877"/>
    <w:rsid w:val="5F881C77"/>
    <w:rsid w:val="5F8D25F1"/>
    <w:rsid w:val="5FBA4A30"/>
    <w:rsid w:val="5FBA6DCA"/>
    <w:rsid w:val="60280797"/>
    <w:rsid w:val="604A30F2"/>
    <w:rsid w:val="604B408B"/>
    <w:rsid w:val="607B4B12"/>
    <w:rsid w:val="608E6BD3"/>
    <w:rsid w:val="6092190E"/>
    <w:rsid w:val="60E5331F"/>
    <w:rsid w:val="60EB43D1"/>
    <w:rsid w:val="61546CE8"/>
    <w:rsid w:val="61E84DE1"/>
    <w:rsid w:val="61F25ACE"/>
    <w:rsid w:val="620D2908"/>
    <w:rsid w:val="624D2357"/>
    <w:rsid w:val="62853336"/>
    <w:rsid w:val="62E418BB"/>
    <w:rsid w:val="63016E98"/>
    <w:rsid w:val="630A38B9"/>
    <w:rsid w:val="631D3C48"/>
    <w:rsid w:val="63212B20"/>
    <w:rsid w:val="63711318"/>
    <w:rsid w:val="637B747D"/>
    <w:rsid w:val="638149DD"/>
    <w:rsid w:val="63886CD4"/>
    <w:rsid w:val="63C21728"/>
    <w:rsid w:val="63CA75F7"/>
    <w:rsid w:val="63CD05A1"/>
    <w:rsid w:val="63E74E45"/>
    <w:rsid w:val="64132AA7"/>
    <w:rsid w:val="6419731B"/>
    <w:rsid w:val="6446024F"/>
    <w:rsid w:val="644B1898"/>
    <w:rsid w:val="64540CC2"/>
    <w:rsid w:val="64892826"/>
    <w:rsid w:val="64C47668"/>
    <w:rsid w:val="64C57861"/>
    <w:rsid w:val="64CC2177"/>
    <w:rsid w:val="64EA3C4C"/>
    <w:rsid w:val="650107CC"/>
    <w:rsid w:val="65114489"/>
    <w:rsid w:val="65997D9E"/>
    <w:rsid w:val="65D87EDC"/>
    <w:rsid w:val="661C7228"/>
    <w:rsid w:val="662446C4"/>
    <w:rsid w:val="66447577"/>
    <w:rsid w:val="664A008B"/>
    <w:rsid w:val="666D1BC7"/>
    <w:rsid w:val="66966C74"/>
    <w:rsid w:val="66BC4768"/>
    <w:rsid w:val="66F75934"/>
    <w:rsid w:val="67183FE6"/>
    <w:rsid w:val="672A58BC"/>
    <w:rsid w:val="677E6BDE"/>
    <w:rsid w:val="67B036D5"/>
    <w:rsid w:val="67CA7051"/>
    <w:rsid w:val="6856444C"/>
    <w:rsid w:val="685B2023"/>
    <w:rsid w:val="687436E1"/>
    <w:rsid w:val="68831167"/>
    <w:rsid w:val="68E104CA"/>
    <w:rsid w:val="69170F6E"/>
    <w:rsid w:val="693F133B"/>
    <w:rsid w:val="696D2018"/>
    <w:rsid w:val="697119CE"/>
    <w:rsid w:val="69D514E6"/>
    <w:rsid w:val="69E814A3"/>
    <w:rsid w:val="6A234995"/>
    <w:rsid w:val="6A510A4B"/>
    <w:rsid w:val="6A861EB5"/>
    <w:rsid w:val="6AB51F79"/>
    <w:rsid w:val="6AF67290"/>
    <w:rsid w:val="6B204DC6"/>
    <w:rsid w:val="6C1A634D"/>
    <w:rsid w:val="6C72739D"/>
    <w:rsid w:val="6CB30550"/>
    <w:rsid w:val="6CCF1E61"/>
    <w:rsid w:val="6CFE1653"/>
    <w:rsid w:val="6D0D4104"/>
    <w:rsid w:val="6D197479"/>
    <w:rsid w:val="6D4F4D28"/>
    <w:rsid w:val="6E002CD0"/>
    <w:rsid w:val="6E26547D"/>
    <w:rsid w:val="6E58107A"/>
    <w:rsid w:val="6F2275CC"/>
    <w:rsid w:val="6F2E2FB0"/>
    <w:rsid w:val="6F405CB1"/>
    <w:rsid w:val="6F411E43"/>
    <w:rsid w:val="6F575304"/>
    <w:rsid w:val="6F585B10"/>
    <w:rsid w:val="6F7B36D0"/>
    <w:rsid w:val="6F7E71C4"/>
    <w:rsid w:val="6F9E4144"/>
    <w:rsid w:val="704D2DF7"/>
    <w:rsid w:val="708C533F"/>
    <w:rsid w:val="70967F6C"/>
    <w:rsid w:val="710E5DCB"/>
    <w:rsid w:val="713D31ED"/>
    <w:rsid w:val="71437FF0"/>
    <w:rsid w:val="71B86F70"/>
    <w:rsid w:val="71C34F12"/>
    <w:rsid w:val="71EB7655"/>
    <w:rsid w:val="72324F33"/>
    <w:rsid w:val="723922CE"/>
    <w:rsid w:val="72767A5F"/>
    <w:rsid w:val="728170B1"/>
    <w:rsid w:val="72B868C0"/>
    <w:rsid w:val="72E11363"/>
    <w:rsid w:val="72E90827"/>
    <w:rsid w:val="731D52D5"/>
    <w:rsid w:val="739C53B6"/>
    <w:rsid w:val="73CE5B38"/>
    <w:rsid w:val="73CF1E02"/>
    <w:rsid w:val="740E2879"/>
    <w:rsid w:val="74115AF7"/>
    <w:rsid w:val="74143A77"/>
    <w:rsid w:val="744B64ED"/>
    <w:rsid w:val="750C629B"/>
    <w:rsid w:val="75262EE3"/>
    <w:rsid w:val="75324707"/>
    <w:rsid w:val="753C5586"/>
    <w:rsid w:val="757907EE"/>
    <w:rsid w:val="757A1FAF"/>
    <w:rsid w:val="75872335"/>
    <w:rsid w:val="763C1BDE"/>
    <w:rsid w:val="76894BA5"/>
    <w:rsid w:val="76A52DAB"/>
    <w:rsid w:val="77011AA1"/>
    <w:rsid w:val="77396308"/>
    <w:rsid w:val="776A2E53"/>
    <w:rsid w:val="778112FB"/>
    <w:rsid w:val="77BC2A19"/>
    <w:rsid w:val="78976F0C"/>
    <w:rsid w:val="789B5C31"/>
    <w:rsid w:val="789D129D"/>
    <w:rsid w:val="78DB41CB"/>
    <w:rsid w:val="791505C8"/>
    <w:rsid w:val="793547C6"/>
    <w:rsid w:val="79767427"/>
    <w:rsid w:val="7993773F"/>
    <w:rsid w:val="79991713"/>
    <w:rsid w:val="79EC7EEF"/>
    <w:rsid w:val="7A036672"/>
    <w:rsid w:val="7A1A43C6"/>
    <w:rsid w:val="7A4B6990"/>
    <w:rsid w:val="7A6F1F5A"/>
    <w:rsid w:val="7AA31D42"/>
    <w:rsid w:val="7AEE2F60"/>
    <w:rsid w:val="7B1135CA"/>
    <w:rsid w:val="7B264158"/>
    <w:rsid w:val="7B8A1FFF"/>
    <w:rsid w:val="7C0C49DC"/>
    <w:rsid w:val="7C1B0A60"/>
    <w:rsid w:val="7C533906"/>
    <w:rsid w:val="7C672E3A"/>
    <w:rsid w:val="7C8D4919"/>
    <w:rsid w:val="7CB40242"/>
    <w:rsid w:val="7D1D2B0E"/>
    <w:rsid w:val="7D2517DF"/>
    <w:rsid w:val="7D252BD6"/>
    <w:rsid w:val="7D3E1B77"/>
    <w:rsid w:val="7D5947FB"/>
    <w:rsid w:val="7D62054B"/>
    <w:rsid w:val="7D8555F0"/>
    <w:rsid w:val="7D913F95"/>
    <w:rsid w:val="7DA55367"/>
    <w:rsid w:val="7DA8331F"/>
    <w:rsid w:val="7EAA2BA5"/>
    <w:rsid w:val="7EBB1AD8"/>
    <w:rsid w:val="7F0268C4"/>
    <w:rsid w:val="7F0B4083"/>
    <w:rsid w:val="7F2A478F"/>
    <w:rsid w:val="7F54153E"/>
    <w:rsid w:val="7F8042C1"/>
    <w:rsid w:val="7FB6068D"/>
    <w:rsid w:val="7FC339EC"/>
    <w:rsid w:val="7FFBA382"/>
    <w:rsid w:val="BFFB17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link w:val="37"/>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0"/>
    <w:rPr>
      <w:rFonts w:ascii="Calibri" w:hAnsi="Calibri"/>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unhideWhenUsed/>
    <w:qFormat/>
    <w:uiPriority w:val="99"/>
    <w:pPr>
      <w:spacing w:before="100" w:beforeAutospacing="1" w:after="100" w:afterAutospacing="1"/>
      <w:jc w:val="left"/>
    </w:pPr>
    <w:rPr>
      <w:rFonts w:ascii="Calibri" w:hAnsi="Calibri"/>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正文2"/>
    <w:basedOn w:val="1"/>
    <w:next w:val="1"/>
    <w:unhideWhenUsed/>
    <w:qFormat/>
    <w:uiPriority w:val="99"/>
    <w:rPr>
      <w:rFonts w:hint="eastAsi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5"/>
    <w:qFormat/>
    <w:uiPriority w:val="9"/>
    <w:rPr>
      <w:rFonts w:ascii="Times New Roman" w:hAnsi="Times New Roman"/>
      <w:b/>
      <w:bCs/>
      <w:kern w:val="44"/>
      <w:sz w:val="44"/>
      <w:szCs w:val="44"/>
    </w:rPr>
  </w:style>
  <w:style w:type="character" w:customStyle="1" w:styleId="32">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semiHidden/>
    <w:qFormat/>
    <w:uiPriority w:val="99"/>
    <w:rPr>
      <w:rFonts w:ascii="Times New Roman" w:hAnsi="Times New Roman"/>
      <w:kern w:val="2"/>
      <w:sz w:val="18"/>
      <w:szCs w:val="18"/>
    </w:rPr>
  </w:style>
  <w:style w:type="character" w:customStyle="1" w:styleId="35">
    <w:name w:val="标题 3 字符"/>
    <w:basedOn w:val="19"/>
    <w:link w:val="7"/>
    <w:qFormat/>
    <w:uiPriority w:val="9"/>
    <w:rPr>
      <w:rFonts w:ascii="Times New Roman" w:hAnsi="Times New Roman"/>
      <w:b/>
      <w:bCs/>
      <w:kern w:val="2"/>
      <w:sz w:val="32"/>
      <w:szCs w:val="32"/>
    </w:rPr>
  </w:style>
  <w:style w:type="paragraph" w:customStyle="1" w:styleId="36">
    <w:name w:val="常用样式（方正仿宋简）"/>
    <w:basedOn w:val="1"/>
    <w:qFormat/>
    <w:uiPriority w:val="99"/>
    <w:pPr>
      <w:spacing w:line="560" w:lineRule="exact"/>
      <w:ind w:firstLine="640" w:firstLineChars="200"/>
    </w:pPr>
    <w:rPr>
      <w:rFonts w:ascii="Calibri" w:hAnsi="Calibri" w:eastAsia="方正仿宋简体"/>
      <w:sz w:val="32"/>
    </w:rPr>
  </w:style>
  <w:style w:type="character" w:customStyle="1" w:styleId="37">
    <w:name w:val="正文首行缩进 2 字符"/>
    <w:basedOn w:val="19"/>
    <w:link w:val="3"/>
    <w:qFormat/>
    <w:uiPriority w:val="99"/>
    <w:rPr>
      <w:rFonts w:ascii="仿宋_GB2312"/>
      <w:kern w:val="2"/>
      <w:sz w:val="21"/>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Sheet1!$B$2:$B$3</c:f>
              <c:numCache>
                <c:formatCode>General</c:formatCode>
                <c:ptCount val="2"/>
                <c:pt idx="0">
                  <c:v>375.08</c:v>
                </c:pt>
                <c:pt idx="1">
                  <c:v>375.08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收入总计（万元）</c:v>
                </c:pt>
                <c:pt idx="1">
                  <c:v>支出总计（万元）</c:v>
                </c:pt>
              </c:strCache>
            </c:strRef>
          </c:cat>
          <c:val>
            <c:numRef>
              <c:f>Sheet1!$C$2:$C$3</c:f>
              <c:numCache>
                <c:formatCode>General</c:formatCode>
                <c:ptCount val="2"/>
                <c:pt idx="0">
                  <c:v>7.19</c:v>
                </c:pt>
                <c:pt idx="1">
                  <c:v>7.19</c:v>
                </c:pt>
              </c:numCache>
            </c:numRef>
          </c:val>
        </c:ser>
        <c:dLbls>
          <c:showLegendKey val="0"/>
          <c:showVal val="1"/>
          <c:showCatName val="0"/>
          <c:showSerName val="0"/>
          <c:showPercent val="0"/>
          <c:showBubbleSize val="0"/>
        </c:dLbls>
        <c:gapWidth val="219"/>
        <c:overlap val="-27"/>
        <c:axId val="443957681"/>
        <c:axId val="905101967"/>
      </c:barChart>
      <c:catAx>
        <c:axId val="44395768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5101967"/>
        <c:crosses val="autoZero"/>
        <c:auto val="1"/>
        <c:lblAlgn val="ctr"/>
        <c:lblOffset val="100"/>
        <c:noMultiLvlLbl val="0"/>
      </c:catAx>
      <c:valAx>
        <c:axId val="905101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39576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c:v>
                </c:pt>
                <c:pt idx="3">
                  <c:v>上级补助收入</c:v>
                </c:pt>
                <c:pt idx="4">
                  <c:v>事业收入</c:v>
                </c:pt>
                <c:pt idx="5">
                  <c:v>经营收入</c:v>
                </c:pt>
                <c:pt idx="6">
                  <c:v>附属单位上缴收入</c:v>
                </c:pt>
                <c:pt idx="7">
                  <c:v>其他收入</c:v>
                </c:pt>
              </c:strCache>
            </c:strRef>
          </c:cat>
          <c:val>
            <c:numRef>
              <c:f>Sheet1!$B$2:$B$9</c:f>
              <c:numCache>
                <c:formatCode>0%</c:formatCode>
                <c:ptCount val="8"/>
                <c:pt idx="0">
                  <c:v>1</c:v>
                </c:pt>
                <c:pt idx="1">
                  <c:v>0</c:v>
                </c:pt>
                <c:pt idx="2">
                  <c:v>0</c:v>
                </c:pt>
                <c:pt idx="3">
                  <c:v>0</c:v>
                </c:pt>
                <c:pt idx="4">
                  <c:v>0</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0206955162941352"/>
                  <c:y val="0.032944403698256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5554483064086"/>
                  <c:y val="-0.03524569560032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经营支出</c:v>
                </c:pt>
                <c:pt idx="3">
                  <c:v>上缴上级支出</c:v>
                </c:pt>
                <c:pt idx="4">
                  <c:v>对附属单位补助支出</c:v>
                </c:pt>
              </c:strCache>
            </c:strRef>
          </c:cat>
          <c:val>
            <c:numRef>
              <c:f>Sheet1!$B$2:$B$6</c:f>
              <c:numCache>
                <c:formatCode>0%</c:formatCode>
                <c:ptCount val="5"/>
                <c:pt idx="0">
                  <c:v>0.51</c:v>
                </c:pt>
                <c:pt idx="1">
                  <c:v>0.49</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manualLayout>
          <c:xMode val="edge"/>
          <c:yMode val="edge"/>
          <c:x val="0.261830876648565"/>
          <c:y val="0.01847530143912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财政拨款收入总计（万元）</c:v>
                </c:pt>
                <c:pt idx="1">
                  <c:v>财政拨款支出总计（万元）</c:v>
                </c:pt>
              </c:strCache>
            </c:strRef>
          </c:cat>
          <c:val>
            <c:numRef>
              <c:f>Sheet1!$B$2:$B$3</c:f>
              <c:numCache>
                <c:formatCode>General</c:formatCode>
                <c:ptCount val="2"/>
                <c:pt idx="0">
                  <c:v>375.08</c:v>
                </c:pt>
                <c:pt idx="1">
                  <c:v>375.08</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财政拨款收入总计（万元）</c:v>
                </c:pt>
                <c:pt idx="1">
                  <c:v>财政拨款支出总计（万元）</c:v>
                </c:pt>
              </c:strCache>
            </c:strRef>
          </c:cat>
          <c:val>
            <c:numRef>
              <c:f>Sheet1!$C$2:$C$3</c:f>
              <c:numCache>
                <c:formatCode>General</c:formatCode>
                <c:ptCount val="2"/>
                <c:pt idx="0">
                  <c:v>7.19</c:v>
                </c:pt>
                <c:pt idx="1">
                  <c:v>7.19</c:v>
                </c:pt>
              </c:numCache>
            </c:numRef>
          </c:val>
        </c:ser>
        <c:dLbls>
          <c:showLegendKey val="0"/>
          <c:showVal val="1"/>
          <c:showCatName val="0"/>
          <c:showSerName val="0"/>
          <c:showPercent val="0"/>
          <c:showBubbleSize val="0"/>
        </c:dLbls>
        <c:gapWidth val="219"/>
        <c:overlap val="-27"/>
        <c:axId val="750214136"/>
        <c:axId val="111865265"/>
      </c:barChart>
      <c:catAx>
        <c:axId val="7502141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865265"/>
        <c:crosses val="autoZero"/>
        <c:auto val="1"/>
        <c:lblAlgn val="ctr"/>
        <c:lblOffset val="100"/>
        <c:noMultiLvlLbl val="0"/>
      </c:catAx>
      <c:valAx>
        <c:axId val="1118652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02141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一般公共预算财政拨款支出决算变动情况图</c:v>
                </c:pt>
              </c:strCache>
            </c:strRef>
          </c:tx>
          <c:spPr>
            <a:solidFill>
              <a:schemeClr val="accent1"/>
            </a:solidFill>
            <a:ln>
              <a:noFill/>
            </a:ln>
            <a:effectLst/>
          </c:spPr>
          <c:invertIfNegative val="0"/>
          <c:dLbls>
            <c:dLbl>
              <c:idx val="0"/>
              <c:layout>
                <c:manualLayout>
                  <c:x val="-0.006875"/>
                  <c:y val="-0.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25"/>
                  <c:y val="-0.036333333333333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2023年（万元）</c:v>
                </c:pt>
                <c:pt idx="1">
                  <c:v>2022年（万元）</c:v>
                </c:pt>
              </c:strCache>
            </c:strRef>
          </c:cat>
          <c:val>
            <c:numRef>
              <c:f>Sheet1!$B$2:$B$3</c:f>
              <c:numCache>
                <c:formatCode>General</c:formatCode>
                <c:ptCount val="2"/>
                <c:pt idx="0">
                  <c:v>375.08</c:v>
                </c:pt>
                <c:pt idx="1">
                  <c:v>7.19</c:v>
                </c:pt>
              </c:numCache>
            </c:numRef>
          </c:val>
        </c:ser>
        <c:dLbls>
          <c:showLegendKey val="0"/>
          <c:showVal val="0"/>
          <c:showCatName val="0"/>
          <c:showSerName val="0"/>
          <c:showPercent val="0"/>
          <c:showBubbleSize val="0"/>
        </c:dLbls>
        <c:gapWidth val="150"/>
        <c:overlap val="100"/>
        <c:axId val="54471296"/>
        <c:axId val="54493568"/>
      </c:barChart>
      <c:catAx>
        <c:axId val="544712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93568"/>
        <c:crosses val="autoZero"/>
        <c:auto val="1"/>
        <c:lblAlgn val="ctr"/>
        <c:lblOffset val="100"/>
        <c:noMultiLvlLbl val="0"/>
      </c:catAx>
      <c:valAx>
        <c:axId val="54493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71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00320796073942768"/>
                  <c:y val="0.01565255897330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文化体育与传媒</c:v>
                </c:pt>
                <c:pt idx="1">
                  <c:v>社会保障和就业支出</c:v>
                </c:pt>
                <c:pt idx="2">
                  <c:v>卫生健康支出</c:v>
                </c:pt>
                <c:pt idx="3">
                  <c:v>农林水支出</c:v>
                </c:pt>
                <c:pt idx="4">
                  <c:v>住房保障支出</c:v>
                </c:pt>
              </c:strCache>
            </c:strRef>
          </c:cat>
          <c:val>
            <c:numRef>
              <c:f>Sheet1!$B$2:$B$6</c:f>
              <c:numCache>
                <c:formatCode>0.00%</c:formatCode>
                <c:ptCount val="5"/>
                <c:pt idx="0">
                  <c:v>0.5735</c:v>
                </c:pt>
                <c:pt idx="1">
                  <c:v>0.0369</c:v>
                </c:pt>
                <c:pt idx="2">
                  <c:v>0.0215</c:v>
                </c:pt>
                <c:pt idx="3">
                  <c:v>0.3333</c:v>
                </c:pt>
                <c:pt idx="4">
                  <c:v>0.0348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因公出国（境）费用</c:v>
                </c:pt>
                <c:pt idx="2">
                  <c:v>公务用车购置及运行维护费</c:v>
                </c:pt>
              </c:strCache>
            </c:strRef>
          </c:cat>
          <c:val>
            <c:numRef>
              <c:f>Sheet1!$B$2:$B$4</c:f>
              <c:numCache>
                <c:formatCode>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51</Pages>
  <Words>22120</Words>
  <Characters>23604</Characters>
  <Lines>183</Lines>
  <Paragraphs>51</Paragraphs>
  <TotalTime>81</TotalTime>
  <ScaleCrop>false</ScaleCrop>
  <LinksUpToDate>false</LinksUpToDate>
  <CharactersWithSpaces>24191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2023-08-18T23:17:00Z</dcterms:created>
  <dc:creator>张彬茜</dc:creator>
  <cp:lastModifiedBy>Administrator</cp:lastModifiedBy>
  <cp:lastPrinted>2021-10-09T18:31:00Z</cp:lastPrinted>
  <dcterms:modified xsi:type="dcterms:W3CDTF">2024-08-29T03:01:09Z</dcterms:modified>
  <dc:title>四川省***</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E7085CEDFEE9B6D586AACD66A50AA8E8</vt:lpwstr>
  </property>
</Properties>
</file>