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jc w:val="center"/>
        <w:rPr>
          <w:rFonts w:hint="eastAsia" w:ascii="方正小标宋简体" w:hAnsi="方正小标宋简体" w:eastAsia="方正小标宋简体"/>
          <w:kern w:val="2"/>
          <w:sz w:val="52"/>
          <w:szCs w:val="20"/>
          <w:lang w:val="zh-CN"/>
        </w:rPr>
      </w:pPr>
    </w:p>
    <w:p>
      <w:pPr>
        <w:autoSpaceDE w:val="0"/>
        <w:autoSpaceDN w:val="0"/>
        <w:adjustRightInd w:val="0"/>
        <w:spacing w:line="360" w:lineRule="auto"/>
        <w:jc w:val="center"/>
        <w:rPr>
          <w:rFonts w:hint="eastAsia" w:ascii="方正小标宋简体" w:hAnsi="方正小标宋简体" w:eastAsia="方正小标宋简体"/>
          <w:kern w:val="2"/>
          <w:sz w:val="52"/>
          <w:szCs w:val="20"/>
          <w:lang w:val="zh-CN"/>
        </w:rPr>
      </w:pPr>
      <w:r>
        <w:rPr>
          <w:rFonts w:hint="eastAsia" w:ascii="方正小标宋简体" w:hAnsi="方正小标宋简体" w:eastAsia="方正小标宋简体"/>
          <w:kern w:val="2"/>
          <w:sz w:val="52"/>
          <w:szCs w:val="20"/>
          <w:lang w:val="zh-CN"/>
        </w:rPr>
        <w:t>202</w:t>
      </w:r>
      <w:r>
        <w:rPr>
          <w:rFonts w:hint="eastAsia" w:ascii="方正小标宋简体" w:hAnsi="方正小标宋简体" w:eastAsia="方正小标宋简体"/>
          <w:kern w:val="2"/>
          <w:sz w:val="52"/>
          <w:szCs w:val="20"/>
          <w:lang w:val="en-US" w:eastAsia="zh-CN"/>
        </w:rPr>
        <w:t>3</w:t>
      </w:r>
      <w:r>
        <w:rPr>
          <w:rFonts w:hint="eastAsia" w:ascii="方正小标宋简体" w:hAnsi="方正小标宋简体" w:eastAsia="方正小标宋简体"/>
          <w:kern w:val="2"/>
          <w:sz w:val="52"/>
          <w:szCs w:val="20"/>
          <w:lang w:val="zh-CN"/>
        </w:rPr>
        <w:t>年度</w:t>
      </w:r>
    </w:p>
    <w:p>
      <w:pPr>
        <w:autoSpaceDE w:val="0"/>
        <w:autoSpaceDN w:val="0"/>
        <w:adjustRightInd w:val="0"/>
        <w:spacing w:line="360" w:lineRule="auto"/>
        <w:jc w:val="center"/>
        <w:rPr>
          <w:rFonts w:hint="eastAsia" w:ascii="方正小标宋简体" w:hAnsi="方正小标宋简体" w:eastAsia="方正小标宋简体"/>
          <w:kern w:val="2"/>
          <w:sz w:val="52"/>
          <w:szCs w:val="20"/>
          <w:lang w:val="zh-CN"/>
        </w:rPr>
      </w:pPr>
      <w:r>
        <w:rPr>
          <w:rFonts w:hint="eastAsia" w:ascii="方正小标宋简体" w:hAnsi="方正小标宋简体" w:eastAsia="方正小标宋简体"/>
          <w:kern w:val="2"/>
          <w:sz w:val="52"/>
          <w:szCs w:val="20"/>
          <w:lang w:val="zh-CN"/>
        </w:rPr>
        <w:t>四川省遂宁市安居区拦江镇中心</w:t>
      </w:r>
    </w:p>
    <w:p>
      <w:pPr>
        <w:autoSpaceDE w:val="0"/>
        <w:autoSpaceDN w:val="0"/>
        <w:adjustRightInd w:val="0"/>
        <w:spacing w:line="360" w:lineRule="auto"/>
        <w:jc w:val="center"/>
        <w:rPr>
          <w:rFonts w:hint="eastAsia" w:ascii="方正小标宋简体" w:hAnsi="方正小标宋简体" w:eastAsia="方正小标宋简体"/>
          <w:kern w:val="2"/>
          <w:sz w:val="52"/>
          <w:szCs w:val="20"/>
          <w:lang w:val="zh-CN"/>
        </w:rPr>
      </w:pPr>
      <w:r>
        <w:rPr>
          <w:rFonts w:hint="eastAsia" w:ascii="方正小标宋简体" w:hAnsi="方正小标宋简体" w:eastAsia="方正小标宋简体"/>
          <w:kern w:val="2"/>
          <w:sz w:val="52"/>
          <w:szCs w:val="20"/>
          <w:lang w:val="zh-CN"/>
        </w:rPr>
        <w:t>幼儿园部门决算</w:t>
      </w:r>
    </w:p>
    <w:p>
      <w:pPr>
        <w:keepNext/>
        <w:keepLines/>
        <w:tabs>
          <w:tab w:val="right" w:leader="dot" w:pos="8296"/>
        </w:tabs>
        <w:autoSpaceDE w:val="0"/>
        <w:autoSpaceDN w:val="0"/>
        <w:adjustRightInd w:val="0"/>
        <w:spacing w:line="576" w:lineRule="exact"/>
        <w:jc w:val="left"/>
        <w:rPr>
          <w:rFonts w:hint="eastAsia" w:ascii="黑体" w:hAnsi="黑体" w:eastAsia="黑体"/>
          <w:b/>
          <w:color w:val="FF0000"/>
          <w:kern w:val="2"/>
          <w:sz w:val="48"/>
          <w:szCs w:val="20"/>
          <w:lang w:val="zh-CN"/>
        </w:rPr>
      </w:pPr>
    </w:p>
    <w:p>
      <w:pPr>
        <w:keepNext/>
        <w:keepLines/>
        <w:tabs>
          <w:tab w:val="right" w:leader="dot" w:pos="8296"/>
        </w:tabs>
        <w:autoSpaceDE w:val="0"/>
        <w:autoSpaceDN w:val="0"/>
        <w:adjustRightInd w:val="0"/>
        <w:spacing w:line="576" w:lineRule="exact"/>
        <w:jc w:val="left"/>
        <w:rPr>
          <w:rFonts w:hint="eastAsia" w:ascii="黑体" w:hAnsi="黑体" w:eastAsia="黑体"/>
          <w:b/>
          <w:color w:val="FF0000"/>
          <w:kern w:val="2"/>
          <w:sz w:val="48"/>
          <w:szCs w:val="20"/>
          <w:lang w:val="zh-CN"/>
        </w:rPr>
      </w:pPr>
    </w:p>
    <w:p>
      <w:pPr>
        <w:keepNext/>
        <w:keepLines/>
        <w:tabs>
          <w:tab w:val="right" w:leader="dot" w:pos="8296"/>
        </w:tabs>
        <w:autoSpaceDE w:val="0"/>
        <w:autoSpaceDN w:val="0"/>
        <w:adjustRightInd w:val="0"/>
        <w:spacing w:line="576" w:lineRule="exact"/>
        <w:jc w:val="left"/>
        <w:rPr>
          <w:rFonts w:hint="eastAsia" w:ascii="黑体" w:hAnsi="黑体" w:eastAsia="黑体"/>
          <w:b/>
          <w:color w:val="FF0000"/>
          <w:kern w:val="2"/>
          <w:sz w:val="48"/>
          <w:szCs w:val="20"/>
          <w:lang w:val="zh-CN"/>
        </w:rPr>
      </w:pPr>
    </w:p>
    <w:p>
      <w:pPr>
        <w:autoSpaceDE w:val="0"/>
        <w:autoSpaceDN w:val="0"/>
        <w:adjustRightInd w:val="0"/>
        <w:jc w:val="center"/>
        <w:rPr>
          <w:rFonts w:hint="eastAsia" w:ascii="黑体" w:hAnsi="黑体" w:eastAsia="黑体"/>
          <w:color w:val="auto"/>
          <w:kern w:val="2"/>
          <w:sz w:val="48"/>
          <w:szCs w:val="20"/>
          <w:lang w:val="zh-CN"/>
        </w:rPr>
      </w:pPr>
    </w:p>
    <w:p>
      <w:pPr>
        <w:autoSpaceDE w:val="0"/>
        <w:autoSpaceDN w:val="0"/>
        <w:adjustRightInd w:val="0"/>
        <w:jc w:val="center"/>
        <w:rPr>
          <w:rFonts w:hint="eastAsia" w:ascii="黑体" w:hAnsi="黑体" w:eastAsia="黑体"/>
          <w:color w:val="auto"/>
          <w:kern w:val="2"/>
          <w:sz w:val="48"/>
          <w:szCs w:val="20"/>
          <w:lang w:val="zh-CN"/>
        </w:rPr>
      </w:pPr>
    </w:p>
    <w:p>
      <w:pPr>
        <w:autoSpaceDE w:val="0"/>
        <w:autoSpaceDN w:val="0"/>
        <w:adjustRightInd w:val="0"/>
        <w:jc w:val="center"/>
        <w:rPr>
          <w:rFonts w:hint="eastAsia" w:ascii="黑体" w:hAnsi="黑体" w:eastAsia="黑体"/>
          <w:color w:val="auto"/>
          <w:kern w:val="2"/>
          <w:sz w:val="48"/>
          <w:szCs w:val="20"/>
          <w:lang w:val="zh-CN"/>
        </w:rPr>
      </w:pPr>
    </w:p>
    <w:p>
      <w:pPr>
        <w:autoSpaceDE w:val="0"/>
        <w:autoSpaceDN w:val="0"/>
        <w:adjustRightInd w:val="0"/>
        <w:jc w:val="center"/>
        <w:rPr>
          <w:rFonts w:hint="eastAsia" w:ascii="黑体" w:hAnsi="黑体" w:eastAsia="黑体"/>
          <w:color w:val="auto"/>
          <w:kern w:val="2"/>
          <w:sz w:val="48"/>
          <w:szCs w:val="20"/>
          <w:lang w:val="zh-CN"/>
        </w:rPr>
      </w:pPr>
    </w:p>
    <w:p>
      <w:pPr>
        <w:autoSpaceDE w:val="0"/>
        <w:autoSpaceDN w:val="0"/>
        <w:adjustRightInd w:val="0"/>
        <w:jc w:val="center"/>
        <w:rPr>
          <w:rFonts w:hint="eastAsia" w:ascii="黑体" w:hAnsi="黑体" w:eastAsia="黑体"/>
          <w:color w:val="auto"/>
          <w:kern w:val="2"/>
          <w:sz w:val="48"/>
          <w:szCs w:val="20"/>
          <w:lang w:val="zh-CN"/>
        </w:rPr>
      </w:pPr>
    </w:p>
    <w:p>
      <w:pPr>
        <w:autoSpaceDE w:val="0"/>
        <w:autoSpaceDN w:val="0"/>
        <w:adjustRightInd w:val="0"/>
        <w:jc w:val="center"/>
        <w:rPr>
          <w:rFonts w:hint="eastAsia" w:ascii="黑体" w:hAnsi="黑体" w:eastAsia="黑体"/>
          <w:color w:val="auto"/>
          <w:kern w:val="2"/>
          <w:sz w:val="48"/>
          <w:szCs w:val="20"/>
          <w:lang w:val="zh-CN"/>
        </w:rPr>
      </w:pPr>
    </w:p>
    <w:p>
      <w:pPr>
        <w:autoSpaceDE w:val="0"/>
        <w:autoSpaceDN w:val="0"/>
        <w:adjustRightInd w:val="0"/>
        <w:jc w:val="center"/>
        <w:rPr>
          <w:rFonts w:hint="eastAsia" w:ascii="黑体" w:hAnsi="黑体" w:eastAsia="黑体"/>
          <w:color w:val="auto"/>
          <w:kern w:val="2"/>
          <w:sz w:val="48"/>
          <w:szCs w:val="20"/>
          <w:lang w:val="zh-CN"/>
        </w:rPr>
      </w:pPr>
    </w:p>
    <w:p>
      <w:pPr>
        <w:autoSpaceDE w:val="0"/>
        <w:autoSpaceDN w:val="0"/>
        <w:adjustRightInd w:val="0"/>
        <w:jc w:val="center"/>
        <w:rPr>
          <w:rFonts w:hint="eastAsia" w:ascii="黑体" w:hAnsi="黑体" w:eastAsia="黑体"/>
          <w:color w:val="auto"/>
          <w:kern w:val="2"/>
          <w:sz w:val="48"/>
          <w:szCs w:val="20"/>
          <w:lang w:val="zh-CN"/>
        </w:rPr>
      </w:pPr>
    </w:p>
    <w:p>
      <w:pPr>
        <w:autoSpaceDE w:val="0"/>
        <w:autoSpaceDN w:val="0"/>
        <w:adjustRightInd w:val="0"/>
        <w:jc w:val="center"/>
        <w:rPr>
          <w:rFonts w:hint="eastAsia" w:ascii="黑体" w:hAnsi="黑体" w:eastAsia="黑体"/>
          <w:color w:val="auto"/>
          <w:kern w:val="2"/>
          <w:sz w:val="48"/>
          <w:szCs w:val="20"/>
          <w:lang w:val="zh-CN"/>
        </w:rPr>
      </w:pPr>
    </w:p>
    <w:p>
      <w:pPr>
        <w:autoSpaceDE w:val="0"/>
        <w:autoSpaceDN w:val="0"/>
        <w:adjustRightInd w:val="0"/>
        <w:jc w:val="center"/>
        <w:rPr>
          <w:rFonts w:hint="eastAsia" w:ascii="黑体" w:hAnsi="黑体" w:eastAsia="黑体"/>
          <w:color w:val="auto"/>
          <w:kern w:val="2"/>
          <w:sz w:val="48"/>
          <w:szCs w:val="20"/>
          <w:lang w:val="zh-CN"/>
        </w:rPr>
      </w:pPr>
    </w:p>
    <w:p>
      <w:pPr>
        <w:autoSpaceDE w:val="0"/>
        <w:autoSpaceDN w:val="0"/>
        <w:adjustRightInd w:val="0"/>
        <w:jc w:val="center"/>
        <w:rPr>
          <w:rFonts w:hint="eastAsia" w:ascii="黑体" w:hAnsi="黑体" w:eastAsia="黑体"/>
          <w:color w:val="auto"/>
          <w:kern w:val="2"/>
          <w:sz w:val="48"/>
          <w:szCs w:val="20"/>
          <w:lang w:val="zh-CN"/>
        </w:rPr>
      </w:pPr>
      <w:r>
        <w:rPr>
          <w:rFonts w:hint="eastAsia" w:ascii="黑体" w:hAnsi="黑体" w:eastAsia="黑体"/>
          <w:color w:val="auto"/>
          <w:kern w:val="2"/>
          <w:sz w:val="48"/>
          <w:szCs w:val="20"/>
          <w:lang w:val="zh-CN"/>
        </w:rPr>
        <w:t>目录</w:t>
      </w:r>
    </w:p>
    <w:p>
      <w:pPr>
        <w:autoSpaceDE w:val="0"/>
        <w:autoSpaceDN w:val="0"/>
        <w:adjustRightInd w:val="0"/>
        <w:jc w:val="center"/>
        <w:rPr>
          <w:rFonts w:hint="eastAsia" w:ascii="黑体" w:hAnsi="黑体" w:eastAsia="黑体"/>
          <w:color w:val="auto"/>
          <w:kern w:val="2"/>
          <w:sz w:val="28"/>
          <w:szCs w:val="20"/>
          <w:lang w:val="zh-CN"/>
        </w:rPr>
      </w:pPr>
    </w:p>
    <w:p>
      <w:pPr>
        <w:tabs>
          <w:tab w:val="right" w:leader="dot" w:pos="8296"/>
        </w:tabs>
        <w:autoSpaceDE w:val="0"/>
        <w:autoSpaceDN w:val="0"/>
        <w:adjustRightInd w:val="0"/>
        <w:spacing w:before="93"/>
        <w:jc w:val="center"/>
        <w:rPr>
          <w:rFonts w:hint="eastAsia" w:ascii="仿宋_GB2312" w:hAnsi="仿宋_GB2312" w:eastAsia="仿宋_GB2312"/>
          <w:color w:val="auto"/>
          <w:kern w:val="2"/>
          <w:sz w:val="32"/>
          <w:szCs w:val="20"/>
          <w:lang w:val="zh-CN"/>
        </w:rPr>
      </w:pPr>
      <w:r>
        <w:rPr>
          <w:rFonts w:hint="eastAsia" w:ascii="仿宋_GB2312" w:hAnsi="仿宋_GB2312" w:eastAsia="仿宋_GB2312"/>
          <w:color w:val="auto"/>
          <w:kern w:val="2"/>
          <w:sz w:val="32"/>
          <w:szCs w:val="20"/>
          <w:lang w:val="zh-CN"/>
        </w:rPr>
        <w:t>公开时间：2023年</w:t>
      </w:r>
      <w:r>
        <w:rPr>
          <w:rFonts w:hint="eastAsia" w:ascii="仿宋_GB2312" w:hAnsi="仿宋_GB2312" w:eastAsia="仿宋_GB2312"/>
          <w:color w:val="auto"/>
          <w:kern w:val="2"/>
          <w:sz w:val="32"/>
          <w:szCs w:val="20"/>
          <w:lang w:val="en-US" w:eastAsia="zh-CN"/>
        </w:rPr>
        <w:t>8</w:t>
      </w:r>
      <w:r>
        <w:rPr>
          <w:rFonts w:hint="eastAsia" w:ascii="仿宋_GB2312" w:hAnsi="仿宋_GB2312" w:eastAsia="仿宋_GB2312"/>
          <w:color w:val="auto"/>
          <w:kern w:val="2"/>
          <w:sz w:val="32"/>
          <w:szCs w:val="20"/>
          <w:lang w:val="zh-CN"/>
        </w:rPr>
        <w:t>月</w:t>
      </w:r>
      <w:r>
        <w:rPr>
          <w:rFonts w:hint="eastAsia" w:ascii="仿宋_GB2312" w:hAnsi="仿宋_GB2312" w:eastAsia="仿宋_GB2312"/>
          <w:color w:val="auto"/>
          <w:kern w:val="2"/>
          <w:sz w:val="32"/>
          <w:szCs w:val="20"/>
          <w:lang w:val="en-US" w:eastAsia="zh-CN"/>
        </w:rPr>
        <w:t>27</w:t>
      </w:r>
      <w:r>
        <w:rPr>
          <w:rFonts w:hint="eastAsia" w:ascii="仿宋_GB2312" w:hAnsi="仿宋_GB2312" w:eastAsia="仿宋_GB2312"/>
          <w:color w:val="auto"/>
          <w:kern w:val="2"/>
          <w:sz w:val="32"/>
          <w:szCs w:val="20"/>
          <w:lang w:val="zh-CN"/>
        </w:rPr>
        <w:t>日</w:t>
      </w:r>
    </w:p>
    <w:p>
      <w:pPr>
        <w:autoSpaceDE w:val="0"/>
        <w:autoSpaceDN w:val="0"/>
        <w:adjustRightInd w:val="0"/>
        <w:jc w:val="both"/>
        <w:rPr>
          <w:rFonts w:hint="eastAsia" w:ascii="仿宋_GB2312" w:hAnsi="仿宋_GB2312" w:eastAsia="仿宋_GB2312"/>
          <w:color w:val="auto"/>
          <w:kern w:val="2"/>
          <w:sz w:val="32"/>
          <w:szCs w:val="20"/>
          <w:lang w:val="zh-CN"/>
        </w:rPr>
      </w:pPr>
    </w:p>
    <w:p>
      <w:pPr>
        <w:tabs>
          <w:tab w:val="right" w:leader="dot" w:pos="8296"/>
        </w:tabs>
        <w:autoSpaceDE w:val="0"/>
        <w:autoSpaceDN w:val="0"/>
        <w:adjustRightInd w:val="0"/>
        <w:spacing w:line="440" w:lineRule="exact"/>
        <w:jc w:val="left"/>
        <w:rPr>
          <w:rFonts w:hint="eastAsia" w:ascii="仿宋_GB2312" w:hAnsi="仿宋_GB2312" w:eastAsia="仿宋_GB2312"/>
          <w:color w:val="auto"/>
          <w:kern w:val="2"/>
          <w:sz w:val="32"/>
          <w:szCs w:val="20"/>
          <w:lang w:val="zh-CN"/>
        </w:rPr>
      </w:pPr>
      <w:r>
        <w:rPr>
          <w:rFonts w:hint="eastAsia" w:ascii="仿宋_GB2312" w:hAnsi="仿宋_GB2312" w:eastAsia="仿宋_GB2312"/>
          <w:color w:val="auto"/>
          <w:kern w:val="2"/>
          <w:sz w:val="32"/>
          <w:szCs w:val="20"/>
          <w:lang w:val="zh-CN"/>
        </w:rPr>
        <w:t>第一部分 单位概况</w:t>
      </w:r>
      <w:r>
        <w:rPr>
          <w:rFonts w:hint="eastAsia" w:ascii="仿宋_GB2312" w:hAnsi="仿宋_GB2312" w:eastAsia="仿宋_GB2312"/>
          <w:color w:val="auto"/>
          <w:kern w:val="2"/>
          <w:sz w:val="32"/>
          <w:szCs w:val="20"/>
          <w:lang w:val="zh-CN"/>
        </w:rPr>
        <w:tab/>
      </w:r>
      <w:r>
        <w:rPr>
          <w:rFonts w:hint="eastAsia" w:ascii="仿宋_GB2312" w:hAnsi="仿宋_GB2312" w:eastAsia="仿宋_GB2312"/>
          <w:color w:val="auto"/>
          <w:kern w:val="2"/>
          <w:sz w:val="32"/>
          <w:szCs w:val="20"/>
          <w:lang w:val="zh-CN"/>
        </w:rPr>
        <w:t>4</w:t>
      </w:r>
    </w:p>
    <w:p>
      <w:pPr>
        <w:tabs>
          <w:tab w:val="right" w:leader="dot" w:pos="8296"/>
        </w:tabs>
        <w:autoSpaceDE w:val="0"/>
        <w:autoSpaceDN w:val="0"/>
        <w:adjustRightInd w:val="0"/>
        <w:spacing w:line="440" w:lineRule="exact"/>
        <w:ind w:left="420"/>
        <w:jc w:val="left"/>
        <w:rPr>
          <w:rFonts w:hint="eastAsia" w:ascii="仿宋_GB2312" w:hAnsi="仿宋_GB2312" w:eastAsia="仿宋_GB2312"/>
          <w:color w:val="auto"/>
          <w:kern w:val="2"/>
          <w:sz w:val="32"/>
          <w:szCs w:val="20"/>
          <w:lang w:val="zh-CN"/>
        </w:rPr>
      </w:pPr>
      <w:r>
        <w:rPr>
          <w:rFonts w:hint="eastAsia" w:ascii="仿宋_GB2312" w:hAnsi="仿宋_GB2312" w:eastAsia="仿宋_GB2312"/>
          <w:color w:val="auto"/>
          <w:kern w:val="2"/>
          <w:sz w:val="32"/>
          <w:szCs w:val="20"/>
          <w:lang w:val="zh-CN"/>
        </w:rPr>
        <w:t>一、部门职责</w:t>
      </w:r>
      <w:r>
        <w:rPr>
          <w:rFonts w:hint="eastAsia" w:ascii="仿宋_GB2312" w:hAnsi="仿宋_GB2312" w:eastAsia="仿宋_GB2312"/>
          <w:color w:val="auto"/>
          <w:kern w:val="2"/>
          <w:sz w:val="32"/>
          <w:szCs w:val="20"/>
          <w:lang w:val="zh-CN"/>
        </w:rPr>
        <w:tab/>
      </w:r>
      <w:r>
        <w:rPr>
          <w:rFonts w:hint="eastAsia" w:ascii="仿宋_GB2312" w:hAnsi="仿宋_GB2312" w:eastAsia="仿宋_GB2312"/>
          <w:color w:val="auto"/>
          <w:kern w:val="2"/>
          <w:sz w:val="32"/>
          <w:szCs w:val="20"/>
          <w:lang w:val="zh-CN"/>
        </w:rPr>
        <w:t>4</w:t>
      </w:r>
    </w:p>
    <w:p>
      <w:pPr>
        <w:tabs>
          <w:tab w:val="right" w:leader="dot" w:pos="8296"/>
        </w:tabs>
        <w:autoSpaceDE w:val="0"/>
        <w:autoSpaceDN w:val="0"/>
        <w:adjustRightInd w:val="0"/>
        <w:spacing w:line="440" w:lineRule="exact"/>
        <w:ind w:left="420"/>
        <w:jc w:val="left"/>
        <w:rPr>
          <w:rFonts w:hint="eastAsia" w:ascii="仿宋_GB2312" w:hAnsi="仿宋_GB2312" w:eastAsia="仿宋_GB2312"/>
          <w:color w:val="auto"/>
          <w:kern w:val="2"/>
          <w:sz w:val="32"/>
          <w:szCs w:val="20"/>
          <w:lang w:val="zh-CN" w:eastAsia="zh-CN"/>
        </w:rPr>
      </w:pPr>
      <w:r>
        <w:rPr>
          <w:rFonts w:hint="eastAsia" w:ascii="仿宋_GB2312" w:hAnsi="仿宋_GB2312" w:eastAsia="仿宋_GB2312"/>
          <w:color w:val="auto"/>
          <w:kern w:val="2"/>
          <w:sz w:val="32"/>
          <w:szCs w:val="20"/>
          <w:lang w:val="zh-CN"/>
        </w:rPr>
        <w:t>二、机构设置</w:t>
      </w:r>
      <w:r>
        <w:rPr>
          <w:rFonts w:hint="eastAsia" w:ascii="仿宋_GB2312" w:hAnsi="仿宋_GB2312" w:eastAsia="仿宋_GB2312"/>
          <w:color w:val="auto"/>
          <w:kern w:val="2"/>
          <w:sz w:val="32"/>
          <w:szCs w:val="20"/>
          <w:lang w:val="zh-CN"/>
        </w:rPr>
        <w:tab/>
      </w:r>
      <w:r>
        <w:rPr>
          <w:rFonts w:hint="eastAsia" w:ascii="仿宋_GB2312" w:hAnsi="仿宋_GB2312" w:eastAsia="仿宋_GB2312"/>
          <w:color w:val="auto"/>
          <w:kern w:val="2"/>
          <w:sz w:val="32"/>
          <w:szCs w:val="20"/>
          <w:lang w:val="en-US" w:eastAsia="zh-CN"/>
        </w:rPr>
        <w:t>5</w:t>
      </w:r>
    </w:p>
    <w:p>
      <w:pPr>
        <w:tabs>
          <w:tab w:val="right" w:leader="dot" w:pos="8296"/>
        </w:tabs>
        <w:autoSpaceDE w:val="0"/>
        <w:autoSpaceDN w:val="0"/>
        <w:adjustRightInd w:val="0"/>
        <w:spacing w:line="440" w:lineRule="exact"/>
        <w:jc w:val="left"/>
        <w:rPr>
          <w:rFonts w:hint="eastAsia" w:ascii="仿宋_GB2312" w:hAnsi="仿宋_GB2312" w:eastAsia="仿宋_GB2312"/>
          <w:color w:val="auto"/>
          <w:kern w:val="2"/>
          <w:sz w:val="32"/>
          <w:szCs w:val="20"/>
          <w:lang w:val="zh-CN" w:eastAsia="zh-CN"/>
        </w:rPr>
      </w:pPr>
      <w:r>
        <w:rPr>
          <w:rFonts w:hint="eastAsia" w:ascii="仿宋_GB2312" w:hAnsi="仿宋_GB2312" w:eastAsia="仿宋_GB2312"/>
          <w:color w:val="auto"/>
          <w:kern w:val="2"/>
          <w:sz w:val="32"/>
          <w:szCs w:val="20"/>
          <w:lang w:val="zh-CN"/>
        </w:rPr>
        <w:t>第二部分 2023年度单位决算情况说明</w:t>
      </w:r>
      <w:r>
        <w:rPr>
          <w:rFonts w:hint="eastAsia" w:ascii="仿宋_GB2312" w:hAnsi="仿宋_GB2312" w:eastAsia="仿宋_GB2312"/>
          <w:color w:val="auto"/>
          <w:kern w:val="2"/>
          <w:sz w:val="32"/>
          <w:szCs w:val="20"/>
          <w:lang w:val="zh-CN"/>
        </w:rPr>
        <w:tab/>
      </w:r>
      <w:r>
        <w:rPr>
          <w:rFonts w:hint="eastAsia" w:ascii="仿宋_GB2312" w:hAnsi="仿宋_GB2312" w:eastAsia="仿宋_GB2312"/>
          <w:color w:val="auto"/>
          <w:kern w:val="2"/>
          <w:sz w:val="32"/>
          <w:szCs w:val="20"/>
          <w:lang w:val="en-US" w:eastAsia="zh-CN"/>
        </w:rPr>
        <w:t>5</w:t>
      </w:r>
    </w:p>
    <w:p>
      <w:pPr>
        <w:tabs>
          <w:tab w:val="right" w:leader="dot" w:pos="8296"/>
        </w:tabs>
        <w:autoSpaceDE w:val="0"/>
        <w:autoSpaceDN w:val="0"/>
        <w:adjustRightInd w:val="0"/>
        <w:spacing w:line="440" w:lineRule="exact"/>
        <w:ind w:left="420"/>
        <w:jc w:val="left"/>
        <w:rPr>
          <w:rFonts w:hint="eastAsia" w:ascii="仿宋_GB2312" w:hAnsi="仿宋_GB2312" w:eastAsia="仿宋_GB2312"/>
          <w:color w:val="auto"/>
          <w:kern w:val="2"/>
          <w:sz w:val="32"/>
          <w:szCs w:val="20"/>
          <w:lang w:val="zh-CN" w:eastAsia="zh-CN"/>
        </w:rPr>
      </w:pPr>
      <w:r>
        <w:rPr>
          <w:rFonts w:hint="eastAsia" w:ascii="仿宋_GB2312" w:hAnsi="仿宋_GB2312" w:eastAsia="仿宋_GB2312"/>
          <w:color w:val="auto"/>
          <w:kern w:val="2"/>
          <w:sz w:val="32"/>
          <w:szCs w:val="20"/>
          <w:lang w:val="zh-CN"/>
        </w:rPr>
        <w:t>一、收入支出决算总体情况说明</w:t>
      </w:r>
      <w:r>
        <w:rPr>
          <w:rFonts w:hint="eastAsia" w:ascii="仿宋_GB2312" w:hAnsi="仿宋_GB2312" w:eastAsia="仿宋_GB2312"/>
          <w:color w:val="auto"/>
          <w:kern w:val="2"/>
          <w:sz w:val="32"/>
          <w:szCs w:val="20"/>
          <w:lang w:val="zh-CN"/>
        </w:rPr>
        <w:tab/>
      </w:r>
      <w:r>
        <w:rPr>
          <w:rFonts w:hint="eastAsia" w:ascii="仿宋_GB2312" w:hAnsi="仿宋_GB2312" w:eastAsia="仿宋_GB2312"/>
          <w:color w:val="auto"/>
          <w:kern w:val="2"/>
          <w:sz w:val="32"/>
          <w:szCs w:val="20"/>
          <w:lang w:val="en-US" w:eastAsia="zh-CN"/>
        </w:rPr>
        <w:t>5</w:t>
      </w:r>
    </w:p>
    <w:p>
      <w:pPr>
        <w:tabs>
          <w:tab w:val="right" w:leader="dot" w:pos="8296"/>
        </w:tabs>
        <w:autoSpaceDE w:val="0"/>
        <w:autoSpaceDN w:val="0"/>
        <w:adjustRightInd w:val="0"/>
        <w:spacing w:line="440" w:lineRule="exact"/>
        <w:ind w:left="420"/>
        <w:jc w:val="left"/>
        <w:rPr>
          <w:rFonts w:hint="eastAsia" w:ascii="仿宋_GB2312" w:hAnsi="仿宋_GB2312" w:eastAsia="仿宋_GB2312"/>
          <w:color w:val="auto"/>
          <w:kern w:val="2"/>
          <w:sz w:val="32"/>
          <w:szCs w:val="20"/>
          <w:lang w:val="zh-CN" w:eastAsia="zh-CN"/>
        </w:rPr>
      </w:pPr>
      <w:r>
        <w:rPr>
          <w:rFonts w:hint="eastAsia" w:ascii="仿宋_GB2312" w:hAnsi="仿宋_GB2312" w:eastAsia="仿宋_GB2312"/>
          <w:color w:val="auto"/>
          <w:kern w:val="2"/>
          <w:sz w:val="32"/>
          <w:szCs w:val="20"/>
          <w:lang w:val="zh-CN"/>
        </w:rPr>
        <w:t>二、收入决算情况说明</w:t>
      </w:r>
      <w:r>
        <w:rPr>
          <w:rFonts w:hint="eastAsia" w:ascii="仿宋_GB2312" w:hAnsi="仿宋_GB2312" w:eastAsia="仿宋_GB2312"/>
          <w:color w:val="auto"/>
          <w:kern w:val="2"/>
          <w:sz w:val="32"/>
          <w:szCs w:val="20"/>
          <w:lang w:val="zh-CN"/>
        </w:rPr>
        <w:tab/>
      </w:r>
      <w:r>
        <w:rPr>
          <w:rFonts w:hint="eastAsia" w:ascii="仿宋_GB2312" w:hAnsi="仿宋_GB2312" w:eastAsia="仿宋_GB2312"/>
          <w:color w:val="auto"/>
          <w:kern w:val="2"/>
          <w:sz w:val="32"/>
          <w:szCs w:val="20"/>
          <w:lang w:val="en-US" w:eastAsia="zh-CN"/>
        </w:rPr>
        <w:t>5</w:t>
      </w:r>
    </w:p>
    <w:p>
      <w:pPr>
        <w:tabs>
          <w:tab w:val="right" w:leader="dot" w:pos="8296"/>
        </w:tabs>
        <w:autoSpaceDE w:val="0"/>
        <w:autoSpaceDN w:val="0"/>
        <w:adjustRightInd w:val="0"/>
        <w:spacing w:line="440" w:lineRule="exact"/>
        <w:ind w:left="420"/>
        <w:jc w:val="left"/>
        <w:rPr>
          <w:rFonts w:hint="eastAsia" w:ascii="仿宋_GB2312" w:hAnsi="仿宋_GB2312" w:eastAsia="仿宋_GB2312"/>
          <w:color w:val="auto"/>
          <w:kern w:val="2"/>
          <w:sz w:val="32"/>
          <w:szCs w:val="20"/>
          <w:lang w:val="zh-CN" w:eastAsia="zh-CN"/>
        </w:rPr>
      </w:pPr>
      <w:r>
        <w:rPr>
          <w:rFonts w:hint="eastAsia" w:ascii="仿宋_GB2312" w:hAnsi="仿宋_GB2312" w:eastAsia="仿宋_GB2312"/>
          <w:color w:val="auto"/>
          <w:kern w:val="2"/>
          <w:sz w:val="32"/>
          <w:szCs w:val="20"/>
          <w:lang w:val="zh-CN"/>
        </w:rPr>
        <w:t>三、支出决算情况说明</w:t>
      </w:r>
      <w:r>
        <w:rPr>
          <w:rFonts w:hint="eastAsia" w:ascii="仿宋_GB2312" w:hAnsi="仿宋_GB2312" w:eastAsia="仿宋_GB2312"/>
          <w:color w:val="auto"/>
          <w:kern w:val="2"/>
          <w:sz w:val="32"/>
          <w:szCs w:val="20"/>
          <w:lang w:val="zh-CN"/>
        </w:rPr>
        <w:tab/>
      </w:r>
      <w:r>
        <w:rPr>
          <w:rFonts w:hint="eastAsia" w:ascii="仿宋_GB2312" w:hAnsi="仿宋_GB2312" w:eastAsia="仿宋_GB2312"/>
          <w:color w:val="auto"/>
          <w:kern w:val="2"/>
          <w:sz w:val="32"/>
          <w:szCs w:val="20"/>
          <w:lang w:val="en-US" w:eastAsia="zh-CN"/>
        </w:rPr>
        <w:t>6</w:t>
      </w:r>
    </w:p>
    <w:p>
      <w:pPr>
        <w:tabs>
          <w:tab w:val="right" w:leader="dot" w:pos="8296"/>
        </w:tabs>
        <w:autoSpaceDE w:val="0"/>
        <w:autoSpaceDN w:val="0"/>
        <w:adjustRightInd w:val="0"/>
        <w:spacing w:line="440" w:lineRule="exact"/>
        <w:ind w:left="420"/>
        <w:jc w:val="left"/>
        <w:rPr>
          <w:rFonts w:hint="eastAsia" w:ascii="仿宋_GB2312" w:hAnsi="仿宋_GB2312" w:eastAsia="仿宋_GB2312"/>
          <w:color w:val="auto"/>
          <w:kern w:val="2"/>
          <w:sz w:val="32"/>
          <w:szCs w:val="20"/>
          <w:lang w:val="zh-CN" w:eastAsia="zh-CN"/>
        </w:rPr>
      </w:pPr>
      <w:r>
        <w:rPr>
          <w:rFonts w:hint="eastAsia" w:ascii="仿宋_GB2312" w:hAnsi="仿宋_GB2312" w:eastAsia="仿宋_GB2312"/>
          <w:color w:val="auto"/>
          <w:kern w:val="2"/>
          <w:sz w:val="32"/>
          <w:szCs w:val="20"/>
          <w:lang w:val="zh-CN"/>
        </w:rPr>
        <w:t>四、财政拨款收入支出决算总体情况说明</w:t>
      </w:r>
      <w:r>
        <w:rPr>
          <w:rFonts w:hint="eastAsia" w:ascii="仿宋_GB2312" w:hAnsi="仿宋_GB2312" w:eastAsia="仿宋_GB2312"/>
          <w:color w:val="auto"/>
          <w:kern w:val="2"/>
          <w:sz w:val="32"/>
          <w:szCs w:val="20"/>
          <w:lang w:val="zh-CN"/>
        </w:rPr>
        <w:tab/>
      </w:r>
      <w:r>
        <w:rPr>
          <w:rFonts w:hint="eastAsia" w:ascii="仿宋_GB2312" w:hAnsi="仿宋_GB2312" w:eastAsia="仿宋_GB2312"/>
          <w:color w:val="auto"/>
          <w:kern w:val="2"/>
          <w:sz w:val="32"/>
          <w:szCs w:val="20"/>
          <w:lang w:val="en-US" w:eastAsia="zh-CN"/>
        </w:rPr>
        <w:t>7</w:t>
      </w:r>
    </w:p>
    <w:p>
      <w:pPr>
        <w:tabs>
          <w:tab w:val="right" w:leader="dot" w:pos="8296"/>
        </w:tabs>
        <w:autoSpaceDE w:val="0"/>
        <w:autoSpaceDN w:val="0"/>
        <w:adjustRightInd w:val="0"/>
        <w:spacing w:line="440" w:lineRule="exact"/>
        <w:ind w:left="420"/>
        <w:jc w:val="left"/>
        <w:rPr>
          <w:rFonts w:hint="eastAsia" w:ascii="仿宋_GB2312" w:hAnsi="仿宋_GB2312" w:eastAsia="仿宋_GB2312"/>
          <w:color w:val="auto"/>
          <w:kern w:val="2"/>
          <w:sz w:val="32"/>
          <w:szCs w:val="20"/>
          <w:lang w:val="en-US" w:eastAsia="zh-CN"/>
        </w:rPr>
      </w:pPr>
      <w:r>
        <w:rPr>
          <w:rFonts w:hint="eastAsia" w:ascii="仿宋_GB2312" w:hAnsi="仿宋_GB2312" w:eastAsia="仿宋_GB2312"/>
          <w:color w:val="auto"/>
          <w:kern w:val="2"/>
          <w:sz w:val="32"/>
          <w:szCs w:val="20"/>
          <w:lang w:val="zh-CN"/>
        </w:rPr>
        <w:t>五、一般公共预算财政拨款支出决算情况说明</w:t>
      </w:r>
      <w:r>
        <w:rPr>
          <w:rFonts w:hint="eastAsia" w:ascii="仿宋_GB2312" w:hAnsi="仿宋_GB2312" w:eastAsia="仿宋_GB2312"/>
          <w:color w:val="auto"/>
          <w:kern w:val="2"/>
          <w:sz w:val="32"/>
          <w:szCs w:val="20"/>
          <w:lang w:val="zh-CN"/>
        </w:rPr>
        <w:tab/>
      </w:r>
      <w:r>
        <w:rPr>
          <w:rFonts w:hint="eastAsia" w:ascii="仿宋_GB2312" w:hAnsi="仿宋_GB2312" w:eastAsia="仿宋_GB2312"/>
          <w:color w:val="auto"/>
          <w:kern w:val="2"/>
          <w:sz w:val="32"/>
          <w:szCs w:val="20"/>
          <w:lang w:val="en-US" w:eastAsia="zh-CN"/>
        </w:rPr>
        <w:t>7</w:t>
      </w:r>
    </w:p>
    <w:p>
      <w:pPr>
        <w:tabs>
          <w:tab w:val="right" w:leader="dot" w:pos="8296"/>
        </w:tabs>
        <w:autoSpaceDE w:val="0"/>
        <w:autoSpaceDN w:val="0"/>
        <w:adjustRightInd w:val="0"/>
        <w:spacing w:line="440" w:lineRule="exact"/>
        <w:ind w:left="420"/>
        <w:jc w:val="left"/>
        <w:rPr>
          <w:rFonts w:hint="eastAsia" w:ascii="仿宋_GB2312" w:hAnsi="仿宋_GB2312" w:eastAsia="仿宋_GB2312"/>
          <w:color w:val="auto"/>
          <w:kern w:val="2"/>
          <w:sz w:val="32"/>
          <w:szCs w:val="20"/>
          <w:lang w:val="en-US" w:eastAsia="zh-CN"/>
        </w:rPr>
      </w:pPr>
      <w:r>
        <w:rPr>
          <w:rFonts w:hint="eastAsia" w:ascii="仿宋_GB2312" w:hAnsi="仿宋_GB2312" w:eastAsia="仿宋_GB2312"/>
          <w:color w:val="auto"/>
          <w:kern w:val="2"/>
          <w:sz w:val="32"/>
          <w:szCs w:val="20"/>
          <w:lang w:val="zh-CN"/>
        </w:rPr>
        <w:t>六、一般公共预算财政拨款基本支出决算情况说明</w:t>
      </w:r>
      <w:r>
        <w:rPr>
          <w:rFonts w:hint="eastAsia" w:ascii="仿宋_GB2312" w:hAnsi="仿宋_GB2312" w:eastAsia="仿宋_GB2312"/>
          <w:color w:val="auto"/>
          <w:kern w:val="2"/>
          <w:sz w:val="32"/>
          <w:szCs w:val="20"/>
          <w:lang w:val="zh-CN"/>
        </w:rPr>
        <w:tab/>
      </w:r>
      <w:r>
        <w:rPr>
          <w:rFonts w:hint="eastAsia" w:ascii="仿宋_GB2312" w:hAnsi="仿宋_GB2312" w:eastAsia="仿宋_GB2312"/>
          <w:color w:val="auto"/>
          <w:kern w:val="2"/>
          <w:sz w:val="32"/>
          <w:szCs w:val="20"/>
          <w:lang w:val="en-US" w:eastAsia="zh-CN"/>
        </w:rPr>
        <w:t>10</w:t>
      </w:r>
    </w:p>
    <w:p>
      <w:pPr>
        <w:tabs>
          <w:tab w:val="right" w:leader="dot" w:pos="8296"/>
        </w:tabs>
        <w:autoSpaceDE w:val="0"/>
        <w:autoSpaceDN w:val="0"/>
        <w:adjustRightInd w:val="0"/>
        <w:spacing w:line="440" w:lineRule="exact"/>
        <w:ind w:left="420"/>
        <w:jc w:val="left"/>
        <w:rPr>
          <w:rFonts w:hint="eastAsia" w:ascii="仿宋_GB2312" w:hAnsi="仿宋_GB2312" w:eastAsia="仿宋_GB2312"/>
          <w:color w:val="auto"/>
          <w:kern w:val="2"/>
          <w:sz w:val="32"/>
          <w:szCs w:val="20"/>
          <w:lang w:val="en-US" w:eastAsia="zh-CN"/>
        </w:rPr>
      </w:pPr>
      <w:r>
        <w:rPr>
          <w:rFonts w:hint="eastAsia" w:ascii="仿宋_GB2312" w:hAnsi="仿宋_GB2312" w:eastAsia="仿宋_GB2312"/>
          <w:color w:val="auto"/>
          <w:kern w:val="2"/>
          <w:sz w:val="32"/>
          <w:szCs w:val="20"/>
          <w:lang w:val="zh-CN"/>
        </w:rPr>
        <w:t>七、财政拨款“三公”经费支出决算情况说明</w:t>
      </w:r>
      <w:r>
        <w:rPr>
          <w:rFonts w:hint="eastAsia" w:ascii="仿宋_GB2312" w:hAnsi="仿宋_GB2312" w:eastAsia="仿宋_GB2312"/>
          <w:color w:val="auto"/>
          <w:kern w:val="2"/>
          <w:sz w:val="32"/>
          <w:szCs w:val="20"/>
          <w:lang w:val="zh-CN"/>
        </w:rPr>
        <w:tab/>
      </w:r>
      <w:r>
        <w:rPr>
          <w:rFonts w:hint="eastAsia" w:ascii="仿宋_GB2312" w:hAnsi="仿宋_GB2312" w:eastAsia="仿宋_GB2312"/>
          <w:color w:val="auto"/>
          <w:kern w:val="2"/>
          <w:sz w:val="32"/>
          <w:szCs w:val="20"/>
          <w:lang w:val="en-US" w:eastAsia="zh-CN"/>
        </w:rPr>
        <w:t>10</w:t>
      </w:r>
    </w:p>
    <w:p>
      <w:pPr>
        <w:tabs>
          <w:tab w:val="right" w:leader="dot" w:pos="8296"/>
        </w:tabs>
        <w:autoSpaceDE w:val="0"/>
        <w:autoSpaceDN w:val="0"/>
        <w:adjustRightInd w:val="0"/>
        <w:spacing w:line="440" w:lineRule="exact"/>
        <w:ind w:left="420"/>
        <w:jc w:val="left"/>
        <w:rPr>
          <w:rFonts w:hint="eastAsia" w:ascii="仿宋_GB2312" w:hAnsi="仿宋_GB2312" w:eastAsia="仿宋_GB2312"/>
          <w:color w:val="auto"/>
          <w:kern w:val="2"/>
          <w:sz w:val="32"/>
          <w:szCs w:val="20"/>
          <w:lang w:val="en-US" w:eastAsia="zh-CN"/>
        </w:rPr>
      </w:pPr>
      <w:r>
        <w:rPr>
          <w:rFonts w:hint="eastAsia" w:ascii="仿宋_GB2312" w:hAnsi="仿宋_GB2312" w:eastAsia="仿宋_GB2312"/>
          <w:color w:val="auto"/>
          <w:kern w:val="2"/>
          <w:sz w:val="32"/>
          <w:szCs w:val="20"/>
          <w:lang w:val="zh-CN"/>
        </w:rPr>
        <w:t>八、政府性基金预算支出决算情况说明</w:t>
      </w:r>
      <w:r>
        <w:rPr>
          <w:rFonts w:hint="eastAsia" w:ascii="仿宋_GB2312" w:hAnsi="仿宋_GB2312" w:eastAsia="仿宋_GB2312"/>
          <w:color w:val="auto"/>
          <w:kern w:val="2"/>
          <w:sz w:val="32"/>
          <w:szCs w:val="20"/>
          <w:lang w:val="zh-CN"/>
        </w:rPr>
        <w:tab/>
      </w:r>
      <w:r>
        <w:rPr>
          <w:rFonts w:hint="eastAsia" w:ascii="仿宋_GB2312" w:hAnsi="仿宋_GB2312" w:eastAsia="仿宋_GB2312"/>
          <w:color w:val="auto"/>
          <w:kern w:val="2"/>
          <w:sz w:val="32"/>
          <w:szCs w:val="20"/>
          <w:lang w:val="en-US" w:eastAsia="zh-CN"/>
        </w:rPr>
        <w:t>11</w:t>
      </w:r>
    </w:p>
    <w:p>
      <w:pPr>
        <w:tabs>
          <w:tab w:val="right" w:leader="dot" w:pos="8296"/>
        </w:tabs>
        <w:autoSpaceDE w:val="0"/>
        <w:autoSpaceDN w:val="0"/>
        <w:adjustRightInd w:val="0"/>
        <w:spacing w:line="440" w:lineRule="exact"/>
        <w:ind w:left="420"/>
        <w:jc w:val="left"/>
        <w:rPr>
          <w:rFonts w:hint="eastAsia" w:ascii="仿宋_GB2312" w:hAnsi="仿宋_GB2312" w:eastAsia="仿宋_GB2312"/>
          <w:color w:val="auto"/>
          <w:kern w:val="2"/>
          <w:sz w:val="32"/>
          <w:szCs w:val="20"/>
          <w:lang w:val="en-US" w:eastAsia="zh-CN"/>
        </w:rPr>
      </w:pPr>
      <w:r>
        <w:rPr>
          <w:rFonts w:hint="eastAsia" w:ascii="仿宋_GB2312" w:hAnsi="仿宋_GB2312" w:eastAsia="仿宋_GB2312"/>
          <w:color w:val="auto"/>
          <w:kern w:val="2"/>
          <w:sz w:val="32"/>
          <w:szCs w:val="20"/>
          <w:lang w:val="zh-CN"/>
        </w:rPr>
        <w:t>九、国有资本经营预算支出决算情况说明</w:t>
      </w:r>
      <w:r>
        <w:rPr>
          <w:rFonts w:hint="eastAsia" w:ascii="仿宋_GB2312" w:hAnsi="仿宋_GB2312" w:eastAsia="仿宋_GB2312"/>
          <w:color w:val="auto"/>
          <w:kern w:val="2"/>
          <w:sz w:val="32"/>
          <w:szCs w:val="20"/>
          <w:lang w:val="zh-CN"/>
        </w:rPr>
        <w:tab/>
      </w:r>
      <w:r>
        <w:rPr>
          <w:rFonts w:hint="eastAsia" w:ascii="仿宋_GB2312" w:hAnsi="仿宋_GB2312" w:eastAsia="仿宋_GB2312"/>
          <w:color w:val="auto"/>
          <w:kern w:val="2"/>
          <w:sz w:val="32"/>
          <w:szCs w:val="20"/>
          <w:lang w:val="en-US" w:eastAsia="zh-CN"/>
        </w:rPr>
        <w:t>11</w:t>
      </w:r>
    </w:p>
    <w:p>
      <w:pPr>
        <w:tabs>
          <w:tab w:val="right" w:leader="dot" w:pos="8296"/>
        </w:tabs>
        <w:autoSpaceDE w:val="0"/>
        <w:autoSpaceDN w:val="0"/>
        <w:adjustRightInd w:val="0"/>
        <w:spacing w:line="440" w:lineRule="exact"/>
        <w:ind w:left="420"/>
        <w:jc w:val="left"/>
        <w:rPr>
          <w:rFonts w:hint="eastAsia" w:ascii="仿宋_GB2312" w:hAnsi="仿宋_GB2312" w:eastAsia="仿宋_GB2312"/>
          <w:color w:val="auto"/>
          <w:kern w:val="2"/>
          <w:sz w:val="32"/>
          <w:szCs w:val="20"/>
          <w:lang w:val="en-US" w:eastAsia="zh-CN"/>
        </w:rPr>
      </w:pPr>
      <w:r>
        <w:rPr>
          <w:rFonts w:hint="eastAsia" w:ascii="仿宋_GB2312" w:hAnsi="仿宋_GB2312" w:eastAsia="仿宋_GB2312"/>
          <w:color w:val="auto"/>
          <w:kern w:val="2"/>
          <w:sz w:val="32"/>
          <w:szCs w:val="20"/>
          <w:lang w:val="zh-CN"/>
        </w:rPr>
        <w:t>十、其他重要事项的情况</w:t>
      </w:r>
      <w:r>
        <w:rPr>
          <w:rFonts w:hint="eastAsia" w:ascii="仿宋_GB2312" w:hAnsi="仿宋_GB2312" w:eastAsia="仿宋_GB2312"/>
          <w:color w:val="auto"/>
          <w:kern w:val="2"/>
          <w:sz w:val="32"/>
          <w:szCs w:val="20"/>
          <w:lang w:val="zh-CN"/>
        </w:rPr>
        <w:tab/>
      </w:r>
      <w:r>
        <w:rPr>
          <w:rFonts w:hint="eastAsia" w:ascii="仿宋_GB2312" w:hAnsi="仿宋_GB2312" w:eastAsia="仿宋_GB2312"/>
          <w:color w:val="auto"/>
          <w:kern w:val="2"/>
          <w:sz w:val="32"/>
          <w:szCs w:val="20"/>
          <w:lang w:val="en-US" w:eastAsia="zh-CN"/>
        </w:rPr>
        <w:t>11</w:t>
      </w:r>
    </w:p>
    <w:p>
      <w:pPr>
        <w:tabs>
          <w:tab w:val="right" w:leader="dot" w:pos="8296"/>
        </w:tabs>
        <w:autoSpaceDE w:val="0"/>
        <w:autoSpaceDN w:val="0"/>
        <w:adjustRightInd w:val="0"/>
        <w:spacing w:line="440" w:lineRule="exact"/>
        <w:jc w:val="left"/>
        <w:rPr>
          <w:rFonts w:hint="eastAsia" w:ascii="仿宋_GB2312" w:hAnsi="仿宋_GB2312" w:eastAsia="仿宋_GB2312"/>
          <w:color w:val="auto"/>
          <w:kern w:val="2"/>
          <w:sz w:val="32"/>
          <w:szCs w:val="20"/>
          <w:lang w:val="en-US" w:eastAsia="zh-CN"/>
        </w:rPr>
      </w:pPr>
      <w:r>
        <w:rPr>
          <w:rFonts w:hint="eastAsia" w:ascii="仿宋_GB2312" w:hAnsi="仿宋_GB2312" w:eastAsia="仿宋_GB2312"/>
          <w:color w:val="auto"/>
          <w:kern w:val="2"/>
          <w:sz w:val="32"/>
          <w:szCs w:val="20"/>
          <w:lang w:val="zh-CN"/>
        </w:rPr>
        <w:t>第三部分 名词解释</w:t>
      </w:r>
      <w:r>
        <w:rPr>
          <w:rFonts w:hint="eastAsia" w:ascii="仿宋_GB2312" w:hAnsi="仿宋_GB2312" w:eastAsia="仿宋_GB2312"/>
          <w:color w:val="auto"/>
          <w:kern w:val="2"/>
          <w:sz w:val="32"/>
          <w:szCs w:val="20"/>
          <w:lang w:val="zh-CN"/>
        </w:rPr>
        <w:tab/>
      </w:r>
      <w:r>
        <w:rPr>
          <w:rFonts w:hint="eastAsia" w:ascii="仿宋_GB2312" w:hAnsi="仿宋_GB2312" w:eastAsia="仿宋_GB2312"/>
          <w:color w:val="auto"/>
          <w:kern w:val="2"/>
          <w:sz w:val="32"/>
          <w:szCs w:val="20"/>
          <w:lang w:val="en-US" w:eastAsia="zh-CN"/>
        </w:rPr>
        <w:t>14</w:t>
      </w:r>
    </w:p>
    <w:p>
      <w:pPr>
        <w:tabs>
          <w:tab w:val="right" w:leader="dot" w:pos="8296"/>
        </w:tabs>
        <w:autoSpaceDE w:val="0"/>
        <w:autoSpaceDN w:val="0"/>
        <w:adjustRightInd w:val="0"/>
        <w:spacing w:line="440" w:lineRule="exact"/>
        <w:jc w:val="left"/>
        <w:rPr>
          <w:rFonts w:hint="eastAsia" w:ascii="仿宋_GB2312" w:hAnsi="仿宋_GB2312" w:eastAsia="仿宋_GB2312"/>
          <w:color w:val="auto"/>
          <w:kern w:val="2"/>
          <w:sz w:val="32"/>
          <w:szCs w:val="20"/>
          <w:lang w:val="en-US" w:eastAsia="zh-CN"/>
        </w:rPr>
      </w:pPr>
      <w:r>
        <w:rPr>
          <w:rFonts w:hint="eastAsia" w:ascii="仿宋_GB2312" w:hAnsi="仿宋_GB2312" w:eastAsia="仿宋_GB2312"/>
          <w:color w:val="auto"/>
          <w:kern w:val="2"/>
          <w:sz w:val="32"/>
          <w:szCs w:val="20"/>
          <w:lang w:val="zh-CN"/>
        </w:rPr>
        <w:t>第四部分 附件</w:t>
      </w:r>
      <w:r>
        <w:rPr>
          <w:rFonts w:hint="eastAsia" w:ascii="仿宋_GB2312" w:hAnsi="仿宋_GB2312" w:eastAsia="仿宋_GB2312"/>
          <w:color w:val="auto"/>
          <w:kern w:val="2"/>
          <w:sz w:val="32"/>
          <w:szCs w:val="20"/>
          <w:lang w:val="zh-CN"/>
        </w:rPr>
        <w:tab/>
      </w:r>
      <w:r>
        <w:rPr>
          <w:rFonts w:hint="eastAsia" w:ascii="仿宋_GB2312" w:hAnsi="仿宋_GB2312" w:eastAsia="仿宋_GB2312"/>
          <w:color w:val="auto"/>
          <w:kern w:val="2"/>
          <w:sz w:val="32"/>
          <w:szCs w:val="20"/>
          <w:lang w:val="en-US" w:eastAsia="zh-CN"/>
        </w:rPr>
        <w:t>16</w:t>
      </w:r>
    </w:p>
    <w:p>
      <w:pPr>
        <w:tabs>
          <w:tab w:val="right" w:leader="dot" w:pos="8296"/>
        </w:tabs>
        <w:autoSpaceDE w:val="0"/>
        <w:autoSpaceDN w:val="0"/>
        <w:adjustRightInd w:val="0"/>
        <w:spacing w:line="440" w:lineRule="exact"/>
        <w:jc w:val="left"/>
        <w:rPr>
          <w:rFonts w:hint="eastAsia" w:ascii="仿宋_GB2312" w:hAnsi="仿宋_GB2312" w:eastAsia="仿宋_GB2312"/>
          <w:color w:val="auto"/>
          <w:kern w:val="2"/>
          <w:sz w:val="32"/>
          <w:szCs w:val="20"/>
          <w:lang w:val="en-US" w:eastAsia="zh-CN"/>
        </w:rPr>
      </w:pPr>
      <w:r>
        <w:rPr>
          <w:rFonts w:hint="eastAsia" w:ascii="仿宋_GB2312" w:hAnsi="仿宋_GB2312" w:eastAsia="仿宋_GB2312"/>
          <w:color w:val="auto"/>
          <w:kern w:val="2"/>
          <w:sz w:val="32"/>
          <w:szCs w:val="20"/>
          <w:lang w:val="zh-CN"/>
        </w:rPr>
        <w:t>第五部分 附表</w:t>
      </w:r>
      <w:r>
        <w:rPr>
          <w:rFonts w:hint="eastAsia" w:ascii="仿宋_GB2312" w:hAnsi="仿宋_GB2312" w:eastAsia="仿宋_GB2312"/>
          <w:color w:val="auto"/>
          <w:kern w:val="2"/>
          <w:sz w:val="32"/>
          <w:szCs w:val="20"/>
          <w:lang w:val="zh-CN"/>
        </w:rPr>
        <w:tab/>
      </w:r>
      <w:r>
        <w:rPr>
          <w:rFonts w:hint="eastAsia" w:ascii="仿宋_GB2312" w:hAnsi="仿宋_GB2312" w:eastAsia="仿宋_GB2312"/>
          <w:color w:val="auto"/>
          <w:kern w:val="2"/>
          <w:sz w:val="32"/>
          <w:szCs w:val="20"/>
          <w:lang w:val="en-US" w:eastAsia="zh-CN"/>
        </w:rPr>
        <w:t>24</w:t>
      </w:r>
    </w:p>
    <w:p>
      <w:pPr>
        <w:tabs>
          <w:tab w:val="right" w:leader="dot" w:pos="8296"/>
        </w:tabs>
        <w:autoSpaceDE w:val="0"/>
        <w:autoSpaceDN w:val="0"/>
        <w:adjustRightInd w:val="0"/>
        <w:spacing w:line="440" w:lineRule="exact"/>
        <w:ind w:left="420"/>
        <w:jc w:val="left"/>
        <w:rPr>
          <w:rFonts w:hint="eastAsia" w:ascii="仿宋_GB2312" w:hAnsi="仿宋_GB2312" w:eastAsia="仿宋_GB2312"/>
          <w:color w:val="auto"/>
          <w:kern w:val="2"/>
          <w:sz w:val="32"/>
          <w:szCs w:val="20"/>
          <w:lang w:val="zh-CN"/>
        </w:rPr>
      </w:pPr>
      <w:r>
        <w:rPr>
          <w:rFonts w:hint="eastAsia" w:ascii="仿宋_GB2312" w:hAnsi="仿宋_GB2312" w:eastAsia="仿宋_GB2312"/>
          <w:color w:val="auto"/>
          <w:kern w:val="2"/>
          <w:sz w:val="32"/>
          <w:szCs w:val="20"/>
          <w:lang w:val="zh-CN"/>
        </w:rPr>
        <w:t>一、收入支出决算总表</w:t>
      </w:r>
      <w:r>
        <w:rPr>
          <w:rFonts w:hint="eastAsia" w:ascii="仿宋_GB2312" w:hAnsi="仿宋_GB2312" w:eastAsia="仿宋_GB2312"/>
          <w:color w:val="auto"/>
          <w:kern w:val="2"/>
          <w:sz w:val="32"/>
          <w:szCs w:val="20"/>
          <w:lang w:val="zh-CN"/>
        </w:rPr>
        <w:tab/>
      </w:r>
      <w:r>
        <w:rPr>
          <w:rFonts w:hint="eastAsia" w:ascii="仿宋_GB2312" w:hAnsi="仿宋_GB2312" w:eastAsia="仿宋_GB2312"/>
          <w:color w:val="auto"/>
          <w:kern w:val="2"/>
          <w:sz w:val="32"/>
          <w:szCs w:val="20"/>
          <w:lang w:val="zh-CN"/>
        </w:rPr>
        <w:t>24</w:t>
      </w:r>
    </w:p>
    <w:p>
      <w:pPr>
        <w:tabs>
          <w:tab w:val="right" w:leader="dot" w:pos="8296"/>
        </w:tabs>
        <w:autoSpaceDE w:val="0"/>
        <w:autoSpaceDN w:val="0"/>
        <w:adjustRightInd w:val="0"/>
        <w:spacing w:line="440" w:lineRule="exact"/>
        <w:ind w:left="420"/>
        <w:jc w:val="left"/>
        <w:rPr>
          <w:rFonts w:hint="eastAsia" w:ascii="仿宋_GB2312" w:hAnsi="仿宋_GB2312" w:eastAsia="仿宋_GB2312"/>
          <w:color w:val="auto"/>
          <w:kern w:val="2"/>
          <w:sz w:val="32"/>
          <w:szCs w:val="20"/>
          <w:lang w:val="en-US" w:eastAsia="zh-CN"/>
        </w:rPr>
      </w:pPr>
      <w:r>
        <w:rPr>
          <w:rFonts w:hint="eastAsia" w:ascii="仿宋_GB2312" w:hAnsi="仿宋_GB2312" w:eastAsia="仿宋_GB2312"/>
          <w:color w:val="auto"/>
          <w:kern w:val="2"/>
          <w:sz w:val="32"/>
          <w:szCs w:val="20"/>
          <w:lang w:val="zh-CN"/>
        </w:rPr>
        <w:t>二、收入决算表</w:t>
      </w:r>
      <w:r>
        <w:rPr>
          <w:rFonts w:hint="eastAsia" w:ascii="仿宋_GB2312" w:hAnsi="仿宋_GB2312" w:eastAsia="仿宋_GB2312"/>
          <w:color w:val="auto"/>
          <w:kern w:val="2"/>
          <w:sz w:val="32"/>
          <w:szCs w:val="20"/>
          <w:lang w:val="zh-CN"/>
        </w:rPr>
        <w:tab/>
      </w:r>
      <w:r>
        <w:rPr>
          <w:rFonts w:hint="eastAsia" w:ascii="仿宋_GB2312" w:hAnsi="仿宋_GB2312" w:eastAsia="仿宋_GB2312"/>
          <w:color w:val="auto"/>
          <w:kern w:val="2"/>
          <w:sz w:val="32"/>
          <w:szCs w:val="20"/>
          <w:lang w:val="zh-CN"/>
        </w:rPr>
        <w:t>24</w:t>
      </w:r>
    </w:p>
    <w:p>
      <w:pPr>
        <w:tabs>
          <w:tab w:val="right" w:leader="dot" w:pos="8296"/>
        </w:tabs>
        <w:autoSpaceDE w:val="0"/>
        <w:autoSpaceDN w:val="0"/>
        <w:adjustRightInd w:val="0"/>
        <w:spacing w:line="440" w:lineRule="exact"/>
        <w:ind w:left="420"/>
        <w:jc w:val="left"/>
        <w:rPr>
          <w:rFonts w:hint="eastAsia" w:ascii="仿宋_GB2312" w:hAnsi="仿宋_GB2312" w:eastAsia="仿宋_GB2312"/>
          <w:color w:val="auto"/>
          <w:kern w:val="2"/>
          <w:sz w:val="32"/>
          <w:szCs w:val="20"/>
          <w:lang w:val="zh-CN" w:eastAsia="zh-CN"/>
        </w:rPr>
      </w:pPr>
      <w:r>
        <w:rPr>
          <w:rFonts w:hint="eastAsia" w:ascii="仿宋_GB2312" w:hAnsi="仿宋_GB2312" w:eastAsia="仿宋_GB2312"/>
          <w:color w:val="auto"/>
          <w:kern w:val="2"/>
          <w:sz w:val="32"/>
          <w:szCs w:val="20"/>
          <w:lang w:val="zh-CN"/>
        </w:rPr>
        <w:t>三、支出决算表</w:t>
      </w:r>
      <w:r>
        <w:rPr>
          <w:rFonts w:hint="eastAsia" w:ascii="仿宋_GB2312" w:hAnsi="仿宋_GB2312" w:eastAsia="仿宋_GB2312"/>
          <w:color w:val="auto"/>
          <w:kern w:val="2"/>
          <w:sz w:val="32"/>
          <w:szCs w:val="20"/>
          <w:lang w:val="zh-CN"/>
        </w:rPr>
        <w:tab/>
      </w:r>
      <w:r>
        <w:rPr>
          <w:rFonts w:hint="eastAsia" w:ascii="仿宋_GB2312" w:hAnsi="仿宋_GB2312" w:eastAsia="仿宋_GB2312"/>
          <w:color w:val="auto"/>
          <w:kern w:val="2"/>
          <w:sz w:val="32"/>
          <w:szCs w:val="20"/>
          <w:lang w:val="zh-CN"/>
        </w:rPr>
        <w:t>24</w:t>
      </w:r>
    </w:p>
    <w:p>
      <w:pPr>
        <w:tabs>
          <w:tab w:val="right" w:leader="dot" w:pos="8296"/>
        </w:tabs>
        <w:autoSpaceDE w:val="0"/>
        <w:autoSpaceDN w:val="0"/>
        <w:adjustRightInd w:val="0"/>
        <w:spacing w:line="440" w:lineRule="exact"/>
        <w:ind w:left="420"/>
        <w:jc w:val="left"/>
        <w:rPr>
          <w:rFonts w:hint="eastAsia" w:ascii="仿宋_GB2312" w:hAnsi="仿宋_GB2312" w:eastAsia="仿宋_GB2312"/>
          <w:color w:val="auto"/>
          <w:kern w:val="2"/>
          <w:sz w:val="32"/>
          <w:szCs w:val="20"/>
          <w:lang w:val="en-US" w:eastAsia="zh-CN"/>
        </w:rPr>
      </w:pPr>
      <w:r>
        <w:rPr>
          <w:rFonts w:hint="eastAsia" w:ascii="仿宋_GB2312" w:hAnsi="仿宋_GB2312" w:eastAsia="仿宋_GB2312"/>
          <w:color w:val="auto"/>
          <w:kern w:val="2"/>
          <w:sz w:val="32"/>
          <w:szCs w:val="20"/>
          <w:lang w:val="zh-CN"/>
        </w:rPr>
        <w:t>四、财政拨款收入支出决算总表</w:t>
      </w:r>
      <w:r>
        <w:rPr>
          <w:rFonts w:hint="eastAsia" w:ascii="仿宋_GB2312" w:hAnsi="仿宋_GB2312" w:eastAsia="仿宋_GB2312"/>
          <w:color w:val="auto"/>
          <w:kern w:val="2"/>
          <w:sz w:val="32"/>
          <w:szCs w:val="20"/>
          <w:lang w:val="zh-CN"/>
        </w:rPr>
        <w:tab/>
      </w:r>
      <w:r>
        <w:rPr>
          <w:rFonts w:hint="eastAsia" w:ascii="仿宋_GB2312" w:hAnsi="仿宋_GB2312" w:eastAsia="仿宋_GB2312"/>
          <w:color w:val="auto"/>
          <w:kern w:val="2"/>
          <w:sz w:val="32"/>
          <w:szCs w:val="20"/>
          <w:lang w:val="zh-CN"/>
        </w:rPr>
        <w:t>24</w:t>
      </w:r>
    </w:p>
    <w:p>
      <w:pPr>
        <w:tabs>
          <w:tab w:val="right" w:leader="dot" w:pos="8296"/>
        </w:tabs>
        <w:autoSpaceDE w:val="0"/>
        <w:autoSpaceDN w:val="0"/>
        <w:adjustRightInd w:val="0"/>
        <w:spacing w:line="440" w:lineRule="exact"/>
        <w:ind w:left="420"/>
        <w:jc w:val="left"/>
        <w:rPr>
          <w:rFonts w:hint="eastAsia" w:ascii="仿宋_GB2312" w:hAnsi="仿宋_GB2312" w:eastAsia="仿宋_GB2312"/>
          <w:color w:val="auto"/>
          <w:kern w:val="2"/>
          <w:sz w:val="32"/>
          <w:szCs w:val="20"/>
          <w:lang w:val="en-US" w:eastAsia="zh-CN"/>
        </w:rPr>
      </w:pPr>
      <w:r>
        <w:rPr>
          <w:rFonts w:hint="eastAsia" w:ascii="仿宋_GB2312" w:hAnsi="仿宋_GB2312" w:eastAsia="仿宋_GB2312"/>
          <w:color w:val="auto"/>
          <w:kern w:val="2"/>
          <w:sz w:val="32"/>
          <w:szCs w:val="20"/>
          <w:lang w:val="zh-CN"/>
        </w:rPr>
        <w:t>五、财政拨款支出决算明细表</w:t>
      </w:r>
      <w:r>
        <w:rPr>
          <w:rFonts w:hint="eastAsia" w:ascii="仿宋_GB2312" w:hAnsi="仿宋_GB2312" w:eastAsia="仿宋_GB2312"/>
          <w:color w:val="auto"/>
          <w:kern w:val="2"/>
          <w:sz w:val="32"/>
          <w:szCs w:val="20"/>
          <w:lang w:val="zh-CN"/>
        </w:rPr>
        <w:tab/>
      </w:r>
      <w:r>
        <w:rPr>
          <w:rFonts w:hint="eastAsia" w:ascii="仿宋_GB2312" w:hAnsi="仿宋_GB2312" w:eastAsia="仿宋_GB2312"/>
          <w:color w:val="auto"/>
          <w:kern w:val="2"/>
          <w:sz w:val="32"/>
          <w:szCs w:val="20"/>
          <w:lang w:val="en-US" w:eastAsia="zh-CN"/>
        </w:rPr>
        <w:t>24</w:t>
      </w:r>
    </w:p>
    <w:p>
      <w:pPr>
        <w:tabs>
          <w:tab w:val="right" w:leader="dot" w:pos="8296"/>
        </w:tabs>
        <w:autoSpaceDE w:val="0"/>
        <w:autoSpaceDN w:val="0"/>
        <w:adjustRightInd w:val="0"/>
        <w:spacing w:line="440" w:lineRule="exact"/>
        <w:ind w:left="420"/>
        <w:jc w:val="left"/>
        <w:rPr>
          <w:rFonts w:hint="eastAsia" w:ascii="仿宋_GB2312" w:hAnsi="仿宋_GB2312" w:eastAsia="仿宋_GB2312"/>
          <w:color w:val="auto"/>
          <w:kern w:val="2"/>
          <w:sz w:val="32"/>
          <w:szCs w:val="20"/>
          <w:lang w:val="zh-CN" w:eastAsia="zh-CN"/>
        </w:rPr>
      </w:pPr>
      <w:r>
        <w:rPr>
          <w:rFonts w:hint="eastAsia" w:ascii="仿宋_GB2312" w:hAnsi="仿宋_GB2312" w:eastAsia="仿宋_GB2312"/>
          <w:color w:val="auto"/>
          <w:kern w:val="2"/>
          <w:sz w:val="32"/>
          <w:szCs w:val="20"/>
          <w:lang w:val="zh-CN"/>
        </w:rPr>
        <w:t>六、一般公共预算财政拨款支出决算表</w:t>
      </w:r>
      <w:r>
        <w:rPr>
          <w:rFonts w:hint="eastAsia" w:ascii="仿宋_GB2312" w:hAnsi="仿宋_GB2312" w:eastAsia="仿宋_GB2312"/>
          <w:color w:val="auto"/>
          <w:kern w:val="2"/>
          <w:sz w:val="32"/>
          <w:szCs w:val="20"/>
          <w:lang w:val="zh-CN"/>
        </w:rPr>
        <w:tab/>
      </w:r>
      <w:r>
        <w:rPr>
          <w:rFonts w:hint="eastAsia" w:ascii="仿宋_GB2312" w:hAnsi="仿宋_GB2312" w:eastAsia="仿宋_GB2312"/>
          <w:color w:val="auto"/>
          <w:kern w:val="2"/>
          <w:sz w:val="32"/>
          <w:szCs w:val="20"/>
          <w:lang w:val="zh-CN"/>
        </w:rPr>
        <w:t>24</w:t>
      </w:r>
    </w:p>
    <w:p>
      <w:pPr>
        <w:tabs>
          <w:tab w:val="right" w:leader="dot" w:pos="8296"/>
        </w:tabs>
        <w:autoSpaceDE w:val="0"/>
        <w:autoSpaceDN w:val="0"/>
        <w:adjustRightInd w:val="0"/>
        <w:spacing w:line="440" w:lineRule="exact"/>
        <w:ind w:left="420"/>
        <w:jc w:val="left"/>
        <w:rPr>
          <w:rFonts w:hint="eastAsia" w:ascii="仿宋_GB2312" w:hAnsi="仿宋_GB2312" w:eastAsia="仿宋_GB2312"/>
          <w:color w:val="auto"/>
          <w:kern w:val="2"/>
          <w:sz w:val="32"/>
          <w:szCs w:val="20"/>
          <w:lang w:val="zh-CN" w:eastAsia="zh-CN"/>
        </w:rPr>
      </w:pPr>
      <w:r>
        <w:rPr>
          <w:rFonts w:hint="eastAsia" w:ascii="仿宋_GB2312" w:hAnsi="仿宋_GB2312" w:eastAsia="仿宋_GB2312"/>
          <w:color w:val="auto"/>
          <w:kern w:val="2"/>
          <w:sz w:val="32"/>
          <w:szCs w:val="20"/>
          <w:lang w:val="zh-CN"/>
        </w:rPr>
        <w:t>七、一般公共预算财政拨款支出决算明细表</w:t>
      </w:r>
      <w:r>
        <w:rPr>
          <w:rFonts w:hint="eastAsia" w:ascii="仿宋_GB2312" w:hAnsi="仿宋_GB2312" w:eastAsia="仿宋_GB2312"/>
          <w:color w:val="auto"/>
          <w:kern w:val="2"/>
          <w:sz w:val="32"/>
          <w:szCs w:val="20"/>
          <w:lang w:val="zh-CN"/>
        </w:rPr>
        <w:tab/>
      </w:r>
      <w:r>
        <w:rPr>
          <w:rFonts w:hint="eastAsia" w:ascii="仿宋_GB2312" w:hAnsi="仿宋_GB2312" w:eastAsia="仿宋_GB2312"/>
          <w:color w:val="auto"/>
          <w:kern w:val="2"/>
          <w:sz w:val="32"/>
          <w:szCs w:val="20"/>
          <w:lang w:val="zh-CN"/>
        </w:rPr>
        <w:t>24</w:t>
      </w:r>
    </w:p>
    <w:p>
      <w:pPr>
        <w:tabs>
          <w:tab w:val="right" w:leader="dot" w:pos="8296"/>
        </w:tabs>
        <w:autoSpaceDE w:val="0"/>
        <w:autoSpaceDN w:val="0"/>
        <w:adjustRightInd w:val="0"/>
        <w:spacing w:line="440" w:lineRule="exact"/>
        <w:ind w:left="420"/>
        <w:jc w:val="left"/>
        <w:rPr>
          <w:rFonts w:hint="eastAsia" w:ascii="仿宋_GB2312" w:hAnsi="仿宋_GB2312" w:eastAsia="仿宋_GB2312"/>
          <w:color w:val="auto"/>
          <w:kern w:val="2"/>
          <w:sz w:val="32"/>
          <w:szCs w:val="20"/>
          <w:lang w:val="zh-CN" w:eastAsia="zh-CN"/>
        </w:rPr>
      </w:pPr>
      <w:r>
        <w:rPr>
          <w:rFonts w:hint="eastAsia" w:ascii="仿宋_GB2312" w:hAnsi="仿宋_GB2312" w:eastAsia="仿宋_GB2312"/>
          <w:color w:val="auto"/>
          <w:kern w:val="2"/>
          <w:sz w:val="32"/>
          <w:szCs w:val="20"/>
          <w:lang w:val="zh-CN"/>
        </w:rPr>
        <w:t>八、一般公共预算财政拨款基本支出决算明细表</w:t>
      </w:r>
      <w:r>
        <w:rPr>
          <w:rFonts w:hint="eastAsia" w:ascii="仿宋_GB2312" w:hAnsi="仿宋_GB2312" w:eastAsia="仿宋_GB2312"/>
          <w:color w:val="auto"/>
          <w:kern w:val="2"/>
          <w:sz w:val="32"/>
          <w:szCs w:val="20"/>
          <w:lang w:val="zh-CN"/>
        </w:rPr>
        <w:tab/>
      </w:r>
      <w:r>
        <w:rPr>
          <w:rFonts w:hint="eastAsia" w:ascii="仿宋_GB2312" w:hAnsi="仿宋_GB2312" w:eastAsia="仿宋_GB2312"/>
          <w:color w:val="auto"/>
          <w:kern w:val="2"/>
          <w:sz w:val="32"/>
          <w:szCs w:val="20"/>
          <w:lang w:val="zh-CN"/>
        </w:rPr>
        <w:t>24</w:t>
      </w:r>
    </w:p>
    <w:p>
      <w:pPr>
        <w:tabs>
          <w:tab w:val="right" w:leader="dot" w:pos="8296"/>
        </w:tabs>
        <w:autoSpaceDE w:val="0"/>
        <w:autoSpaceDN w:val="0"/>
        <w:adjustRightInd w:val="0"/>
        <w:spacing w:line="440" w:lineRule="exact"/>
        <w:ind w:left="420"/>
        <w:jc w:val="left"/>
        <w:rPr>
          <w:rFonts w:hint="eastAsia" w:ascii="仿宋_GB2312" w:hAnsi="仿宋_GB2312" w:eastAsia="仿宋_GB2312"/>
          <w:color w:val="auto"/>
          <w:kern w:val="2"/>
          <w:sz w:val="32"/>
          <w:szCs w:val="20"/>
          <w:lang w:val="en-US" w:eastAsia="zh-CN"/>
        </w:rPr>
      </w:pPr>
      <w:r>
        <w:rPr>
          <w:rFonts w:hint="eastAsia" w:ascii="仿宋_GB2312" w:hAnsi="仿宋_GB2312" w:eastAsia="仿宋_GB2312"/>
          <w:color w:val="auto"/>
          <w:kern w:val="2"/>
          <w:sz w:val="32"/>
          <w:szCs w:val="20"/>
          <w:lang w:val="zh-CN"/>
        </w:rPr>
        <w:t>九、一般公共预算财政拨款项目支出决算表</w:t>
      </w:r>
      <w:r>
        <w:rPr>
          <w:rFonts w:hint="eastAsia" w:ascii="仿宋_GB2312" w:hAnsi="仿宋_GB2312" w:eastAsia="仿宋_GB2312"/>
          <w:color w:val="auto"/>
          <w:kern w:val="2"/>
          <w:sz w:val="32"/>
          <w:szCs w:val="20"/>
          <w:lang w:val="zh-CN"/>
        </w:rPr>
        <w:tab/>
      </w:r>
      <w:r>
        <w:rPr>
          <w:rFonts w:hint="eastAsia" w:ascii="仿宋_GB2312" w:hAnsi="仿宋_GB2312" w:eastAsia="仿宋_GB2312"/>
          <w:color w:val="auto"/>
          <w:kern w:val="2"/>
          <w:sz w:val="32"/>
          <w:szCs w:val="20"/>
          <w:lang w:val="en-US" w:eastAsia="zh-CN"/>
        </w:rPr>
        <w:t>24</w:t>
      </w:r>
    </w:p>
    <w:p>
      <w:pPr>
        <w:tabs>
          <w:tab w:val="right" w:leader="dot" w:pos="8296"/>
        </w:tabs>
        <w:autoSpaceDE w:val="0"/>
        <w:autoSpaceDN w:val="0"/>
        <w:adjustRightInd w:val="0"/>
        <w:spacing w:line="440" w:lineRule="exact"/>
        <w:ind w:left="420"/>
        <w:jc w:val="left"/>
        <w:rPr>
          <w:rFonts w:hint="eastAsia" w:ascii="仿宋_GB2312" w:hAnsi="仿宋_GB2312" w:eastAsia="仿宋_GB2312"/>
          <w:color w:val="auto"/>
          <w:kern w:val="2"/>
          <w:sz w:val="32"/>
          <w:szCs w:val="20"/>
          <w:lang w:val="en-US" w:eastAsia="zh-CN"/>
        </w:rPr>
      </w:pPr>
      <w:r>
        <w:rPr>
          <w:rFonts w:hint="eastAsia" w:ascii="仿宋_GB2312" w:hAnsi="仿宋_GB2312" w:eastAsia="仿宋_GB2312"/>
          <w:color w:val="auto"/>
          <w:kern w:val="2"/>
          <w:sz w:val="32"/>
          <w:szCs w:val="20"/>
          <w:lang w:val="zh-CN"/>
        </w:rPr>
        <w:t>十、政府性基金预算财政拨款收入支出决算表</w:t>
      </w:r>
      <w:r>
        <w:rPr>
          <w:rFonts w:hint="eastAsia" w:ascii="仿宋_GB2312" w:hAnsi="仿宋_GB2312" w:eastAsia="仿宋_GB2312"/>
          <w:color w:val="auto"/>
          <w:kern w:val="2"/>
          <w:sz w:val="32"/>
          <w:szCs w:val="20"/>
          <w:lang w:val="zh-CN"/>
        </w:rPr>
        <w:tab/>
      </w:r>
      <w:r>
        <w:rPr>
          <w:rFonts w:hint="eastAsia" w:ascii="仿宋_GB2312" w:hAnsi="仿宋_GB2312" w:eastAsia="仿宋_GB2312"/>
          <w:color w:val="auto"/>
          <w:kern w:val="2"/>
          <w:sz w:val="32"/>
          <w:szCs w:val="20"/>
          <w:lang w:val="en-US" w:eastAsia="zh-CN"/>
        </w:rPr>
        <w:t>24</w:t>
      </w:r>
    </w:p>
    <w:p>
      <w:pPr>
        <w:tabs>
          <w:tab w:val="right" w:leader="dot" w:pos="8296"/>
        </w:tabs>
        <w:autoSpaceDE w:val="0"/>
        <w:autoSpaceDN w:val="0"/>
        <w:adjustRightInd w:val="0"/>
        <w:spacing w:line="440" w:lineRule="exact"/>
        <w:ind w:left="420"/>
        <w:jc w:val="left"/>
        <w:rPr>
          <w:rFonts w:hint="eastAsia" w:ascii="仿宋_GB2312" w:hAnsi="仿宋_GB2312" w:eastAsia="仿宋_GB2312"/>
          <w:color w:val="auto"/>
          <w:kern w:val="2"/>
          <w:sz w:val="32"/>
          <w:szCs w:val="20"/>
          <w:lang w:val="en-US" w:eastAsia="zh-CN"/>
        </w:rPr>
      </w:pPr>
      <w:r>
        <w:rPr>
          <w:rFonts w:hint="eastAsia" w:ascii="仿宋_GB2312" w:hAnsi="仿宋_GB2312" w:eastAsia="仿宋_GB2312"/>
          <w:color w:val="auto"/>
          <w:kern w:val="2"/>
          <w:sz w:val="32"/>
          <w:szCs w:val="20"/>
          <w:lang w:val="zh-CN"/>
        </w:rPr>
        <w:t>十一、国有资本经营预算财政拨款收入支出决算表</w:t>
      </w:r>
      <w:r>
        <w:rPr>
          <w:rFonts w:hint="eastAsia" w:ascii="仿宋_GB2312" w:hAnsi="仿宋_GB2312" w:eastAsia="仿宋_GB2312"/>
          <w:color w:val="auto"/>
          <w:kern w:val="2"/>
          <w:sz w:val="32"/>
          <w:szCs w:val="20"/>
          <w:lang w:val="zh-CN"/>
        </w:rPr>
        <w:tab/>
      </w:r>
      <w:r>
        <w:rPr>
          <w:rFonts w:hint="eastAsia" w:ascii="仿宋_GB2312" w:hAnsi="仿宋_GB2312" w:eastAsia="仿宋_GB2312"/>
          <w:color w:val="auto"/>
          <w:kern w:val="2"/>
          <w:sz w:val="32"/>
          <w:szCs w:val="20"/>
          <w:lang w:val="en-US" w:eastAsia="zh-CN"/>
        </w:rPr>
        <w:t>24</w:t>
      </w:r>
    </w:p>
    <w:p>
      <w:pPr>
        <w:tabs>
          <w:tab w:val="right" w:leader="dot" w:pos="8296"/>
        </w:tabs>
        <w:autoSpaceDE w:val="0"/>
        <w:autoSpaceDN w:val="0"/>
        <w:adjustRightInd w:val="0"/>
        <w:spacing w:line="440" w:lineRule="exact"/>
        <w:ind w:left="420"/>
        <w:jc w:val="left"/>
        <w:rPr>
          <w:rFonts w:hint="eastAsia" w:ascii="仿宋_GB2312" w:hAnsi="仿宋_GB2312" w:eastAsia="仿宋_GB2312"/>
          <w:color w:val="auto"/>
          <w:kern w:val="2"/>
          <w:sz w:val="32"/>
          <w:szCs w:val="20"/>
          <w:lang w:val="en-US" w:eastAsia="zh-CN"/>
        </w:rPr>
      </w:pPr>
      <w:r>
        <w:rPr>
          <w:rFonts w:hint="eastAsia" w:ascii="仿宋_GB2312" w:hAnsi="仿宋_GB2312" w:eastAsia="仿宋_GB2312"/>
          <w:color w:val="auto"/>
          <w:kern w:val="2"/>
          <w:sz w:val="32"/>
          <w:szCs w:val="20"/>
          <w:lang w:val="zh-CN"/>
        </w:rPr>
        <w:t>十二、国有资本经营预算财政拨款支出决算表</w:t>
      </w:r>
      <w:r>
        <w:rPr>
          <w:rFonts w:hint="eastAsia" w:ascii="仿宋_GB2312" w:hAnsi="仿宋_GB2312" w:eastAsia="仿宋_GB2312"/>
          <w:color w:val="auto"/>
          <w:kern w:val="2"/>
          <w:sz w:val="32"/>
          <w:szCs w:val="20"/>
          <w:lang w:val="zh-CN"/>
        </w:rPr>
        <w:tab/>
      </w:r>
      <w:r>
        <w:rPr>
          <w:rFonts w:hint="eastAsia" w:ascii="仿宋_GB2312" w:hAnsi="仿宋_GB2312" w:eastAsia="仿宋_GB2312"/>
          <w:color w:val="auto"/>
          <w:kern w:val="2"/>
          <w:sz w:val="32"/>
          <w:szCs w:val="20"/>
          <w:lang w:val="en-US" w:eastAsia="zh-CN"/>
        </w:rPr>
        <w:t>24</w:t>
      </w:r>
    </w:p>
    <w:p>
      <w:pPr>
        <w:tabs>
          <w:tab w:val="right" w:leader="dot" w:pos="8296"/>
        </w:tabs>
        <w:autoSpaceDE w:val="0"/>
        <w:autoSpaceDN w:val="0"/>
        <w:adjustRightInd w:val="0"/>
        <w:spacing w:line="440" w:lineRule="exact"/>
        <w:ind w:left="420"/>
        <w:jc w:val="left"/>
        <w:rPr>
          <w:rFonts w:hint="eastAsia" w:ascii="仿宋_GB2312" w:hAnsi="仿宋_GB2312" w:eastAsia="仿宋_GB2312"/>
          <w:color w:val="auto"/>
          <w:kern w:val="2"/>
          <w:sz w:val="32"/>
          <w:szCs w:val="20"/>
          <w:lang w:val="en-US" w:eastAsia="zh-CN"/>
        </w:rPr>
      </w:pPr>
      <w:r>
        <w:rPr>
          <w:rFonts w:hint="eastAsia" w:ascii="仿宋_GB2312" w:hAnsi="仿宋_GB2312" w:eastAsia="仿宋_GB2312"/>
          <w:color w:val="auto"/>
          <w:kern w:val="2"/>
          <w:sz w:val="32"/>
          <w:szCs w:val="20"/>
          <w:lang w:val="zh-CN"/>
        </w:rPr>
        <w:t>十三、财政拨款“三公”经费支出决算表</w:t>
      </w:r>
      <w:r>
        <w:rPr>
          <w:rFonts w:hint="eastAsia" w:ascii="仿宋_GB2312" w:hAnsi="仿宋_GB2312" w:eastAsia="仿宋_GB2312"/>
          <w:color w:val="auto"/>
          <w:kern w:val="2"/>
          <w:sz w:val="32"/>
          <w:szCs w:val="20"/>
          <w:lang w:val="zh-CN"/>
        </w:rPr>
        <w:tab/>
      </w:r>
      <w:r>
        <w:rPr>
          <w:rFonts w:hint="eastAsia" w:ascii="仿宋_GB2312" w:hAnsi="仿宋_GB2312" w:eastAsia="仿宋_GB2312"/>
          <w:color w:val="auto"/>
          <w:kern w:val="2"/>
          <w:sz w:val="32"/>
          <w:szCs w:val="20"/>
          <w:lang w:val="en-US" w:eastAsia="zh-CN"/>
        </w:rPr>
        <w:t>24</w:t>
      </w:r>
    </w:p>
    <w:p>
      <w:pPr>
        <w:autoSpaceDE w:val="0"/>
        <w:autoSpaceDN w:val="0"/>
        <w:adjustRightInd w:val="0"/>
        <w:spacing w:line="440" w:lineRule="exact"/>
        <w:ind w:firstLine="1320"/>
        <w:jc w:val="left"/>
        <w:rPr>
          <w:rFonts w:hint="eastAsia" w:ascii="仿宋" w:hAnsi="仿宋" w:eastAsia="仿宋"/>
          <w:i/>
          <w:color w:val="auto"/>
          <w:kern w:val="2"/>
          <w:sz w:val="24"/>
          <w:szCs w:val="20"/>
          <w:lang w:val="zh-CN"/>
        </w:rPr>
      </w:pPr>
    </w:p>
    <w:p>
      <w:pPr>
        <w:autoSpaceDE w:val="0"/>
        <w:autoSpaceDN w:val="0"/>
        <w:adjustRightInd w:val="0"/>
        <w:spacing w:line="440" w:lineRule="exact"/>
        <w:jc w:val="left"/>
        <w:rPr>
          <w:rFonts w:hint="eastAsia" w:ascii="仿宋" w:hAnsi="仿宋" w:eastAsia="仿宋"/>
          <w:color w:val="auto"/>
          <w:kern w:val="44"/>
          <w:sz w:val="24"/>
          <w:szCs w:val="20"/>
          <w:lang w:val="zh-CN"/>
        </w:rPr>
      </w:pPr>
      <w:r>
        <w:rPr>
          <w:rFonts w:hint="eastAsia" w:ascii="仿宋" w:hAnsi="仿宋" w:eastAsia="仿宋"/>
          <w:b/>
          <w:i/>
          <w:color w:val="auto"/>
          <w:kern w:val="2"/>
          <w:sz w:val="24"/>
          <w:szCs w:val="20"/>
          <w:lang w:val="zh-CN"/>
        </w:rPr>
        <w:br w:type="page"/>
      </w:r>
    </w:p>
    <w:p>
      <w:pPr>
        <w:keepNext/>
        <w:keepLines/>
        <w:widowControl w:val="0"/>
        <w:autoSpaceDE w:val="0"/>
        <w:autoSpaceDN w:val="0"/>
        <w:adjustRightInd w:val="0"/>
        <w:spacing w:before="340" w:after="330" w:line="576" w:lineRule="auto"/>
        <w:jc w:val="center"/>
        <w:rPr>
          <w:rFonts w:hint="eastAsia" w:ascii="黑体" w:hAnsi="黑体" w:eastAsia="黑体" w:cs="Times New Roman"/>
          <w:b/>
          <w:color w:val="auto"/>
          <w:kern w:val="44"/>
          <w:sz w:val="44"/>
          <w:lang w:val="zh-CN"/>
        </w:rPr>
      </w:pPr>
      <w:r>
        <w:rPr>
          <w:rFonts w:hint="eastAsia" w:ascii="黑体" w:hAnsi="黑体" w:eastAsia="黑体" w:cs="Times New Roman"/>
          <w:color w:val="auto"/>
          <w:kern w:val="44"/>
          <w:sz w:val="44"/>
          <w:lang w:val="zh-CN"/>
        </w:rPr>
        <w:t>第一部分 部门概况</w:t>
      </w:r>
    </w:p>
    <w:p>
      <w:pPr>
        <w:keepNext/>
        <w:keepLines/>
        <w:widowControl w:val="0"/>
        <w:autoSpaceDE w:val="0"/>
        <w:autoSpaceDN w:val="0"/>
        <w:adjustRightInd w:val="0"/>
        <w:spacing w:before="260" w:after="260" w:line="576" w:lineRule="exact"/>
        <w:ind w:firstLine="640"/>
        <w:jc w:val="both"/>
        <w:rPr>
          <w:rFonts w:hint="eastAsia" w:ascii="黑体" w:hAnsi="黑体" w:eastAsia="黑体" w:cs="Times New Roman"/>
          <w:color w:val="auto"/>
          <w:kern w:val="2"/>
          <w:sz w:val="32"/>
          <w:lang w:val="zh-CN"/>
        </w:rPr>
      </w:pPr>
      <w:r>
        <w:rPr>
          <w:rFonts w:hint="eastAsia" w:ascii="黑体" w:hAnsi="黑体" w:eastAsia="黑体" w:cs="Times New Roman"/>
          <w:color w:val="000000"/>
          <w:kern w:val="2"/>
          <w:sz w:val="32"/>
          <w:lang w:val="zh-CN"/>
        </w:rPr>
        <w:t>一、部门职责</w:t>
      </w:r>
    </w:p>
    <w:p>
      <w:pPr>
        <w:widowControl w:val="0"/>
        <w:adjustRightInd w:val="0"/>
        <w:snapToGrid w:val="0"/>
        <w:spacing w:before="93" w:beforeLines="30" w:afterLines="0" w:line="600" w:lineRule="exact"/>
        <w:ind w:firstLine="675" w:firstLineChars="210"/>
        <w:jc w:val="both"/>
        <w:outlineLvl w:val="2"/>
        <w:rPr>
          <w:rFonts w:hint="eastAsia" w:ascii="仿宋" w:hAnsi="仿宋" w:eastAsia="仿宋" w:cs="Times New Roman"/>
          <w:b/>
          <w:sz w:val="32"/>
          <w:lang w:val="en-US" w:eastAsia="zh-CN"/>
        </w:rPr>
      </w:pPr>
      <w:bookmarkStart w:id="0" w:name="_Toc15378446"/>
      <w:bookmarkStart w:id="1" w:name="_Toc15377199"/>
      <w:r>
        <w:rPr>
          <w:rFonts w:hint="eastAsia" w:ascii="仿宋" w:hAnsi="仿宋" w:eastAsia="仿宋" w:cs="Times New Roman"/>
          <w:b/>
          <w:sz w:val="32"/>
          <w:lang w:val="en-US" w:eastAsia="zh-CN"/>
        </w:rPr>
        <w:t>（一）主要职能</w:t>
      </w:r>
    </w:p>
    <w:p>
      <w:pPr>
        <w:widowControl w:val="0"/>
        <w:adjustRightInd w:val="0"/>
        <w:snapToGrid w:val="0"/>
        <w:spacing w:before="93" w:beforeLines="30" w:afterLines="0" w:line="600" w:lineRule="exact"/>
        <w:ind w:firstLine="672" w:firstLineChars="210"/>
        <w:jc w:val="both"/>
        <w:outlineLvl w:val="2"/>
        <w:rPr>
          <w:rFonts w:hint="eastAsia" w:ascii="仿宋" w:hAnsi="仿宋" w:eastAsia="仿宋" w:cs="Times New Roman"/>
          <w:sz w:val="32"/>
          <w:lang w:val="en-US" w:eastAsia="zh-CN"/>
        </w:rPr>
      </w:pPr>
      <w:r>
        <w:rPr>
          <w:rFonts w:hint="eastAsia" w:ascii="仿宋" w:hAnsi="仿宋" w:eastAsia="仿宋" w:cs="Times New Roman"/>
          <w:sz w:val="32"/>
          <w:lang w:val="en-US" w:eastAsia="zh-CN"/>
        </w:rPr>
        <w:t>实施学前教育，促进学前教育发展，负责学前教育相关社会服务。</w:t>
      </w:r>
    </w:p>
    <w:p>
      <w:pPr>
        <w:widowControl w:val="0"/>
        <w:adjustRightInd w:val="0"/>
        <w:snapToGrid w:val="0"/>
        <w:spacing w:before="93" w:beforeLines="30" w:afterLines="0" w:line="600" w:lineRule="exact"/>
        <w:ind w:firstLine="675" w:firstLineChars="210"/>
        <w:jc w:val="both"/>
        <w:outlineLvl w:val="2"/>
        <w:rPr>
          <w:rFonts w:hint="eastAsia" w:ascii="仿宋" w:hAnsi="仿宋" w:eastAsia="仿宋" w:cs="Times New Roman"/>
          <w:b/>
          <w:sz w:val="32"/>
          <w:lang w:val="en-US" w:eastAsia="zh-CN"/>
        </w:rPr>
      </w:pPr>
      <w:r>
        <w:rPr>
          <w:rFonts w:hint="eastAsia" w:ascii="仿宋" w:hAnsi="仿宋" w:eastAsia="仿宋" w:cs="Times New Roman"/>
          <w:b/>
          <w:sz w:val="32"/>
          <w:lang w:val="en-US" w:eastAsia="zh-CN"/>
        </w:rPr>
        <w:t>（二）2023年重点工作完成情况</w:t>
      </w:r>
    </w:p>
    <w:bookmarkEnd w:id="0"/>
    <w:bookmarkEnd w:id="1"/>
    <w:p>
      <w:pPr>
        <w:widowControl w:val="0"/>
        <w:adjustRightInd w:val="0"/>
        <w:snapToGrid w:val="0"/>
        <w:spacing w:before="93" w:beforeLines="30" w:afterLines="0" w:line="600" w:lineRule="exact"/>
        <w:ind w:firstLine="672" w:firstLineChars="210"/>
        <w:jc w:val="both"/>
        <w:outlineLvl w:val="2"/>
        <w:rPr>
          <w:rFonts w:hint="eastAsia" w:ascii="仿宋" w:hAnsi="仿宋" w:eastAsia="仿宋" w:cs="Times New Roman"/>
          <w:sz w:val="32"/>
          <w:lang w:val="en-US" w:eastAsia="zh-CN"/>
        </w:rPr>
      </w:pPr>
      <w:r>
        <w:rPr>
          <w:rFonts w:hint="eastAsia" w:ascii="仿宋" w:hAnsi="仿宋" w:eastAsia="仿宋" w:cs="Times New Roman"/>
          <w:sz w:val="32"/>
          <w:lang w:val="en-US" w:eastAsia="zh-CN"/>
        </w:rPr>
        <w:t>一是改善办园条件，优化育人环境。2023年我们投入30余万元聘请保育、门卫等后勤保障人员，30多万元用于排除安全隐患：屋顶治漏、玻璃幕墙加固，增设雨棚等，学校自筹资金约20万元优化和美化环境等。</w:t>
      </w:r>
    </w:p>
    <w:p>
      <w:pPr>
        <w:widowControl w:val="0"/>
        <w:adjustRightInd w:val="0"/>
        <w:snapToGrid w:val="0"/>
        <w:spacing w:before="93" w:beforeLines="30" w:afterLines="0" w:line="600" w:lineRule="exact"/>
        <w:ind w:firstLine="672" w:firstLineChars="210"/>
        <w:jc w:val="both"/>
        <w:outlineLvl w:val="2"/>
        <w:rPr>
          <w:rFonts w:hint="eastAsia" w:ascii="仿宋" w:hAnsi="仿宋" w:eastAsia="仿宋" w:cs="Times New Roman"/>
          <w:sz w:val="32"/>
          <w:lang w:val="en-US" w:eastAsia="zh-CN"/>
        </w:rPr>
      </w:pPr>
      <w:r>
        <w:rPr>
          <w:rFonts w:hint="eastAsia" w:ascii="仿宋" w:hAnsi="仿宋" w:eastAsia="仿宋" w:cs="Times New Roman"/>
          <w:sz w:val="32"/>
          <w:lang w:val="en-US" w:eastAsia="zh-CN"/>
        </w:rPr>
        <w:t>二</w:t>
      </w:r>
      <w:bookmarkStart w:id="2" w:name="image_operate_65861387436962406"/>
      <w:bookmarkEnd w:id="2"/>
      <w:r>
        <w:rPr>
          <w:rFonts w:hint="eastAsia" w:ascii="仿宋" w:hAnsi="仿宋" w:eastAsia="仿宋" w:cs="Times New Roman"/>
          <w:sz w:val="32"/>
          <w:lang w:val="en-US" w:eastAsia="zh-CN"/>
        </w:rPr>
        <w:t>是强化科学管理，确保办园方向。做到了党建为魂、安全为稳、工会为梁、教研为基、学习为本、创建为先。</w:t>
      </w:r>
    </w:p>
    <w:p>
      <w:pPr>
        <w:widowControl w:val="0"/>
        <w:adjustRightInd w:val="0"/>
        <w:snapToGrid w:val="0"/>
        <w:spacing w:before="93" w:beforeLines="30" w:afterLines="0" w:line="600" w:lineRule="exact"/>
        <w:ind w:firstLine="672" w:firstLineChars="210"/>
        <w:jc w:val="both"/>
        <w:outlineLvl w:val="2"/>
        <w:rPr>
          <w:rFonts w:hint="eastAsia" w:ascii="仿宋" w:hAnsi="仿宋" w:eastAsia="仿宋" w:cs="Times New Roman"/>
          <w:sz w:val="32"/>
          <w:lang w:val="en-US" w:eastAsia="zh-CN"/>
        </w:rPr>
      </w:pPr>
      <w:r>
        <w:rPr>
          <w:rFonts w:hint="eastAsia" w:ascii="仿宋" w:hAnsi="仿宋" w:eastAsia="仿宋" w:cs="Times New Roman"/>
          <w:sz w:val="32"/>
          <w:lang w:val="en-US" w:eastAsia="zh-CN"/>
        </w:rPr>
        <w:t>三是开展丰富活动，创建园本特色。</w:t>
      </w:r>
    </w:p>
    <w:p>
      <w:pPr>
        <w:widowControl w:val="0"/>
        <w:adjustRightInd w:val="0"/>
        <w:snapToGrid w:val="0"/>
        <w:spacing w:before="93" w:beforeLines="30" w:afterLines="0" w:line="600" w:lineRule="exact"/>
        <w:ind w:firstLine="672" w:firstLineChars="210"/>
        <w:jc w:val="both"/>
        <w:outlineLvl w:val="2"/>
        <w:rPr>
          <w:rFonts w:hint="eastAsia" w:ascii="仿宋" w:hAnsi="仿宋" w:eastAsia="仿宋" w:cs="Times New Roman"/>
          <w:sz w:val="32"/>
          <w:lang w:val="en-US" w:eastAsia="zh-CN"/>
        </w:rPr>
      </w:pPr>
      <w:r>
        <w:rPr>
          <w:rFonts w:hint="eastAsia" w:ascii="仿宋" w:hAnsi="仿宋" w:eastAsia="仿宋" w:cs="Times New Roman"/>
          <w:sz w:val="32"/>
          <w:lang w:val="en-US" w:eastAsia="zh-CN"/>
        </w:rPr>
        <w:t>通过大家共同的努力，2023年我们获得了20余项集体荣誉，100多名幼儿和教师获省市区表彰，真正形成了幼儿自然成长、教师自然提升、学校自然发展的良好局面。</w:t>
      </w:r>
    </w:p>
    <w:p>
      <w:pPr>
        <w:keepNext/>
        <w:keepLines/>
        <w:widowControl w:val="0"/>
        <w:autoSpaceDE w:val="0"/>
        <w:autoSpaceDN w:val="0"/>
        <w:adjustRightInd w:val="0"/>
        <w:spacing w:before="260" w:after="260" w:line="576" w:lineRule="exact"/>
        <w:ind w:firstLine="640"/>
        <w:jc w:val="both"/>
        <w:rPr>
          <w:rFonts w:hint="eastAsia" w:ascii="黑体" w:hAnsi="黑体" w:eastAsia="黑体" w:cs="Times New Roman"/>
          <w:color w:val="auto"/>
          <w:kern w:val="2"/>
          <w:sz w:val="32"/>
          <w:lang w:val="zh-CN"/>
        </w:rPr>
      </w:pPr>
      <w:r>
        <w:rPr>
          <w:rFonts w:hint="eastAsia" w:ascii="黑体" w:hAnsi="黑体" w:eastAsia="黑体" w:cs="Times New Roman"/>
          <w:color w:val="000000"/>
          <w:kern w:val="2"/>
          <w:sz w:val="32"/>
          <w:lang w:val="zh-CN"/>
        </w:rPr>
        <w:t>二、机</w:t>
      </w:r>
      <w:r>
        <w:rPr>
          <w:rFonts w:hint="eastAsia" w:ascii="黑体" w:hAnsi="黑体" w:eastAsia="黑体" w:cs="Times New Roman"/>
          <w:color w:val="auto"/>
          <w:kern w:val="2"/>
          <w:sz w:val="32"/>
          <w:lang w:val="zh-CN"/>
        </w:rPr>
        <w:t>构设置</w:t>
      </w:r>
    </w:p>
    <w:p>
      <w:pPr>
        <w:keepNext/>
        <w:keepLines/>
        <w:widowControl w:val="0"/>
        <w:autoSpaceDE w:val="0"/>
        <w:autoSpaceDN w:val="0"/>
        <w:adjustRightInd w:val="0"/>
        <w:spacing w:before="260" w:after="260" w:line="576" w:lineRule="exact"/>
        <w:ind w:firstLine="640"/>
        <w:jc w:val="both"/>
        <w:rPr>
          <w:rFonts w:hint="eastAsia" w:ascii="黑体" w:hAnsi="黑体" w:eastAsia="黑体" w:cs="Times New Roman"/>
          <w:color w:val="auto"/>
          <w:kern w:val="2"/>
          <w:sz w:val="32"/>
          <w:lang w:val="zh-CN"/>
        </w:rPr>
      </w:pPr>
      <w:r>
        <w:rPr>
          <w:rFonts w:hint="eastAsia" w:ascii="仿宋" w:hAnsi="仿宋" w:eastAsia="仿宋" w:cs="Times New Roman"/>
          <w:sz w:val="32"/>
          <w:lang w:eastAsia="zh-CN"/>
        </w:rPr>
        <w:t>遂宁市安居区拦江镇中心幼儿园隶属于遂宁市安居区教育和体育局，</w:t>
      </w:r>
      <w:r>
        <w:rPr>
          <w:rFonts w:hint="eastAsia" w:ascii="仿宋" w:hAnsi="仿宋" w:eastAsia="仿宋" w:cs="Times New Roman"/>
          <w:sz w:val="32"/>
        </w:rPr>
        <w:t>为纳入202</w:t>
      </w:r>
      <w:r>
        <w:rPr>
          <w:rFonts w:hint="eastAsia" w:ascii="仿宋" w:hAnsi="仿宋" w:eastAsia="仿宋" w:cs="Times New Roman"/>
          <w:sz w:val="32"/>
          <w:lang w:val="en-US" w:eastAsia="zh-CN"/>
        </w:rPr>
        <w:t>3</w:t>
      </w:r>
      <w:r>
        <w:rPr>
          <w:rFonts w:hint="eastAsia" w:ascii="仿宋" w:hAnsi="仿宋" w:eastAsia="仿宋" w:cs="Times New Roman"/>
          <w:sz w:val="32"/>
        </w:rPr>
        <w:t>年度部门决算编制范围的二级预算单位</w:t>
      </w:r>
      <w:r>
        <w:rPr>
          <w:rFonts w:hint="eastAsia" w:ascii="仿宋" w:hAnsi="仿宋" w:eastAsia="仿宋" w:cs="Times New Roman"/>
          <w:sz w:val="32"/>
          <w:lang w:eastAsia="zh-CN"/>
        </w:rPr>
        <w:t>，</w:t>
      </w:r>
      <w:r>
        <w:rPr>
          <w:rFonts w:hint="eastAsia" w:ascii="仿宋" w:hAnsi="仿宋" w:eastAsia="仿宋" w:cs="Times New Roman"/>
          <w:sz w:val="32"/>
        </w:rPr>
        <w:t>独立编制机构1个，独立核算机构1个。</w:t>
      </w:r>
    </w:p>
    <w:p>
      <w:pPr>
        <w:keepNext/>
        <w:keepLines/>
        <w:widowControl w:val="0"/>
        <w:autoSpaceDE w:val="0"/>
        <w:autoSpaceDN w:val="0"/>
        <w:adjustRightInd w:val="0"/>
        <w:spacing w:before="340" w:after="330" w:line="576" w:lineRule="exact"/>
        <w:ind w:right="442" w:firstLine="880"/>
        <w:jc w:val="center"/>
        <w:rPr>
          <w:rFonts w:hint="eastAsia" w:ascii="Times New Roman" w:hAnsi="Times New Roman" w:eastAsia="Times New Roman" w:cs="Times New Roman"/>
          <w:b/>
          <w:color w:val="auto"/>
          <w:kern w:val="44"/>
          <w:sz w:val="44"/>
          <w:lang w:val="zh-CN"/>
        </w:rPr>
      </w:pPr>
      <w:r>
        <w:rPr>
          <w:rFonts w:hint="eastAsia" w:ascii="黑体" w:hAnsi="黑体" w:eastAsia="黑体" w:cs="Times New Roman"/>
          <w:color w:val="000000"/>
          <w:kern w:val="44"/>
          <w:sz w:val="44"/>
          <w:lang w:val="zh-CN"/>
        </w:rPr>
        <w:t>第二部分</w:t>
      </w:r>
      <w:r>
        <w:rPr>
          <w:rFonts w:hint="eastAsia" w:ascii="黑体" w:hAnsi="黑体" w:eastAsia="黑体" w:cs="Times New Roman"/>
          <w:b/>
          <w:color w:val="000000"/>
          <w:kern w:val="44"/>
          <w:sz w:val="44"/>
          <w:lang w:val="zh-CN"/>
        </w:rPr>
        <w:t xml:space="preserve"> </w:t>
      </w:r>
      <w:r>
        <w:rPr>
          <w:rFonts w:hint="eastAsia" w:ascii="黑体" w:hAnsi="黑体" w:eastAsia="黑体" w:cs="Times New Roman"/>
          <w:color w:val="auto"/>
          <w:kern w:val="44"/>
          <w:sz w:val="44"/>
          <w:lang w:val="zh-CN"/>
        </w:rPr>
        <w:t>2023年度单位决算情况说明</w:t>
      </w:r>
    </w:p>
    <w:p>
      <w:pPr>
        <w:keepNext/>
        <w:keepLines/>
        <w:autoSpaceDE w:val="0"/>
        <w:autoSpaceDN w:val="0"/>
        <w:adjustRightInd w:val="0"/>
        <w:spacing w:line="576" w:lineRule="exact"/>
        <w:jc w:val="both"/>
        <w:rPr>
          <w:rFonts w:hint="eastAsia" w:ascii="黑体" w:hAnsi="黑体" w:eastAsia="黑体"/>
          <w:color w:val="auto"/>
          <w:kern w:val="2"/>
          <w:sz w:val="32"/>
          <w:szCs w:val="20"/>
          <w:lang w:val="zh-CN"/>
        </w:rPr>
      </w:pPr>
      <w:r>
        <w:rPr>
          <w:rFonts w:hint="eastAsia" w:ascii="黑体" w:hAnsi="黑体" w:eastAsia="黑体"/>
          <w:color w:val="000000"/>
          <w:kern w:val="2"/>
          <w:sz w:val="32"/>
          <w:szCs w:val="20"/>
          <w:lang w:val="zh-CN"/>
        </w:rPr>
        <w:t xml:space="preserve">    一、收</w:t>
      </w:r>
      <w:r>
        <w:rPr>
          <w:rFonts w:hint="eastAsia" w:ascii="黑体" w:hAnsi="黑体" w:eastAsia="黑体"/>
          <w:color w:val="auto"/>
          <w:kern w:val="2"/>
          <w:sz w:val="32"/>
          <w:szCs w:val="20"/>
          <w:lang w:val="zh-CN"/>
        </w:rPr>
        <w:t>入支出决算总体情况说明</w:t>
      </w:r>
    </w:p>
    <w:p>
      <w:pPr>
        <w:keepNext/>
        <w:keepLines/>
        <w:autoSpaceDE w:val="0"/>
        <w:autoSpaceDN w:val="0"/>
        <w:adjustRightInd w:val="0"/>
        <w:spacing w:line="576" w:lineRule="exact"/>
        <w:ind w:firstLine="640"/>
        <w:jc w:val="both"/>
        <w:rPr>
          <w:rFonts w:hint="eastAsia" w:ascii="仿宋_GB2312" w:hAnsi="仿宋_GB2312" w:eastAsia="仿宋_GB2312"/>
          <w:color w:val="000000"/>
          <w:kern w:val="2"/>
          <w:sz w:val="32"/>
          <w:szCs w:val="20"/>
          <w:lang w:val="zh-CN"/>
        </w:rPr>
      </w:pPr>
      <w:r>
        <w:rPr>
          <w:rFonts w:hint="eastAsia" w:ascii="仿宋_GB2312" w:hAnsi="仿宋_GB2312" w:eastAsia="仿宋_GB2312"/>
          <w:color w:val="000000"/>
          <w:kern w:val="2"/>
          <w:sz w:val="32"/>
          <w:szCs w:val="20"/>
          <w:lang w:val="zh-CN"/>
        </w:rPr>
        <w:t>2023年度收、支总计500</w:t>
      </w:r>
      <w:r>
        <w:rPr>
          <w:rFonts w:hint="eastAsia" w:ascii="仿宋_GB2312" w:hAnsi="仿宋_GB2312" w:eastAsia="仿宋_GB2312"/>
          <w:color w:val="000000"/>
          <w:kern w:val="2"/>
          <w:sz w:val="32"/>
          <w:szCs w:val="20"/>
          <w:lang w:val="en-US" w:eastAsia="zh-CN"/>
        </w:rPr>
        <w:t>.</w:t>
      </w:r>
      <w:r>
        <w:rPr>
          <w:rFonts w:hint="eastAsia" w:ascii="仿宋_GB2312" w:hAnsi="仿宋_GB2312" w:eastAsia="仿宋_GB2312"/>
          <w:color w:val="000000"/>
          <w:kern w:val="2"/>
          <w:sz w:val="32"/>
          <w:szCs w:val="20"/>
          <w:lang w:val="zh-CN"/>
        </w:rPr>
        <w:t>04万元。与2022年相比，收、支总计减少</w:t>
      </w:r>
      <w:r>
        <w:rPr>
          <w:rFonts w:hint="eastAsia" w:ascii="仿宋_GB2312" w:hAnsi="仿宋_GB2312" w:eastAsia="仿宋_GB2312"/>
          <w:color w:val="000000"/>
          <w:kern w:val="2"/>
          <w:sz w:val="32"/>
          <w:szCs w:val="20"/>
          <w:lang w:val="en-US" w:eastAsia="zh-CN"/>
        </w:rPr>
        <w:t>3224.49</w:t>
      </w:r>
      <w:r>
        <w:rPr>
          <w:rFonts w:hint="eastAsia" w:ascii="仿宋_GB2312" w:hAnsi="仿宋_GB2312" w:eastAsia="仿宋_GB2312"/>
          <w:color w:val="000000"/>
          <w:kern w:val="2"/>
          <w:sz w:val="32"/>
          <w:szCs w:val="20"/>
          <w:lang w:val="zh-CN"/>
        </w:rPr>
        <w:t>万元，下降</w:t>
      </w:r>
      <w:r>
        <w:rPr>
          <w:rFonts w:hint="eastAsia" w:ascii="仿宋_GB2312" w:hAnsi="仿宋_GB2312" w:eastAsia="仿宋_GB2312"/>
          <w:color w:val="000000"/>
          <w:kern w:val="2"/>
          <w:sz w:val="32"/>
          <w:szCs w:val="20"/>
          <w:lang w:val="en-US" w:eastAsia="zh-CN"/>
        </w:rPr>
        <w:t>86.57</w:t>
      </w:r>
      <w:r>
        <w:rPr>
          <w:rFonts w:hint="eastAsia" w:ascii="仿宋_GB2312" w:hAnsi="仿宋_GB2312" w:eastAsia="仿宋_GB2312"/>
          <w:color w:val="000000"/>
          <w:kern w:val="2"/>
          <w:sz w:val="32"/>
          <w:szCs w:val="20"/>
          <w:lang w:val="zh-CN"/>
        </w:rPr>
        <w:t>%。主要变动原因是新建拦江镇第二幼儿园项目资金减少。</w:t>
      </w:r>
    </w:p>
    <w:p>
      <w:pPr>
        <w:keepNext/>
        <w:keepLines/>
        <w:autoSpaceDE w:val="0"/>
        <w:autoSpaceDN w:val="0"/>
        <w:adjustRightInd w:val="0"/>
        <w:spacing w:line="240" w:lineRule="atLeast"/>
        <w:ind w:firstLine="641"/>
        <w:jc w:val="both"/>
        <w:rPr>
          <w:rFonts w:hint="eastAsia" w:ascii="仿宋_GB2312" w:hAnsi="仿宋_GB2312" w:eastAsia="仿宋_GB2312"/>
          <w:color w:val="000000"/>
          <w:kern w:val="2"/>
          <w:sz w:val="32"/>
          <w:szCs w:val="20"/>
          <w:lang w:val="zh-CN"/>
        </w:rPr>
      </w:pPr>
      <w:r>
        <w:rPr>
          <w:rFonts w:hint="default" w:ascii="仿宋" w:hAnsi="仿宋" w:eastAsia="仿宋"/>
          <w:color w:val="auto"/>
          <w:kern w:val="0"/>
          <w:sz w:val="32"/>
          <w:szCs w:val="20"/>
          <w:lang/>
        </w:rPr>
        <w:object>
          <v:shape id="_x0000_i1025" o:spt="75" type="#_x0000_t75" style="height:222.75pt;width:366.75pt;" o:ole="t" filled="f" o:preferrelative="t" stroked="f" coordsize="21600,21600">
            <v:path/>
            <v:fill on="f" focussize="0,0"/>
            <v:stroke on="f"/>
            <v:imagedata r:id="rId7" o:title=""/>
            <o:lock v:ext="edit" aspectratio="t"/>
            <w10:wrap type="none"/>
            <w10:anchorlock/>
          </v:shape>
          <o:OLEObject Type="Embed" ProgID="Excel.Chart.8" ShapeID="_x0000_i1025" DrawAspect="Content" ObjectID="_1468075725" r:id="rId6">
            <o:LockedField>false</o:LockedField>
          </o:OLEObject>
        </w:object>
      </w:r>
    </w:p>
    <w:p>
      <w:pPr>
        <w:autoSpaceDE w:val="0"/>
        <w:autoSpaceDN w:val="0"/>
        <w:adjustRightInd w:val="0"/>
        <w:spacing w:line="600" w:lineRule="exact"/>
        <w:jc w:val="center"/>
        <w:rPr>
          <w:rFonts w:hint="eastAsia" w:ascii="仿宋" w:hAnsi="仿宋" w:eastAsia="仿宋"/>
          <w:color w:val="auto"/>
          <w:kern w:val="2"/>
          <w:sz w:val="32"/>
          <w:szCs w:val="20"/>
          <w:lang w:val="en-US"/>
        </w:rPr>
      </w:pPr>
      <w:r>
        <w:rPr>
          <w:rFonts w:hint="eastAsia" w:ascii="仿宋" w:hAnsi="仿宋" w:eastAsia="仿宋"/>
          <w:color w:val="auto"/>
          <w:kern w:val="2"/>
          <w:sz w:val="32"/>
          <w:szCs w:val="20"/>
          <w:lang w:val="en-US"/>
        </w:rPr>
        <w:t>（图1：收、支决算总计变动情况图）（柱状图）</w:t>
      </w:r>
    </w:p>
    <w:p>
      <w:pPr>
        <w:autoSpaceDE w:val="0"/>
        <w:autoSpaceDN w:val="0"/>
        <w:adjustRightInd w:val="0"/>
        <w:spacing w:line="600" w:lineRule="exact"/>
        <w:ind w:firstLine="640" w:firstLineChars="200"/>
        <w:jc w:val="left"/>
        <w:rPr>
          <w:rFonts w:hint="eastAsia" w:ascii="黑体" w:hAnsi="黑体" w:eastAsia="黑体"/>
          <w:color w:val="auto"/>
          <w:kern w:val="2"/>
          <w:sz w:val="32"/>
          <w:szCs w:val="20"/>
          <w:lang w:val="zh-CN"/>
        </w:rPr>
      </w:pPr>
      <w:r>
        <w:rPr>
          <w:rFonts w:hint="eastAsia" w:ascii="黑体" w:hAnsi="黑体" w:eastAsia="黑体"/>
          <w:color w:val="000000"/>
          <w:kern w:val="2"/>
          <w:sz w:val="32"/>
          <w:szCs w:val="20"/>
          <w:lang w:val="zh-CN"/>
        </w:rPr>
        <w:t>二、收</w:t>
      </w:r>
      <w:r>
        <w:rPr>
          <w:rFonts w:hint="eastAsia" w:ascii="黑体" w:hAnsi="黑体" w:eastAsia="黑体"/>
          <w:color w:val="auto"/>
          <w:kern w:val="2"/>
          <w:sz w:val="32"/>
          <w:szCs w:val="20"/>
          <w:lang w:val="zh-CN"/>
        </w:rPr>
        <w:t>入决算情况说明</w:t>
      </w:r>
    </w:p>
    <w:p>
      <w:pPr>
        <w:autoSpaceDE w:val="0"/>
        <w:autoSpaceDN w:val="0"/>
        <w:adjustRightInd w:val="0"/>
        <w:spacing w:line="600" w:lineRule="exact"/>
        <w:ind w:firstLine="640" w:firstLineChars="200"/>
        <w:jc w:val="left"/>
        <w:rPr>
          <w:rFonts w:hint="eastAsia" w:ascii="仿宋_GB2312" w:hAnsi="仿宋_GB2312" w:eastAsia="仿宋_GB2312"/>
          <w:color w:val="000000"/>
          <w:kern w:val="2"/>
          <w:sz w:val="32"/>
          <w:szCs w:val="20"/>
          <w:lang w:val="zh-CN"/>
        </w:rPr>
      </w:pPr>
      <w:r>
        <w:rPr>
          <w:rFonts w:hint="eastAsia" w:ascii="仿宋_GB2312" w:hAnsi="仿宋_GB2312" w:eastAsia="仿宋_GB2312"/>
          <w:color w:val="000000"/>
          <w:kern w:val="2"/>
          <w:sz w:val="32"/>
          <w:szCs w:val="20"/>
          <w:lang w:val="zh-CN"/>
        </w:rPr>
        <w:t>2023年本年收入合计</w:t>
      </w:r>
      <w:r>
        <w:rPr>
          <w:rFonts w:hint="eastAsia" w:ascii="仿宋_GB2312" w:hAnsi="仿宋_GB2312" w:eastAsia="仿宋_GB2312"/>
          <w:color w:val="000000"/>
          <w:kern w:val="2"/>
          <w:sz w:val="32"/>
          <w:szCs w:val="20"/>
          <w:lang w:val="en-US" w:eastAsia="zh-CN"/>
        </w:rPr>
        <w:t>500.04</w:t>
      </w:r>
      <w:r>
        <w:rPr>
          <w:rFonts w:hint="eastAsia" w:ascii="仿宋_GB2312" w:hAnsi="仿宋_GB2312" w:eastAsia="仿宋_GB2312"/>
          <w:color w:val="000000"/>
          <w:kern w:val="2"/>
          <w:sz w:val="32"/>
          <w:szCs w:val="20"/>
          <w:lang w:val="zh-CN"/>
        </w:rPr>
        <w:t>万元，其中：一般公共预算财政拨款收入</w:t>
      </w:r>
      <w:r>
        <w:rPr>
          <w:rFonts w:hint="eastAsia" w:ascii="仿宋_GB2312" w:hAnsi="仿宋_GB2312" w:eastAsia="仿宋_GB2312"/>
          <w:color w:val="000000"/>
          <w:kern w:val="2"/>
          <w:sz w:val="32"/>
          <w:szCs w:val="20"/>
          <w:lang w:val="en-US" w:eastAsia="zh-CN"/>
        </w:rPr>
        <w:t>500.04</w:t>
      </w:r>
      <w:r>
        <w:rPr>
          <w:rFonts w:hint="eastAsia" w:ascii="仿宋_GB2312" w:hAnsi="仿宋_GB2312" w:eastAsia="仿宋_GB2312"/>
          <w:color w:val="000000"/>
          <w:kern w:val="2"/>
          <w:sz w:val="32"/>
          <w:szCs w:val="20"/>
          <w:lang w:val="zh-CN"/>
        </w:rPr>
        <w:t>万元，占</w:t>
      </w:r>
      <w:r>
        <w:rPr>
          <w:rFonts w:hint="eastAsia" w:ascii="仿宋_GB2312" w:hAnsi="仿宋_GB2312" w:eastAsia="仿宋_GB2312"/>
          <w:color w:val="000000"/>
          <w:kern w:val="2"/>
          <w:sz w:val="32"/>
          <w:szCs w:val="20"/>
          <w:lang w:val="en-US" w:eastAsia="zh-CN"/>
        </w:rPr>
        <w:t>100</w:t>
      </w:r>
      <w:r>
        <w:rPr>
          <w:rFonts w:hint="eastAsia" w:ascii="仿宋_GB2312" w:hAnsi="仿宋_GB2312" w:eastAsia="仿宋_GB2312"/>
          <w:color w:val="000000"/>
          <w:kern w:val="2"/>
          <w:sz w:val="32"/>
          <w:szCs w:val="20"/>
          <w:lang w:val="zh-CN"/>
        </w:rPr>
        <w:t>%；政府性基金预算财政拨款收入</w:t>
      </w:r>
      <w:r>
        <w:rPr>
          <w:rFonts w:hint="eastAsia" w:ascii="仿宋_GB2312" w:hAnsi="仿宋_GB2312" w:eastAsia="仿宋_GB2312"/>
          <w:color w:val="000000"/>
          <w:kern w:val="2"/>
          <w:sz w:val="32"/>
          <w:szCs w:val="20"/>
          <w:lang w:val="en-US" w:eastAsia="zh-CN"/>
        </w:rPr>
        <w:t>0</w:t>
      </w:r>
      <w:r>
        <w:rPr>
          <w:rFonts w:hint="eastAsia" w:ascii="仿宋_GB2312" w:hAnsi="仿宋_GB2312" w:eastAsia="仿宋_GB2312"/>
          <w:color w:val="000000"/>
          <w:kern w:val="2"/>
          <w:sz w:val="32"/>
          <w:szCs w:val="20"/>
          <w:lang w:val="zh-CN"/>
        </w:rPr>
        <w:t>万元，占</w:t>
      </w:r>
      <w:r>
        <w:rPr>
          <w:rFonts w:hint="eastAsia" w:ascii="仿宋_GB2312" w:hAnsi="仿宋_GB2312" w:eastAsia="仿宋_GB2312"/>
          <w:color w:val="000000"/>
          <w:kern w:val="2"/>
          <w:sz w:val="32"/>
          <w:szCs w:val="20"/>
          <w:lang w:val="en-US" w:eastAsia="zh-CN"/>
        </w:rPr>
        <w:t>0</w:t>
      </w:r>
      <w:r>
        <w:rPr>
          <w:rFonts w:hint="eastAsia" w:ascii="仿宋_GB2312" w:hAnsi="仿宋_GB2312" w:eastAsia="仿宋_GB2312"/>
          <w:color w:val="000000"/>
          <w:kern w:val="2"/>
          <w:sz w:val="32"/>
          <w:szCs w:val="20"/>
          <w:lang w:val="zh-CN"/>
        </w:rPr>
        <w:t>%；国有资本经营预算财政拨款收入0万元，占0%；上级补助收入0万元，占0%；事业收入0万元，占0%；经营收入0万元，占0%；附属单位上缴收入0万元，占0%；其他收入0万元，占0%。</w:t>
      </w:r>
    </w:p>
    <w:p>
      <w:pPr>
        <w:autoSpaceDE w:val="0"/>
        <w:autoSpaceDN w:val="0"/>
        <w:adjustRightInd w:val="0"/>
        <w:spacing w:line="600" w:lineRule="exact"/>
        <w:jc w:val="center"/>
        <w:rPr>
          <w:rFonts w:hint="eastAsia" w:ascii="仿宋" w:hAnsi="仿宋" w:eastAsia="仿宋"/>
          <w:color w:val="auto"/>
          <w:kern w:val="2"/>
          <w:sz w:val="32"/>
          <w:szCs w:val="20"/>
          <w:lang w:val="en-US"/>
        </w:rPr>
      </w:pPr>
      <w:r>
        <w:rPr>
          <w:rFonts w:hint="default" w:ascii="仿宋" w:hAnsi="仿宋" w:eastAsia="仿宋"/>
          <w:color w:val="000000"/>
          <w:kern w:val="0"/>
          <w:sz w:val="32"/>
          <w:szCs w:val="20"/>
          <w:lang w:eastAsia="zh-CN"/>
        </w:rPr>
        <w:pict>
          <v:shape id="Object 3" o:spid="_x0000_s1026" o:spt="75" type="#_x0000_t75" style="position:absolute;left:0pt;margin-left:58.95pt;margin-top:6.6pt;height:169pt;width:316.45pt;mso-wrap-distance-bottom:0pt;mso-wrap-distance-top:0pt;z-index:251658240;mso-width-relative:page;mso-height-relative:page;" o:ole="t" filled="f" o:preferrelative="t" stroked="f" coordsize="21600,21600">
            <v:path/>
            <v:fill on="f" focussize="0,0"/>
            <v:stroke on="f"/>
            <v:imagedata r:id="rId9" o:title=""/>
            <o:lock v:ext="edit" aspectratio="t"/>
            <w10:wrap type="topAndBottom"/>
          </v:shape>
          <o:OLEObject Type="Embed" ProgID="Excel.Chart.8" ShapeID="Object 3" DrawAspect="Content" ObjectID="_1468075726" r:id="rId8">
            <o:LockedField>false</o:LockedField>
          </o:OLEObject>
        </w:pict>
      </w:r>
      <w:r>
        <w:rPr>
          <w:rFonts w:hint="eastAsia" w:ascii="仿宋" w:hAnsi="仿宋" w:eastAsia="仿宋"/>
          <w:color w:val="auto"/>
          <w:kern w:val="2"/>
          <w:sz w:val="32"/>
          <w:szCs w:val="20"/>
          <w:lang w:val="en-US"/>
        </w:rPr>
        <w:t>（图2：收入决算结构图）（饼状图）</w:t>
      </w:r>
    </w:p>
    <w:p>
      <w:pPr>
        <w:autoSpaceDE w:val="0"/>
        <w:autoSpaceDN w:val="0"/>
        <w:adjustRightInd w:val="0"/>
        <w:spacing w:line="600" w:lineRule="exact"/>
        <w:ind w:firstLine="640" w:firstLineChars="200"/>
        <w:jc w:val="left"/>
        <w:rPr>
          <w:rFonts w:hint="eastAsia" w:ascii="黑体" w:hAnsi="黑体" w:eastAsia="黑体"/>
          <w:color w:val="auto"/>
          <w:kern w:val="2"/>
          <w:sz w:val="32"/>
          <w:szCs w:val="20"/>
          <w:lang w:val="zh-CN"/>
        </w:rPr>
      </w:pPr>
      <w:r>
        <w:rPr>
          <w:rFonts w:hint="eastAsia" w:ascii="黑体" w:hAnsi="黑体" w:eastAsia="黑体"/>
          <w:color w:val="000000"/>
          <w:kern w:val="2"/>
          <w:sz w:val="32"/>
          <w:szCs w:val="20"/>
          <w:lang w:val="zh-CN"/>
        </w:rPr>
        <w:t>三、支</w:t>
      </w:r>
      <w:r>
        <w:rPr>
          <w:rFonts w:hint="eastAsia" w:ascii="黑体" w:hAnsi="黑体" w:eastAsia="黑体"/>
          <w:color w:val="auto"/>
          <w:kern w:val="2"/>
          <w:sz w:val="32"/>
          <w:szCs w:val="20"/>
          <w:lang w:val="zh-CN"/>
        </w:rPr>
        <w:t>出决算情况说明</w:t>
      </w:r>
    </w:p>
    <w:p>
      <w:pPr>
        <w:autoSpaceDE w:val="0"/>
        <w:autoSpaceDN w:val="0"/>
        <w:adjustRightInd w:val="0"/>
        <w:spacing w:line="600" w:lineRule="exact"/>
        <w:jc w:val="left"/>
        <w:rPr>
          <w:rFonts w:hint="eastAsia" w:ascii="仿宋_GB2312" w:hAnsi="仿宋_GB2312" w:eastAsia="仿宋_GB2312"/>
          <w:color w:val="000000"/>
          <w:kern w:val="2"/>
          <w:sz w:val="32"/>
          <w:szCs w:val="20"/>
          <w:lang w:val="zh-CN"/>
        </w:rPr>
      </w:pPr>
      <w:r>
        <w:rPr>
          <w:rFonts w:hint="default" w:ascii="仿宋" w:hAnsi="仿宋" w:eastAsia="仿宋"/>
          <w:color w:val="000000"/>
          <w:kern w:val="0"/>
          <w:sz w:val="32"/>
          <w:szCs w:val="20"/>
          <w:lang w:eastAsia="zh-CN"/>
        </w:rPr>
        <w:pict>
          <v:shape id="Object 4" o:spid="_x0000_s1027" o:spt="75" type="#_x0000_t75" style="position:absolute;left:0pt;margin-left:62pt;margin-top:125pt;height:148.25pt;width:299.95pt;mso-wrap-distance-bottom:0pt;mso-wrap-distance-top:0pt;z-index:251659264;mso-width-relative:page;mso-height-relative:page;" o:ole="t" filled="f" o:preferrelative="t" stroked="f" coordsize="21600,21600">
            <v:path/>
            <v:fill on="f" focussize="0,0"/>
            <v:stroke on="f"/>
            <v:imagedata r:id="rId11" o:title=""/>
            <o:lock v:ext="edit" aspectratio="t"/>
            <w10:wrap type="topAndBottom"/>
          </v:shape>
          <o:OLEObject Type="Embed" ProgID="Excel.Chart.8" ShapeID="Object 4" DrawAspect="Content" ObjectID="_1468075727" r:id="rId10">
            <o:LockedField>false</o:LockedField>
          </o:OLEObject>
        </w:pict>
      </w:r>
      <w:r>
        <w:rPr>
          <w:rFonts w:hint="eastAsia" w:ascii="仿宋_GB2312" w:hAnsi="仿宋_GB2312" w:eastAsia="仿宋_GB2312"/>
          <w:color w:val="000000"/>
          <w:kern w:val="2"/>
          <w:sz w:val="32"/>
          <w:szCs w:val="20"/>
          <w:lang w:val="en-US" w:eastAsia="zh-CN"/>
        </w:rPr>
        <w:t xml:space="preserve">    </w:t>
      </w:r>
      <w:r>
        <w:rPr>
          <w:rFonts w:hint="eastAsia" w:ascii="仿宋_GB2312" w:hAnsi="仿宋_GB2312" w:eastAsia="仿宋_GB2312"/>
          <w:color w:val="000000"/>
          <w:kern w:val="2"/>
          <w:sz w:val="32"/>
          <w:szCs w:val="20"/>
          <w:lang w:val="zh-CN"/>
        </w:rPr>
        <w:t>2023年本年支出合计</w:t>
      </w:r>
      <w:r>
        <w:rPr>
          <w:rFonts w:hint="eastAsia" w:ascii="仿宋_GB2312" w:hAnsi="仿宋_GB2312" w:eastAsia="仿宋_GB2312"/>
          <w:color w:val="000000"/>
          <w:kern w:val="2"/>
          <w:sz w:val="32"/>
          <w:szCs w:val="20"/>
          <w:lang w:val="en-US" w:eastAsia="zh-CN"/>
        </w:rPr>
        <w:t>500.04</w:t>
      </w:r>
      <w:r>
        <w:rPr>
          <w:rFonts w:hint="eastAsia" w:ascii="仿宋_GB2312" w:hAnsi="仿宋_GB2312" w:eastAsia="仿宋_GB2312"/>
          <w:color w:val="000000"/>
          <w:kern w:val="2"/>
          <w:sz w:val="32"/>
          <w:szCs w:val="20"/>
          <w:lang w:val="zh-CN"/>
        </w:rPr>
        <w:t>万元，其中：基本支出</w:t>
      </w:r>
      <w:r>
        <w:rPr>
          <w:rFonts w:hint="eastAsia" w:ascii="仿宋_GB2312" w:hAnsi="仿宋_GB2312" w:eastAsia="仿宋_GB2312"/>
          <w:color w:val="000000"/>
          <w:kern w:val="2"/>
          <w:sz w:val="32"/>
          <w:szCs w:val="20"/>
          <w:lang w:val="en-US" w:eastAsia="zh-CN"/>
        </w:rPr>
        <w:t>404.1</w:t>
      </w:r>
      <w:r>
        <w:rPr>
          <w:rFonts w:hint="eastAsia" w:ascii="仿宋_GB2312" w:hAnsi="仿宋_GB2312" w:eastAsia="仿宋_GB2312"/>
          <w:color w:val="000000"/>
          <w:kern w:val="2"/>
          <w:sz w:val="32"/>
          <w:szCs w:val="20"/>
          <w:lang w:val="zh-CN"/>
        </w:rPr>
        <w:t>万元，占</w:t>
      </w:r>
      <w:r>
        <w:rPr>
          <w:rFonts w:hint="eastAsia" w:ascii="仿宋_GB2312" w:hAnsi="仿宋_GB2312" w:eastAsia="仿宋_GB2312"/>
          <w:color w:val="000000"/>
          <w:kern w:val="2"/>
          <w:sz w:val="32"/>
          <w:szCs w:val="20"/>
          <w:lang w:val="en-US" w:eastAsia="zh-CN"/>
        </w:rPr>
        <w:t>80.81</w:t>
      </w:r>
      <w:r>
        <w:rPr>
          <w:rFonts w:hint="eastAsia" w:ascii="仿宋_GB2312" w:hAnsi="仿宋_GB2312" w:eastAsia="仿宋_GB2312"/>
          <w:color w:val="000000"/>
          <w:kern w:val="2"/>
          <w:sz w:val="32"/>
          <w:szCs w:val="20"/>
          <w:lang w:val="zh-CN"/>
        </w:rPr>
        <w:t>%；项目支出</w:t>
      </w:r>
      <w:r>
        <w:rPr>
          <w:rFonts w:hint="eastAsia" w:ascii="仿宋_GB2312" w:hAnsi="仿宋_GB2312" w:eastAsia="仿宋_GB2312"/>
          <w:color w:val="000000"/>
          <w:kern w:val="2"/>
          <w:sz w:val="32"/>
          <w:szCs w:val="20"/>
          <w:lang w:val="en-US" w:eastAsia="zh-CN"/>
        </w:rPr>
        <w:t>95.94</w:t>
      </w:r>
      <w:r>
        <w:rPr>
          <w:rFonts w:hint="eastAsia" w:ascii="仿宋_GB2312" w:hAnsi="仿宋_GB2312" w:eastAsia="仿宋_GB2312"/>
          <w:color w:val="000000"/>
          <w:kern w:val="2"/>
          <w:sz w:val="32"/>
          <w:szCs w:val="20"/>
          <w:lang w:val="zh-CN"/>
        </w:rPr>
        <w:t>万元，占</w:t>
      </w:r>
      <w:r>
        <w:rPr>
          <w:rFonts w:hint="eastAsia" w:ascii="仿宋_GB2312" w:hAnsi="仿宋_GB2312" w:eastAsia="仿宋_GB2312"/>
          <w:color w:val="000000"/>
          <w:kern w:val="2"/>
          <w:sz w:val="32"/>
          <w:szCs w:val="20"/>
          <w:lang w:val="en-US" w:eastAsia="zh-CN"/>
        </w:rPr>
        <w:t>19.19</w:t>
      </w:r>
      <w:r>
        <w:rPr>
          <w:rFonts w:hint="eastAsia" w:ascii="仿宋_GB2312" w:hAnsi="仿宋_GB2312" w:eastAsia="仿宋_GB2312"/>
          <w:color w:val="000000"/>
          <w:kern w:val="2"/>
          <w:sz w:val="32"/>
          <w:szCs w:val="20"/>
          <w:lang w:val="zh-CN"/>
        </w:rPr>
        <w:t>%；上缴上级支出0万元，占0%；经营支出0万元，占0%；对附属单位补助支出0万元，占0%。</w:t>
      </w:r>
    </w:p>
    <w:p>
      <w:pPr>
        <w:autoSpaceDE w:val="0"/>
        <w:autoSpaceDN w:val="0"/>
        <w:adjustRightInd w:val="0"/>
        <w:spacing w:line="600" w:lineRule="exact"/>
        <w:ind w:firstLine="640"/>
        <w:jc w:val="center"/>
        <w:rPr>
          <w:rFonts w:hint="eastAsia" w:ascii="仿宋" w:hAnsi="仿宋" w:eastAsia="仿宋"/>
          <w:color w:val="auto"/>
          <w:kern w:val="2"/>
          <w:sz w:val="32"/>
          <w:szCs w:val="20"/>
          <w:lang w:val="en-US"/>
        </w:rPr>
      </w:pPr>
      <w:r>
        <w:rPr>
          <w:rFonts w:hint="eastAsia" w:ascii="仿宋" w:hAnsi="仿宋" w:eastAsia="仿宋"/>
          <w:color w:val="auto"/>
          <w:kern w:val="2"/>
          <w:sz w:val="32"/>
          <w:szCs w:val="20"/>
          <w:lang w:val="en-US"/>
        </w:rPr>
        <w:t>（图3：支出决算结构图）（饼状图）</w:t>
      </w:r>
    </w:p>
    <w:p>
      <w:pPr>
        <w:keepNext/>
        <w:keepLines/>
        <w:autoSpaceDE w:val="0"/>
        <w:autoSpaceDN w:val="0"/>
        <w:adjustRightInd w:val="0"/>
        <w:spacing w:line="576" w:lineRule="exact"/>
        <w:ind w:firstLine="640"/>
        <w:jc w:val="both"/>
        <w:rPr>
          <w:rFonts w:hint="eastAsia" w:ascii="黑体" w:hAnsi="黑体" w:eastAsia="黑体"/>
          <w:color w:val="auto"/>
          <w:kern w:val="2"/>
          <w:sz w:val="32"/>
          <w:szCs w:val="20"/>
          <w:lang w:val="zh-CN"/>
        </w:rPr>
      </w:pPr>
      <w:r>
        <w:rPr>
          <w:rFonts w:hint="eastAsia" w:ascii="黑体" w:hAnsi="黑体" w:eastAsia="黑体"/>
          <w:color w:val="000000"/>
          <w:kern w:val="2"/>
          <w:sz w:val="32"/>
          <w:szCs w:val="20"/>
          <w:lang w:val="zh-CN"/>
        </w:rPr>
        <w:t>四、财</w:t>
      </w:r>
      <w:r>
        <w:rPr>
          <w:rFonts w:hint="eastAsia" w:ascii="黑体" w:hAnsi="黑体" w:eastAsia="黑体"/>
          <w:color w:val="auto"/>
          <w:kern w:val="2"/>
          <w:sz w:val="32"/>
          <w:szCs w:val="20"/>
          <w:lang w:val="zh-CN"/>
        </w:rPr>
        <w:t>政拨款收入支出决算总体情况说明</w:t>
      </w:r>
    </w:p>
    <w:p>
      <w:pPr>
        <w:autoSpaceDE w:val="0"/>
        <w:autoSpaceDN w:val="0"/>
        <w:adjustRightInd w:val="0"/>
        <w:spacing w:line="576" w:lineRule="exact"/>
        <w:ind w:firstLine="640"/>
        <w:jc w:val="both"/>
        <w:rPr>
          <w:rFonts w:hint="eastAsia" w:ascii="仿宋_GB2312" w:hAnsi="仿宋_GB2312" w:eastAsia="仿宋_GB2312"/>
          <w:color w:val="000000"/>
          <w:kern w:val="2"/>
          <w:sz w:val="32"/>
          <w:szCs w:val="20"/>
          <w:lang w:val="zh-CN"/>
        </w:rPr>
      </w:pPr>
      <w:r>
        <w:rPr>
          <w:rFonts w:hint="default" w:ascii="Times New Roman" w:hAnsi="Times New Roman" w:eastAsia="宋体"/>
          <w:kern w:val="0"/>
          <w:sz w:val="24"/>
          <w:szCs w:val="20"/>
          <w:lang w:eastAsia="zh-CN"/>
        </w:rPr>
        <w:pict>
          <v:shape id="Object 5" o:spid="_x0000_s1028" o:spt="75" type="#_x0000_t75" style="position:absolute;left:0pt;margin-left:61.5pt;margin-top:91.2pt;height:171.95pt;width:305.15pt;mso-wrap-distance-bottom:0pt;mso-wrap-distance-top:0pt;z-index:251660288;mso-width-relative:page;mso-height-relative:page;" o:ole="t" filled="f" o:preferrelative="t" stroked="f" coordsize="21600,21600">
            <v:path/>
            <v:fill on="f" focussize="0,0"/>
            <v:stroke on="f"/>
            <v:imagedata r:id="rId13" o:title=""/>
            <o:lock v:ext="edit" aspectratio="t"/>
            <w10:wrap type="topAndBottom"/>
          </v:shape>
          <o:OLEObject Type="Embed" ProgID="Excel.Chart.8" ShapeID="Object 5" DrawAspect="Content" ObjectID="_1468075728" r:id="rId12">
            <o:LockedField>false</o:LockedField>
          </o:OLEObject>
        </w:pict>
      </w:r>
      <w:r>
        <w:rPr>
          <w:rFonts w:hint="eastAsia" w:ascii="仿宋_GB2312" w:hAnsi="仿宋_GB2312" w:eastAsia="仿宋_GB2312"/>
          <w:color w:val="000000"/>
          <w:kern w:val="2"/>
          <w:sz w:val="32"/>
          <w:szCs w:val="20"/>
          <w:lang w:val="zh-CN"/>
        </w:rPr>
        <w:t>2023年度收、支总计500.04万元。与2022年相比，收、支总计减少3224.49万元，下降86.57%。主要变动原因是2022年新建拦江镇第二幼儿园，2023年无大型工程拨款。</w:t>
      </w:r>
    </w:p>
    <w:p>
      <w:pPr>
        <w:autoSpaceDE w:val="0"/>
        <w:autoSpaceDN w:val="0"/>
        <w:adjustRightInd w:val="0"/>
        <w:spacing w:line="576" w:lineRule="exact"/>
        <w:jc w:val="center"/>
        <w:rPr>
          <w:rFonts w:hint="eastAsia" w:ascii="仿宋" w:hAnsi="仿宋" w:eastAsia="仿宋"/>
          <w:color w:val="auto"/>
          <w:kern w:val="2"/>
          <w:sz w:val="32"/>
          <w:szCs w:val="20"/>
          <w:lang w:val="en-US"/>
        </w:rPr>
      </w:pPr>
      <w:r>
        <w:rPr>
          <w:rFonts w:hint="eastAsia" w:ascii="仿宋" w:hAnsi="仿宋" w:eastAsia="仿宋"/>
          <w:color w:val="auto"/>
          <w:kern w:val="2"/>
          <w:sz w:val="32"/>
          <w:szCs w:val="20"/>
          <w:lang w:val="en-US"/>
        </w:rPr>
        <w:t>（图4：财政拨款收、支决算总计变动情况）（柱状图）</w:t>
      </w:r>
    </w:p>
    <w:p>
      <w:pPr>
        <w:autoSpaceDE w:val="0"/>
        <w:autoSpaceDN w:val="0"/>
        <w:adjustRightInd w:val="0"/>
        <w:spacing w:line="600" w:lineRule="exact"/>
        <w:ind w:firstLine="640" w:firstLineChars="200"/>
        <w:jc w:val="both"/>
        <w:rPr>
          <w:rFonts w:hint="eastAsia" w:ascii="黑体" w:hAnsi="黑体" w:eastAsia="黑体"/>
          <w:color w:val="auto"/>
          <w:kern w:val="2"/>
          <w:sz w:val="32"/>
          <w:szCs w:val="20"/>
          <w:lang w:val="zh-CN"/>
        </w:rPr>
      </w:pPr>
      <w:r>
        <w:rPr>
          <w:rFonts w:hint="eastAsia" w:ascii="黑体" w:hAnsi="黑体" w:eastAsia="黑体"/>
          <w:color w:val="000000"/>
          <w:kern w:val="2"/>
          <w:sz w:val="32"/>
          <w:szCs w:val="20"/>
          <w:lang w:val="zh-CN"/>
        </w:rPr>
        <w:t>五、</w:t>
      </w:r>
      <w:r>
        <w:rPr>
          <w:rFonts w:hint="eastAsia" w:ascii="黑体" w:hAnsi="黑体" w:eastAsia="黑体"/>
          <w:b/>
          <w:color w:val="000000"/>
          <w:kern w:val="2"/>
          <w:sz w:val="32"/>
          <w:szCs w:val="20"/>
          <w:lang w:val="zh-CN"/>
        </w:rPr>
        <w:t>一</w:t>
      </w:r>
      <w:r>
        <w:rPr>
          <w:rFonts w:hint="eastAsia" w:ascii="黑体" w:hAnsi="黑体" w:eastAsia="黑体"/>
          <w:color w:val="auto"/>
          <w:kern w:val="2"/>
          <w:sz w:val="32"/>
          <w:szCs w:val="20"/>
          <w:lang w:val="zh-CN"/>
        </w:rPr>
        <w:t>般公共预算财政拨款支出决算情况说明</w:t>
      </w:r>
    </w:p>
    <w:p>
      <w:pPr>
        <w:autoSpaceDE w:val="0"/>
        <w:autoSpaceDN w:val="0"/>
        <w:adjustRightInd w:val="0"/>
        <w:spacing w:line="600" w:lineRule="exact"/>
        <w:ind w:firstLine="643" w:firstLineChars="200"/>
        <w:jc w:val="both"/>
        <w:rPr>
          <w:rFonts w:hint="eastAsia" w:ascii="仿宋_GB2312" w:hAnsi="仿宋_GB2312" w:eastAsia="仿宋_GB2312"/>
          <w:b/>
          <w:color w:val="000000"/>
          <w:kern w:val="2"/>
          <w:sz w:val="32"/>
          <w:szCs w:val="20"/>
          <w:lang w:val="zh-CN"/>
        </w:rPr>
      </w:pPr>
      <w:r>
        <w:rPr>
          <w:rFonts w:hint="eastAsia" w:ascii="仿宋_GB2312" w:hAnsi="仿宋_GB2312" w:eastAsia="仿宋_GB2312"/>
          <w:b/>
          <w:color w:val="000000"/>
          <w:kern w:val="2"/>
          <w:sz w:val="32"/>
          <w:szCs w:val="20"/>
          <w:lang w:val="zh-CN"/>
        </w:rPr>
        <w:t>（一）一般公共预算财政拨款支出决算总体情况。</w:t>
      </w:r>
    </w:p>
    <w:p>
      <w:pPr>
        <w:autoSpaceDE w:val="0"/>
        <w:autoSpaceDN w:val="0"/>
        <w:adjustRightInd w:val="0"/>
        <w:spacing w:line="600" w:lineRule="exact"/>
        <w:ind w:firstLine="640" w:firstLineChars="200"/>
        <w:jc w:val="both"/>
        <w:rPr>
          <w:rFonts w:hint="eastAsia" w:ascii="仿宋" w:hAnsi="仿宋" w:eastAsia="仿宋"/>
          <w:color w:val="auto"/>
          <w:kern w:val="2"/>
          <w:sz w:val="32"/>
          <w:szCs w:val="20"/>
          <w:lang w:val="en-US"/>
        </w:rPr>
      </w:pPr>
      <w:r>
        <w:rPr>
          <w:rFonts w:hint="eastAsia" w:ascii="仿宋_GB2312" w:hAnsi="仿宋_GB2312" w:eastAsia="仿宋_GB2312"/>
          <w:color w:val="000000"/>
          <w:kern w:val="2"/>
          <w:sz w:val="32"/>
          <w:szCs w:val="20"/>
          <w:lang w:val="zh-CN"/>
        </w:rPr>
        <w:t>2023年一般公共预算财政拨款支出</w:t>
      </w:r>
      <w:r>
        <w:rPr>
          <w:rFonts w:hint="eastAsia" w:ascii="仿宋_GB2312" w:hAnsi="仿宋_GB2312" w:eastAsia="仿宋_GB2312"/>
          <w:color w:val="000000"/>
          <w:kern w:val="2"/>
          <w:sz w:val="32"/>
          <w:szCs w:val="20"/>
          <w:lang w:val="en-US" w:eastAsia="zh-CN"/>
        </w:rPr>
        <w:t>500.04</w:t>
      </w:r>
      <w:r>
        <w:rPr>
          <w:rFonts w:hint="eastAsia" w:ascii="仿宋_GB2312" w:hAnsi="仿宋_GB2312" w:eastAsia="仿宋_GB2312"/>
          <w:color w:val="000000"/>
          <w:kern w:val="2"/>
          <w:sz w:val="32"/>
          <w:szCs w:val="20"/>
          <w:lang w:val="zh-CN"/>
        </w:rPr>
        <w:t>万元，占本年支出合计的</w:t>
      </w:r>
      <w:r>
        <w:rPr>
          <w:rFonts w:hint="eastAsia" w:ascii="仿宋_GB2312" w:hAnsi="仿宋_GB2312" w:eastAsia="仿宋_GB2312"/>
          <w:color w:val="000000"/>
          <w:kern w:val="2"/>
          <w:sz w:val="32"/>
          <w:szCs w:val="20"/>
          <w:lang w:val="en-US" w:eastAsia="zh-CN"/>
        </w:rPr>
        <w:t>100</w:t>
      </w:r>
      <w:r>
        <w:rPr>
          <w:rFonts w:hint="eastAsia" w:ascii="仿宋_GB2312" w:hAnsi="仿宋_GB2312" w:eastAsia="仿宋_GB2312"/>
          <w:color w:val="000000"/>
          <w:kern w:val="2"/>
          <w:sz w:val="32"/>
          <w:szCs w:val="20"/>
          <w:lang w:val="zh-CN"/>
        </w:rPr>
        <w:t>%。与2022年相比，一般公共预算财政拨款支出减少</w:t>
      </w:r>
      <w:r>
        <w:rPr>
          <w:rFonts w:hint="eastAsia" w:ascii="仿宋_GB2312" w:hAnsi="仿宋_GB2312" w:eastAsia="仿宋_GB2312"/>
          <w:color w:val="000000"/>
          <w:kern w:val="2"/>
          <w:sz w:val="32"/>
          <w:szCs w:val="20"/>
          <w:lang w:val="en-US" w:eastAsia="zh-CN"/>
        </w:rPr>
        <w:t>53.49</w:t>
      </w:r>
      <w:r>
        <w:rPr>
          <w:rFonts w:hint="eastAsia" w:ascii="仿宋_GB2312" w:hAnsi="仿宋_GB2312" w:eastAsia="仿宋_GB2312"/>
          <w:color w:val="000000"/>
          <w:kern w:val="2"/>
          <w:sz w:val="32"/>
          <w:szCs w:val="20"/>
          <w:lang w:val="zh-CN"/>
        </w:rPr>
        <w:t>万元，下降</w:t>
      </w:r>
      <w:r>
        <w:rPr>
          <w:rFonts w:hint="eastAsia" w:ascii="仿宋_GB2312" w:hAnsi="仿宋_GB2312" w:eastAsia="仿宋_GB2312"/>
          <w:color w:val="000000"/>
          <w:kern w:val="2"/>
          <w:sz w:val="32"/>
          <w:szCs w:val="20"/>
          <w:lang w:val="en-US" w:eastAsia="zh-CN"/>
        </w:rPr>
        <w:t>9.66</w:t>
      </w:r>
      <w:r>
        <w:rPr>
          <w:rFonts w:hint="eastAsia" w:ascii="仿宋_GB2312" w:hAnsi="仿宋_GB2312" w:eastAsia="仿宋_GB2312"/>
          <w:color w:val="000000"/>
          <w:kern w:val="2"/>
          <w:sz w:val="32"/>
          <w:szCs w:val="20"/>
          <w:lang w:val="zh-CN"/>
        </w:rPr>
        <w:t>%。主要变动原因是</w:t>
      </w:r>
      <w:r>
        <w:rPr>
          <w:rFonts w:hint="eastAsia" w:ascii="仿宋_GB2312" w:hAnsi="仿宋_GB2312" w:eastAsia="仿宋_GB2312"/>
          <w:color w:val="000000"/>
          <w:kern w:val="2"/>
          <w:sz w:val="32"/>
          <w:szCs w:val="20"/>
          <w:lang w:val="zh-CN" w:eastAsia="zh-CN"/>
        </w:rPr>
        <w:t>2022年有拦江二幼建修项目3100万，</w:t>
      </w:r>
      <w:r>
        <w:rPr>
          <w:rFonts w:hint="eastAsia" w:ascii="仿宋_GB2312" w:hAnsi="仿宋_GB2312" w:eastAsia="仿宋_GB2312"/>
          <w:color w:val="000000"/>
          <w:kern w:val="2"/>
          <w:sz w:val="32"/>
          <w:szCs w:val="20"/>
          <w:lang w:val="zh-CN"/>
        </w:rPr>
        <w:t>本年项目资金减少。</w:t>
      </w:r>
    </w:p>
    <w:p>
      <w:pPr>
        <w:autoSpaceDE w:val="0"/>
        <w:autoSpaceDN w:val="0"/>
        <w:adjustRightInd w:val="0"/>
        <w:spacing w:line="600" w:lineRule="exact"/>
        <w:jc w:val="both"/>
        <w:rPr>
          <w:rFonts w:hint="eastAsia" w:ascii="仿宋" w:hAnsi="仿宋" w:eastAsia="仿宋"/>
          <w:color w:val="auto"/>
          <w:kern w:val="2"/>
          <w:sz w:val="32"/>
          <w:szCs w:val="20"/>
          <w:lang w:val="en-US"/>
        </w:rPr>
      </w:pPr>
    </w:p>
    <w:p>
      <w:pPr>
        <w:autoSpaceDE w:val="0"/>
        <w:autoSpaceDN w:val="0"/>
        <w:adjustRightInd w:val="0"/>
        <w:spacing w:line="600" w:lineRule="exact"/>
        <w:jc w:val="both"/>
        <w:rPr>
          <w:rFonts w:hint="eastAsia" w:ascii="仿宋" w:hAnsi="仿宋" w:eastAsia="仿宋"/>
          <w:color w:val="auto"/>
          <w:kern w:val="2"/>
          <w:sz w:val="32"/>
          <w:szCs w:val="20"/>
          <w:lang w:val="en-US"/>
        </w:rPr>
      </w:pPr>
    </w:p>
    <w:p>
      <w:pPr>
        <w:autoSpaceDE w:val="0"/>
        <w:autoSpaceDN w:val="0"/>
        <w:adjustRightInd w:val="0"/>
        <w:spacing w:line="600" w:lineRule="exact"/>
        <w:jc w:val="both"/>
        <w:rPr>
          <w:rFonts w:hint="eastAsia" w:ascii="仿宋" w:hAnsi="仿宋" w:eastAsia="仿宋"/>
          <w:color w:val="auto"/>
          <w:kern w:val="2"/>
          <w:sz w:val="32"/>
          <w:szCs w:val="20"/>
          <w:lang w:val="en-US"/>
        </w:rPr>
      </w:pPr>
    </w:p>
    <w:p>
      <w:pPr>
        <w:autoSpaceDE w:val="0"/>
        <w:autoSpaceDN w:val="0"/>
        <w:adjustRightInd w:val="0"/>
        <w:spacing w:line="600" w:lineRule="exact"/>
        <w:jc w:val="both"/>
        <w:rPr>
          <w:rFonts w:hint="eastAsia" w:ascii="仿宋" w:hAnsi="仿宋" w:eastAsia="仿宋"/>
          <w:color w:val="auto"/>
          <w:kern w:val="2"/>
          <w:sz w:val="32"/>
          <w:szCs w:val="20"/>
          <w:lang w:val="en-US"/>
        </w:rPr>
      </w:pPr>
      <w:r>
        <w:rPr>
          <w:rFonts w:hint="default" w:ascii="Times New Roman" w:hAnsi="Times New Roman" w:eastAsia="宋体"/>
          <w:kern w:val="0"/>
          <w:sz w:val="24"/>
          <w:szCs w:val="20"/>
          <w:lang w:eastAsia="zh-CN"/>
        </w:rPr>
        <w:pict>
          <v:shape id="Object 6" o:spid="_x0000_s1029" o:spt="75" type="#_x0000_t75" style="position:absolute;left:0pt;margin-left:57.3pt;margin-top:12.8pt;height:145.3pt;width:279.1pt;mso-wrap-distance-bottom:0pt;mso-wrap-distance-top:0pt;z-index:251661312;mso-width-relative:page;mso-height-relative:page;" o:ole="t" filled="f" o:preferrelative="t" stroked="f" coordsize="21600,21600">
            <v:path/>
            <v:fill on="f" focussize="0,0"/>
            <v:stroke on="f"/>
            <v:imagedata r:id="rId15" o:title=""/>
            <o:lock v:ext="edit" aspectratio="t"/>
            <w10:wrap type="topAndBottom"/>
          </v:shape>
          <o:OLEObject Type="Embed" ProgID="Excel.Chart.8" ShapeID="Object 6" DrawAspect="Content" ObjectID="_1468075729" r:id="rId14">
            <o:LockedField>false</o:LockedField>
          </o:OLEObject>
        </w:pict>
      </w:r>
      <w:r>
        <w:rPr>
          <w:rFonts w:hint="eastAsia" w:ascii="仿宋" w:hAnsi="仿宋" w:eastAsia="仿宋"/>
          <w:color w:val="auto"/>
          <w:kern w:val="2"/>
          <w:sz w:val="32"/>
          <w:szCs w:val="20"/>
          <w:lang w:val="en-US"/>
        </w:rPr>
        <w:t>（图5：一般公共预算财政拨款支出决算变动情况）（柱状图）</w:t>
      </w:r>
    </w:p>
    <w:p>
      <w:pPr>
        <w:autoSpaceDE w:val="0"/>
        <w:autoSpaceDN w:val="0"/>
        <w:adjustRightInd w:val="0"/>
        <w:spacing w:line="600" w:lineRule="exact"/>
        <w:ind w:firstLine="643" w:firstLineChars="200"/>
        <w:jc w:val="both"/>
        <w:rPr>
          <w:rFonts w:hint="eastAsia" w:ascii="仿宋_GB2312" w:hAnsi="仿宋_GB2312" w:eastAsia="仿宋_GB2312"/>
          <w:b/>
          <w:color w:val="000000"/>
          <w:kern w:val="2"/>
          <w:sz w:val="32"/>
          <w:szCs w:val="20"/>
          <w:lang w:val="zh-CN"/>
        </w:rPr>
      </w:pPr>
      <w:r>
        <w:rPr>
          <w:rFonts w:hint="eastAsia" w:ascii="仿宋_GB2312" w:hAnsi="仿宋_GB2312" w:eastAsia="仿宋_GB2312"/>
          <w:b/>
          <w:color w:val="000000"/>
          <w:kern w:val="2"/>
          <w:sz w:val="32"/>
          <w:szCs w:val="20"/>
          <w:lang w:val="zh-CN"/>
        </w:rPr>
        <w:t>（二）一般公共预算财政拨款支出决算结构情况。</w:t>
      </w:r>
    </w:p>
    <w:p>
      <w:pPr>
        <w:autoSpaceDE w:val="0"/>
        <w:autoSpaceDN w:val="0"/>
        <w:adjustRightInd w:val="0"/>
        <w:spacing w:line="600" w:lineRule="exact"/>
        <w:ind w:firstLine="720" w:firstLineChars="225"/>
        <w:jc w:val="both"/>
        <w:rPr>
          <w:rFonts w:hint="eastAsia" w:ascii="仿宋" w:hAnsi="仿宋" w:eastAsia="仿宋"/>
          <w:b/>
          <w:color w:val="auto"/>
          <w:kern w:val="2"/>
          <w:sz w:val="32"/>
          <w:szCs w:val="20"/>
          <w:lang w:val="en-US"/>
        </w:rPr>
      </w:pPr>
      <w:r>
        <w:rPr>
          <w:rFonts w:hint="eastAsia" w:ascii="仿宋_GB2312" w:hAnsi="仿宋_GB2312" w:eastAsia="仿宋_GB2312"/>
          <w:color w:val="000000"/>
          <w:kern w:val="2"/>
          <w:sz w:val="32"/>
          <w:szCs w:val="20"/>
          <w:lang w:val="zh-CN"/>
        </w:rPr>
        <w:t>2023年一般公共预算财政拨款支出5</w:t>
      </w:r>
      <w:r>
        <w:rPr>
          <w:rFonts w:hint="eastAsia" w:ascii="仿宋_GB2312" w:hAnsi="仿宋_GB2312" w:eastAsia="仿宋_GB2312"/>
          <w:color w:val="000000"/>
          <w:kern w:val="2"/>
          <w:sz w:val="32"/>
          <w:szCs w:val="20"/>
          <w:lang w:val="en-US" w:eastAsia="zh-CN"/>
        </w:rPr>
        <w:t>00.04</w:t>
      </w:r>
      <w:r>
        <w:rPr>
          <w:rFonts w:hint="eastAsia" w:ascii="仿宋_GB2312" w:hAnsi="仿宋_GB2312" w:eastAsia="仿宋_GB2312"/>
          <w:color w:val="000000"/>
          <w:kern w:val="2"/>
          <w:sz w:val="32"/>
          <w:szCs w:val="20"/>
          <w:lang w:val="zh-CN"/>
        </w:rPr>
        <w:t>万元，主要用于以下方面: 一般公共服务支出0万元，占0%；教育支出</w:t>
      </w:r>
      <w:r>
        <w:rPr>
          <w:rFonts w:hint="eastAsia" w:ascii="仿宋_GB2312" w:hAnsi="仿宋_GB2312" w:eastAsia="仿宋_GB2312"/>
          <w:color w:val="000000"/>
          <w:kern w:val="2"/>
          <w:sz w:val="32"/>
          <w:szCs w:val="20"/>
          <w:lang w:val="en-US" w:eastAsia="zh-CN"/>
        </w:rPr>
        <w:t>409.75</w:t>
      </w:r>
      <w:r>
        <w:rPr>
          <w:rFonts w:hint="eastAsia" w:ascii="仿宋_GB2312" w:hAnsi="仿宋_GB2312" w:eastAsia="仿宋_GB2312"/>
          <w:color w:val="000000"/>
          <w:kern w:val="2"/>
          <w:sz w:val="32"/>
          <w:szCs w:val="20"/>
          <w:lang w:val="zh-CN"/>
        </w:rPr>
        <w:t>万元，占</w:t>
      </w:r>
      <w:r>
        <w:rPr>
          <w:rFonts w:hint="eastAsia" w:ascii="仿宋_GB2312" w:hAnsi="仿宋_GB2312" w:eastAsia="仿宋_GB2312"/>
          <w:color w:val="000000"/>
          <w:kern w:val="2"/>
          <w:sz w:val="32"/>
          <w:szCs w:val="20"/>
          <w:lang w:val="en-US" w:eastAsia="zh-CN"/>
        </w:rPr>
        <w:t>81.94</w:t>
      </w:r>
      <w:r>
        <w:rPr>
          <w:rFonts w:hint="eastAsia" w:ascii="仿宋_GB2312" w:hAnsi="仿宋_GB2312" w:eastAsia="仿宋_GB2312"/>
          <w:color w:val="000000"/>
          <w:kern w:val="2"/>
          <w:sz w:val="32"/>
          <w:szCs w:val="20"/>
          <w:lang w:val="zh-CN"/>
        </w:rPr>
        <w:t>%；社会保障和就业支出</w:t>
      </w:r>
      <w:r>
        <w:rPr>
          <w:rFonts w:hint="eastAsia" w:ascii="仿宋_GB2312" w:hAnsi="仿宋_GB2312" w:eastAsia="仿宋_GB2312"/>
          <w:color w:val="000000"/>
          <w:kern w:val="2"/>
          <w:sz w:val="32"/>
          <w:szCs w:val="20"/>
          <w:lang w:val="en-US" w:eastAsia="zh-CN"/>
        </w:rPr>
        <w:t>40.18</w:t>
      </w:r>
      <w:r>
        <w:rPr>
          <w:rFonts w:hint="eastAsia" w:ascii="仿宋_GB2312" w:hAnsi="仿宋_GB2312" w:eastAsia="仿宋_GB2312"/>
          <w:color w:val="000000"/>
          <w:kern w:val="2"/>
          <w:sz w:val="32"/>
          <w:szCs w:val="20"/>
          <w:lang w:val="zh-CN"/>
        </w:rPr>
        <w:t>万元，占</w:t>
      </w:r>
      <w:r>
        <w:rPr>
          <w:rFonts w:hint="eastAsia" w:ascii="仿宋_GB2312" w:hAnsi="仿宋_GB2312" w:eastAsia="仿宋_GB2312"/>
          <w:color w:val="000000"/>
          <w:kern w:val="2"/>
          <w:sz w:val="32"/>
          <w:szCs w:val="20"/>
          <w:lang w:val="en-US" w:eastAsia="zh-CN"/>
        </w:rPr>
        <w:t>8.04</w:t>
      </w:r>
      <w:r>
        <w:rPr>
          <w:rFonts w:hint="eastAsia" w:ascii="仿宋_GB2312" w:hAnsi="仿宋_GB2312" w:eastAsia="仿宋_GB2312"/>
          <w:color w:val="000000"/>
          <w:kern w:val="2"/>
          <w:sz w:val="32"/>
          <w:szCs w:val="20"/>
          <w:lang w:val="zh-CN"/>
        </w:rPr>
        <w:t>%；卫生健康支出</w:t>
      </w:r>
      <w:r>
        <w:rPr>
          <w:rFonts w:hint="eastAsia" w:ascii="仿宋_GB2312" w:hAnsi="仿宋_GB2312" w:eastAsia="仿宋_GB2312"/>
          <w:color w:val="000000"/>
          <w:kern w:val="2"/>
          <w:sz w:val="32"/>
          <w:szCs w:val="20"/>
          <w:lang w:val="en-US" w:eastAsia="zh-CN"/>
        </w:rPr>
        <w:t>18.16</w:t>
      </w:r>
      <w:r>
        <w:rPr>
          <w:rFonts w:hint="eastAsia" w:ascii="仿宋_GB2312" w:hAnsi="仿宋_GB2312" w:eastAsia="仿宋_GB2312"/>
          <w:color w:val="000000"/>
          <w:kern w:val="2"/>
          <w:sz w:val="32"/>
          <w:szCs w:val="20"/>
          <w:lang w:val="zh-CN"/>
        </w:rPr>
        <w:t>万元，占</w:t>
      </w:r>
      <w:r>
        <w:rPr>
          <w:rFonts w:hint="eastAsia" w:ascii="仿宋_GB2312" w:hAnsi="仿宋_GB2312" w:eastAsia="仿宋_GB2312"/>
          <w:color w:val="000000"/>
          <w:kern w:val="2"/>
          <w:sz w:val="32"/>
          <w:szCs w:val="20"/>
          <w:lang w:val="en-US" w:eastAsia="zh-CN"/>
        </w:rPr>
        <w:t>3.63</w:t>
      </w:r>
      <w:r>
        <w:rPr>
          <w:rFonts w:hint="eastAsia" w:ascii="仿宋_GB2312" w:hAnsi="仿宋_GB2312" w:eastAsia="仿宋_GB2312"/>
          <w:color w:val="000000"/>
          <w:kern w:val="2"/>
          <w:sz w:val="32"/>
          <w:szCs w:val="20"/>
          <w:lang w:val="zh-CN"/>
        </w:rPr>
        <w:t>%；住房保障支出</w:t>
      </w:r>
      <w:r>
        <w:rPr>
          <w:rFonts w:hint="eastAsia" w:ascii="仿宋_GB2312" w:hAnsi="仿宋_GB2312" w:eastAsia="仿宋_GB2312"/>
          <w:color w:val="000000"/>
          <w:kern w:val="2"/>
          <w:sz w:val="32"/>
          <w:szCs w:val="20"/>
          <w:lang w:val="en-US" w:eastAsia="zh-CN"/>
        </w:rPr>
        <w:t>31.95</w:t>
      </w:r>
      <w:r>
        <w:rPr>
          <w:rFonts w:hint="eastAsia" w:ascii="仿宋_GB2312" w:hAnsi="仿宋_GB2312" w:eastAsia="仿宋_GB2312"/>
          <w:color w:val="000000"/>
          <w:kern w:val="2"/>
          <w:sz w:val="32"/>
          <w:szCs w:val="20"/>
          <w:lang w:val="zh-CN"/>
        </w:rPr>
        <w:t>万元，占</w:t>
      </w:r>
      <w:r>
        <w:rPr>
          <w:rFonts w:hint="eastAsia" w:ascii="仿宋_GB2312" w:hAnsi="仿宋_GB2312" w:eastAsia="仿宋_GB2312"/>
          <w:color w:val="000000"/>
          <w:kern w:val="2"/>
          <w:sz w:val="32"/>
          <w:szCs w:val="20"/>
          <w:lang w:val="en-US" w:eastAsia="zh-CN"/>
        </w:rPr>
        <w:t>6.39</w:t>
      </w:r>
      <w:r>
        <w:rPr>
          <w:rFonts w:hint="eastAsia" w:ascii="仿宋_GB2312" w:hAnsi="仿宋_GB2312" w:eastAsia="仿宋_GB2312"/>
          <w:color w:val="000000"/>
          <w:kern w:val="2"/>
          <w:sz w:val="32"/>
          <w:szCs w:val="20"/>
          <w:lang w:val="zh-CN"/>
        </w:rPr>
        <w:t>%。</w:t>
      </w:r>
    </w:p>
    <w:p>
      <w:pPr>
        <w:autoSpaceDE w:val="0"/>
        <w:autoSpaceDN w:val="0"/>
        <w:adjustRightInd w:val="0"/>
        <w:spacing w:line="600" w:lineRule="exact"/>
        <w:jc w:val="both"/>
        <w:rPr>
          <w:rFonts w:hint="eastAsia" w:ascii="仿宋" w:hAnsi="仿宋" w:eastAsia="仿宋"/>
          <w:color w:val="auto"/>
          <w:kern w:val="2"/>
          <w:sz w:val="32"/>
          <w:szCs w:val="20"/>
          <w:lang w:val="en-US"/>
        </w:rPr>
      </w:pPr>
      <w:r>
        <w:rPr>
          <w:rFonts w:hint="default" w:ascii="仿宋" w:hAnsi="仿宋" w:eastAsia="仿宋"/>
          <w:color w:val="000000"/>
          <w:kern w:val="0"/>
          <w:sz w:val="32"/>
          <w:szCs w:val="20"/>
          <w:lang w:eastAsia="zh-CN"/>
        </w:rPr>
        <w:pict>
          <v:shape id="Object 7" o:spid="_x0000_s1030" o:spt="75" type="#_x0000_t75" style="position:absolute;left:0pt;margin-left:31.95pt;margin-top:13pt;height:183.8pt;width:369.45pt;mso-wrap-distance-bottom:0pt;mso-wrap-distance-top:0pt;z-index:251662336;mso-width-relative:page;mso-height-relative:page;" o:ole="t" filled="f" o:preferrelative="t" stroked="f" coordsize="21600,21600">
            <v:path/>
            <v:fill on="f" focussize="0,0"/>
            <v:stroke on="f"/>
            <v:imagedata r:id="rId17" o:title=""/>
            <o:lock v:ext="edit" aspectratio="t"/>
            <w10:wrap type="topAndBottom"/>
          </v:shape>
          <o:OLEObject Type="Embed" ProgID="Excel.Chart.8" ShapeID="Object 7" DrawAspect="Content" ObjectID="_1468075730" r:id="rId16">
            <o:LockedField>false</o:LockedField>
          </o:OLEObject>
        </w:pict>
      </w:r>
      <w:r>
        <w:rPr>
          <w:rFonts w:hint="eastAsia" w:ascii="仿宋" w:hAnsi="仿宋" w:eastAsia="仿宋"/>
          <w:color w:val="auto"/>
          <w:kern w:val="2"/>
          <w:sz w:val="32"/>
          <w:szCs w:val="20"/>
          <w:lang w:val="en-US"/>
        </w:rPr>
        <w:t>（图6：一般公共预算财政拨款支出决算结构）（饼状图）</w:t>
      </w:r>
    </w:p>
    <w:p>
      <w:pPr>
        <w:keepNext/>
        <w:keepLines/>
        <w:autoSpaceDE w:val="0"/>
        <w:autoSpaceDN w:val="0"/>
        <w:adjustRightInd w:val="0"/>
        <w:spacing w:line="576" w:lineRule="exact"/>
        <w:ind w:firstLine="643" w:firstLineChars="200"/>
        <w:jc w:val="both"/>
        <w:rPr>
          <w:rFonts w:hint="eastAsia" w:ascii="仿宋_GB2312" w:hAnsi="仿宋_GB2312" w:eastAsia="仿宋_GB2312"/>
          <w:b/>
          <w:color w:val="000000"/>
          <w:kern w:val="2"/>
          <w:sz w:val="32"/>
          <w:szCs w:val="20"/>
          <w:lang w:val="zh-CN"/>
        </w:rPr>
      </w:pPr>
      <w:r>
        <w:rPr>
          <w:rFonts w:hint="eastAsia" w:ascii="仿宋_GB2312" w:hAnsi="仿宋_GB2312" w:eastAsia="仿宋_GB2312"/>
          <w:b/>
          <w:color w:val="000000"/>
          <w:kern w:val="2"/>
          <w:sz w:val="32"/>
          <w:szCs w:val="20"/>
          <w:lang w:val="zh-CN"/>
        </w:rPr>
        <w:t>（三）一般公共预算财政拨款支出决算具体情况。</w:t>
      </w:r>
    </w:p>
    <w:p>
      <w:pPr>
        <w:keepNext/>
        <w:keepLines/>
        <w:autoSpaceDE w:val="0"/>
        <w:autoSpaceDN w:val="0"/>
        <w:adjustRightInd w:val="0"/>
        <w:spacing w:line="576" w:lineRule="exact"/>
        <w:ind w:firstLine="643"/>
        <w:jc w:val="both"/>
        <w:rPr>
          <w:rFonts w:hint="eastAsia" w:ascii="仿宋_GB2312" w:hAnsi="仿宋_GB2312" w:eastAsia="仿宋_GB2312"/>
          <w:b/>
          <w:color w:val="000000"/>
          <w:kern w:val="2"/>
          <w:sz w:val="32"/>
          <w:szCs w:val="20"/>
          <w:lang w:val="zh-CN"/>
        </w:rPr>
      </w:pPr>
      <w:r>
        <w:rPr>
          <w:rFonts w:hint="eastAsia" w:ascii="仿宋_GB2312" w:hAnsi="仿宋_GB2312" w:eastAsia="仿宋_GB2312"/>
          <w:b/>
          <w:color w:val="000000"/>
          <w:kern w:val="2"/>
          <w:sz w:val="32"/>
          <w:szCs w:val="20"/>
          <w:lang w:val="zh-CN"/>
        </w:rPr>
        <w:t>2023年一般公共预算支出决算数为</w:t>
      </w:r>
      <w:r>
        <w:rPr>
          <w:rFonts w:hint="eastAsia" w:ascii="仿宋_GB2312" w:hAnsi="仿宋_GB2312" w:eastAsia="仿宋_GB2312"/>
          <w:b/>
          <w:color w:val="000000"/>
          <w:kern w:val="2"/>
          <w:sz w:val="32"/>
          <w:szCs w:val="20"/>
          <w:lang w:val="en-US" w:eastAsia="zh-CN"/>
        </w:rPr>
        <w:t>500.04</w:t>
      </w:r>
      <w:r>
        <w:rPr>
          <w:rFonts w:hint="eastAsia" w:ascii="仿宋_GB2312" w:hAnsi="仿宋_GB2312" w:eastAsia="仿宋_GB2312"/>
          <w:b/>
          <w:color w:val="000000"/>
          <w:kern w:val="2"/>
          <w:sz w:val="32"/>
          <w:szCs w:val="20"/>
          <w:lang w:val="zh-CN"/>
        </w:rPr>
        <w:t>万元</w:t>
      </w:r>
      <w:r>
        <w:rPr>
          <w:rFonts w:hint="eastAsia" w:ascii="仿宋_GB2312" w:hAnsi="仿宋_GB2312" w:eastAsia="仿宋_GB2312"/>
          <w:color w:val="000000"/>
          <w:kern w:val="2"/>
          <w:sz w:val="32"/>
          <w:szCs w:val="20"/>
          <w:lang w:val="zh-CN"/>
        </w:rPr>
        <w:t>，</w:t>
      </w:r>
      <w:r>
        <w:rPr>
          <w:rFonts w:hint="eastAsia" w:ascii="仿宋_GB2312" w:hAnsi="仿宋_GB2312" w:eastAsia="仿宋_GB2312"/>
          <w:b/>
          <w:color w:val="000000"/>
          <w:kern w:val="2"/>
          <w:sz w:val="32"/>
          <w:szCs w:val="20"/>
          <w:lang w:val="zh-CN"/>
        </w:rPr>
        <w:t>完成预算100%。其中：</w:t>
      </w:r>
    </w:p>
    <w:p>
      <w:pPr>
        <w:keepNext/>
        <w:keepLines/>
        <w:autoSpaceDE w:val="0"/>
        <w:autoSpaceDN w:val="0"/>
        <w:adjustRightInd w:val="0"/>
        <w:spacing w:line="576" w:lineRule="exact"/>
        <w:ind w:firstLine="643"/>
        <w:jc w:val="both"/>
        <w:rPr>
          <w:rFonts w:hint="eastAsia" w:ascii="仿宋" w:hAnsi="仿宋" w:eastAsia="仿宋"/>
          <w:color w:val="auto"/>
          <w:kern w:val="2"/>
          <w:sz w:val="32"/>
          <w:szCs w:val="20"/>
          <w:lang w:val="en-US"/>
        </w:rPr>
      </w:pPr>
      <w:r>
        <w:rPr>
          <w:rFonts w:hint="eastAsia" w:ascii="仿宋_GB2312" w:hAnsi="仿宋_GB2312" w:eastAsia="仿宋_GB2312"/>
          <w:b/>
          <w:color w:val="000000"/>
          <w:kern w:val="2"/>
          <w:sz w:val="32"/>
          <w:szCs w:val="20"/>
          <w:lang w:val="en-US"/>
        </w:rPr>
        <w:t>1.教育支出</w:t>
      </w:r>
      <w:r>
        <w:rPr>
          <w:rFonts w:hint="eastAsia" w:ascii="仿宋_GB2312" w:hAnsi="仿宋_GB2312" w:eastAsia="仿宋_GB2312"/>
          <w:b/>
          <w:color w:val="000000"/>
          <w:kern w:val="2"/>
          <w:sz w:val="32"/>
          <w:szCs w:val="20"/>
          <w:lang w:val="en-US" w:eastAsia="zh-CN"/>
        </w:rPr>
        <w:t>205</w:t>
      </w:r>
      <w:r>
        <w:rPr>
          <w:rFonts w:hint="eastAsia" w:ascii="仿宋_GB2312" w:hAnsi="仿宋_GB2312" w:eastAsia="仿宋_GB2312"/>
          <w:b/>
          <w:color w:val="000000"/>
          <w:kern w:val="2"/>
          <w:sz w:val="32"/>
          <w:szCs w:val="20"/>
          <w:lang w:val="en-US"/>
        </w:rPr>
        <w:t>:</w:t>
      </w:r>
      <w:r>
        <w:rPr>
          <w:rFonts w:hint="eastAsia" w:ascii="仿宋" w:hAnsi="仿宋" w:eastAsia="仿宋"/>
          <w:color w:val="auto"/>
          <w:kern w:val="2"/>
          <w:sz w:val="32"/>
          <w:szCs w:val="20"/>
          <w:lang w:val="en-US"/>
        </w:rPr>
        <w:t>支出决算为</w:t>
      </w:r>
      <w:r>
        <w:rPr>
          <w:rFonts w:hint="eastAsia" w:ascii="仿宋" w:hAnsi="仿宋" w:eastAsia="仿宋"/>
          <w:color w:val="auto"/>
          <w:kern w:val="2"/>
          <w:sz w:val="32"/>
          <w:szCs w:val="20"/>
          <w:lang w:val="en-US" w:eastAsia="zh-CN"/>
        </w:rPr>
        <w:t>409.75</w:t>
      </w:r>
      <w:r>
        <w:rPr>
          <w:rFonts w:hint="eastAsia" w:ascii="仿宋" w:hAnsi="仿宋" w:eastAsia="仿宋"/>
          <w:color w:val="auto"/>
          <w:kern w:val="2"/>
          <w:sz w:val="32"/>
          <w:szCs w:val="20"/>
          <w:lang w:val="en-US"/>
        </w:rPr>
        <w:t>万元，完成预算</w:t>
      </w:r>
      <w:r>
        <w:rPr>
          <w:rFonts w:hint="eastAsia" w:ascii="仿宋" w:hAnsi="仿宋" w:eastAsia="仿宋"/>
          <w:color w:val="auto"/>
          <w:kern w:val="2"/>
          <w:sz w:val="32"/>
          <w:szCs w:val="20"/>
          <w:lang w:val="en-US" w:eastAsia="zh-CN"/>
        </w:rPr>
        <w:t>100</w:t>
      </w:r>
      <w:r>
        <w:rPr>
          <w:rFonts w:hint="eastAsia" w:ascii="仿宋" w:hAnsi="仿宋" w:eastAsia="仿宋"/>
          <w:color w:val="auto"/>
          <w:kern w:val="2"/>
          <w:sz w:val="32"/>
          <w:szCs w:val="20"/>
          <w:lang w:val="en-US"/>
        </w:rPr>
        <w:t>%。</w:t>
      </w:r>
    </w:p>
    <w:p>
      <w:pPr>
        <w:pStyle w:val="2"/>
        <w:ind w:firstLine="643" w:firstLineChars="200"/>
        <w:jc w:val="left"/>
        <w:rPr>
          <w:rFonts w:hint="eastAsia" w:ascii="仿宋_GB2312" w:hAnsi="仿宋_GB2312" w:eastAsia="仿宋_GB2312"/>
          <w:color w:val="000000"/>
          <w:kern w:val="2"/>
          <w:sz w:val="32"/>
          <w:szCs w:val="20"/>
          <w:lang w:val="en-US"/>
        </w:rPr>
      </w:pPr>
      <w:r>
        <w:rPr>
          <w:rFonts w:hint="eastAsia" w:ascii="仿宋_GB2312" w:hAnsi="仿宋_GB2312" w:eastAsia="仿宋_GB2312"/>
          <w:b/>
          <w:color w:val="000000"/>
          <w:kern w:val="2"/>
          <w:sz w:val="32"/>
          <w:szCs w:val="20"/>
          <w:lang w:val="en-US" w:eastAsia="zh-CN"/>
        </w:rPr>
        <w:t>（1）</w:t>
      </w:r>
      <w:r>
        <w:rPr>
          <w:rFonts w:hint="eastAsia" w:ascii="仿宋_GB2312" w:hAnsi="仿宋_GB2312" w:eastAsia="仿宋_GB2312"/>
          <w:b/>
          <w:color w:val="000000"/>
          <w:kern w:val="2"/>
          <w:sz w:val="32"/>
          <w:szCs w:val="20"/>
          <w:lang w:val="en-US"/>
        </w:rPr>
        <w:t>教育支出205（类）02（款）01学前教育（项）</w:t>
      </w:r>
      <w:r>
        <w:rPr>
          <w:rFonts w:hint="eastAsia" w:ascii="仿宋_GB2312" w:hAnsi="仿宋_GB2312" w:eastAsia="仿宋_GB2312"/>
          <w:color w:val="000000"/>
          <w:kern w:val="2"/>
          <w:sz w:val="32"/>
          <w:szCs w:val="20"/>
          <w:lang w:val="en-US"/>
        </w:rPr>
        <w:t>2023年支出决算为</w:t>
      </w:r>
      <w:r>
        <w:rPr>
          <w:rFonts w:hint="eastAsia" w:ascii="仿宋_GB2312" w:hAnsi="仿宋_GB2312" w:eastAsia="仿宋_GB2312"/>
          <w:color w:val="000000"/>
          <w:kern w:val="2"/>
          <w:sz w:val="32"/>
          <w:szCs w:val="20"/>
          <w:lang w:val="en-US" w:eastAsia="zh-CN"/>
        </w:rPr>
        <w:t>409.45</w:t>
      </w:r>
      <w:r>
        <w:rPr>
          <w:rFonts w:hint="eastAsia" w:ascii="仿宋_GB2312" w:hAnsi="仿宋_GB2312" w:eastAsia="仿宋_GB2312"/>
          <w:color w:val="000000"/>
          <w:kern w:val="2"/>
          <w:sz w:val="32"/>
          <w:szCs w:val="20"/>
          <w:lang w:val="en-US"/>
        </w:rPr>
        <w:t>万元，完成预算100%，主要用于学前教育资助、办公费。</w:t>
      </w:r>
    </w:p>
    <w:p>
      <w:pPr>
        <w:pStyle w:val="2"/>
        <w:ind w:firstLine="643" w:firstLineChars="200"/>
        <w:jc w:val="left"/>
        <w:rPr>
          <w:rFonts w:hint="eastAsia" w:ascii="仿宋_GB2312" w:hAnsi="仿宋_GB2312" w:eastAsia="仿宋_GB2312"/>
          <w:color w:val="000000"/>
          <w:kern w:val="2"/>
          <w:sz w:val="32"/>
          <w:szCs w:val="20"/>
          <w:lang w:val="en-US" w:eastAsia="zh-CN"/>
        </w:rPr>
      </w:pPr>
      <w:r>
        <w:rPr>
          <w:rFonts w:hint="eastAsia" w:ascii="仿宋_GB2312" w:hAnsi="仿宋_GB2312" w:eastAsia="仿宋_GB2312"/>
          <w:b/>
          <w:color w:val="000000"/>
          <w:kern w:val="2"/>
          <w:sz w:val="32"/>
          <w:szCs w:val="20"/>
          <w:lang w:val="en-US" w:eastAsia="zh-CN"/>
        </w:rPr>
        <w:t>（2）教育支出205（类）09（款）99其他教育费附加安排的支出（项）</w:t>
      </w:r>
      <w:r>
        <w:rPr>
          <w:rFonts w:hint="eastAsia" w:ascii="仿宋_GB2312" w:hAnsi="仿宋_GB2312" w:eastAsia="仿宋_GB2312"/>
          <w:color w:val="000000"/>
          <w:kern w:val="2"/>
          <w:sz w:val="32"/>
          <w:szCs w:val="20"/>
          <w:lang w:val="en-US" w:eastAsia="zh-CN"/>
        </w:rPr>
        <w:t>2023年支出决算为0.30万元，完成预算100%，主要用于区级名师工程建设。</w:t>
      </w:r>
    </w:p>
    <w:p>
      <w:pPr>
        <w:keepNext/>
        <w:keepLines/>
        <w:autoSpaceDE w:val="0"/>
        <w:autoSpaceDN w:val="0"/>
        <w:adjustRightInd w:val="0"/>
        <w:spacing w:line="576" w:lineRule="exact"/>
        <w:ind w:firstLine="643"/>
        <w:jc w:val="both"/>
        <w:rPr>
          <w:rFonts w:hint="eastAsia" w:ascii="仿宋_GB2312" w:hAnsi="仿宋_GB2312" w:eastAsia="仿宋_GB2312"/>
          <w:b/>
          <w:color w:val="000000"/>
          <w:kern w:val="2"/>
          <w:sz w:val="32"/>
          <w:szCs w:val="20"/>
          <w:lang w:val="en-US" w:eastAsia="zh-CN"/>
        </w:rPr>
      </w:pPr>
      <w:r>
        <w:rPr>
          <w:rFonts w:hint="eastAsia" w:ascii="仿宋_GB2312" w:hAnsi="仿宋_GB2312" w:eastAsia="仿宋_GB2312"/>
          <w:b/>
          <w:color w:val="000000"/>
          <w:kern w:val="2"/>
          <w:sz w:val="32"/>
          <w:szCs w:val="20"/>
          <w:lang w:val="en-US" w:eastAsia="zh-CN"/>
        </w:rPr>
        <w:t>2</w:t>
      </w:r>
      <w:r>
        <w:rPr>
          <w:rFonts w:hint="eastAsia" w:ascii="仿宋_GB2312" w:hAnsi="仿宋_GB2312" w:eastAsia="仿宋_GB2312"/>
          <w:b/>
          <w:color w:val="000000"/>
          <w:kern w:val="2"/>
          <w:sz w:val="32"/>
          <w:szCs w:val="20"/>
          <w:lang w:val="en-US"/>
        </w:rPr>
        <w:t>.社会保障和就业支出</w:t>
      </w:r>
      <w:r>
        <w:rPr>
          <w:rFonts w:hint="eastAsia" w:ascii="仿宋_GB2312" w:hAnsi="仿宋_GB2312" w:eastAsia="仿宋_GB2312"/>
          <w:b/>
          <w:color w:val="000000"/>
          <w:kern w:val="2"/>
          <w:sz w:val="32"/>
          <w:szCs w:val="20"/>
          <w:lang w:val="en-US" w:eastAsia="zh-CN"/>
        </w:rPr>
        <w:t>208：支出决算为40.18万元，完成预算100%。</w:t>
      </w:r>
    </w:p>
    <w:p>
      <w:pPr>
        <w:keepNext/>
        <w:keepLines/>
        <w:autoSpaceDE w:val="0"/>
        <w:autoSpaceDN w:val="0"/>
        <w:adjustRightInd w:val="0"/>
        <w:spacing w:line="576" w:lineRule="exact"/>
        <w:ind w:firstLine="643"/>
        <w:jc w:val="both"/>
        <w:rPr>
          <w:rFonts w:hint="eastAsia" w:ascii="仿宋_GB2312" w:hAnsi="仿宋_GB2312" w:eastAsia="仿宋_GB2312"/>
          <w:color w:val="000000"/>
          <w:kern w:val="2"/>
          <w:sz w:val="32"/>
          <w:szCs w:val="20"/>
          <w:lang w:val="en-US" w:eastAsia="zh-CN"/>
        </w:rPr>
      </w:pPr>
      <w:r>
        <w:rPr>
          <w:rFonts w:hint="eastAsia" w:ascii="仿宋_GB2312" w:hAnsi="仿宋_GB2312" w:eastAsia="仿宋_GB2312"/>
          <w:b/>
          <w:color w:val="000000"/>
          <w:kern w:val="2"/>
          <w:sz w:val="32"/>
          <w:szCs w:val="20"/>
          <w:lang w:val="en-US" w:eastAsia="zh-CN"/>
        </w:rPr>
        <w:t>（1）社会保障和就业支出208（类）05（款）05机关事业单位基本养老保险缴费支出（项）</w:t>
      </w:r>
      <w:r>
        <w:rPr>
          <w:rFonts w:hint="eastAsia" w:ascii="仿宋_GB2312" w:hAnsi="仿宋_GB2312" w:eastAsia="仿宋_GB2312"/>
          <w:color w:val="000000"/>
          <w:kern w:val="2"/>
          <w:sz w:val="32"/>
          <w:szCs w:val="20"/>
          <w:lang w:val="en-US" w:eastAsia="zh-CN"/>
        </w:rPr>
        <w:t>支出决算为38.41万元，完成预算100%，主要用于购买基本养老保险。</w:t>
      </w:r>
    </w:p>
    <w:p>
      <w:pPr>
        <w:keepNext/>
        <w:keepLines/>
        <w:autoSpaceDE w:val="0"/>
        <w:autoSpaceDN w:val="0"/>
        <w:adjustRightInd w:val="0"/>
        <w:spacing w:line="576" w:lineRule="exact"/>
        <w:ind w:firstLine="643"/>
        <w:jc w:val="both"/>
        <w:rPr>
          <w:rFonts w:hint="eastAsia" w:ascii="仿宋_GB2312" w:hAnsi="仿宋_GB2312" w:eastAsia="仿宋"/>
          <w:b/>
          <w:color w:val="000000"/>
          <w:kern w:val="2"/>
          <w:sz w:val="32"/>
          <w:szCs w:val="20"/>
          <w:lang w:val="en-US" w:eastAsia="zh-CN"/>
        </w:rPr>
      </w:pPr>
      <w:r>
        <w:rPr>
          <w:rFonts w:hint="eastAsia" w:ascii="仿宋_GB2312" w:hAnsi="仿宋_GB2312" w:eastAsia="仿宋_GB2312"/>
          <w:b/>
          <w:color w:val="000000"/>
          <w:kern w:val="2"/>
          <w:sz w:val="32"/>
          <w:szCs w:val="20"/>
          <w:lang w:val="en-US" w:eastAsia="zh-CN"/>
        </w:rPr>
        <w:t>（2）社会保障和就业支出208（类）99（款）99其他社会保障和就业支出</w:t>
      </w:r>
      <w:r>
        <w:rPr>
          <w:rFonts w:hint="eastAsia" w:ascii="仿宋_GB2312" w:hAnsi="仿宋_GB2312" w:eastAsia="仿宋_GB2312"/>
          <w:b/>
          <w:color w:val="000000"/>
          <w:kern w:val="2"/>
          <w:sz w:val="32"/>
          <w:szCs w:val="20"/>
          <w:lang w:val="en-US"/>
        </w:rPr>
        <w:t>:</w:t>
      </w:r>
      <w:r>
        <w:rPr>
          <w:rFonts w:hint="eastAsia" w:ascii="仿宋" w:hAnsi="仿宋" w:eastAsia="仿宋"/>
          <w:color w:val="auto"/>
          <w:kern w:val="2"/>
          <w:sz w:val="32"/>
          <w:szCs w:val="20"/>
          <w:lang w:val="en-US"/>
        </w:rPr>
        <w:t>支出决算为</w:t>
      </w:r>
      <w:r>
        <w:rPr>
          <w:rFonts w:hint="eastAsia" w:ascii="仿宋" w:hAnsi="仿宋" w:eastAsia="仿宋"/>
          <w:color w:val="auto"/>
          <w:kern w:val="2"/>
          <w:sz w:val="32"/>
          <w:szCs w:val="20"/>
          <w:lang w:val="en-US" w:eastAsia="zh-CN"/>
        </w:rPr>
        <w:t>1.77</w:t>
      </w:r>
      <w:r>
        <w:rPr>
          <w:rFonts w:hint="eastAsia" w:ascii="仿宋" w:hAnsi="仿宋" w:eastAsia="仿宋"/>
          <w:color w:val="auto"/>
          <w:kern w:val="2"/>
          <w:sz w:val="32"/>
          <w:szCs w:val="20"/>
          <w:lang w:val="en-US"/>
        </w:rPr>
        <w:t>万元，完成预算</w:t>
      </w:r>
      <w:r>
        <w:rPr>
          <w:rFonts w:hint="eastAsia" w:ascii="仿宋" w:hAnsi="仿宋" w:eastAsia="仿宋"/>
          <w:color w:val="auto"/>
          <w:kern w:val="2"/>
          <w:sz w:val="32"/>
          <w:szCs w:val="20"/>
          <w:lang w:val="en-US" w:eastAsia="zh-CN"/>
        </w:rPr>
        <w:t>100</w:t>
      </w:r>
      <w:r>
        <w:rPr>
          <w:rFonts w:hint="eastAsia" w:ascii="仿宋" w:hAnsi="仿宋" w:eastAsia="仿宋"/>
          <w:color w:val="auto"/>
          <w:kern w:val="2"/>
          <w:sz w:val="32"/>
          <w:szCs w:val="20"/>
          <w:lang w:val="en-US"/>
        </w:rPr>
        <w:t>%</w:t>
      </w:r>
      <w:r>
        <w:rPr>
          <w:rFonts w:hint="eastAsia" w:ascii="仿宋" w:hAnsi="仿宋" w:eastAsia="仿宋"/>
          <w:color w:val="auto"/>
          <w:kern w:val="2"/>
          <w:sz w:val="32"/>
          <w:szCs w:val="20"/>
          <w:lang w:val="en-US" w:eastAsia="zh-CN"/>
        </w:rPr>
        <w:t>，主要用于购买工伤失业保险。</w:t>
      </w:r>
    </w:p>
    <w:p>
      <w:pPr>
        <w:keepNext/>
        <w:keepLines/>
        <w:autoSpaceDE w:val="0"/>
        <w:autoSpaceDN w:val="0"/>
        <w:adjustRightInd w:val="0"/>
        <w:spacing w:line="576" w:lineRule="exact"/>
        <w:ind w:firstLine="643"/>
        <w:jc w:val="both"/>
        <w:rPr>
          <w:rFonts w:hint="eastAsia" w:ascii="仿宋" w:hAnsi="仿宋" w:eastAsia="仿宋"/>
          <w:color w:val="auto"/>
          <w:kern w:val="2"/>
          <w:sz w:val="32"/>
          <w:szCs w:val="20"/>
          <w:lang w:val="en-US"/>
        </w:rPr>
      </w:pPr>
      <w:r>
        <w:rPr>
          <w:rFonts w:hint="eastAsia" w:ascii="仿宋_GB2312" w:hAnsi="仿宋_GB2312" w:eastAsia="仿宋_GB2312"/>
          <w:b/>
          <w:color w:val="000000"/>
          <w:kern w:val="2"/>
          <w:sz w:val="32"/>
          <w:szCs w:val="20"/>
          <w:lang w:val="en-US" w:eastAsia="zh-CN"/>
        </w:rPr>
        <w:t>3</w:t>
      </w:r>
      <w:r>
        <w:rPr>
          <w:rFonts w:hint="eastAsia" w:ascii="仿宋_GB2312" w:hAnsi="仿宋_GB2312" w:eastAsia="仿宋_GB2312"/>
          <w:b/>
          <w:color w:val="000000"/>
          <w:kern w:val="2"/>
          <w:sz w:val="32"/>
          <w:szCs w:val="20"/>
          <w:lang w:val="en-US"/>
        </w:rPr>
        <w:t>.卫生健康支出2101102:</w:t>
      </w:r>
      <w:r>
        <w:rPr>
          <w:rFonts w:hint="eastAsia" w:ascii="仿宋" w:hAnsi="仿宋" w:eastAsia="仿宋"/>
          <w:color w:val="auto"/>
          <w:kern w:val="2"/>
          <w:sz w:val="32"/>
          <w:szCs w:val="20"/>
          <w:lang w:val="en-US"/>
        </w:rPr>
        <w:t>支出决算为</w:t>
      </w:r>
      <w:r>
        <w:rPr>
          <w:rFonts w:hint="eastAsia" w:ascii="仿宋" w:hAnsi="仿宋" w:eastAsia="仿宋"/>
          <w:color w:val="auto"/>
          <w:kern w:val="2"/>
          <w:sz w:val="32"/>
          <w:szCs w:val="20"/>
          <w:lang w:val="en-US" w:eastAsia="zh-CN"/>
        </w:rPr>
        <w:t>18.16</w:t>
      </w:r>
      <w:r>
        <w:rPr>
          <w:rFonts w:hint="eastAsia" w:ascii="仿宋" w:hAnsi="仿宋" w:eastAsia="仿宋"/>
          <w:color w:val="auto"/>
          <w:kern w:val="2"/>
          <w:sz w:val="32"/>
          <w:szCs w:val="20"/>
          <w:lang w:val="en-US"/>
        </w:rPr>
        <w:t>万元，完成预算</w:t>
      </w:r>
      <w:r>
        <w:rPr>
          <w:rFonts w:hint="eastAsia" w:ascii="仿宋" w:hAnsi="仿宋" w:eastAsia="仿宋"/>
          <w:color w:val="auto"/>
          <w:kern w:val="2"/>
          <w:sz w:val="32"/>
          <w:szCs w:val="20"/>
          <w:lang w:val="en-US" w:eastAsia="zh-CN"/>
        </w:rPr>
        <w:t>100</w:t>
      </w:r>
      <w:r>
        <w:rPr>
          <w:rFonts w:hint="eastAsia" w:ascii="仿宋" w:hAnsi="仿宋" w:eastAsia="仿宋"/>
          <w:color w:val="auto"/>
          <w:kern w:val="2"/>
          <w:sz w:val="32"/>
          <w:szCs w:val="20"/>
          <w:lang w:val="en-US"/>
        </w:rPr>
        <w:t>%。</w:t>
      </w:r>
    </w:p>
    <w:p>
      <w:pPr>
        <w:pStyle w:val="2"/>
        <w:ind w:firstLine="643" w:firstLineChars="200"/>
        <w:jc w:val="left"/>
        <w:rPr>
          <w:rFonts w:hint="eastAsia" w:ascii="仿宋_GB2312" w:hAnsi="仿宋_GB2312" w:eastAsia="仿宋_GB2312"/>
          <w:color w:val="000000"/>
          <w:kern w:val="2"/>
          <w:sz w:val="32"/>
          <w:szCs w:val="20"/>
          <w:lang w:val="en-US"/>
        </w:rPr>
      </w:pPr>
      <w:r>
        <w:rPr>
          <w:rFonts w:hint="eastAsia" w:ascii="仿宋_GB2312" w:hAnsi="仿宋_GB2312" w:eastAsia="仿宋_GB2312"/>
          <w:b/>
          <w:color w:val="000000"/>
          <w:kern w:val="2"/>
          <w:sz w:val="32"/>
          <w:szCs w:val="20"/>
          <w:lang w:val="en-US"/>
        </w:rPr>
        <w:t>卫生健康210（类）11（款）02事业单位医疗（项）</w:t>
      </w:r>
      <w:r>
        <w:rPr>
          <w:rFonts w:hint="eastAsia" w:ascii="仿宋_GB2312" w:hAnsi="仿宋_GB2312" w:eastAsia="仿宋_GB2312"/>
          <w:color w:val="000000"/>
          <w:kern w:val="2"/>
          <w:sz w:val="32"/>
          <w:szCs w:val="20"/>
          <w:lang w:val="en-US"/>
        </w:rPr>
        <w:t>2023年支出决算为18.</w:t>
      </w:r>
      <w:r>
        <w:rPr>
          <w:rFonts w:hint="eastAsia" w:ascii="仿宋_GB2312" w:hAnsi="仿宋_GB2312" w:eastAsia="仿宋_GB2312"/>
          <w:color w:val="000000"/>
          <w:kern w:val="2"/>
          <w:sz w:val="32"/>
          <w:szCs w:val="20"/>
          <w:lang w:val="en-US" w:eastAsia="zh-CN"/>
        </w:rPr>
        <w:t>1</w:t>
      </w:r>
      <w:r>
        <w:rPr>
          <w:rFonts w:hint="eastAsia" w:ascii="仿宋_GB2312" w:hAnsi="仿宋_GB2312" w:eastAsia="仿宋_GB2312"/>
          <w:color w:val="000000"/>
          <w:kern w:val="2"/>
          <w:sz w:val="32"/>
          <w:szCs w:val="20"/>
          <w:lang w:val="en-US"/>
        </w:rPr>
        <w:t>6万元，完成预算100%，主要用于单位医疗生育等保险支出。</w:t>
      </w:r>
    </w:p>
    <w:p>
      <w:pPr>
        <w:autoSpaceDE w:val="0"/>
        <w:autoSpaceDN w:val="0"/>
        <w:adjustRightInd w:val="0"/>
        <w:spacing w:line="600" w:lineRule="exact"/>
        <w:ind w:firstLine="643"/>
        <w:jc w:val="both"/>
        <w:rPr>
          <w:rFonts w:hint="eastAsia" w:ascii="仿宋_GB2312" w:hAnsi="仿宋_GB2312" w:eastAsia="仿宋_GB2312"/>
          <w:color w:val="000000"/>
          <w:kern w:val="2"/>
          <w:sz w:val="32"/>
          <w:szCs w:val="20"/>
          <w:lang w:val="en-US"/>
        </w:rPr>
      </w:pPr>
      <w:r>
        <w:rPr>
          <w:rFonts w:hint="eastAsia" w:ascii="仿宋_GB2312" w:hAnsi="仿宋_GB2312" w:eastAsia="仿宋_GB2312"/>
          <w:b/>
          <w:color w:val="000000"/>
          <w:kern w:val="2"/>
          <w:sz w:val="32"/>
          <w:szCs w:val="20"/>
          <w:lang w:val="en-US" w:eastAsia="zh-CN"/>
        </w:rPr>
        <w:t>4.住房保障支出2210201:</w:t>
      </w:r>
      <w:r>
        <w:rPr>
          <w:rFonts w:hint="eastAsia" w:ascii="仿宋_GB2312" w:hAnsi="仿宋_GB2312" w:eastAsia="仿宋_GB2312"/>
          <w:color w:val="000000"/>
          <w:kern w:val="2"/>
          <w:sz w:val="32"/>
          <w:szCs w:val="20"/>
          <w:lang w:val="en-US"/>
        </w:rPr>
        <w:t>支出决算为</w:t>
      </w:r>
      <w:r>
        <w:rPr>
          <w:rFonts w:hint="eastAsia" w:ascii="仿宋_GB2312" w:hAnsi="仿宋_GB2312" w:eastAsia="仿宋_GB2312"/>
          <w:color w:val="000000"/>
          <w:kern w:val="2"/>
          <w:sz w:val="32"/>
          <w:szCs w:val="20"/>
          <w:lang w:val="en-US" w:eastAsia="zh-CN"/>
        </w:rPr>
        <w:t>31.95万</w:t>
      </w:r>
      <w:r>
        <w:rPr>
          <w:rFonts w:hint="eastAsia" w:ascii="仿宋_GB2312" w:hAnsi="仿宋_GB2312" w:eastAsia="仿宋_GB2312"/>
          <w:color w:val="000000"/>
          <w:kern w:val="2"/>
          <w:sz w:val="32"/>
          <w:szCs w:val="20"/>
          <w:lang w:val="en-US"/>
        </w:rPr>
        <w:t>元，完成预算100%。</w:t>
      </w:r>
    </w:p>
    <w:p>
      <w:pPr>
        <w:autoSpaceDE w:val="0"/>
        <w:autoSpaceDN w:val="0"/>
        <w:adjustRightInd w:val="0"/>
        <w:spacing w:line="600" w:lineRule="exact"/>
        <w:ind w:firstLine="643"/>
        <w:jc w:val="both"/>
        <w:rPr>
          <w:rFonts w:hint="eastAsia" w:ascii="仿宋_GB2312" w:hAnsi="仿宋_GB2312" w:eastAsia="仿宋_GB2312"/>
          <w:color w:val="000000"/>
          <w:kern w:val="2"/>
          <w:sz w:val="32"/>
          <w:szCs w:val="20"/>
          <w:lang w:val="en-US"/>
        </w:rPr>
      </w:pPr>
      <w:r>
        <w:rPr>
          <w:rFonts w:hint="eastAsia" w:ascii="仿宋_GB2312" w:hAnsi="仿宋_GB2312" w:eastAsia="仿宋_GB2312"/>
          <w:b/>
          <w:color w:val="000000"/>
          <w:kern w:val="2"/>
          <w:sz w:val="32"/>
          <w:szCs w:val="20"/>
          <w:lang w:val="en-US"/>
        </w:rPr>
        <w:t>住房保障支出221（类）02（款）01住房公积金（项）</w:t>
      </w:r>
      <w:r>
        <w:rPr>
          <w:rFonts w:hint="eastAsia" w:ascii="仿宋_GB2312" w:hAnsi="仿宋_GB2312" w:eastAsia="仿宋_GB2312"/>
          <w:color w:val="000000"/>
          <w:kern w:val="2"/>
          <w:sz w:val="32"/>
          <w:szCs w:val="20"/>
          <w:lang w:val="en-US"/>
        </w:rPr>
        <w:t>2023年支出决算为31.</w:t>
      </w:r>
      <w:r>
        <w:rPr>
          <w:rFonts w:hint="eastAsia" w:ascii="仿宋_GB2312" w:hAnsi="仿宋_GB2312" w:eastAsia="仿宋_GB2312"/>
          <w:color w:val="000000"/>
          <w:kern w:val="2"/>
          <w:sz w:val="32"/>
          <w:szCs w:val="20"/>
          <w:lang w:val="en-US" w:eastAsia="zh-CN"/>
        </w:rPr>
        <w:t>95</w:t>
      </w:r>
      <w:r>
        <w:rPr>
          <w:rFonts w:hint="eastAsia" w:ascii="仿宋_GB2312" w:hAnsi="仿宋_GB2312" w:eastAsia="仿宋_GB2312"/>
          <w:color w:val="000000"/>
          <w:kern w:val="2"/>
          <w:sz w:val="32"/>
          <w:szCs w:val="20"/>
          <w:lang w:val="en-US"/>
        </w:rPr>
        <w:t>万元，完成预算100%，主要用于单位住房公积金支出。</w:t>
      </w:r>
    </w:p>
    <w:p>
      <w:pPr>
        <w:keepNext/>
        <w:keepLines/>
        <w:tabs>
          <w:tab w:val="right" w:pos="8306"/>
        </w:tabs>
        <w:autoSpaceDE w:val="0"/>
        <w:autoSpaceDN w:val="0"/>
        <w:adjustRightInd w:val="0"/>
        <w:spacing w:line="576" w:lineRule="exact"/>
        <w:ind w:firstLine="640"/>
        <w:jc w:val="both"/>
        <w:rPr>
          <w:rFonts w:hint="default" w:ascii="Cambria" w:hAnsi="Cambria" w:eastAsia="Cambria"/>
          <w:b/>
          <w:color w:val="auto"/>
          <w:kern w:val="2"/>
          <w:sz w:val="32"/>
          <w:szCs w:val="20"/>
          <w:lang w:val="zh-CN"/>
        </w:rPr>
      </w:pPr>
      <w:r>
        <w:rPr>
          <w:rFonts w:hint="eastAsia" w:ascii="黑体" w:hAnsi="黑体" w:eastAsia="黑体"/>
          <w:color w:val="000000"/>
          <w:kern w:val="2"/>
          <w:sz w:val="32"/>
          <w:szCs w:val="20"/>
          <w:lang w:val="zh-CN"/>
        </w:rPr>
        <w:t>六</w:t>
      </w:r>
      <w:r>
        <w:rPr>
          <w:rFonts w:hint="eastAsia" w:ascii="黑体" w:hAnsi="黑体" w:eastAsia="黑体"/>
          <w:b/>
          <w:color w:val="000000"/>
          <w:kern w:val="2"/>
          <w:sz w:val="32"/>
          <w:szCs w:val="20"/>
          <w:lang w:val="zh-CN"/>
        </w:rPr>
        <w:t>、一</w:t>
      </w:r>
      <w:r>
        <w:rPr>
          <w:rFonts w:hint="eastAsia" w:ascii="黑体" w:hAnsi="黑体" w:eastAsia="黑体"/>
          <w:color w:val="auto"/>
          <w:kern w:val="2"/>
          <w:sz w:val="32"/>
          <w:szCs w:val="20"/>
          <w:lang w:val="zh-CN"/>
        </w:rPr>
        <w:t>般公共预算财政拨款基本支出决算情况说明</w:t>
      </w:r>
      <w:r>
        <w:rPr>
          <w:rFonts w:hint="eastAsia" w:ascii="黑体" w:hAnsi="黑体" w:eastAsia="黑体"/>
          <w:color w:val="auto"/>
          <w:kern w:val="2"/>
          <w:sz w:val="32"/>
          <w:szCs w:val="20"/>
          <w:lang w:val="zh-CN"/>
        </w:rPr>
        <w:tab/>
      </w:r>
    </w:p>
    <w:p>
      <w:pPr>
        <w:autoSpaceDE w:val="0"/>
        <w:autoSpaceDN w:val="0"/>
        <w:adjustRightInd w:val="0"/>
        <w:spacing w:line="576" w:lineRule="exact"/>
        <w:ind w:firstLine="640"/>
        <w:jc w:val="both"/>
        <w:rPr>
          <w:rFonts w:hint="eastAsia" w:ascii="仿宋_GB2312" w:hAnsi="仿宋_GB2312" w:eastAsia="仿宋_GB2312"/>
          <w:color w:val="000000"/>
          <w:kern w:val="2"/>
          <w:sz w:val="32"/>
          <w:szCs w:val="20"/>
          <w:lang w:val="zh-CN"/>
        </w:rPr>
      </w:pPr>
      <w:r>
        <w:rPr>
          <w:rFonts w:hint="eastAsia" w:ascii="仿宋_GB2312" w:hAnsi="仿宋_GB2312" w:eastAsia="仿宋_GB2312"/>
          <w:color w:val="000000"/>
          <w:kern w:val="2"/>
          <w:sz w:val="32"/>
          <w:szCs w:val="20"/>
          <w:lang w:val="zh-CN"/>
        </w:rPr>
        <w:t>2023年一般公共预算财政拨款基本支出</w:t>
      </w:r>
      <w:r>
        <w:rPr>
          <w:rFonts w:hint="eastAsia" w:ascii="仿宋_GB2312" w:hAnsi="仿宋_GB2312" w:eastAsia="仿宋_GB2312"/>
          <w:color w:val="000000"/>
          <w:kern w:val="2"/>
          <w:sz w:val="32"/>
          <w:szCs w:val="20"/>
          <w:lang w:val="en-US" w:eastAsia="zh-CN"/>
        </w:rPr>
        <w:t>500.04</w:t>
      </w:r>
      <w:r>
        <w:rPr>
          <w:rFonts w:hint="eastAsia" w:ascii="仿宋_GB2312" w:hAnsi="仿宋_GB2312" w:eastAsia="仿宋_GB2312"/>
          <w:color w:val="000000"/>
          <w:kern w:val="2"/>
          <w:sz w:val="32"/>
          <w:szCs w:val="20"/>
          <w:lang w:val="zh-CN"/>
        </w:rPr>
        <w:t>万元，其中：</w:t>
      </w:r>
    </w:p>
    <w:p>
      <w:pPr>
        <w:autoSpaceDE w:val="0"/>
        <w:autoSpaceDN w:val="0"/>
        <w:adjustRightInd w:val="0"/>
        <w:spacing w:line="576" w:lineRule="exact"/>
        <w:ind w:firstLine="643"/>
        <w:jc w:val="both"/>
        <w:rPr>
          <w:rFonts w:hint="eastAsia" w:ascii="仿宋_GB2312" w:hAnsi="仿宋_GB2312" w:eastAsia="仿宋_GB2312"/>
          <w:color w:val="000000"/>
          <w:kern w:val="2"/>
          <w:sz w:val="32"/>
          <w:szCs w:val="20"/>
          <w:lang w:val="zh-CN"/>
        </w:rPr>
      </w:pPr>
      <w:r>
        <w:rPr>
          <w:rFonts w:hint="eastAsia" w:ascii="仿宋_GB2312" w:hAnsi="仿宋_GB2312" w:eastAsia="仿宋_GB2312"/>
          <w:b/>
          <w:color w:val="000000"/>
          <w:kern w:val="2"/>
          <w:sz w:val="32"/>
          <w:szCs w:val="20"/>
          <w:lang w:val="zh-CN"/>
        </w:rPr>
        <w:t>人员经费</w:t>
      </w:r>
      <w:r>
        <w:rPr>
          <w:rFonts w:hint="eastAsia" w:ascii="仿宋_GB2312" w:hAnsi="仿宋_GB2312" w:eastAsia="仿宋_GB2312"/>
          <w:color w:val="000000"/>
          <w:kern w:val="2"/>
          <w:sz w:val="32"/>
          <w:szCs w:val="20"/>
          <w:lang w:val="en-US" w:eastAsia="zh-CN"/>
        </w:rPr>
        <w:t>370.19</w:t>
      </w:r>
      <w:r>
        <w:rPr>
          <w:rFonts w:hint="eastAsia" w:ascii="仿宋_GB2312" w:hAnsi="仿宋_GB2312" w:eastAsia="仿宋_GB2312"/>
          <w:color w:val="000000"/>
          <w:kern w:val="2"/>
          <w:sz w:val="32"/>
          <w:szCs w:val="20"/>
          <w:lang w:val="zh-CN"/>
        </w:rPr>
        <w:t>万元，主要包括：</w:t>
      </w:r>
      <w:r>
        <w:rPr>
          <w:rFonts w:hint="eastAsia" w:ascii="仿宋" w:hAnsi="仿宋" w:eastAsia="仿宋"/>
          <w:color w:val="auto"/>
          <w:kern w:val="2"/>
          <w:sz w:val="32"/>
          <w:szCs w:val="20"/>
          <w:lang w:val="en-US"/>
        </w:rPr>
        <w:t>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仿宋_GB2312" w:hAnsi="仿宋_GB2312" w:eastAsia="仿宋_GB2312"/>
          <w:color w:val="000000"/>
          <w:kern w:val="2"/>
          <w:sz w:val="32"/>
          <w:szCs w:val="20"/>
          <w:lang w:val="zh-CN"/>
        </w:rPr>
        <w:t>。</w:t>
      </w:r>
    </w:p>
    <w:p>
      <w:pPr>
        <w:autoSpaceDE w:val="0"/>
        <w:autoSpaceDN w:val="0"/>
        <w:adjustRightInd w:val="0"/>
        <w:spacing w:line="576" w:lineRule="exact"/>
        <w:ind w:firstLine="643"/>
        <w:jc w:val="both"/>
        <w:rPr>
          <w:rFonts w:hint="eastAsia" w:ascii="仿宋_GB2312" w:hAnsi="仿宋_GB2312" w:eastAsia="仿宋_GB2312"/>
          <w:color w:val="000000"/>
          <w:kern w:val="2"/>
          <w:sz w:val="32"/>
          <w:szCs w:val="20"/>
          <w:lang w:val="zh-CN"/>
        </w:rPr>
      </w:pPr>
      <w:r>
        <w:rPr>
          <w:rFonts w:hint="eastAsia" w:ascii="仿宋_GB2312" w:hAnsi="仿宋_GB2312" w:eastAsia="仿宋_GB2312"/>
          <w:b/>
          <w:color w:val="000000"/>
          <w:kern w:val="2"/>
          <w:sz w:val="32"/>
          <w:szCs w:val="20"/>
          <w:lang w:val="zh-CN"/>
        </w:rPr>
        <w:t>公用经费</w:t>
      </w:r>
      <w:r>
        <w:rPr>
          <w:rFonts w:hint="eastAsia" w:ascii="仿宋_GB2312" w:hAnsi="仿宋_GB2312" w:eastAsia="仿宋_GB2312"/>
          <w:color w:val="000000"/>
          <w:kern w:val="2"/>
          <w:sz w:val="32"/>
          <w:szCs w:val="20"/>
          <w:lang w:val="en-US" w:eastAsia="zh-CN"/>
        </w:rPr>
        <w:t>33.91</w:t>
      </w:r>
      <w:r>
        <w:rPr>
          <w:rFonts w:hint="eastAsia" w:ascii="仿宋_GB2312" w:hAnsi="仿宋_GB2312" w:eastAsia="仿宋_GB2312"/>
          <w:color w:val="000000"/>
          <w:kern w:val="2"/>
          <w:sz w:val="32"/>
          <w:szCs w:val="20"/>
          <w:lang w:val="zh-CN"/>
        </w:rPr>
        <w:t>万元，主要包括：</w:t>
      </w:r>
      <w:r>
        <w:rPr>
          <w:rFonts w:hint="eastAsia" w:ascii="仿宋" w:hAnsi="仿宋" w:eastAsia="仿宋"/>
          <w:color w:val="auto"/>
          <w:kern w:val="2"/>
          <w:sz w:val="32"/>
          <w:szCs w:val="20"/>
          <w:lang w:val="en-US"/>
        </w:rPr>
        <w:t>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r>
        <w:rPr>
          <w:rFonts w:hint="eastAsia" w:ascii="仿宋_GB2312" w:hAnsi="仿宋_GB2312" w:eastAsia="仿宋_GB2312"/>
          <w:color w:val="000000"/>
          <w:kern w:val="2"/>
          <w:sz w:val="32"/>
          <w:szCs w:val="20"/>
          <w:lang w:val="zh-CN"/>
        </w:rPr>
        <w:t>。</w:t>
      </w:r>
    </w:p>
    <w:p>
      <w:pPr>
        <w:keepNext/>
        <w:keepLines/>
        <w:autoSpaceDE w:val="0"/>
        <w:autoSpaceDN w:val="0"/>
        <w:adjustRightInd w:val="0"/>
        <w:spacing w:line="576" w:lineRule="exact"/>
        <w:ind w:firstLine="640"/>
        <w:jc w:val="both"/>
        <w:rPr>
          <w:rFonts w:hint="eastAsia" w:ascii="黑体" w:hAnsi="黑体" w:eastAsia="黑体"/>
          <w:color w:val="auto"/>
          <w:kern w:val="2"/>
          <w:sz w:val="32"/>
          <w:szCs w:val="20"/>
          <w:lang w:val="zh-CN"/>
        </w:rPr>
      </w:pPr>
      <w:r>
        <w:rPr>
          <w:rFonts w:hint="eastAsia" w:ascii="黑体" w:hAnsi="黑体" w:eastAsia="黑体"/>
          <w:color w:val="000000"/>
          <w:kern w:val="2"/>
          <w:sz w:val="32"/>
          <w:szCs w:val="20"/>
          <w:lang w:val="zh-CN"/>
        </w:rPr>
        <w:t>七、</w:t>
      </w:r>
      <w:r>
        <w:rPr>
          <w:rFonts w:hint="eastAsia" w:ascii="黑体" w:hAnsi="黑体" w:eastAsia="黑体"/>
          <w:b/>
          <w:color w:val="auto"/>
          <w:kern w:val="2"/>
          <w:sz w:val="32"/>
          <w:szCs w:val="20"/>
          <w:lang w:val="zh-CN"/>
        </w:rPr>
        <w:t>“</w:t>
      </w:r>
      <w:r>
        <w:rPr>
          <w:rFonts w:hint="eastAsia" w:ascii="黑体" w:hAnsi="黑体" w:eastAsia="黑体"/>
          <w:color w:val="auto"/>
          <w:kern w:val="2"/>
          <w:sz w:val="32"/>
          <w:szCs w:val="20"/>
          <w:lang w:val="zh-CN"/>
        </w:rPr>
        <w:t>三公”经费财政拨款支出决算情况说明</w:t>
      </w:r>
    </w:p>
    <w:p>
      <w:pPr>
        <w:autoSpaceDE/>
        <w:autoSpaceDN/>
        <w:adjustRightInd/>
        <w:spacing w:line="600" w:lineRule="exact"/>
        <w:ind w:firstLine="640"/>
        <w:jc w:val="both"/>
        <w:outlineLvl w:val="2"/>
        <w:rPr>
          <w:rFonts w:hint="eastAsia" w:ascii="仿宋" w:hAnsi="仿宋" w:eastAsia="仿宋"/>
          <w:b/>
          <w:kern w:val="2"/>
          <w:sz w:val="32"/>
          <w:szCs w:val="20"/>
          <w:lang w:val="en-US" w:eastAsia="zh-CN"/>
        </w:rPr>
      </w:pPr>
      <w:r>
        <w:rPr>
          <w:rFonts w:hint="eastAsia" w:ascii="仿宋" w:hAnsi="仿宋" w:eastAsia="仿宋"/>
          <w:b/>
          <w:kern w:val="2"/>
          <w:sz w:val="32"/>
          <w:szCs w:val="20"/>
          <w:lang w:val="en-US" w:eastAsia="zh-CN"/>
        </w:rPr>
        <w:t>（一）“三公”经费财政拨款支出决算总体情况说明</w:t>
      </w:r>
    </w:p>
    <w:p>
      <w:pPr>
        <w:autoSpaceDE/>
        <w:autoSpaceDN/>
        <w:adjustRightInd/>
        <w:spacing w:line="600" w:lineRule="exact"/>
        <w:ind w:firstLine="640"/>
        <w:jc w:val="both"/>
        <w:outlineLvl w:val="2"/>
        <w:rPr>
          <w:rFonts w:hint="eastAsia" w:ascii="仿宋" w:hAnsi="仿宋" w:eastAsia="仿宋"/>
          <w:kern w:val="2"/>
          <w:sz w:val="32"/>
          <w:szCs w:val="20"/>
          <w:lang w:val="en-US" w:eastAsia="zh-CN"/>
        </w:rPr>
      </w:pPr>
      <w:r>
        <w:rPr>
          <w:rFonts w:hint="eastAsia" w:ascii="仿宋" w:hAnsi="仿宋" w:eastAsia="仿宋"/>
          <w:kern w:val="2"/>
          <w:sz w:val="32"/>
          <w:szCs w:val="20"/>
          <w:lang w:val="en-US" w:eastAsia="zh-CN"/>
        </w:rPr>
        <w:t>2023年度“三公”经费财政拨款支出决算</w:t>
      </w:r>
      <w:r>
        <w:rPr>
          <w:rFonts w:hint="eastAsia" w:ascii="仿宋" w:hAnsi="仿宋" w:eastAsia="仿宋"/>
          <w:color w:val="auto"/>
          <w:kern w:val="2"/>
          <w:sz w:val="32"/>
          <w:szCs w:val="20"/>
          <w:lang w:val="en-US" w:eastAsia="zh-CN"/>
        </w:rPr>
        <w:t>为</w:t>
      </w:r>
      <w:r>
        <w:rPr>
          <w:rFonts w:hint="eastAsia" w:ascii="Times New Roman" w:hAnsi="Times New Roman" w:eastAsia="Times New Roman"/>
          <w:color w:val="auto"/>
          <w:kern w:val="2"/>
          <w:sz w:val="32"/>
          <w:szCs w:val="20"/>
          <w:lang w:val="en-US" w:eastAsia="zh-CN"/>
        </w:rPr>
        <w:t>0</w:t>
      </w:r>
      <w:r>
        <w:rPr>
          <w:rFonts w:hint="eastAsia" w:ascii="仿宋" w:hAnsi="仿宋" w:eastAsia="仿宋"/>
          <w:color w:val="auto"/>
          <w:kern w:val="2"/>
          <w:sz w:val="32"/>
          <w:szCs w:val="20"/>
          <w:lang w:val="en-US" w:eastAsia="zh-CN"/>
        </w:rPr>
        <w:t>万元，完成预算10</w:t>
      </w:r>
      <w:r>
        <w:rPr>
          <w:rFonts w:hint="eastAsia" w:ascii="Times New Roman" w:hAnsi="Times New Roman" w:eastAsia="Times New Roman"/>
          <w:color w:val="auto"/>
          <w:kern w:val="2"/>
          <w:sz w:val="32"/>
          <w:szCs w:val="20"/>
          <w:lang w:val="en-US" w:eastAsia="zh-CN"/>
        </w:rPr>
        <w:t>0</w:t>
      </w:r>
      <w:r>
        <w:rPr>
          <w:rFonts w:hint="eastAsia" w:ascii="仿宋" w:hAnsi="仿宋" w:eastAsia="仿宋"/>
          <w:color w:val="auto"/>
          <w:kern w:val="2"/>
          <w:sz w:val="32"/>
          <w:szCs w:val="20"/>
          <w:lang w:val="en-US" w:eastAsia="zh-CN"/>
        </w:rPr>
        <w:t>%，</w:t>
      </w:r>
      <w:r>
        <w:rPr>
          <w:rFonts w:hint="eastAsia" w:ascii="仿宋" w:hAnsi="仿宋" w:eastAsia="仿宋"/>
          <w:kern w:val="2"/>
          <w:sz w:val="32"/>
          <w:szCs w:val="20"/>
          <w:lang w:val="en-US" w:eastAsia="zh-CN"/>
        </w:rPr>
        <w:t>与上年度持平,决算数与预算数持平。</w:t>
      </w:r>
    </w:p>
    <w:p>
      <w:pPr>
        <w:autoSpaceDE/>
        <w:autoSpaceDN/>
        <w:adjustRightInd/>
        <w:spacing w:line="600" w:lineRule="exact"/>
        <w:ind w:firstLine="640"/>
        <w:jc w:val="both"/>
        <w:outlineLvl w:val="2"/>
        <w:rPr>
          <w:rFonts w:hint="eastAsia" w:ascii="仿宋" w:hAnsi="仿宋" w:eastAsia="仿宋"/>
          <w:b/>
          <w:kern w:val="2"/>
          <w:sz w:val="32"/>
          <w:szCs w:val="20"/>
          <w:lang w:val="en-US" w:eastAsia="zh-CN"/>
        </w:rPr>
      </w:pPr>
      <w:r>
        <w:rPr>
          <w:rFonts w:hint="eastAsia" w:ascii="仿宋" w:hAnsi="仿宋" w:eastAsia="仿宋"/>
          <w:b/>
          <w:kern w:val="2"/>
          <w:sz w:val="32"/>
          <w:szCs w:val="20"/>
          <w:lang w:val="en-US" w:eastAsia="zh-CN"/>
        </w:rPr>
        <w:t>（二）“三公”经费财政拨款支出决算具体情况说明</w:t>
      </w:r>
    </w:p>
    <w:p>
      <w:pPr>
        <w:autoSpaceDE/>
        <w:autoSpaceDN/>
        <w:adjustRightInd/>
        <w:spacing w:line="600" w:lineRule="exact"/>
        <w:ind w:firstLine="640"/>
        <w:jc w:val="both"/>
        <w:rPr>
          <w:rFonts w:hint="eastAsia" w:ascii="仿宋" w:hAnsi="仿宋" w:eastAsia="仿宋"/>
          <w:kern w:val="2"/>
          <w:sz w:val="32"/>
          <w:szCs w:val="20"/>
          <w:lang w:val="en-US" w:eastAsia="zh-CN"/>
        </w:rPr>
      </w:pPr>
      <w:r>
        <w:rPr>
          <w:rFonts w:hint="eastAsia" w:ascii="仿宋" w:hAnsi="仿宋" w:eastAsia="仿宋"/>
          <w:kern w:val="2"/>
          <w:sz w:val="32"/>
          <w:szCs w:val="20"/>
          <w:lang w:val="en-US" w:eastAsia="zh-CN"/>
        </w:rPr>
        <w:t>2023年“三公”经费财政拨款支出决算中，因公出国（境）费支出决算0万元，占0%；公务用车购置及运行维护费支出决算0万元，占0%；公务接待费支出决算0万元，占0%。具体情况如下：</w:t>
      </w:r>
    </w:p>
    <w:p>
      <w:pPr>
        <w:autoSpaceDE/>
        <w:autoSpaceDN/>
        <w:adjustRightInd/>
        <w:spacing w:line="600" w:lineRule="exact"/>
        <w:ind w:firstLine="640"/>
        <w:jc w:val="both"/>
        <w:rPr>
          <w:rFonts w:hint="eastAsia" w:ascii="仿宋_GB2312" w:hAnsi="Times New Roman" w:eastAsia="仿宋_GB2312"/>
          <w:b/>
          <w:kern w:val="2"/>
          <w:sz w:val="32"/>
          <w:szCs w:val="20"/>
          <w:lang w:val="en-US" w:eastAsia="zh-CN"/>
        </w:rPr>
      </w:pPr>
      <w:r>
        <w:rPr>
          <w:rFonts w:hint="eastAsia" w:ascii="仿宋_GB2312" w:hAnsi="Times New Roman" w:eastAsia="仿宋_GB2312"/>
          <w:b/>
          <w:kern w:val="2"/>
          <w:sz w:val="32"/>
          <w:szCs w:val="20"/>
          <w:lang w:val="en-US" w:eastAsia="zh-CN"/>
        </w:rPr>
        <w:t>1.因公出国（境）经费支出</w:t>
      </w:r>
      <w:r>
        <w:rPr>
          <w:rFonts w:hint="eastAsia" w:ascii="Times New Roman" w:hAnsi="Times New Roman" w:eastAsia="Times New Roman"/>
          <w:kern w:val="2"/>
          <w:sz w:val="32"/>
          <w:szCs w:val="20"/>
          <w:lang w:val="en-US" w:eastAsia="zh-CN"/>
        </w:rPr>
        <w:t>0</w:t>
      </w:r>
      <w:r>
        <w:rPr>
          <w:rFonts w:hint="eastAsia" w:ascii="仿宋_GB2312" w:hAnsi="Times New Roman" w:eastAsia="仿宋_GB2312"/>
          <w:kern w:val="2"/>
          <w:sz w:val="32"/>
          <w:szCs w:val="20"/>
          <w:lang w:val="en-US" w:eastAsia="zh-CN"/>
        </w:rPr>
        <w:t>万元，</w:t>
      </w:r>
      <w:r>
        <w:rPr>
          <w:rFonts w:hint="eastAsia" w:ascii="仿宋" w:hAnsi="仿宋" w:eastAsia="仿宋"/>
          <w:b/>
          <w:kern w:val="2"/>
          <w:sz w:val="32"/>
          <w:szCs w:val="20"/>
          <w:lang w:val="en-US" w:eastAsia="zh-CN"/>
        </w:rPr>
        <w:t>完成预算</w:t>
      </w:r>
      <w:r>
        <w:rPr>
          <w:rFonts w:hint="eastAsia" w:ascii="Times New Roman" w:hAnsi="Times New Roman" w:eastAsia="Times New Roman"/>
          <w:kern w:val="2"/>
          <w:sz w:val="32"/>
          <w:szCs w:val="20"/>
          <w:lang w:val="en-US" w:eastAsia="zh-CN"/>
        </w:rPr>
        <w:t>0</w:t>
      </w:r>
      <w:r>
        <w:rPr>
          <w:rFonts w:hint="eastAsia" w:ascii="仿宋" w:hAnsi="仿宋" w:eastAsia="仿宋"/>
          <w:b/>
          <w:kern w:val="2"/>
          <w:sz w:val="32"/>
          <w:szCs w:val="20"/>
          <w:lang w:val="en-US" w:eastAsia="zh-CN"/>
        </w:rPr>
        <w:t>%。</w:t>
      </w:r>
      <w:r>
        <w:rPr>
          <w:rFonts w:hint="eastAsia" w:ascii="仿宋_GB2312" w:hAnsi="Times New Roman" w:eastAsia="仿宋_GB2312"/>
          <w:kern w:val="2"/>
          <w:sz w:val="32"/>
          <w:szCs w:val="20"/>
          <w:lang w:val="en-US" w:eastAsia="zh-CN"/>
        </w:rPr>
        <w:t>全年安排因公出国（境）团组</w:t>
      </w:r>
      <w:r>
        <w:rPr>
          <w:rFonts w:hint="eastAsia" w:ascii="Times New Roman" w:hAnsi="Times New Roman" w:eastAsia="Times New Roman"/>
          <w:kern w:val="2"/>
          <w:sz w:val="32"/>
          <w:szCs w:val="20"/>
          <w:lang w:val="en-US" w:eastAsia="zh-CN"/>
        </w:rPr>
        <w:t>0</w:t>
      </w:r>
      <w:r>
        <w:rPr>
          <w:rFonts w:hint="eastAsia" w:ascii="仿宋_GB2312" w:hAnsi="Times New Roman" w:eastAsia="仿宋_GB2312"/>
          <w:kern w:val="2"/>
          <w:sz w:val="32"/>
          <w:szCs w:val="20"/>
          <w:lang w:val="en-US" w:eastAsia="zh-CN"/>
        </w:rPr>
        <w:t>次，出国（境）</w:t>
      </w:r>
      <w:r>
        <w:rPr>
          <w:rFonts w:hint="eastAsia" w:ascii="Times New Roman" w:hAnsi="Times New Roman" w:eastAsia="Times New Roman"/>
          <w:kern w:val="2"/>
          <w:sz w:val="32"/>
          <w:szCs w:val="20"/>
          <w:lang w:val="en-US" w:eastAsia="zh-CN"/>
        </w:rPr>
        <w:t>0</w:t>
      </w:r>
      <w:r>
        <w:rPr>
          <w:rFonts w:hint="eastAsia" w:ascii="仿宋_GB2312" w:hAnsi="Times New Roman" w:eastAsia="仿宋_GB2312"/>
          <w:kern w:val="2"/>
          <w:sz w:val="32"/>
          <w:szCs w:val="20"/>
          <w:lang w:val="en-US" w:eastAsia="zh-CN"/>
        </w:rPr>
        <w:t>人。因公出国（境）支出决算比2022年增加0万元，增长0%。</w:t>
      </w:r>
    </w:p>
    <w:p>
      <w:pPr>
        <w:autoSpaceDE/>
        <w:autoSpaceDN/>
        <w:adjustRightInd/>
        <w:spacing w:line="600" w:lineRule="exact"/>
        <w:ind w:firstLine="640"/>
        <w:jc w:val="both"/>
        <w:rPr>
          <w:rFonts w:hint="eastAsia" w:ascii="仿宋_GB2312" w:hAnsi="Times New Roman" w:eastAsia="仿宋_GB2312"/>
          <w:b/>
          <w:kern w:val="2"/>
          <w:sz w:val="32"/>
          <w:szCs w:val="20"/>
          <w:lang w:val="en-US" w:eastAsia="zh-CN"/>
        </w:rPr>
      </w:pPr>
      <w:r>
        <w:rPr>
          <w:rFonts w:hint="eastAsia" w:ascii="仿宋_GB2312" w:hAnsi="Times New Roman" w:eastAsia="仿宋_GB2312"/>
          <w:b/>
          <w:kern w:val="2"/>
          <w:sz w:val="32"/>
          <w:szCs w:val="20"/>
          <w:lang w:val="en-US" w:eastAsia="zh-CN"/>
        </w:rPr>
        <w:t>2.公务用车购置及运行维护费支出</w:t>
      </w:r>
      <w:r>
        <w:rPr>
          <w:rFonts w:hint="eastAsia" w:ascii="Times New Roman" w:hAnsi="Times New Roman" w:eastAsia="Times New Roman"/>
          <w:kern w:val="2"/>
          <w:sz w:val="32"/>
          <w:szCs w:val="20"/>
          <w:lang w:val="en-US" w:eastAsia="zh-CN"/>
        </w:rPr>
        <w:t>0</w:t>
      </w:r>
      <w:r>
        <w:rPr>
          <w:rFonts w:hint="eastAsia" w:ascii="仿宋_GB2312" w:hAnsi="Times New Roman" w:eastAsia="仿宋_GB2312"/>
          <w:kern w:val="2"/>
          <w:sz w:val="32"/>
          <w:szCs w:val="20"/>
          <w:lang w:val="en-US" w:eastAsia="zh-CN"/>
        </w:rPr>
        <w:t>万元,</w:t>
      </w:r>
      <w:r>
        <w:rPr>
          <w:rFonts w:hint="eastAsia" w:ascii="仿宋" w:hAnsi="仿宋" w:eastAsia="仿宋"/>
          <w:b/>
          <w:kern w:val="2"/>
          <w:sz w:val="32"/>
          <w:szCs w:val="20"/>
          <w:lang w:val="en-US" w:eastAsia="zh-CN"/>
        </w:rPr>
        <w:t>完成预算</w:t>
      </w:r>
      <w:r>
        <w:rPr>
          <w:rFonts w:hint="eastAsia" w:ascii="Times New Roman" w:hAnsi="Times New Roman" w:eastAsia="Times New Roman"/>
          <w:kern w:val="2"/>
          <w:sz w:val="32"/>
          <w:szCs w:val="20"/>
          <w:lang w:val="en-US" w:eastAsia="zh-CN"/>
        </w:rPr>
        <w:t>0</w:t>
      </w:r>
      <w:r>
        <w:rPr>
          <w:rFonts w:hint="eastAsia" w:ascii="仿宋" w:hAnsi="仿宋" w:eastAsia="仿宋"/>
          <w:b/>
          <w:kern w:val="2"/>
          <w:sz w:val="32"/>
          <w:szCs w:val="20"/>
          <w:lang w:val="en-US" w:eastAsia="zh-CN"/>
        </w:rPr>
        <w:t>%。</w:t>
      </w:r>
      <w:r>
        <w:rPr>
          <w:rFonts w:hint="eastAsia" w:ascii="仿宋_GB2312" w:hAnsi="Times New Roman" w:eastAsia="仿宋_GB2312"/>
          <w:kern w:val="2"/>
          <w:sz w:val="32"/>
          <w:szCs w:val="20"/>
          <w:lang w:val="en-US" w:eastAsia="zh-CN"/>
        </w:rPr>
        <w:t>公务用车购置及运行维护费支出决算比2022年度增加0万元，增长0%。</w:t>
      </w:r>
    </w:p>
    <w:p>
      <w:pPr>
        <w:autoSpaceDE/>
        <w:autoSpaceDN/>
        <w:adjustRightInd/>
        <w:spacing w:line="600" w:lineRule="exact"/>
        <w:ind w:firstLine="640" w:firstLineChars="200"/>
        <w:jc w:val="both"/>
        <w:rPr>
          <w:rFonts w:hint="eastAsia" w:ascii="仿宋_GB2312" w:hAnsi="Times New Roman" w:eastAsia="仿宋_GB2312"/>
          <w:b/>
          <w:kern w:val="2"/>
          <w:sz w:val="32"/>
          <w:szCs w:val="20"/>
          <w:lang w:val="en-US" w:eastAsia="zh-CN"/>
        </w:rPr>
      </w:pPr>
      <w:r>
        <w:rPr>
          <w:rFonts w:hint="eastAsia" w:ascii="仿宋_GB2312" w:hAnsi="Times New Roman" w:eastAsia="仿宋_GB2312"/>
          <w:kern w:val="2"/>
          <w:sz w:val="32"/>
          <w:szCs w:val="20"/>
          <w:lang w:val="en-US" w:eastAsia="zh-CN"/>
        </w:rPr>
        <w:t>其中：</w:t>
      </w:r>
      <w:r>
        <w:rPr>
          <w:rFonts w:hint="eastAsia" w:ascii="仿宋_GB2312" w:hAnsi="Times New Roman" w:eastAsia="仿宋_GB2312"/>
          <w:b/>
          <w:kern w:val="2"/>
          <w:sz w:val="32"/>
          <w:szCs w:val="20"/>
          <w:lang w:val="en-US" w:eastAsia="zh-CN"/>
        </w:rPr>
        <w:t>公务用车购置支出</w:t>
      </w:r>
      <w:r>
        <w:rPr>
          <w:rFonts w:hint="eastAsia" w:ascii="Times New Roman" w:hAnsi="Times New Roman" w:eastAsia="Times New Roman"/>
          <w:kern w:val="2"/>
          <w:sz w:val="32"/>
          <w:szCs w:val="20"/>
          <w:lang w:val="en-US" w:eastAsia="zh-CN"/>
        </w:rPr>
        <w:t>0</w:t>
      </w:r>
      <w:r>
        <w:rPr>
          <w:rFonts w:hint="eastAsia" w:ascii="仿宋_GB2312" w:hAnsi="Times New Roman" w:eastAsia="仿宋_GB2312"/>
          <w:kern w:val="2"/>
          <w:sz w:val="32"/>
          <w:szCs w:val="20"/>
          <w:lang w:val="en-US" w:eastAsia="zh-CN"/>
        </w:rPr>
        <w:t>万元。全年按规定更新购置公务用车0辆，其中：轿车0辆、金额0元，越野车0辆、金额0万元，载客汽车0辆、金额0万元。截至2023年12月31日，单位共有公务用车0辆，其中：轿车0辆、越野车0辆、载客汽车0辆。</w:t>
      </w:r>
    </w:p>
    <w:p>
      <w:pPr>
        <w:autoSpaceDE/>
        <w:autoSpaceDN/>
        <w:adjustRightInd/>
        <w:spacing w:line="600" w:lineRule="exact"/>
        <w:ind w:firstLine="640"/>
        <w:jc w:val="both"/>
        <w:rPr>
          <w:rFonts w:hint="eastAsia" w:ascii="仿宋_GB2312" w:hAnsi="Times New Roman" w:eastAsia="仿宋_GB2312"/>
          <w:kern w:val="2"/>
          <w:sz w:val="32"/>
          <w:szCs w:val="20"/>
          <w:lang w:val="en-US" w:eastAsia="zh-CN"/>
        </w:rPr>
      </w:pPr>
      <w:r>
        <w:rPr>
          <w:rFonts w:hint="eastAsia" w:ascii="仿宋_GB2312" w:hAnsi="Times New Roman" w:eastAsia="仿宋_GB2312"/>
          <w:b/>
          <w:kern w:val="2"/>
          <w:sz w:val="32"/>
          <w:szCs w:val="20"/>
          <w:lang w:val="en-US" w:eastAsia="zh-CN"/>
        </w:rPr>
        <w:t>公务用车运行维护费支出</w:t>
      </w:r>
      <w:r>
        <w:rPr>
          <w:rFonts w:hint="eastAsia" w:ascii="Times New Roman" w:hAnsi="Times New Roman" w:eastAsia="Times New Roman"/>
          <w:kern w:val="2"/>
          <w:sz w:val="32"/>
          <w:szCs w:val="20"/>
          <w:lang w:val="en-US" w:eastAsia="zh-CN"/>
        </w:rPr>
        <w:t>0</w:t>
      </w:r>
      <w:r>
        <w:rPr>
          <w:rFonts w:hint="eastAsia" w:ascii="仿宋_GB2312" w:hAnsi="Times New Roman" w:eastAsia="仿宋_GB2312"/>
          <w:kern w:val="2"/>
          <w:sz w:val="32"/>
          <w:szCs w:val="20"/>
          <w:lang w:val="en-US" w:eastAsia="zh-CN"/>
        </w:rPr>
        <w:t>万元。</w:t>
      </w:r>
    </w:p>
    <w:p>
      <w:pPr>
        <w:numPr>
          <w:ilvl w:val="0"/>
          <w:numId w:val="0"/>
        </w:numPr>
        <w:autoSpaceDE/>
        <w:autoSpaceDN/>
        <w:adjustRightInd/>
        <w:spacing w:line="600" w:lineRule="exact"/>
        <w:ind w:firstLine="643" w:firstLineChars="200"/>
        <w:jc w:val="both"/>
        <w:rPr>
          <w:rFonts w:hint="eastAsia" w:ascii="仿宋_GB2312" w:hAnsi="Times New Roman" w:eastAsia="仿宋_GB2312"/>
          <w:b/>
          <w:kern w:val="2"/>
          <w:sz w:val="32"/>
          <w:szCs w:val="20"/>
          <w:lang w:val="en-US" w:eastAsia="zh-CN"/>
        </w:rPr>
      </w:pPr>
      <w:r>
        <w:rPr>
          <w:rFonts w:hint="eastAsia" w:ascii="仿宋_GB2312" w:hAnsi="Times New Roman" w:eastAsia="仿宋_GB2312"/>
          <w:b/>
          <w:kern w:val="2"/>
          <w:sz w:val="32"/>
          <w:szCs w:val="20"/>
          <w:lang w:val="en-US" w:eastAsia="zh-CN"/>
        </w:rPr>
        <w:t>3.公务接待费支出</w:t>
      </w:r>
      <w:r>
        <w:rPr>
          <w:rFonts w:hint="eastAsia" w:ascii="Times New Roman" w:hAnsi="Times New Roman" w:eastAsia="Times New Roman"/>
          <w:kern w:val="2"/>
          <w:sz w:val="32"/>
          <w:szCs w:val="20"/>
          <w:lang w:val="en-US" w:eastAsia="zh-CN"/>
        </w:rPr>
        <w:t>0</w:t>
      </w:r>
      <w:r>
        <w:rPr>
          <w:rFonts w:hint="eastAsia" w:ascii="仿宋_GB2312" w:hAnsi="Times New Roman" w:eastAsia="仿宋_GB2312"/>
          <w:kern w:val="2"/>
          <w:sz w:val="32"/>
          <w:szCs w:val="20"/>
          <w:lang w:val="en-US" w:eastAsia="zh-CN"/>
        </w:rPr>
        <w:t>万元，</w:t>
      </w:r>
      <w:r>
        <w:rPr>
          <w:rFonts w:hint="eastAsia" w:ascii="仿宋_GB2312" w:hAnsi="Times New Roman" w:eastAsia="仿宋_GB2312"/>
          <w:b/>
          <w:kern w:val="2"/>
          <w:sz w:val="32"/>
          <w:szCs w:val="20"/>
          <w:lang w:val="en-US" w:eastAsia="zh-CN"/>
        </w:rPr>
        <w:t>完成预算100%。公务接待费支出决算与2022年度持平。其中：</w:t>
      </w:r>
    </w:p>
    <w:p>
      <w:pPr>
        <w:numPr>
          <w:ilvl w:val="0"/>
          <w:numId w:val="0"/>
        </w:numPr>
        <w:autoSpaceDE/>
        <w:autoSpaceDN/>
        <w:adjustRightInd/>
        <w:spacing w:line="600" w:lineRule="exact"/>
        <w:ind w:firstLine="643" w:firstLineChars="200"/>
        <w:jc w:val="both"/>
        <w:rPr>
          <w:rFonts w:hint="eastAsia" w:ascii="仿宋_GB2312" w:hAnsi="Times New Roman" w:eastAsia="仿宋_GB2312"/>
          <w:b/>
          <w:kern w:val="2"/>
          <w:sz w:val="32"/>
          <w:szCs w:val="20"/>
          <w:lang w:val="en-US" w:eastAsia="zh-CN"/>
        </w:rPr>
      </w:pPr>
      <w:r>
        <w:rPr>
          <w:rFonts w:hint="eastAsia" w:ascii="仿宋_GB2312" w:hAnsi="Times New Roman" w:eastAsia="仿宋_GB2312"/>
          <w:b/>
          <w:kern w:val="2"/>
          <w:sz w:val="32"/>
          <w:szCs w:val="20"/>
          <w:lang w:val="en-US" w:eastAsia="zh-CN"/>
        </w:rPr>
        <w:t>国内公务接待支出0万元。国内公务接待0批次，0人次（不包括陪同人员），共计支出0万元。</w:t>
      </w:r>
      <w:r>
        <w:rPr>
          <w:rFonts w:hint="eastAsia" w:ascii="仿宋_GB2312" w:hAnsi="Times New Roman" w:eastAsia="仿宋_GB2312"/>
          <w:b/>
          <w:kern w:val="2"/>
          <w:sz w:val="32"/>
          <w:szCs w:val="20"/>
          <w:lang w:val="en-US" w:eastAsia="zh-CN"/>
        </w:rPr>
        <w:br w:type="textWrapping"/>
      </w:r>
      <w:r>
        <w:rPr>
          <w:rFonts w:hint="eastAsia" w:ascii="仿宋_GB2312" w:hAnsi="Times New Roman" w:eastAsia="仿宋_GB2312"/>
          <w:b/>
          <w:kern w:val="2"/>
          <w:sz w:val="32"/>
          <w:szCs w:val="20"/>
          <w:lang w:val="en-US" w:eastAsia="zh-CN"/>
        </w:rPr>
        <w:t xml:space="preserve">   外事接待支出0万元。外事接待0批次，0人次（不包括陪同人员），共计支出0万元。</w:t>
      </w:r>
    </w:p>
    <w:p>
      <w:pPr>
        <w:autoSpaceDE/>
        <w:autoSpaceDN/>
        <w:adjustRightInd/>
        <w:spacing w:line="600" w:lineRule="exact"/>
        <w:ind w:firstLine="640" w:firstLineChars="200"/>
        <w:jc w:val="both"/>
        <w:outlineLvl w:val="1"/>
        <w:rPr>
          <w:rFonts w:hint="eastAsia" w:ascii="黑体" w:hAnsi="黑体" w:eastAsia="黑体"/>
          <w:kern w:val="2"/>
          <w:sz w:val="21"/>
          <w:szCs w:val="20"/>
          <w:lang w:val="en-US" w:eastAsia="zh-CN"/>
        </w:rPr>
      </w:pPr>
      <w:bookmarkStart w:id="3" w:name="_Toc15377218"/>
      <w:bookmarkStart w:id="4" w:name="_Toc15396610"/>
      <w:r>
        <w:rPr>
          <w:rFonts w:hint="eastAsia" w:ascii="黑体" w:hAnsi="Times New Roman" w:eastAsia="黑体"/>
          <w:kern w:val="2"/>
          <w:sz w:val="32"/>
          <w:szCs w:val="20"/>
          <w:lang w:val="en-US" w:eastAsia="zh-CN"/>
        </w:rPr>
        <w:t>八、</w:t>
      </w:r>
      <w:r>
        <w:rPr>
          <w:rFonts w:hint="eastAsia" w:ascii="黑体" w:hAnsi="黑体" w:eastAsia="黑体"/>
          <w:kern w:val="2"/>
          <w:sz w:val="32"/>
          <w:szCs w:val="20"/>
          <w:lang w:val="en-US" w:eastAsia="zh-CN"/>
        </w:rPr>
        <w:t>政府性基金预算支出决算情况说明</w:t>
      </w:r>
      <w:bookmarkEnd w:id="3"/>
      <w:bookmarkEnd w:id="4"/>
    </w:p>
    <w:p>
      <w:pPr>
        <w:autoSpaceDE/>
        <w:autoSpaceDN/>
        <w:adjustRightInd/>
        <w:spacing w:line="600" w:lineRule="exact"/>
        <w:ind w:firstLine="640"/>
        <w:jc w:val="both"/>
        <w:rPr>
          <w:rFonts w:hint="eastAsia" w:ascii="仿宋_GB2312" w:hAnsi="Times New Roman" w:eastAsia="仿宋_GB2312"/>
          <w:color w:val="auto"/>
          <w:kern w:val="2"/>
          <w:sz w:val="32"/>
          <w:szCs w:val="20"/>
          <w:lang w:val="en-US" w:eastAsia="zh-CN"/>
        </w:rPr>
      </w:pPr>
      <w:r>
        <w:rPr>
          <w:rFonts w:hint="eastAsia" w:ascii="仿宋_GB2312" w:hAnsi="Times New Roman" w:eastAsia="仿宋_GB2312"/>
          <w:color w:val="auto"/>
          <w:kern w:val="2"/>
          <w:sz w:val="32"/>
          <w:szCs w:val="20"/>
          <w:lang w:val="en-US" w:eastAsia="zh-CN"/>
        </w:rPr>
        <w:t>2023年政府性基金预算财政拨款支出0万元</w:t>
      </w:r>
    </w:p>
    <w:p>
      <w:pPr>
        <w:numPr>
          <w:ilvl w:val="0"/>
          <w:numId w:val="0"/>
        </w:numPr>
        <w:autoSpaceDE/>
        <w:autoSpaceDN/>
        <w:adjustRightInd/>
        <w:spacing w:line="600" w:lineRule="exact"/>
        <w:ind w:firstLine="640" w:firstLineChars="200"/>
        <w:jc w:val="both"/>
        <w:outlineLvl w:val="1"/>
        <w:rPr>
          <w:rFonts w:hint="eastAsia" w:ascii="黑体" w:hAnsi="黑体" w:eastAsia="黑体"/>
          <w:kern w:val="2"/>
          <w:sz w:val="21"/>
          <w:szCs w:val="20"/>
          <w:lang w:val="en-US" w:eastAsia="zh-CN"/>
        </w:rPr>
      </w:pPr>
      <w:bookmarkStart w:id="5" w:name="_Toc15396611"/>
      <w:bookmarkStart w:id="6" w:name="_Toc15377219"/>
      <w:r>
        <w:rPr>
          <w:rFonts w:hint="eastAsia" w:ascii="黑体" w:hAnsi="黑体" w:eastAsia="黑体"/>
          <w:kern w:val="2"/>
          <w:sz w:val="32"/>
          <w:szCs w:val="20"/>
          <w:lang w:val="en-US" w:eastAsia="zh-CN"/>
        </w:rPr>
        <w:t>九、国有资本经营预算支出决算情况说明</w:t>
      </w:r>
      <w:bookmarkEnd w:id="5"/>
      <w:bookmarkEnd w:id="6"/>
    </w:p>
    <w:p>
      <w:pPr>
        <w:autoSpaceDE w:val="0"/>
        <w:autoSpaceDN w:val="0"/>
        <w:adjustRightInd w:val="0"/>
        <w:spacing w:line="600" w:lineRule="exact"/>
        <w:ind w:left="360"/>
        <w:jc w:val="both"/>
        <w:rPr>
          <w:rFonts w:hint="eastAsia" w:ascii="仿宋_GB2312" w:hAnsi="Times New Roman" w:eastAsia="仿宋_GB2312"/>
          <w:kern w:val="2"/>
          <w:sz w:val="32"/>
          <w:szCs w:val="20"/>
          <w:lang w:val="en-US" w:eastAsia="zh-CN"/>
        </w:rPr>
      </w:pPr>
      <w:r>
        <w:rPr>
          <w:rFonts w:hint="eastAsia" w:ascii="仿宋_GB2312" w:hAnsi="Times New Roman" w:eastAsia="仿宋_GB2312"/>
          <w:kern w:val="2"/>
          <w:sz w:val="32"/>
          <w:szCs w:val="20"/>
          <w:lang w:val="en-US" w:eastAsia="zh-CN"/>
        </w:rPr>
        <w:t>2023年国有资本经营预算财政拨款支出0万元。</w:t>
      </w:r>
    </w:p>
    <w:p>
      <w:pPr>
        <w:autoSpaceDE w:val="0"/>
        <w:autoSpaceDN w:val="0"/>
        <w:adjustRightInd w:val="0"/>
        <w:spacing w:line="600" w:lineRule="exact"/>
        <w:ind w:left="360" w:firstLine="321" w:firstLineChars="100"/>
        <w:jc w:val="both"/>
        <w:outlineLvl w:val="1"/>
        <w:rPr>
          <w:rFonts w:hint="eastAsia" w:ascii="黑体" w:hAnsi="黑体" w:eastAsia="黑体"/>
          <w:kern w:val="2"/>
          <w:sz w:val="21"/>
          <w:szCs w:val="20"/>
          <w:lang w:val="en-US" w:eastAsia="zh-CN"/>
        </w:rPr>
      </w:pPr>
      <w:bookmarkStart w:id="7" w:name="_Toc15377221"/>
      <w:bookmarkStart w:id="8" w:name="_Toc15396612"/>
      <w:r>
        <w:rPr>
          <w:rFonts w:hint="eastAsia" w:ascii="黑体" w:hAnsi="黑体" w:eastAsia="黑体"/>
          <w:b/>
          <w:kern w:val="2"/>
          <w:sz w:val="32"/>
          <w:szCs w:val="20"/>
          <w:lang w:val="en-US" w:eastAsia="zh-CN"/>
        </w:rPr>
        <w:t>十、</w:t>
      </w:r>
      <w:r>
        <w:rPr>
          <w:rFonts w:hint="eastAsia" w:ascii="黑体" w:hAnsi="黑体" w:eastAsia="黑体"/>
          <w:kern w:val="2"/>
          <w:sz w:val="32"/>
          <w:szCs w:val="20"/>
          <w:lang w:val="en-US" w:eastAsia="zh-CN"/>
        </w:rPr>
        <w:t>其他重要事项的情况说明</w:t>
      </w:r>
      <w:bookmarkEnd w:id="7"/>
      <w:bookmarkEnd w:id="8"/>
    </w:p>
    <w:p>
      <w:pPr>
        <w:autoSpaceDE/>
        <w:autoSpaceDN/>
        <w:adjustRightInd/>
        <w:spacing w:line="600" w:lineRule="exact"/>
        <w:ind w:firstLine="643" w:firstLineChars="200"/>
        <w:jc w:val="both"/>
        <w:outlineLvl w:val="2"/>
        <w:rPr>
          <w:rFonts w:hint="eastAsia" w:ascii="仿宋" w:hAnsi="仿宋" w:eastAsia="仿宋"/>
          <w:kern w:val="2"/>
          <w:sz w:val="32"/>
          <w:szCs w:val="20"/>
          <w:lang w:val="en-US" w:eastAsia="zh-CN"/>
        </w:rPr>
      </w:pPr>
      <w:bookmarkStart w:id="9" w:name="_Toc15377222"/>
      <w:r>
        <w:rPr>
          <w:rFonts w:hint="eastAsia" w:ascii="仿宋" w:hAnsi="仿宋" w:eastAsia="仿宋"/>
          <w:b/>
          <w:kern w:val="2"/>
          <w:sz w:val="32"/>
          <w:szCs w:val="20"/>
          <w:lang w:val="en-US" w:eastAsia="zh-CN"/>
        </w:rPr>
        <w:t>（一）机关运行经费支出情况</w:t>
      </w:r>
      <w:bookmarkEnd w:id="9"/>
    </w:p>
    <w:p>
      <w:pPr>
        <w:autoSpaceDE/>
        <w:autoSpaceDN/>
        <w:adjustRightInd/>
        <w:spacing w:line="600" w:lineRule="exact"/>
        <w:ind w:firstLine="640" w:firstLineChars="200"/>
        <w:jc w:val="both"/>
        <w:rPr>
          <w:rFonts w:hint="eastAsia" w:ascii="仿宋_GB2312" w:hAnsi="Times New Roman" w:eastAsia="仿宋_GB2312"/>
          <w:color w:val="auto"/>
          <w:kern w:val="2"/>
          <w:sz w:val="32"/>
          <w:szCs w:val="20"/>
          <w:lang w:val="en-US" w:eastAsia="zh-CN"/>
        </w:rPr>
      </w:pPr>
      <w:r>
        <w:rPr>
          <w:rFonts w:hint="eastAsia" w:ascii="仿宋_GB2312" w:hAnsi="Times New Roman" w:eastAsia="仿宋_GB2312"/>
          <w:kern w:val="2"/>
          <w:sz w:val="32"/>
          <w:szCs w:val="20"/>
          <w:lang w:val="en-US" w:eastAsia="zh-CN"/>
        </w:rPr>
        <w:t>2023年，</w:t>
      </w:r>
      <w:r>
        <w:rPr>
          <w:rFonts w:hint="eastAsia" w:ascii="仿宋_GB2312" w:hAnsi="Times New Roman" w:eastAsia="仿宋_GB2312"/>
          <w:color w:val="auto"/>
          <w:kern w:val="2"/>
          <w:sz w:val="32"/>
          <w:szCs w:val="20"/>
          <w:lang w:val="en-US" w:eastAsia="zh-CN"/>
        </w:rPr>
        <w:t>遂宁市安居区拦江镇中心幼儿园机关运行经费支出0万元。与2022年度决算数持平。</w:t>
      </w:r>
    </w:p>
    <w:p>
      <w:pPr>
        <w:autoSpaceDE w:val="0"/>
        <w:autoSpaceDN w:val="0"/>
        <w:adjustRightInd w:val="0"/>
        <w:spacing w:line="600" w:lineRule="exact"/>
        <w:ind w:firstLine="643" w:firstLineChars="200"/>
        <w:jc w:val="left"/>
        <w:outlineLvl w:val="2"/>
        <w:rPr>
          <w:rFonts w:hint="eastAsia" w:ascii="仿宋" w:hAnsi="仿宋" w:eastAsia="仿宋"/>
          <w:b/>
          <w:color w:val="auto"/>
          <w:kern w:val="2"/>
          <w:sz w:val="32"/>
          <w:szCs w:val="20"/>
          <w:lang w:val="en-US" w:eastAsia="zh-CN"/>
        </w:rPr>
      </w:pPr>
      <w:bookmarkStart w:id="10" w:name="_Toc15377223"/>
      <w:r>
        <w:rPr>
          <w:rFonts w:hint="eastAsia" w:ascii="仿宋" w:hAnsi="仿宋" w:eastAsia="仿宋"/>
          <w:b/>
          <w:color w:val="auto"/>
          <w:kern w:val="2"/>
          <w:sz w:val="32"/>
          <w:szCs w:val="20"/>
          <w:lang w:val="en-US" w:eastAsia="zh-CN"/>
        </w:rPr>
        <w:t>（二）政府采购支出情况</w:t>
      </w:r>
      <w:bookmarkEnd w:id="10"/>
    </w:p>
    <w:p>
      <w:pPr>
        <w:autoSpaceDE w:val="0"/>
        <w:autoSpaceDN w:val="0"/>
        <w:adjustRightInd w:val="0"/>
        <w:spacing w:line="600" w:lineRule="exact"/>
        <w:ind w:firstLine="640" w:firstLineChars="200"/>
        <w:jc w:val="left"/>
        <w:outlineLvl w:val="2"/>
        <w:rPr>
          <w:rFonts w:hint="eastAsia" w:ascii="仿宋_GB2312" w:hAnsi="Times New Roman" w:eastAsia="仿宋_GB2312"/>
          <w:color w:val="auto"/>
          <w:kern w:val="2"/>
          <w:sz w:val="32"/>
          <w:szCs w:val="20"/>
          <w:lang w:val="en-US" w:eastAsia="zh-CN"/>
        </w:rPr>
      </w:pPr>
      <w:bookmarkStart w:id="11" w:name="_Toc15377224"/>
      <w:r>
        <w:rPr>
          <w:rFonts w:hint="eastAsia" w:ascii="仿宋_GB2312" w:hAnsi="Times New Roman" w:eastAsia="仿宋_GB2312"/>
          <w:color w:val="auto"/>
          <w:kern w:val="2"/>
          <w:sz w:val="32"/>
          <w:szCs w:val="20"/>
          <w:lang w:val="en-US" w:eastAsia="zh-CN"/>
        </w:rPr>
        <w:t>2023年度，遂宁市安居区拦江镇中心幼儿园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bookmarkEnd w:id="11"/>
    <w:p>
      <w:pPr>
        <w:autoSpaceDE w:val="0"/>
        <w:autoSpaceDN w:val="0"/>
        <w:adjustRightInd w:val="0"/>
        <w:spacing w:line="600" w:lineRule="exact"/>
        <w:ind w:firstLine="643" w:firstLineChars="200"/>
        <w:jc w:val="left"/>
        <w:outlineLvl w:val="2"/>
        <w:rPr>
          <w:rFonts w:hint="eastAsia" w:ascii="仿宋" w:hAnsi="仿宋" w:eastAsia="仿宋"/>
          <w:b/>
          <w:color w:val="auto"/>
          <w:kern w:val="2"/>
          <w:sz w:val="32"/>
          <w:szCs w:val="20"/>
          <w:lang w:val="en-US" w:eastAsia="zh-CN"/>
        </w:rPr>
      </w:pPr>
      <w:r>
        <w:rPr>
          <w:rFonts w:hint="eastAsia" w:ascii="仿宋" w:hAnsi="仿宋" w:eastAsia="仿宋"/>
          <w:b/>
          <w:color w:val="auto"/>
          <w:kern w:val="2"/>
          <w:sz w:val="32"/>
          <w:szCs w:val="20"/>
          <w:lang w:val="en-US" w:eastAsia="zh-CN"/>
        </w:rPr>
        <w:t>（三）国有资产占有使用情况</w:t>
      </w:r>
    </w:p>
    <w:p>
      <w:pPr>
        <w:autoSpaceDE w:val="0"/>
        <w:autoSpaceDN w:val="0"/>
        <w:adjustRightInd w:val="0"/>
        <w:spacing w:line="600" w:lineRule="exact"/>
        <w:ind w:firstLine="640" w:firstLineChars="200"/>
        <w:jc w:val="left"/>
        <w:rPr>
          <w:rFonts w:hint="eastAsia" w:ascii="仿宋_GB2312" w:hAnsi="Times New Roman" w:eastAsia="仿宋_GB2312"/>
          <w:kern w:val="2"/>
          <w:sz w:val="32"/>
          <w:szCs w:val="20"/>
          <w:lang w:val="en-US" w:eastAsia="zh-CN"/>
        </w:rPr>
      </w:pPr>
      <w:r>
        <w:rPr>
          <w:rFonts w:hint="eastAsia" w:ascii="仿宋_GB2312" w:hAnsi="Times New Roman" w:eastAsia="仿宋_GB2312"/>
          <w:color w:val="auto"/>
          <w:kern w:val="2"/>
          <w:sz w:val="32"/>
          <w:szCs w:val="20"/>
          <w:lang w:val="en-US" w:eastAsia="zh-CN"/>
        </w:rPr>
        <w:t>截至2023年12月31日，遂宁市安居区拦江镇中心幼儿园共有</w:t>
      </w:r>
      <w:r>
        <w:rPr>
          <w:rFonts w:hint="eastAsia" w:ascii="仿宋_GB2312" w:hAnsi="Times New Roman" w:eastAsia="仿宋_GB2312"/>
          <w:kern w:val="2"/>
          <w:sz w:val="32"/>
          <w:szCs w:val="20"/>
          <w:lang w:val="en-US" w:eastAsia="zh-CN"/>
        </w:rPr>
        <w:t>车辆0辆，其中：主要领导干部用车0辆、机要通信用车0辆、应急保障用车0辆、其他用车0辆。单价100万元以上设备（不含车辆）</w:t>
      </w:r>
      <w:r>
        <w:rPr>
          <w:rFonts w:hint="eastAsia" w:ascii="Times New Roman" w:hAnsi="Times New Roman" w:eastAsia="Times New Roman"/>
          <w:kern w:val="2"/>
          <w:sz w:val="32"/>
          <w:szCs w:val="20"/>
          <w:lang w:val="en-US" w:eastAsia="zh-CN"/>
        </w:rPr>
        <w:t>0</w:t>
      </w:r>
      <w:r>
        <w:rPr>
          <w:rFonts w:hint="eastAsia" w:ascii="仿宋_GB2312" w:hAnsi="Times New Roman" w:eastAsia="仿宋_GB2312"/>
          <w:kern w:val="2"/>
          <w:sz w:val="32"/>
          <w:szCs w:val="20"/>
          <w:lang w:val="en-US" w:eastAsia="zh-CN"/>
        </w:rPr>
        <w:t>台（套）。</w:t>
      </w:r>
    </w:p>
    <w:p>
      <w:pPr>
        <w:keepNext/>
        <w:keepLines/>
        <w:autoSpaceDE w:val="0"/>
        <w:autoSpaceDN w:val="0"/>
        <w:adjustRightInd w:val="0"/>
        <w:spacing w:line="576" w:lineRule="exact"/>
        <w:ind w:firstLine="643"/>
        <w:jc w:val="both"/>
        <w:rPr>
          <w:rFonts w:hint="eastAsia" w:ascii="仿宋_GB2312" w:hAnsi="仿宋_GB2312" w:eastAsia="仿宋_GB2312"/>
          <w:b/>
          <w:color w:val="000000"/>
          <w:kern w:val="2"/>
          <w:sz w:val="32"/>
          <w:szCs w:val="20"/>
          <w:lang w:val="zh-CN"/>
        </w:rPr>
      </w:pPr>
      <w:r>
        <w:rPr>
          <w:rFonts w:hint="eastAsia" w:ascii="仿宋_GB2312" w:hAnsi="仿宋_GB2312" w:eastAsia="仿宋_GB2312"/>
          <w:b/>
          <w:color w:val="000000"/>
          <w:kern w:val="2"/>
          <w:sz w:val="32"/>
          <w:szCs w:val="20"/>
          <w:lang w:val="zh-CN"/>
        </w:rPr>
        <w:t>（四）预算绩效管理情况。</w:t>
      </w:r>
    </w:p>
    <w:p>
      <w:pPr>
        <w:autoSpaceDE w:val="0"/>
        <w:autoSpaceDN w:val="0"/>
        <w:adjustRightInd w:val="0"/>
        <w:spacing w:line="576" w:lineRule="exact"/>
        <w:ind w:firstLine="643"/>
        <w:jc w:val="both"/>
        <w:rPr>
          <w:rFonts w:hint="eastAsia" w:ascii="仿宋_GB2312" w:hAnsi="仿宋_GB2312" w:eastAsia="仿宋_GB2312"/>
          <w:color w:val="auto"/>
          <w:kern w:val="2"/>
          <w:sz w:val="32"/>
          <w:szCs w:val="20"/>
          <w:lang w:val="en-US"/>
        </w:rPr>
      </w:pPr>
      <w:r>
        <w:rPr>
          <w:rFonts w:hint="eastAsia" w:ascii="仿宋_GB2312" w:hAnsi="仿宋_GB2312" w:eastAsia="仿宋_GB2312"/>
          <w:color w:val="auto"/>
          <w:kern w:val="2"/>
          <w:sz w:val="32"/>
          <w:szCs w:val="20"/>
          <w:lang w:val="en-US"/>
        </w:rPr>
        <w:t>根据预算绩效管理要求，本</w:t>
      </w:r>
      <w:r>
        <w:rPr>
          <w:rFonts w:hint="eastAsia" w:ascii="仿宋_GB2312" w:hAnsi="仿宋_GB2312" w:eastAsia="仿宋_GB2312"/>
          <w:color w:val="auto"/>
          <w:kern w:val="2"/>
          <w:sz w:val="32"/>
          <w:szCs w:val="20"/>
          <w:lang w:val="en-US" w:eastAsia="zh-CN"/>
        </w:rPr>
        <w:t>部门</w:t>
      </w:r>
      <w:r>
        <w:rPr>
          <w:rFonts w:hint="eastAsia" w:ascii="仿宋_GB2312" w:hAnsi="仿宋_GB2312" w:eastAsia="仿宋_GB2312"/>
          <w:color w:val="auto"/>
          <w:kern w:val="2"/>
          <w:sz w:val="32"/>
          <w:szCs w:val="20"/>
          <w:lang w:val="en-US"/>
        </w:rPr>
        <w:t>在</w:t>
      </w:r>
      <w:r>
        <w:rPr>
          <w:rFonts w:hint="eastAsia" w:ascii="仿宋_GB2312" w:hAnsi="仿宋_GB2312" w:eastAsia="仿宋_GB2312"/>
          <w:color w:val="auto"/>
          <w:kern w:val="2"/>
          <w:sz w:val="32"/>
          <w:szCs w:val="20"/>
          <w:lang w:val="en-US" w:eastAsia="zh-CN"/>
        </w:rPr>
        <w:t>2023</w:t>
      </w:r>
      <w:r>
        <w:rPr>
          <w:rFonts w:hint="eastAsia" w:ascii="仿宋_GB2312" w:hAnsi="仿宋_GB2312" w:eastAsia="仿宋_GB2312"/>
          <w:color w:val="auto"/>
          <w:kern w:val="2"/>
          <w:sz w:val="32"/>
          <w:szCs w:val="20"/>
          <w:lang w:val="en-US"/>
        </w:rPr>
        <w:t>年度预算编制阶段，组织对51090422T000006818424-幼儿资助及幼儿发展资金项目等</w:t>
      </w:r>
      <w:r>
        <w:rPr>
          <w:rFonts w:hint="eastAsia" w:ascii="仿宋_GB2312" w:hAnsi="仿宋_GB2312" w:eastAsia="仿宋_GB2312"/>
          <w:color w:val="auto"/>
          <w:kern w:val="2"/>
          <w:sz w:val="32"/>
          <w:szCs w:val="20"/>
          <w:lang w:val="en-US" w:eastAsia="zh-CN"/>
        </w:rPr>
        <w:t>18</w:t>
      </w:r>
      <w:r>
        <w:rPr>
          <w:rFonts w:hint="eastAsia" w:ascii="仿宋_GB2312" w:hAnsi="仿宋_GB2312" w:eastAsia="仿宋_GB2312"/>
          <w:color w:val="auto"/>
          <w:kern w:val="2"/>
          <w:sz w:val="32"/>
          <w:szCs w:val="20"/>
          <w:lang w:val="en-US"/>
        </w:rPr>
        <w:t>个项目开展了预算事前绩效评估，对</w:t>
      </w:r>
      <w:r>
        <w:rPr>
          <w:rFonts w:hint="eastAsia" w:ascii="仿宋_GB2312" w:hAnsi="仿宋_GB2312" w:eastAsia="仿宋_GB2312"/>
          <w:color w:val="auto"/>
          <w:kern w:val="2"/>
          <w:sz w:val="32"/>
          <w:szCs w:val="20"/>
          <w:lang w:val="en-US" w:eastAsia="zh-CN"/>
        </w:rPr>
        <w:t>18</w:t>
      </w:r>
      <w:r>
        <w:rPr>
          <w:rFonts w:hint="eastAsia" w:ascii="仿宋_GB2312" w:hAnsi="仿宋_GB2312" w:eastAsia="仿宋_GB2312"/>
          <w:color w:val="auto"/>
          <w:kern w:val="2"/>
          <w:sz w:val="32"/>
          <w:szCs w:val="20"/>
          <w:lang w:val="en-US"/>
        </w:rPr>
        <w:t>个项目编制了绩效目标，预算执行过程中，选取</w:t>
      </w:r>
      <w:r>
        <w:rPr>
          <w:rFonts w:hint="eastAsia" w:ascii="仿宋_GB2312" w:hAnsi="仿宋_GB2312" w:eastAsia="仿宋_GB2312"/>
          <w:color w:val="auto"/>
          <w:kern w:val="2"/>
          <w:sz w:val="32"/>
          <w:szCs w:val="20"/>
          <w:lang w:val="en-US" w:eastAsia="zh-CN"/>
        </w:rPr>
        <w:t>4</w:t>
      </w:r>
      <w:r>
        <w:rPr>
          <w:rFonts w:hint="eastAsia" w:ascii="仿宋_GB2312" w:hAnsi="仿宋_GB2312" w:eastAsia="仿宋_GB2312"/>
          <w:color w:val="auto"/>
          <w:kern w:val="2"/>
          <w:sz w:val="32"/>
          <w:szCs w:val="20"/>
          <w:lang w:val="en-US"/>
        </w:rPr>
        <w:t>个项目开展绩效监控。</w:t>
      </w:r>
    </w:p>
    <w:p>
      <w:pPr>
        <w:autoSpaceDE w:val="0"/>
        <w:autoSpaceDN w:val="0"/>
        <w:adjustRightInd w:val="0"/>
        <w:spacing w:line="576" w:lineRule="exact"/>
        <w:ind w:firstLine="643"/>
        <w:jc w:val="both"/>
        <w:rPr>
          <w:rFonts w:hint="eastAsia" w:ascii="仿宋_GB2312" w:hAnsi="仿宋_GB2312" w:eastAsia="仿宋_GB2312"/>
          <w:color w:val="auto"/>
          <w:kern w:val="2"/>
          <w:sz w:val="32"/>
          <w:szCs w:val="20"/>
          <w:lang w:val="en-US"/>
        </w:rPr>
      </w:pPr>
      <w:r>
        <w:rPr>
          <w:rFonts w:hint="eastAsia" w:ascii="仿宋_GB2312" w:hAnsi="仿宋_GB2312" w:eastAsia="仿宋_GB2312"/>
          <w:color w:val="auto"/>
          <w:kern w:val="2"/>
          <w:sz w:val="32"/>
          <w:szCs w:val="20"/>
          <w:lang w:val="en-US"/>
        </w:rPr>
        <w:t>组织对2023年度一般公共预算、政府性基金预算、国有资本经营预算、社会保险基金预算以及资本资产、债券资金等全面开展绩效自评，形成遂宁市安居区拦江镇中心幼儿园部门整体（含部门预算项目）绩效自评报告</w:t>
      </w:r>
      <w:r>
        <w:rPr>
          <w:rFonts w:hint="eastAsia" w:ascii="仿宋_GB2312" w:hAnsi="仿宋_GB2312" w:eastAsia="仿宋_GB2312"/>
          <w:color w:val="auto"/>
          <w:kern w:val="2"/>
          <w:sz w:val="32"/>
          <w:szCs w:val="20"/>
          <w:lang w:val="en-US" w:eastAsia="zh-CN"/>
        </w:rPr>
        <w:t>及</w:t>
      </w:r>
      <w:r>
        <w:rPr>
          <w:rFonts w:hint="eastAsia" w:ascii="仿宋_GB2312" w:hAnsi="仿宋_GB2312" w:eastAsia="仿宋_GB2312"/>
          <w:color w:val="auto"/>
          <w:kern w:val="2"/>
          <w:sz w:val="32"/>
          <w:szCs w:val="20"/>
          <w:lang w:val="en-US"/>
        </w:rPr>
        <w:t>得分</w:t>
      </w:r>
      <w:r>
        <w:rPr>
          <w:rFonts w:hint="eastAsia" w:ascii="仿宋_GB2312" w:hAnsi="仿宋_GB2312" w:eastAsia="仿宋_GB2312"/>
          <w:color w:val="auto"/>
          <w:kern w:val="2"/>
          <w:sz w:val="32"/>
          <w:szCs w:val="20"/>
          <w:lang w:val="en-US" w:eastAsia="zh-CN"/>
        </w:rPr>
        <w:t>，</w:t>
      </w:r>
      <w:r>
        <w:rPr>
          <w:rFonts w:hint="eastAsia" w:ascii="仿宋_GB2312" w:hAnsi="仿宋_GB2312" w:eastAsia="仿宋_GB2312"/>
          <w:color w:val="auto"/>
          <w:kern w:val="2"/>
          <w:sz w:val="32"/>
          <w:szCs w:val="20"/>
          <w:lang w:val="en-US"/>
        </w:rPr>
        <w:t>详见第四部分附件。</w:t>
      </w:r>
    </w:p>
    <w:p>
      <w:pPr>
        <w:pStyle w:val="2"/>
        <w:jc w:val="left"/>
        <w:rPr>
          <w:rFonts w:hint="eastAsia" w:ascii="仿宋_GB2312" w:hAnsi="仿宋_GB2312" w:eastAsia="仿宋_GB2312"/>
          <w:color w:val="auto"/>
          <w:kern w:val="2"/>
          <w:sz w:val="32"/>
          <w:szCs w:val="20"/>
          <w:lang w:val="en-US"/>
        </w:rPr>
      </w:pPr>
    </w:p>
    <w:p>
      <w:pPr>
        <w:pStyle w:val="3"/>
        <w:jc w:val="left"/>
        <w:rPr>
          <w:rFonts w:hint="eastAsia" w:hAnsi="仿宋_GB2312"/>
          <w:color w:val="auto"/>
          <w:kern w:val="2"/>
          <w:sz w:val="32"/>
          <w:szCs w:val="20"/>
          <w:lang w:val="en-US"/>
        </w:rPr>
      </w:pPr>
    </w:p>
    <w:p>
      <w:pPr>
        <w:pStyle w:val="3"/>
        <w:jc w:val="left"/>
        <w:rPr>
          <w:rFonts w:hint="eastAsia" w:hAnsi="仿宋_GB2312"/>
          <w:color w:val="auto"/>
          <w:kern w:val="2"/>
          <w:sz w:val="32"/>
          <w:szCs w:val="20"/>
          <w:lang w:val="en-US"/>
        </w:rPr>
      </w:pPr>
    </w:p>
    <w:p>
      <w:pPr>
        <w:pStyle w:val="3"/>
        <w:jc w:val="left"/>
        <w:rPr>
          <w:rFonts w:hint="eastAsia" w:hAnsi="仿宋_GB2312"/>
          <w:color w:val="auto"/>
          <w:kern w:val="2"/>
          <w:sz w:val="32"/>
          <w:szCs w:val="20"/>
          <w:lang w:val="en-US"/>
        </w:rPr>
      </w:pPr>
    </w:p>
    <w:p>
      <w:pPr>
        <w:pStyle w:val="3"/>
        <w:jc w:val="left"/>
        <w:rPr>
          <w:rFonts w:hint="eastAsia" w:hAnsi="仿宋_GB2312"/>
          <w:color w:val="auto"/>
          <w:kern w:val="2"/>
          <w:sz w:val="32"/>
          <w:szCs w:val="20"/>
          <w:lang w:val="en-US"/>
        </w:rPr>
      </w:pPr>
    </w:p>
    <w:p>
      <w:pPr>
        <w:pStyle w:val="3"/>
        <w:jc w:val="left"/>
        <w:rPr>
          <w:rFonts w:hint="eastAsia" w:hAnsi="仿宋_GB2312"/>
          <w:color w:val="auto"/>
          <w:kern w:val="2"/>
          <w:sz w:val="32"/>
          <w:szCs w:val="20"/>
          <w:lang w:val="en-US"/>
        </w:rPr>
      </w:pPr>
    </w:p>
    <w:p>
      <w:pPr>
        <w:pStyle w:val="3"/>
        <w:jc w:val="left"/>
        <w:rPr>
          <w:rFonts w:hint="eastAsia" w:hAnsi="仿宋_GB2312"/>
          <w:color w:val="auto"/>
          <w:kern w:val="2"/>
          <w:sz w:val="32"/>
          <w:szCs w:val="20"/>
          <w:lang w:val="en-US"/>
        </w:rPr>
      </w:pPr>
    </w:p>
    <w:p>
      <w:pPr>
        <w:pStyle w:val="3"/>
        <w:jc w:val="left"/>
        <w:rPr>
          <w:rFonts w:hint="eastAsia" w:hAnsi="仿宋_GB2312"/>
          <w:color w:val="auto"/>
          <w:kern w:val="2"/>
          <w:sz w:val="32"/>
          <w:szCs w:val="20"/>
          <w:lang w:val="en-US"/>
        </w:rPr>
      </w:pPr>
    </w:p>
    <w:p>
      <w:pPr>
        <w:pStyle w:val="3"/>
        <w:jc w:val="left"/>
        <w:rPr>
          <w:rFonts w:hint="eastAsia" w:hAnsi="仿宋_GB2312"/>
          <w:color w:val="auto"/>
          <w:kern w:val="2"/>
          <w:sz w:val="32"/>
          <w:szCs w:val="20"/>
          <w:lang w:val="en-US"/>
        </w:rPr>
      </w:pPr>
    </w:p>
    <w:p>
      <w:pPr>
        <w:pStyle w:val="3"/>
        <w:jc w:val="left"/>
        <w:rPr>
          <w:rFonts w:hint="eastAsia" w:hAnsi="仿宋_GB2312"/>
          <w:color w:val="auto"/>
          <w:kern w:val="2"/>
          <w:sz w:val="32"/>
          <w:szCs w:val="20"/>
          <w:lang w:val="en-US"/>
        </w:rPr>
      </w:pPr>
    </w:p>
    <w:p>
      <w:pPr>
        <w:pStyle w:val="3"/>
        <w:jc w:val="left"/>
        <w:rPr>
          <w:rFonts w:hint="eastAsia" w:hAnsi="仿宋_GB2312"/>
          <w:color w:val="auto"/>
          <w:kern w:val="2"/>
          <w:sz w:val="32"/>
          <w:szCs w:val="20"/>
          <w:lang w:val="en-US"/>
        </w:rPr>
      </w:pPr>
    </w:p>
    <w:p>
      <w:pPr>
        <w:pStyle w:val="3"/>
        <w:jc w:val="left"/>
        <w:rPr>
          <w:rFonts w:hint="eastAsia" w:hAnsi="仿宋_GB2312"/>
          <w:color w:val="auto"/>
          <w:kern w:val="2"/>
          <w:sz w:val="32"/>
          <w:szCs w:val="20"/>
          <w:lang w:val="en-US"/>
        </w:rPr>
      </w:pPr>
    </w:p>
    <w:p>
      <w:pPr>
        <w:keepNext/>
        <w:keepLines/>
        <w:autoSpaceDE w:val="0"/>
        <w:autoSpaceDN w:val="0"/>
        <w:adjustRightInd w:val="0"/>
        <w:spacing w:line="576" w:lineRule="exact"/>
        <w:jc w:val="center"/>
        <w:rPr>
          <w:rFonts w:hint="eastAsia" w:ascii="黑体" w:hAnsi="黑体" w:eastAsia="黑体"/>
          <w:color w:val="auto"/>
          <w:kern w:val="44"/>
          <w:sz w:val="44"/>
          <w:szCs w:val="20"/>
          <w:lang w:val="zh-CN"/>
        </w:rPr>
      </w:pPr>
      <w:r>
        <w:rPr>
          <w:rFonts w:hint="eastAsia" w:ascii="黑体" w:hAnsi="黑体" w:eastAsia="黑体"/>
          <w:color w:val="000000"/>
          <w:kern w:val="2"/>
          <w:sz w:val="44"/>
          <w:szCs w:val="20"/>
          <w:lang w:val="zh-CN"/>
        </w:rPr>
        <w:t>第三部分 名</w:t>
      </w:r>
      <w:r>
        <w:rPr>
          <w:rFonts w:hint="eastAsia" w:ascii="黑体" w:hAnsi="黑体" w:eastAsia="黑体"/>
          <w:color w:val="auto"/>
          <w:kern w:val="44"/>
          <w:sz w:val="44"/>
          <w:szCs w:val="20"/>
          <w:lang w:val="zh-CN"/>
        </w:rPr>
        <w:t>词解释</w:t>
      </w:r>
    </w:p>
    <w:p>
      <w:pPr>
        <w:widowControl w:val="0"/>
        <w:autoSpaceDE w:val="0"/>
        <w:autoSpaceDN w:val="0"/>
        <w:adjustRightInd w:val="0"/>
        <w:spacing w:beforeLines="0" w:afterLines="0" w:line="560" w:lineRule="exact"/>
        <w:ind w:firstLine="640" w:firstLineChars="200"/>
        <w:rPr>
          <w:rFonts w:hint="eastAsia" w:ascii="仿宋" w:hAnsi="仿宋" w:eastAsia="仿宋" w:cs="Times New Roman"/>
          <w:color w:val="auto"/>
          <w:sz w:val="32"/>
          <w:lang w:val="en-US" w:eastAsia="zh-CN"/>
        </w:rPr>
      </w:pPr>
      <w:r>
        <w:rPr>
          <w:rFonts w:hint="eastAsia" w:ascii="仿宋" w:hAnsi="仿宋" w:eastAsia="仿宋" w:cs="Times New Roman"/>
          <w:color w:val="auto"/>
          <w:sz w:val="32"/>
          <w:lang w:val="en-US" w:eastAsia="zh-CN"/>
        </w:rPr>
        <w:t>1.财政拨款收入：指单位从同级财政部门取得的财政预算资金。</w:t>
      </w:r>
    </w:p>
    <w:p>
      <w:pPr>
        <w:widowControl w:val="0"/>
        <w:autoSpaceDE w:val="0"/>
        <w:autoSpaceDN w:val="0"/>
        <w:adjustRightInd w:val="0"/>
        <w:spacing w:beforeLines="0" w:afterLines="0" w:line="560" w:lineRule="exact"/>
        <w:ind w:firstLine="640" w:firstLineChars="200"/>
        <w:rPr>
          <w:rFonts w:hint="eastAsia" w:ascii="仿宋" w:hAnsi="仿宋" w:eastAsia="仿宋" w:cs="Times New Roman"/>
          <w:color w:val="auto"/>
          <w:sz w:val="32"/>
          <w:lang w:val="en-US" w:eastAsia="zh-CN"/>
        </w:rPr>
      </w:pPr>
      <w:r>
        <w:rPr>
          <w:rFonts w:hint="eastAsia" w:ascii="仿宋" w:hAnsi="仿宋" w:eastAsia="仿宋" w:cs="Times New Roman"/>
          <w:color w:val="auto"/>
          <w:sz w:val="32"/>
          <w:lang w:val="en-US" w:eastAsia="zh-CN"/>
        </w:rPr>
        <w:t>2.教育（205类）普通教育（02款）学前教育支出（01项）：反映用于学前教育的工资、绩效、津补贴、工会经费、福利费、资助、公用经费、保教费等支出。</w:t>
      </w:r>
    </w:p>
    <w:p>
      <w:pPr>
        <w:widowControl w:val="0"/>
        <w:autoSpaceDE w:val="0"/>
        <w:autoSpaceDN w:val="0"/>
        <w:adjustRightInd w:val="0"/>
        <w:spacing w:beforeLines="0" w:afterLines="0" w:line="560" w:lineRule="exact"/>
        <w:ind w:firstLine="640" w:firstLineChars="200"/>
        <w:rPr>
          <w:rFonts w:hint="eastAsia" w:ascii="仿宋" w:hAnsi="仿宋" w:eastAsia="仿宋" w:cs="Times New Roman"/>
          <w:color w:val="auto"/>
          <w:sz w:val="32"/>
          <w:lang w:val="en-US" w:eastAsia="zh-CN"/>
        </w:rPr>
      </w:pPr>
      <w:r>
        <w:rPr>
          <w:rFonts w:hint="eastAsia" w:ascii="仿宋" w:hAnsi="仿宋" w:eastAsia="仿宋" w:cs="Times New Roman"/>
          <w:color w:val="auto"/>
          <w:sz w:val="32"/>
          <w:lang w:val="en-US" w:eastAsia="zh-CN"/>
        </w:rPr>
        <w:t>3. 教育（205类）普通教育（02款）其他普通教育支出（99项）：反映用于学前教育的绩效、津补贴、保教费等支出</w:t>
      </w:r>
    </w:p>
    <w:p>
      <w:pPr>
        <w:widowControl w:val="0"/>
        <w:autoSpaceDE w:val="0"/>
        <w:autoSpaceDN w:val="0"/>
        <w:adjustRightInd w:val="0"/>
        <w:spacing w:beforeLines="0" w:afterLines="0" w:line="560" w:lineRule="exact"/>
        <w:ind w:firstLine="640" w:firstLineChars="200"/>
        <w:rPr>
          <w:rFonts w:hint="eastAsia" w:ascii="仿宋" w:hAnsi="仿宋" w:eastAsia="仿宋" w:cs="Times New Roman"/>
          <w:color w:val="auto"/>
          <w:sz w:val="32"/>
          <w:lang w:val="en-US" w:eastAsia="zh-CN"/>
        </w:rPr>
      </w:pPr>
      <w:r>
        <w:rPr>
          <w:rFonts w:hint="eastAsia" w:ascii="仿宋" w:hAnsi="仿宋" w:eastAsia="仿宋" w:cs="Times New Roman"/>
          <w:color w:val="auto"/>
          <w:sz w:val="32"/>
          <w:lang w:val="en-US" w:eastAsia="zh-CN"/>
        </w:rPr>
        <w:t>4.社会保障和就业（208类）行政事业单位离退休（05款）机关事业单位基本养老保险缴费支出（05项）: 反映机关事业单位实施养老保险制度由单位缴纳的基本养老保险费支出。</w:t>
      </w:r>
    </w:p>
    <w:p>
      <w:pPr>
        <w:widowControl w:val="0"/>
        <w:autoSpaceDE w:val="0"/>
        <w:autoSpaceDN w:val="0"/>
        <w:adjustRightInd w:val="0"/>
        <w:spacing w:beforeLines="0" w:afterLines="0" w:line="560" w:lineRule="exact"/>
        <w:ind w:firstLine="640" w:firstLineChars="200"/>
        <w:rPr>
          <w:rFonts w:hint="eastAsia" w:ascii="仿宋" w:hAnsi="仿宋" w:eastAsia="仿宋" w:cs="Times New Roman"/>
          <w:color w:val="auto"/>
          <w:sz w:val="32"/>
          <w:lang w:val="en-US" w:eastAsia="zh-CN"/>
        </w:rPr>
      </w:pPr>
      <w:r>
        <w:rPr>
          <w:rFonts w:hint="eastAsia" w:ascii="仿宋" w:hAnsi="仿宋" w:eastAsia="仿宋" w:cs="Times New Roman"/>
          <w:color w:val="auto"/>
          <w:sz w:val="32"/>
          <w:lang w:val="en-US" w:eastAsia="zh-CN"/>
        </w:rPr>
        <w:t>5. 社会保障和就业（208类）其他社会保障和就业支出（99款）其他社会保障和就业支出（01项）: 反应用于本单位职工工伤及失业保险单位缴费支出。</w:t>
      </w:r>
    </w:p>
    <w:p>
      <w:pPr>
        <w:widowControl w:val="0"/>
        <w:autoSpaceDE w:val="0"/>
        <w:autoSpaceDN w:val="0"/>
        <w:adjustRightInd w:val="0"/>
        <w:spacing w:beforeLines="0" w:afterLines="0" w:line="560" w:lineRule="exact"/>
        <w:ind w:firstLine="640" w:firstLineChars="200"/>
        <w:rPr>
          <w:rFonts w:hint="eastAsia" w:ascii="仿宋" w:hAnsi="仿宋" w:eastAsia="仿宋" w:cs="Times New Roman"/>
          <w:color w:val="auto"/>
          <w:sz w:val="32"/>
          <w:lang w:val="en-US" w:eastAsia="zh-CN"/>
        </w:rPr>
      </w:pPr>
      <w:r>
        <w:rPr>
          <w:rFonts w:hint="eastAsia" w:ascii="仿宋" w:hAnsi="仿宋" w:eastAsia="仿宋" w:cs="Times New Roman"/>
          <w:color w:val="auto"/>
          <w:sz w:val="32"/>
          <w:lang w:val="en-US" w:eastAsia="zh-CN"/>
        </w:rPr>
        <w:t>6.医疗卫生与计划生育（210类）行政事业单位医疗（11款）行政单位医疗（01项）: 反映用于本单位职工基本医疗保险及住院补充医疗保险单位缴费支出。</w:t>
      </w:r>
    </w:p>
    <w:p>
      <w:pPr>
        <w:widowControl w:val="0"/>
        <w:autoSpaceDE w:val="0"/>
        <w:autoSpaceDN w:val="0"/>
        <w:adjustRightInd w:val="0"/>
        <w:spacing w:beforeLines="0" w:afterLines="0" w:line="560" w:lineRule="exact"/>
        <w:ind w:firstLine="640" w:firstLineChars="200"/>
        <w:rPr>
          <w:rFonts w:hint="eastAsia" w:ascii="仿宋" w:hAnsi="仿宋" w:eastAsia="仿宋" w:cs="Times New Roman"/>
          <w:color w:val="auto"/>
          <w:sz w:val="32"/>
          <w:lang w:val="en-US" w:eastAsia="zh-CN"/>
        </w:rPr>
      </w:pPr>
      <w:r>
        <w:rPr>
          <w:rFonts w:hint="eastAsia" w:ascii="仿宋" w:hAnsi="仿宋" w:eastAsia="仿宋" w:cs="Times New Roman"/>
          <w:color w:val="auto"/>
          <w:sz w:val="32"/>
          <w:lang w:val="en-US" w:eastAsia="zh-CN"/>
        </w:rPr>
        <w:t>7.住房保障支出（221类）住房改革支出（02款）住房公积金（01项）: 反映用于本单位职工住房公积金单位缴费支出。。</w:t>
      </w:r>
    </w:p>
    <w:p>
      <w:pPr>
        <w:widowControl w:val="0"/>
        <w:autoSpaceDE w:val="0"/>
        <w:autoSpaceDN w:val="0"/>
        <w:adjustRightInd w:val="0"/>
        <w:spacing w:beforeLines="0" w:afterLines="0" w:line="560" w:lineRule="exact"/>
        <w:ind w:firstLine="640" w:firstLineChars="200"/>
        <w:rPr>
          <w:rFonts w:hint="eastAsia" w:ascii="仿宋" w:hAnsi="仿宋" w:eastAsia="仿宋" w:cs="Times New Roman"/>
          <w:color w:val="auto"/>
          <w:sz w:val="32"/>
          <w:lang w:val="en-US" w:eastAsia="zh-CN"/>
        </w:rPr>
      </w:pPr>
      <w:r>
        <w:rPr>
          <w:rFonts w:hint="eastAsia" w:ascii="仿宋" w:hAnsi="仿宋" w:eastAsia="仿宋" w:cs="Times New Roman"/>
          <w:color w:val="auto"/>
          <w:sz w:val="32"/>
          <w:lang w:val="en-US" w:eastAsia="zh-CN"/>
        </w:rPr>
        <w:t>8.基本支出：指为保障机构正常运转、完成日常工作任务而发生的人员支出和公用支出。</w:t>
      </w:r>
    </w:p>
    <w:p>
      <w:pPr>
        <w:widowControl w:val="0"/>
        <w:autoSpaceDE w:val="0"/>
        <w:autoSpaceDN w:val="0"/>
        <w:adjustRightInd w:val="0"/>
        <w:spacing w:beforeLines="0" w:afterLines="0" w:line="560" w:lineRule="exact"/>
        <w:ind w:firstLine="640" w:firstLineChars="200"/>
        <w:rPr>
          <w:rFonts w:hint="eastAsia" w:ascii="仿宋" w:hAnsi="仿宋" w:eastAsia="仿宋" w:cs="Times New Roman"/>
          <w:color w:val="auto"/>
          <w:sz w:val="32"/>
          <w:lang w:val="en-US" w:eastAsia="zh-CN"/>
        </w:rPr>
      </w:pPr>
      <w:r>
        <w:rPr>
          <w:rFonts w:hint="eastAsia" w:ascii="仿宋" w:hAnsi="仿宋" w:eastAsia="仿宋" w:cs="Times New Roman"/>
          <w:color w:val="auto"/>
          <w:sz w:val="32"/>
          <w:lang w:val="en-US" w:eastAsia="zh-CN"/>
        </w:rPr>
        <w:t>9.项目支出：指在基本支出之外为完成特定行政任务和事业发展目标所发生的支出。</w:t>
      </w:r>
    </w:p>
    <w:p>
      <w:pPr>
        <w:widowControl w:val="0"/>
        <w:autoSpaceDE w:val="0"/>
        <w:autoSpaceDN w:val="0"/>
        <w:adjustRightInd w:val="0"/>
        <w:spacing w:beforeLines="0" w:afterLines="0" w:line="560" w:lineRule="exact"/>
        <w:ind w:firstLine="640" w:firstLineChars="200"/>
        <w:rPr>
          <w:rFonts w:hint="eastAsia" w:ascii="仿宋" w:hAnsi="仿宋" w:eastAsia="仿宋" w:cs="Times New Roman"/>
          <w:color w:val="auto"/>
          <w:sz w:val="32"/>
          <w:lang w:val="en-US" w:eastAsia="zh-CN"/>
        </w:rPr>
      </w:pPr>
      <w:r>
        <w:rPr>
          <w:rFonts w:hint="eastAsia" w:ascii="仿宋" w:hAnsi="仿宋" w:eastAsia="仿宋" w:cs="Times New Roman"/>
          <w:color w:val="auto"/>
          <w:sz w:val="32"/>
          <w:lang w:val="en-US" w:eastAsia="zh-CN"/>
        </w:rPr>
        <w:t>10.“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keepLines/>
        <w:autoSpaceDE w:val="0"/>
        <w:autoSpaceDN w:val="0"/>
        <w:adjustRightInd w:val="0"/>
        <w:spacing w:line="576" w:lineRule="exact"/>
        <w:jc w:val="center"/>
        <w:rPr>
          <w:rFonts w:hint="eastAsia" w:ascii="黑体" w:hAnsi="黑体" w:eastAsia="黑体"/>
          <w:color w:val="auto"/>
          <w:kern w:val="44"/>
          <w:sz w:val="44"/>
          <w:szCs w:val="20"/>
          <w:lang w:val="zh-CN"/>
        </w:rPr>
      </w:pPr>
    </w:p>
    <w:p>
      <w:pPr>
        <w:pStyle w:val="2"/>
        <w:jc w:val="left"/>
        <w:rPr>
          <w:rFonts w:hint="eastAsia" w:ascii="黑体" w:hAnsi="黑体" w:eastAsia="黑体"/>
          <w:color w:val="auto"/>
          <w:kern w:val="44"/>
          <w:sz w:val="44"/>
          <w:szCs w:val="20"/>
          <w:lang w:val="zh-CN"/>
        </w:rPr>
      </w:pPr>
    </w:p>
    <w:p>
      <w:pPr>
        <w:pStyle w:val="3"/>
        <w:jc w:val="left"/>
        <w:rPr>
          <w:rFonts w:hint="eastAsia" w:ascii="黑体" w:hAnsi="黑体" w:eastAsia="黑体"/>
          <w:color w:val="auto"/>
          <w:kern w:val="44"/>
          <w:sz w:val="44"/>
          <w:szCs w:val="20"/>
          <w:lang w:val="zh-CN"/>
        </w:rPr>
      </w:pPr>
    </w:p>
    <w:p>
      <w:pPr>
        <w:pStyle w:val="3"/>
        <w:jc w:val="left"/>
        <w:rPr>
          <w:rFonts w:hint="eastAsia" w:ascii="黑体" w:hAnsi="黑体" w:eastAsia="黑体"/>
          <w:color w:val="auto"/>
          <w:kern w:val="44"/>
          <w:sz w:val="44"/>
          <w:szCs w:val="20"/>
          <w:lang w:val="zh-CN"/>
        </w:rPr>
      </w:pPr>
    </w:p>
    <w:p>
      <w:pPr>
        <w:pStyle w:val="3"/>
        <w:jc w:val="left"/>
        <w:rPr>
          <w:rFonts w:hint="eastAsia" w:ascii="黑体" w:hAnsi="黑体" w:eastAsia="黑体"/>
          <w:color w:val="auto"/>
          <w:kern w:val="44"/>
          <w:sz w:val="44"/>
          <w:szCs w:val="20"/>
          <w:lang w:val="zh-CN"/>
        </w:rPr>
      </w:pPr>
    </w:p>
    <w:p>
      <w:pPr>
        <w:pStyle w:val="3"/>
        <w:jc w:val="left"/>
        <w:rPr>
          <w:rFonts w:hint="eastAsia" w:ascii="黑体" w:hAnsi="黑体" w:eastAsia="黑体"/>
          <w:color w:val="auto"/>
          <w:kern w:val="44"/>
          <w:sz w:val="44"/>
          <w:szCs w:val="20"/>
          <w:lang w:val="zh-CN"/>
        </w:rPr>
      </w:pPr>
    </w:p>
    <w:p>
      <w:pPr>
        <w:pStyle w:val="3"/>
        <w:jc w:val="left"/>
        <w:rPr>
          <w:rFonts w:hint="eastAsia" w:ascii="黑体" w:hAnsi="黑体" w:eastAsia="黑体"/>
          <w:color w:val="auto"/>
          <w:kern w:val="44"/>
          <w:sz w:val="44"/>
          <w:szCs w:val="20"/>
          <w:lang w:val="zh-CN"/>
        </w:rPr>
      </w:pPr>
    </w:p>
    <w:p>
      <w:pPr>
        <w:pStyle w:val="3"/>
        <w:jc w:val="left"/>
        <w:rPr>
          <w:rFonts w:hint="eastAsia" w:ascii="黑体" w:hAnsi="黑体" w:eastAsia="黑体"/>
          <w:color w:val="auto"/>
          <w:kern w:val="44"/>
          <w:sz w:val="44"/>
          <w:szCs w:val="20"/>
          <w:lang w:val="zh-CN"/>
        </w:rPr>
      </w:pPr>
    </w:p>
    <w:p>
      <w:pPr>
        <w:pStyle w:val="3"/>
        <w:jc w:val="left"/>
        <w:rPr>
          <w:rFonts w:hint="eastAsia" w:ascii="黑体" w:hAnsi="黑体" w:eastAsia="黑体"/>
          <w:color w:val="auto"/>
          <w:kern w:val="44"/>
          <w:sz w:val="44"/>
          <w:szCs w:val="20"/>
          <w:lang w:val="zh-CN"/>
        </w:rPr>
      </w:pPr>
    </w:p>
    <w:p>
      <w:pPr>
        <w:pStyle w:val="3"/>
        <w:jc w:val="left"/>
        <w:rPr>
          <w:rFonts w:hint="eastAsia" w:ascii="黑体" w:hAnsi="黑体" w:eastAsia="黑体"/>
          <w:color w:val="auto"/>
          <w:kern w:val="44"/>
          <w:sz w:val="44"/>
          <w:szCs w:val="20"/>
          <w:lang w:val="zh-CN"/>
        </w:rPr>
      </w:pPr>
    </w:p>
    <w:p>
      <w:pPr>
        <w:pStyle w:val="3"/>
        <w:jc w:val="left"/>
        <w:rPr>
          <w:rFonts w:hint="eastAsia" w:ascii="黑体" w:hAnsi="黑体" w:eastAsia="黑体"/>
          <w:color w:val="auto"/>
          <w:kern w:val="44"/>
          <w:sz w:val="44"/>
          <w:szCs w:val="20"/>
          <w:lang w:val="zh-CN"/>
        </w:rPr>
      </w:pPr>
    </w:p>
    <w:p>
      <w:pPr>
        <w:pStyle w:val="3"/>
        <w:jc w:val="left"/>
        <w:rPr>
          <w:rFonts w:hint="eastAsia" w:ascii="黑体" w:hAnsi="黑体" w:eastAsia="黑体"/>
          <w:color w:val="auto"/>
          <w:kern w:val="44"/>
          <w:sz w:val="44"/>
          <w:szCs w:val="20"/>
          <w:lang w:val="zh-CN"/>
        </w:rPr>
      </w:pPr>
    </w:p>
    <w:p>
      <w:pPr>
        <w:pStyle w:val="3"/>
        <w:jc w:val="left"/>
        <w:rPr>
          <w:rFonts w:hint="eastAsia" w:ascii="黑体" w:hAnsi="黑体" w:eastAsia="黑体"/>
          <w:color w:val="auto"/>
          <w:kern w:val="44"/>
          <w:sz w:val="44"/>
          <w:szCs w:val="20"/>
          <w:lang w:val="zh-CN"/>
        </w:rPr>
      </w:pPr>
    </w:p>
    <w:p>
      <w:pPr>
        <w:autoSpaceDE w:val="0"/>
        <w:autoSpaceDN w:val="0"/>
        <w:adjustRightInd w:val="0"/>
        <w:spacing w:line="560" w:lineRule="exact"/>
        <w:jc w:val="center"/>
        <w:rPr>
          <w:rFonts w:hint="eastAsia" w:ascii="黑体" w:hAnsi="黑体" w:eastAsia="黑体"/>
          <w:color w:val="auto"/>
          <w:kern w:val="44"/>
          <w:sz w:val="44"/>
          <w:szCs w:val="20"/>
          <w:lang w:val="en-US"/>
        </w:rPr>
      </w:pPr>
      <w:r>
        <w:rPr>
          <w:rFonts w:hint="eastAsia" w:ascii="黑体" w:hAnsi="黑体" w:eastAsia="黑体"/>
          <w:color w:val="auto"/>
          <w:kern w:val="2"/>
          <w:sz w:val="44"/>
          <w:szCs w:val="20"/>
          <w:lang w:val="en-US"/>
        </w:rPr>
        <w:t>第</w:t>
      </w:r>
      <w:r>
        <w:rPr>
          <w:rFonts w:hint="eastAsia" w:ascii="黑体" w:hAnsi="黑体" w:eastAsia="黑体"/>
          <w:color w:val="auto"/>
          <w:kern w:val="44"/>
          <w:sz w:val="44"/>
          <w:szCs w:val="20"/>
          <w:lang w:val="en-US"/>
        </w:rPr>
        <w:t>四部分 附件</w:t>
      </w:r>
    </w:p>
    <w:p>
      <w:pPr>
        <w:autoSpaceDE/>
        <w:autoSpaceDN/>
        <w:adjustRightInd/>
        <w:spacing w:line="560" w:lineRule="exact"/>
        <w:jc w:val="both"/>
        <w:rPr>
          <w:rFonts w:hint="eastAsia" w:ascii="黑体" w:hAnsi="黑体" w:eastAsia="黑体"/>
          <w:kern w:val="2"/>
          <w:sz w:val="32"/>
          <w:szCs w:val="20"/>
          <w:lang w:val="en-US" w:eastAsia="zh-CN"/>
        </w:rPr>
      </w:pPr>
      <w:r>
        <w:rPr>
          <w:rFonts w:hint="eastAsia" w:ascii="黑体" w:hAnsi="黑体" w:eastAsia="黑体"/>
          <w:kern w:val="2"/>
          <w:sz w:val="32"/>
          <w:szCs w:val="20"/>
          <w:lang w:val="en-US" w:eastAsia="zh-CN"/>
        </w:rPr>
        <w:t>附件1</w:t>
      </w:r>
    </w:p>
    <w:p>
      <w:pPr>
        <w:autoSpaceDE/>
        <w:autoSpaceDN/>
        <w:adjustRightInd/>
        <w:spacing w:line="560" w:lineRule="exact"/>
        <w:jc w:val="center"/>
        <w:rPr>
          <w:rFonts w:hint="eastAsia" w:ascii="仿宋_GB2312" w:hAnsi="Times New Roman" w:eastAsia="仿宋_GB2312"/>
          <w:kern w:val="2"/>
          <w:sz w:val="36"/>
          <w:szCs w:val="20"/>
          <w:lang w:val="en-US" w:eastAsia="zh-CN"/>
        </w:rPr>
      </w:pPr>
      <w:r>
        <w:rPr>
          <w:rFonts w:hint="eastAsia" w:ascii="方正小标宋简体" w:hAnsi="方正小标宋简体" w:eastAsia="方正小标宋简体"/>
          <w:kern w:val="2"/>
          <w:sz w:val="36"/>
          <w:szCs w:val="20"/>
          <w:lang w:val="en-US" w:eastAsia="zh-CN"/>
        </w:rPr>
        <w:t>2023年度部门预算整体绩效评价报告</w:t>
      </w:r>
    </w:p>
    <w:p>
      <w:pPr>
        <w:autoSpaceDE/>
        <w:autoSpaceDN/>
        <w:adjustRightInd/>
        <w:spacing w:line="560" w:lineRule="exact"/>
        <w:ind w:firstLine="640" w:firstLineChars="200"/>
        <w:jc w:val="both"/>
        <w:rPr>
          <w:rFonts w:hint="eastAsia" w:ascii="黑体" w:hAnsi="黑体" w:eastAsia="黑体"/>
          <w:kern w:val="2"/>
          <w:sz w:val="32"/>
          <w:szCs w:val="20"/>
          <w:lang w:val="en-US" w:eastAsia="zh-CN"/>
        </w:rPr>
      </w:pPr>
      <w:r>
        <w:rPr>
          <w:rFonts w:hint="eastAsia" w:ascii="黑体" w:hAnsi="黑体" w:eastAsia="黑体"/>
          <w:kern w:val="2"/>
          <w:sz w:val="32"/>
          <w:szCs w:val="20"/>
          <w:lang w:val="en-US" w:eastAsia="zh-CN"/>
        </w:rPr>
        <w:t>一、部门（单位）基本情况</w:t>
      </w:r>
    </w:p>
    <w:p>
      <w:pPr>
        <w:autoSpaceDE/>
        <w:autoSpaceDN/>
        <w:adjustRightInd/>
        <w:spacing w:line="560" w:lineRule="exact"/>
        <w:ind w:firstLine="643" w:firstLineChars="200"/>
        <w:jc w:val="both"/>
        <w:rPr>
          <w:rFonts w:hint="eastAsia" w:ascii="仿宋_GB2312" w:hAnsi="Times New Roman" w:eastAsia="仿宋_GB2312"/>
          <w:kern w:val="2"/>
          <w:sz w:val="32"/>
          <w:szCs w:val="20"/>
          <w:lang w:val="en-US" w:eastAsia="zh-CN"/>
        </w:rPr>
      </w:pPr>
      <w:r>
        <w:rPr>
          <w:rFonts w:hint="eastAsia" w:ascii="楷体_GB2312" w:hAnsi="Times New Roman" w:eastAsia="楷体_GB2312"/>
          <w:b/>
          <w:kern w:val="2"/>
          <w:sz w:val="32"/>
          <w:szCs w:val="20"/>
          <w:lang w:val="en-US" w:eastAsia="zh-CN"/>
        </w:rPr>
        <w:t>（一）机构组成。</w:t>
      </w:r>
      <w:r>
        <w:rPr>
          <w:rFonts w:hint="eastAsia" w:ascii="仿宋_GB2312" w:hAnsi="Times New Roman" w:eastAsia="仿宋_GB2312"/>
          <w:kern w:val="2"/>
          <w:sz w:val="32"/>
          <w:szCs w:val="20"/>
          <w:lang w:val="en-US" w:eastAsia="zh-CN"/>
        </w:rPr>
        <w:t>遂宁市安居区拦江镇中心幼儿园内设保教室、德育室、后勤室等处室。</w:t>
      </w:r>
    </w:p>
    <w:p>
      <w:pPr>
        <w:autoSpaceDE/>
        <w:autoSpaceDN/>
        <w:adjustRightInd/>
        <w:spacing w:line="560" w:lineRule="exact"/>
        <w:ind w:firstLine="643" w:firstLineChars="200"/>
        <w:jc w:val="both"/>
        <w:rPr>
          <w:rFonts w:hint="eastAsia" w:ascii="楷体_GB2312" w:hAnsi="Times New Roman" w:eastAsia="楷体_GB2312"/>
          <w:b/>
          <w:kern w:val="2"/>
          <w:sz w:val="32"/>
          <w:szCs w:val="20"/>
          <w:lang w:val="en-US" w:eastAsia="zh-CN"/>
        </w:rPr>
      </w:pPr>
      <w:r>
        <w:rPr>
          <w:rFonts w:hint="eastAsia" w:ascii="楷体_GB2312" w:hAnsi="Times New Roman" w:eastAsia="楷体_GB2312"/>
          <w:b/>
          <w:kern w:val="2"/>
          <w:sz w:val="32"/>
          <w:szCs w:val="20"/>
          <w:lang w:val="en-US" w:eastAsia="zh-CN"/>
        </w:rPr>
        <w:t>（二）机构职能。</w:t>
      </w:r>
      <w:r>
        <w:rPr>
          <w:rFonts w:hint="eastAsia" w:ascii="仿宋_GB2312" w:hAnsi="Times New Roman" w:eastAsia="仿宋_GB2312"/>
          <w:kern w:val="2"/>
          <w:sz w:val="32"/>
          <w:szCs w:val="20"/>
          <w:lang w:val="en-US" w:eastAsia="zh-CN"/>
        </w:rPr>
        <w:t>实施学前教育，促进学前教育发展，负责学前教育相关社会服务。</w:t>
      </w:r>
    </w:p>
    <w:p>
      <w:pPr>
        <w:autoSpaceDE/>
        <w:autoSpaceDN/>
        <w:adjustRightInd/>
        <w:spacing w:line="560" w:lineRule="exact"/>
        <w:ind w:firstLine="643" w:firstLineChars="200"/>
        <w:jc w:val="both"/>
        <w:rPr>
          <w:rFonts w:hint="eastAsia" w:ascii="仿宋_GB2312" w:hAnsi="Times New Roman" w:eastAsia="仿宋_GB2312"/>
          <w:kern w:val="2"/>
          <w:sz w:val="32"/>
          <w:szCs w:val="20"/>
          <w:lang w:val="en-US" w:eastAsia="zh-CN"/>
        </w:rPr>
      </w:pPr>
      <w:r>
        <w:rPr>
          <w:rFonts w:hint="eastAsia" w:ascii="楷体_GB2312" w:hAnsi="Times New Roman" w:eastAsia="楷体_GB2312"/>
          <w:b/>
          <w:kern w:val="2"/>
          <w:sz w:val="32"/>
          <w:szCs w:val="20"/>
          <w:lang w:val="en-US" w:eastAsia="zh-CN"/>
        </w:rPr>
        <w:t>（三）人员概况。</w:t>
      </w:r>
      <w:r>
        <w:rPr>
          <w:rFonts w:hint="eastAsia" w:ascii="仿宋_GB2312" w:hAnsi="Times New Roman" w:eastAsia="仿宋_GB2312"/>
          <w:kern w:val="2"/>
          <w:sz w:val="32"/>
          <w:szCs w:val="20"/>
          <w:lang w:val="en-US" w:eastAsia="zh-CN"/>
        </w:rPr>
        <w:t>截至2023年末，我单位在编职工及年末实有人数都是27人。</w:t>
      </w:r>
    </w:p>
    <w:p>
      <w:pPr>
        <w:autoSpaceDE/>
        <w:autoSpaceDN/>
        <w:adjustRightInd/>
        <w:spacing w:line="560" w:lineRule="exact"/>
        <w:ind w:firstLine="640" w:firstLineChars="200"/>
        <w:jc w:val="both"/>
        <w:rPr>
          <w:rFonts w:hint="eastAsia" w:ascii="黑体" w:hAnsi="黑体" w:eastAsia="黑体"/>
          <w:kern w:val="2"/>
          <w:sz w:val="32"/>
          <w:szCs w:val="20"/>
          <w:lang w:val="en-US" w:eastAsia="zh-CN"/>
        </w:rPr>
      </w:pPr>
      <w:r>
        <w:rPr>
          <w:rFonts w:hint="eastAsia" w:ascii="黑体" w:hAnsi="黑体" w:eastAsia="黑体"/>
          <w:kern w:val="2"/>
          <w:sz w:val="32"/>
          <w:szCs w:val="20"/>
          <w:lang w:val="en-US" w:eastAsia="zh-CN"/>
        </w:rPr>
        <w:t>二、部门资金收支情况</w:t>
      </w:r>
    </w:p>
    <w:p>
      <w:pPr>
        <w:autoSpaceDE/>
        <w:autoSpaceDN/>
        <w:adjustRightInd/>
        <w:spacing w:line="560" w:lineRule="exact"/>
        <w:ind w:firstLine="643" w:firstLineChars="200"/>
        <w:jc w:val="both"/>
        <w:rPr>
          <w:rFonts w:hint="eastAsia" w:ascii="仿宋_GB2312" w:hAnsi="Times New Roman" w:eastAsia="仿宋_GB2312"/>
          <w:kern w:val="2"/>
          <w:sz w:val="32"/>
          <w:szCs w:val="20"/>
          <w:lang w:val="en-US" w:eastAsia="zh-CN"/>
        </w:rPr>
      </w:pPr>
      <w:r>
        <w:rPr>
          <w:rFonts w:hint="eastAsia" w:ascii="楷体_GB2312" w:hAnsi="Times New Roman" w:eastAsia="楷体_GB2312"/>
          <w:b/>
          <w:kern w:val="2"/>
          <w:sz w:val="32"/>
          <w:szCs w:val="20"/>
          <w:lang w:val="en-US" w:eastAsia="zh-CN"/>
        </w:rPr>
        <w:t>（一）收入情况。</w:t>
      </w:r>
      <w:r>
        <w:rPr>
          <w:rFonts w:hint="eastAsia" w:ascii="仿宋_GB2312" w:hAnsi="Times New Roman" w:eastAsia="仿宋_GB2312"/>
          <w:kern w:val="2"/>
          <w:sz w:val="32"/>
          <w:szCs w:val="20"/>
          <w:lang w:val="en-US" w:eastAsia="zh-CN"/>
        </w:rPr>
        <w:t>2023年年初预算收入395.29万元、决算报表收入500.04万元。</w:t>
      </w:r>
    </w:p>
    <w:p>
      <w:pPr>
        <w:autoSpaceDE/>
        <w:autoSpaceDN/>
        <w:adjustRightInd/>
        <w:spacing w:line="560" w:lineRule="exact"/>
        <w:ind w:firstLine="643" w:firstLineChars="200"/>
        <w:jc w:val="both"/>
        <w:rPr>
          <w:rFonts w:hint="eastAsia" w:ascii="仿宋_GB2312" w:hAnsi="Times New Roman" w:eastAsia="仿宋_GB2312"/>
          <w:kern w:val="2"/>
          <w:sz w:val="32"/>
          <w:szCs w:val="20"/>
          <w:lang w:val="en-US" w:eastAsia="zh-CN"/>
        </w:rPr>
      </w:pPr>
      <w:r>
        <w:rPr>
          <w:rFonts w:hint="eastAsia" w:ascii="楷体_GB2312" w:hAnsi="Times New Roman" w:eastAsia="楷体_GB2312"/>
          <w:b/>
          <w:kern w:val="2"/>
          <w:sz w:val="32"/>
          <w:szCs w:val="20"/>
          <w:lang w:val="en-US" w:eastAsia="zh-CN"/>
        </w:rPr>
        <w:t>（二）支出情况。</w:t>
      </w:r>
      <w:r>
        <w:rPr>
          <w:rFonts w:hint="eastAsia" w:ascii="仿宋_GB2312" w:hAnsi="Times New Roman" w:eastAsia="仿宋_GB2312"/>
          <w:kern w:val="2"/>
          <w:sz w:val="32"/>
          <w:szCs w:val="20"/>
          <w:lang w:val="en-US" w:eastAsia="zh-CN"/>
        </w:rPr>
        <w:t>2023年年初预算支出395.29万元、决算报表支出500.04万元。</w:t>
      </w:r>
    </w:p>
    <w:p>
      <w:pPr>
        <w:autoSpaceDE/>
        <w:autoSpaceDN/>
        <w:adjustRightInd/>
        <w:spacing w:line="560" w:lineRule="exact"/>
        <w:ind w:firstLine="643" w:firstLineChars="200"/>
        <w:jc w:val="both"/>
        <w:rPr>
          <w:rFonts w:hint="eastAsia" w:ascii="仿宋_GB2312" w:hAnsi="Times New Roman" w:eastAsia="仿宋_GB2312"/>
          <w:kern w:val="2"/>
          <w:sz w:val="32"/>
          <w:szCs w:val="20"/>
          <w:lang w:val="en-US" w:eastAsia="zh-CN"/>
        </w:rPr>
      </w:pPr>
      <w:r>
        <w:rPr>
          <w:rFonts w:hint="eastAsia" w:ascii="楷体_GB2312" w:hAnsi="Times New Roman" w:eastAsia="楷体_GB2312"/>
          <w:b/>
          <w:kern w:val="2"/>
          <w:sz w:val="32"/>
          <w:szCs w:val="20"/>
          <w:lang w:val="en-US" w:eastAsia="zh-CN"/>
        </w:rPr>
        <w:t>（三）结余分配和结转结余情况。</w:t>
      </w:r>
      <w:r>
        <w:rPr>
          <w:rFonts w:hint="eastAsia" w:ascii="仿宋_GB2312" w:hAnsi="Times New Roman" w:eastAsia="仿宋_GB2312"/>
          <w:kern w:val="2"/>
          <w:sz w:val="32"/>
          <w:szCs w:val="20"/>
          <w:lang w:val="en-US" w:eastAsia="zh-CN"/>
        </w:rPr>
        <w:t>2023年决算报表结转结余为0万元。</w:t>
      </w:r>
    </w:p>
    <w:p>
      <w:pPr>
        <w:autoSpaceDE/>
        <w:autoSpaceDN/>
        <w:adjustRightInd/>
        <w:spacing w:line="560" w:lineRule="exact"/>
        <w:ind w:firstLine="640" w:firstLineChars="200"/>
        <w:jc w:val="both"/>
        <w:rPr>
          <w:rFonts w:hint="eastAsia" w:ascii="黑体" w:hAnsi="黑体" w:eastAsia="黑体"/>
          <w:kern w:val="2"/>
          <w:sz w:val="32"/>
          <w:szCs w:val="20"/>
          <w:lang w:val="en-US" w:eastAsia="zh-CN"/>
        </w:rPr>
      </w:pPr>
      <w:r>
        <w:rPr>
          <w:rFonts w:hint="eastAsia" w:ascii="黑体" w:hAnsi="黑体" w:eastAsia="黑体"/>
          <w:kern w:val="2"/>
          <w:sz w:val="32"/>
          <w:szCs w:val="20"/>
          <w:lang w:val="en-US" w:eastAsia="zh-CN"/>
        </w:rPr>
        <w:t>三、部门预算绩效分析</w:t>
      </w:r>
    </w:p>
    <w:p>
      <w:pPr>
        <w:autoSpaceDE/>
        <w:autoSpaceDN/>
        <w:adjustRightInd/>
        <w:spacing w:line="560" w:lineRule="exact"/>
        <w:ind w:firstLine="643" w:firstLineChars="200"/>
        <w:jc w:val="both"/>
        <w:rPr>
          <w:rFonts w:hint="eastAsia" w:ascii="仿宋_GB2312" w:hAnsi="Times New Roman" w:eastAsia="仿宋_GB2312"/>
          <w:kern w:val="2"/>
          <w:sz w:val="32"/>
          <w:szCs w:val="20"/>
          <w:lang w:val="en-US" w:eastAsia="zh-CN"/>
        </w:rPr>
      </w:pPr>
      <w:r>
        <w:rPr>
          <w:rFonts w:hint="eastAsia" w:ascii="楷体_GB2312" w:hAnsi="Times New Roman" w:eastAsia="楷体_GB2312"/>
          <w:b/>
          <w:kern w:val="2"/>
          <w:sz w:val="32"/>
          <w:szCs w:val="20"/>
          <w:lang w:val="en-US" w:eastAsia="zh-CN"/>
        </w:rPr>
        <w:t>（一）部门预算总体绩效分析。</w:t>
      </w:r>
      <w:r>
        <w:rPr>
          <w:rFonts w:hint="eastAsia" w:ascii="仿宋_GB2312" w:hAnsi="Times New Roman" w:eastAsia="仿宋_GB2312"/>
          <w:kern w:val="2"/>
          <w:sz w:val="32"/>
          <w:szCs w:val="20"/>
          <w:lang w:val="en-US" w:eastAsia="zh-CN"/>
        </w:rPr>
        <w:t>根据部门预算绩效评价指标体系“总体绩效”涉及二、三级指标进行逐项绩效分析并评分，依次包括履职效能、预算管理、财务管理、资产管理、采购管理等情况。</w:t>
      </w:r>
    </w:p>
    <w:p>
      <w:pPr>
        <w:autoSpaceDE/>
        <w:autoSpaceDN/>
        <w:adjustRightInd w:val="0"/>
        <w:snapToGrid w:val="0"/>
        <w:spacing w:line="560" w:lineRule="exact"/>
        <w:ind w:firstLine="640" w:firstLineChars="200"/>
        <w:jc w:val="left"/>
        <w:rPr>
          <w:rFonts w:hint="eastAsia" w:ascii="Times New Roman" w:hAnsi="Times New Roman" w:eastAsia="Times New Roman"/>
          <w:color w:val="000000"/>
          <w:kern w:val="0"/>
          <w:sz w:val="32"/>
          <w:szCs w:val="20"/>
          <w:shd w:val="clear" w:color="auto" w:fill="FFFFFF"/>
          <w:lang w:val="zh-CN" w:eastAsia="zh-CN"/>
        </w:rPr>
      </w:pPr>
      <w:r>
        <w:rPr>
          <w:rFonts w:hint="eastAsia" w:ascii="楷体_GB2312" w:hAnsi="楷体_GB2312" w:eastAsia="楷体_GB2312"/>
          <w:color w:val="000000"/>
          <w:kern w:val="0"/>
          <w:sz w:val="32"/>
          <w:szCs w:val="20"/>
          <w:shd w:val="clear" w:color="auto" w:fill="FFFFFF"/>
          <w:lang w:val="en-US" w:eastAsia="zh-CN"/>
        </w:rPr>
        <w:t>1.</w:t>
      </w:r>
      <w:r>
        <w:rPr>
          <w:rFonts w:hint="eastAsia" w:ascii="楷体_GB2312" w:hAnsi="楷体_GB2312" w:eastAsia="楷体_GB2312"/>
          <w:color w:val="000000"/>
          <w:kern w:val="0"/>
          <w:sz w:val="32"/>
          <w:szCs w:val="20"/>
          <w:shd w:val="clear" w:color="auto" w:fill="FFFFFF"/>
          <w:lang w:val="zh-CN" w:eastAsia="zh-CN"/>
        </w:rPr>
        <w:t>履职</w:t>
      </w:r>
      <w:r>
        <w:rPr>
          <w:rFonts w:hint="eastAsia" w:ascii="楷体_GB2312" w:hAnsi="楷体_GB2312" w:eastAsia="楷体_GB2312"/>
          <w:color w:val="000000"/>
          <w:kern w:val="0"/>
          <w:sz w:val="32"/>
          <w:szCs w:val="20"/>
          <w:shd w:val="clear" w:color="auto" w:fill="FFFFFF"/>
          <w:lang w:val="en-US" w:eastAsia="zh-CN"/>
        </w:rPr>
        <w:t>效能</w:t>
      </w:r>
      <w:r>
        <w:rPr>
          <w:rFonts w:hint="eastAsia" w:ascii="楷体_GB2312" w:hAnsi="楷体_GB2312" w:eastAsia="楷体_GB2312"/>
          <w:color w:val="000000"/>
          <w:kern w:val="0"/>
          <w:sz w:val="32"/>
          <w:szCs w:val="20"/>
          <w:shd w:val="clear" w:color="auto" w:fill="FFFFFF"/>
          <w:lang w:val="zh-CN" w:eastAsia="zh-CN"/>
        </w:rPr>
        <w:t>。</w:t>
      </w:r>
      <w:r>
        <w:rPr>
          <w:rFonts w:hint="eastAsia" w:ascii="Times New Roman" w:hAnsi="Times New Roman" w:eastAsia="仿宋_GB2312"/>
          <w:kern w:val="2"/>
          <w:sz w:val="32"/>
          <w:szCs w:val="20"/>
          <w:lang w:val="zh-CN" w:eastAsia="zh-CN"/>
        </w:rPr>
        <w:t>部门整体绩效目标中产出指标工达成率高，达到了预期目标</w:t>
      </w:r>
      <w:r>
        <w:rPr>
          <w:rFonts w:hint="eastAsia" w:ascii="Times New Roman" w:hAnsi="Times New Roman" w:eastAsia="仿宋_GB2312"/>
          <w:kern w:val="2"/>
          <w:sz w:val="32"/>
          <w:szCs w:val="20"/>
          <w:lang w:val="en-US" w:eastAsia="zh-CN"/>
        </w:rPr>
        <w:t>；效益指标改善了社会环境，增强了社会凝聚力；满意度指标达到95%，得到了服务对象的认可</w:t>
      </w:r>
      <w:r>
        <w:rPr>
          <w:rFonts w:hint="eastAsia" w:ascii="Times New Roman" w:hAnsi="Times New Roman" w:eastAsia="仿宋_GB2312"/>
          <w:kern w:val="2"/>
          <w:sz w:val="32"/>
          <w:szCs w:val="20"/>
          <w:lang w:val="zh-CN" w:eastAsia="zh-CN"/>
        </w:rPr>
        <w:t>。</w:t>
      </w:r>
    </w:p>
    <w:p>
      <w:pPr>
        <w:autoSpaceDE/>
        <w:autoSpaceDN/>
        <w:adjustRightInd w:val="0"/>
        <w:snapToGrid w:val="0"/>
        <w:spacing w:line="560" w:lineRule="exact"/>
        <w:ind w:firstLine="640" w:firstLineChars="200"/>
        <w:jc w:val="left"/>
        <w:rPr>
          <w:rFonts w:hint="eastAsia" w:ascii="楷体_GB2312" w:hAnsi="楷体_GB2312" w:eastAsia="楷体_GB2312"/>
          <w:color w:val="000000"/>
          <w:kern w:val="0"/>
          <w:sz w:val="32"/>
          <w:szCs w:val="20"/>
          <w:shd w:val="clear" w:color="auto" w:fill="FFFFFF"/>
          <w:lang w:val="zh-CN" w:eastAsia="zh-CN"/>
        </w:rPr>
      </w:pPr>
      <w:r>
        <w:rPr>
          <w:rFonts w:hint="eastAsia" w:ascii="楷体_GB2312" w:hAnsi="楷体_GB2312" w:eastAsia="楷体_GB2312"/>
          <w:color w:val="000000"/>
          <w:kern w:val="0"/>
          <w:sz w:val="32"/>
          <w:szCs w:val="20"/>
          <w:shd w:val="clear" w:color="auto" w:fill="FFFFFF"/>
          <w:lang w:val="en-US" w:eastAsia="zh-CN"/>
        </w:rPr>
        <w:t>2.</w:t>
      </w:r>
      <w:r>
        <w:rPr>
          <w:rFonts w:hint="eastAsia" w:ascii="楷体_GB2312" w:hAnsi="楷体_GB2312" w:eastAsia="楷体_GB2312"/>
          <w:color w:val="000000"/>
          <w:kern w:val="0"/>
          <w:sz w:val="32"/>
          <w:szCs w:val="20"/>
          <w:shd w:val="clear" w:color="auto" w:fill="FFFFFF"/>
          <w:lang w:val="zh-CN" w:eastAsia="zh-CN"/>
        </w:rPr>
        <w:t>预算管理。</w:t>
      </w:r>
      <w:r>
        <w:rPr>
          <w:rFonts w:hint="eastAsia" w:ascii="Times New Roman" w:hAnsi="Times New Roman" w:eastAsia="仿宋_GB2312"/>
          <w:kern w:val="2"/>
          <w:sz w:val="32"/>
          <w:szCs w:val="20"/>
          <w:lang w:val="zh-CN" w:eastAsia="zh-CN"/>
        </w:rPr>
        <w:t>预算编制依据充分，结合部门实际需求和工作重点，合理确定各项收支预算。对项目预算进行了充分的论证和评估，确保预算的合理性和可行性。严格按照预算执行，加强对预算支出的监控和管理。定期对预算执行情况进行分析和评估，及时调整预算执行策略，确保预算执行进度与工作进度相匹配。预算调整程序规范，对于确需调整的预算项目，严格按照规定程序进行审批，保证了预算的严肃性和权威性。</w:t>
      </w:r>
    </w:p>
    <w:p>
      <w:pPr>
        <w:autoSpaceDE/>
        <w:autoSpaceDN/>
        <w:adjustRightInd w:val="0"/>
        <w:snapToGrid w:val="0"/>
        <w:spacing w:line="560" w:lineRule="exact"/>
        <w:ind w:firstLine="640" w:firstLineChars="200"/>
        <w:jc w:val="left"/>
        <w:rPr>
          <w:rFonts w:hint="eastAsia" w:ascii="楷体_GB2312" w:hAnsi="楷体_GB2312" w:eastAsia="楷体_GB2312"/>
          <w:color w:val="000000"/>
          <w:kern w:val="0"/>
          <w:sz w:val="32"/>
          <w:szCs w:val="20"/>
          <w:shd w:val="clear" w:color="auto" w:fill="FFFFFF"/>
          <w:lang w:val="zh-CN" w:eastAsia="zh-CN"/>
        </w:rPr>
      </w:pPr>
      <w:r>
        <w:rPr>
          <w:rFonts w:hint="eastAsia" w:ascii="楷体_GB2312" w:hAnsi="楷体_GB2312" w:eastAsia="楷体_GB2312"/>
          <w:color w:val="000000"/>
          <w:kern w:val="0"/>
          <w:sz w:val="32"/>
          <w:szCs w:val="20"/>
          <w:shd w:val="clear" w:color="auto" w:fill="FFFFFF"/>
          <w:lang w:val="en-US" w:eastAsia="zh-CN"/>
        </w:rPr>
        <w:t>3.</w:t>
      </w:r>
      <w:r>
        <w:rPr>
          <w:rFonts w:hint="eastAsia" w:ascii="楷体_GB2312" w:hAnsi="楷体_GB2312" w:eastAsia="楷体_GB2312"/>
          <w:color w:val="000000"/>
          <w:kern w:val="0"/>
          <w:sz w:val="32"/>
          <w:szCs w:val="20"/>
          <w:shd w:val="clear" w:color="auto" w:fill="FFFFFF"/>
          <w:lang w:val="zh-CN" w:eastAsia="zh-CN"/>
        </w:rPr>
        <w:t>财务管理。</w:t>
      </w:r>
      <w:r>
        <w:rPr>
          <w:rFonts w:hint="eastAsia" w:ascii="Times New Roman" w:hAnsi="Times New Roman" w:eastAsia="仿宋_GB2312"/>
          <w:kern w:val="2"/>
          <w:sz w:val="32"/>
          <w:szCs w:val="20"/>
          <w:lang w:val="zh-CN" w:eastAsia="zh-CN"/>
        </w:rPr>
        <w:t>建立了完善的财务管理制度，涵盖了预算管理、资金管理、财务核算、财务监督等各个方面。制度执行严格，确保了财务管理的规范化和标准化。资金使用严格遵守国家法律法规和财务制度规定，确保资金安全、合理、有效使用。加强对资金支出的审核和审批，杜绝违规支出和浪费现象。对专项资金进行单独核算和管理，确保专款专用，提高了专项资金的使用效益。</w:t>
      </w:r>
    </w:p>
    <w:p>
      <w:pPr>
        <w:autoSpaceDE/>
        <w:autoSpaceDN/>
        <w:adjustRightInd w:val="0"/>
        <w:snapToGrid w:val="0"/>
        <w:spacing w:line="560" w:lineRule="exact"/>
        <w:ind w:firstLine="640" w:firstLineChars="200"/>
        <w:jc w:val="left"/>
        <w:rPr>
          <w:rFonts w:hint="eastAsia" w:ascii="楷体_GB2312" w:hAnsi="楷体_GB2312" w:eastAsia="楷体_GB2312"/>
          <w:color w:val="000000"/>
          <w:kern w:val="0"/>
          <w:sz w:val="32"/>
          <w:szCs w:val="20"/>
          <w:shd w:val="clear" w:color="auto" w:fill="FFFFFF"/>
          <w:lang w:val="zh-CN" w:eastAsia="zh-CN"/>
        </w:rPr>
      </w:pPr>
      <w:r>
        <w:rPr>
          <w:rFonts w:hint="eastAsia" w:ascii="楷体_GB2312" w:hAnsi="楷体_GB2312" w:eastAsia="楷体_GB2312"/>
          <w:color w:val="000000"/>
          <w:kern w:val="0"/>
          <w:sz w:val="32"/>
          <w:szCs w:val="20"/>
          <w:shd w:val="clear" w:color="auto" w:fill="FFFFFF"/>
          <w:lang w:val="en-US" w:eastAsia="zh-CN"/>
        </w:rPr>
        <w:t>4.</w:t>
      </w:r>
      <w:r>
        <w:rPr>
          <w:rFonts w:hint="eastAsia" w:ascii="楷体_GB2312" w:hAnsi="楷体_GB2312" w:eastAsia="楷体_GB2312"/>
          <w:color w:val="000000"/>
          <w:kern w:val="0"/>
          <w:sz w:val="32"/>
          <w:szCs w:val="20"/>
          <w:shd w:val="clear" w:color="auto" w:fill="FFFFFF"/>
          <w:lang w:val="zh-CN" w:eastAsia="zh-CN"/>
        </w:rPr>
        <w:t>资产管理。</w:t>
      </w:r>
      <w:r>
        <w:rPr>
          <w:rFonts w:hint="eastAsia" w:ascii="Times New Roman" w:hAnsi="Times New Roman" w:eastAsia="仿宋_GB2312"/>
          <w:kern w:val="2"/>
          <w:sz w:val="32"/>
          <w:szCs w:val="20"/>
          <w:lang w:val="zh-CN" w:eastAsia="zh-CN"/>
        </w:rPr>
        <w:t>资产配置根据部门工作需要和实际情况进行，遵循合理、节约、有效的原则。对资产购置进行严格审批，避免资产重复购置和闲置浪费。建立健全资产使用管理制度，明确资产使用责任，提高资产使用效率。定期对资产进行清查和盘点，确保资产账实相符。加强对资产的维护和保养，延长资产使用寿命，降低资产运行成本。</w:t>
      </w:r>
    </w:p>
    <w:p>
      <w:pPr>
        <w:autoSpaceDE/>
        <w:autoSpaceDN/>
        <w:adjustRightInd w:val="0"/>
        <w:snapToGrid w:val="0"/>
        <w:spacing w:line="560" w:lineRule="exact"/>
        <w:ind w:firstLine="640" w:firstLineChars="200"/>
        <w:jc w:val="left"/>
        <w:rPr>
          <w:rFonts w:hint="eastAsia" w:ascii="Times New Roman" w:hAnsi="Times New Roman" w:eastAsia="仿宋_GB2312"/>
          <w:color w:val="000000"/>
          <w:kern w:val="2"/>
          <w:sz w:val="32"/>
          <w:szCs w:val="20"/>
          <w:shd w:val="clear" w:color="auto" w:fill="FFFFFF"/>
          <w:lang w:val="zh-CN" w:eastAsia="zh-CN"/>
        </w:rPr>
      </w:pPr>
      <w:r>
        <w:rPr>
          <w:rFonts w:hint="eastAsia" w:ascii="楷体_GB2312" w:hAnsi="楷体_GB2312" w:eastAsia="楷体_GB2312"/>
          <w:color w:val="000000"/>
          <w:kern w:val="0"/>
          <w:sz w:val="32"/>
          <w:szCs w:val="20"/>
          <w:shd w:val="clear" w:color="auto" w:fill="FFFFFF"/>
          <w:lang w:val="en-US" w:eastAsia="zh-CN"/>
        </w:rPr>
        <w:t>5.</w:t>
      </w:r>
      <w:r>
        <w:rPr>
          <w:rFonts w:hint="eastAsia" w:ascii="楷体_GB2312" w:hAnsi="楷体_GB2312" w:eastAsia="楷体_GB2312"/>
          <w:color w:val="000000"/>
          <w:kern w:val="0"/>
          <w:sz w:val="32"/>
          <w:szCs w:val="20"/>
          <w:shd w:val="clear" w:color="auto" w:fill="FFFFFF"/>
          <w:lang w:val="zh-CN" w:eastAsia="zh-CN"/>
        </w:rPr>
        <w:t>采购管理。</w:t>
      </w:r>
      <w:r>
        <w:rPr>
          <w:rFonts w:hint="eastAsia" w:ascii="Times New Roman" w:hAnsi="Times New Roman" w:eastAsia="仿宋_GB2312"/>
          <w:kern w:val="2"/>
          <w:sz w:val="32"/>
          <w:szCs w:val="20"/>
          <w:lang w:val="zh-CN" w:eastAsia="zh-CN"/>
        </w:rPr>
        <w:t>严格执行政府采购制度，规范采购行为。按照规定的采购方式和程序进行采购，确保采购过程公开、公平、公正。提高采购效率，缩短采购周期，确保物资及时供应。加强对采购物资的质量监管，确保采购物资符合质量要求。</w:t>
      </w:r>
    </w:p>
    <w:p>
      <w:pPr>
        <w:autoSpaceDE/>
        <w:autoSpaceDN/>
        <w:adjustRightInd/>
        <w:spacing w:line="560" w:lineRule="exact"/>
        <w:ind w:firstLine="643" w:firstLineChars="200"/>
        <w:jc w:val="both"/>
        <w:rPr>
          <w:rFonts w:hint="eastAsia" w:ascii="楷体_GB2312" w:hAnsi="Times New Roman" w:eastAsia="楷体_GB2312"/>
          <w:b/>
          <w:kern w:val="2"/>
          <w:sz w:val="32"/>
          <w:szCs w:val="20"/>
          <w:lang w:val="zh-CN" w:eastAsia="zh-CN"/>
        </w:rPr>
      </w:pPr>
      <w:r>
        <w:rPr>
          <w:rFonts w:hint="eastAsia" w:ascii="楷体_GB2312" w:hAnsi="Times New Roman" w:eastAsia="楷体_GB2312"/>
          <w:b/>
          <w:kern w:val="2"/>
          <w:sz w:val="32"/>
          <w:szCs w:val="20"/>
          <w:lang w:val="en-US" w:eastAsia="zh-CN"/>
        </w:rPr>
        <w:t>（二）部门预算项目绩效分析。</w:t>
      </w:r>
    </w:p>
    <w:p>
      <w:pPr>
        <w:autoSpaceDE/>
        <w:autoSpaceDN/>
        <w:adjustRightInd/>
        <w:spacing w:line="560" w:lineRule="exact"/>
        <w:ind w:firstLine="640" w:firstLineChars="200"/>
        <w:jc w:val="both"/>
        <w:rPr>
          <w:rFonts w:hint="eastAsia" w:ascii="Times New Roman" w:hAnsi="Times New Roman" w:eastAsia="Times New Roman"/>
          <w:kern w:val="2"/>
          <w:sz w:val="32"/>
          <w:szCs w:val="20"/>
          <w:lang w:val="zh-CN" w:eastAsia="zh-CN"/>
        </w:rPr>
      </w:pPr>
      <w:r>
        <w:rPr>
          <w:rFonts w:hint="eastAsia" w:ascii="楷体_GB2312" w:hAnsi="楷体_GB2312" w:eastAsia="楷体_GB2312"/>
          <w:color w:val="000000"/>
          <w:kern w:val="0"/>
          <w:sz w:val="32"/>
          <w:szCs w:val="20"/>
          <w:shd w:val="clear" w:color="auto" w:fill="FFFFFF"/>
          <w:lang w:val="en-US" w:eastAsia="zh-CN"/>
        </w:rPr>
        <w:t>1.项目决策。</w:t>
      </w:r>
      <w:r>
        <w:rPr>
          <w:rFonts w:hint="eastAsia" w:ascii="Times New Roman" w:hAnsi="Times New Roman" w:eastAsia="仿宋_GB2312"/>
          <w:kern w:val="2"/>
          <w:sz w:val="32"/>
          <w:szCs w:val="20"/>
          <w:lang w:val="zh-CN" w:eastAsia="zh-CN"/>
        </w:rPr>
        <w:t>项目目标明确，为项目的实施提供了清晰的方向；项目决策依据充分，考虑了部门的工作需求、资源状况和发展规划等因素；项目决策程序严格按照相关规定执行，经过了项目申报、评审、审批等环节，确保了项目的合法性和规范性。</w:t>
      </w:r>
    </w:p>
    <w:p>
      <w:pPr>
        <w:autoSpaceDE/>
        <w:autoSpaceDN/>
        <w:adjustRightInd/>
        <w:spacing w:line="560" w:lineRule="exact"/>
        <w:ind w:firstLine="640" w:firstLineChars="200"/>
        <w:jc w:val="both"/>
        <w:rPr>
          <w:rFonts w:hint="eastAsia" w:ascii="Times New Roman" w:hAnsi="Times New Roman" w:eastAsia="Times New Roman"/>
          <w:kern w:val="2"/>
          <w:sz w:val="32"/>
          <w:szCs w:val="20"/>
          <w:lang w:val="zh-CN" w:eastAsia="zh-CN"/>
        </w:rPr>
      </w:pPr>
      <w:r>
        <w:rPr>
          <w:rFonts w:hint="eastAsia" w:ascii="楷体_GB2312" w:hAnsi="楷体_GB2312" w:eastAsia="楷体_GB2312"/>
          <w:color w:val="000000"/>
          <w:kern w:val="0"/>
          <w:sz w:val="32"/>
          <w:szCs w:val="20"/>
          <w:shd w:val="clear" w:color="auto" w:fill="FFFFFF"/>
          <w:lang w:val="en-US" w:eastAsia="zh-CN"/>
        </w:rPr>
        <w:t>2.项目执行。</w:t>
      </w:r>
      <w:r>
        <w:rPr>
          <w:rFonts w:hint="eastAsia" w:ascii="Times New Roman" w:hAnsi="Times New Roman" w:eastAsia="仿宋_GB2312"/>
          <w:kern w:val="2"/>
          <w:sz w:val="32"/>
          <w:szCs w:val="20"/>
          <w:lang w:val="zh-CN" w:eastAsia="zh-CN"/>
        </w:rPr>
        <w:t>资金到位及时，为项目的顺利实施提供了保障；资金使用合理，严格控制了项目成本，通过优化资金使用结构，提高了资金的使用效率；建立了完善的项目管理制度，涵盖了项目实施的各个环节；项目管理制度执行严格，加强了对项目实施过程的监督和管理，通过定期检查和评估，及时发现和解决问题，确保了项目的质量和进度。</w:t>
      </w:r>
    </w:p>
    <w:p>
      <w:pPr>
        <w:autoSpaceDE/>
        <w:autoSpaceDN/>
        <w:adjustRightInd/>
        <w:spacing w:line="560" w:lineRule="exact"/>
        <w:ind w:firstLine="640" w:firstLineChars="200"/>
        <w:jc w:val="both"/>
        <w:rPr>
          <w:rFonts w:hint="eastAsia" w:ascii="Times New Roman" w:hAnsi="Times New Roman" w:eastAsia="Times New Roman"/>
          <w:kern w:val="2"/>
          <w:sz w:val="32"/>
          <w:szCs w:val="20"/>
          <w:lang w:val="zh-CN" w:eastAsia="zh-CN"/>
        </w:rPr>
      </w:pPr>
      <w:r>
        <w:rPr>
          <w:rFonts w:hint="eastAsia" w:ascii="楷体_GB2312" w:hAnsi="楷体_GB2312" w:eastAsia="楷体_GB2312"/>
          <w:color w:val="000000"/>
          <w:kern w:val="0"/>
          <w:sz w:val="32"/>
          <w:szCs w:val="20"/>
          <w:shd w:val="clear" w:color="auto" w:fill="FFFFFF"/>
          <w:lang w:val="en-US" w:eastAsia="zh-CN"/>
        </w:rPr>
        <w:t>3.目标实现。</w:t>
      </w:r>
      <w:r>
        <w:rPr>
          <w:rFonts w:hint="eastAsia" w:ascii="Times New Roman" w:hAnsi="Times New Roman" w:eastAsia="仿宋_GB2312"/>
          <w:kern w:val="2"/>
          <w:sz w:val="32"/>
          <w:szCs w:val="20"/>
          <w:lang w:val="zh-CN" w:eastAsia="zh-CN"/>
        </w:rPr>
        <w:t>项目产出数量达到了预期目标，说明项目实施进度良好；项目产出质量符合相关标准和要求，说明项目实施质量较高；项目效益得到了一定程度的实现，但仍有提升空间，在项目实施过程中，应进一步加强对项目效益的评估和管理，提高项目的经济效益和社会效益。</w:t>
      </w:r>
    </w:p>
    <w:p>
      <w:pPr>
        <w:autoSpaceDE/>
        <w:autoSpaceDN/>
        <w:adjustRightInd/>
        <w:spacing w:line="560" w:lineRule="exact"/>
        <w:ind w:firstLine="643" w:firstLineChars="200"/>
        <w:jc w:val="both"/>
        <w:rPr>
          <w:rFonts w:hint="eastAsia" w:ascii="Times New Roman" w:hAnsi="Times New Roman" w:eastAsia="Times New Roman"/>
          <w:kern w:val="2"/>
          <w:sz w:val="32"/>
          <w:szCs w:val="20"/>
          <w:lang w:val="zh-CN" w:eastAsia="zh-CN"/>
        </w:rPr>
      </w:pPr>
      <w:r>
        <w:rPr>
          <w:rFonts w:hint="eastAsia" w:ascii="楷体_GB2312" w:hAnsi="Times New Roman" w:eastAsia="楷体_GB2312"/>
          <w:b/>
          <w:kern w:val="2"/>
          <w:sz w:val="32"/>
          <w:szCs w:val="20"/>
          <w:lang w:val="en-US" w:eastAsia="zh-CN"/>
        </w:rPr>
        <w:t>（三）重点领域绩效分析。</w:t>
      </w:r>
      <w:r>
        <w:rPr>
          <w:rFonts w:hint="eastAsia" w:ascii="Times New Roman" w:hAnsi="Times New Roman" w:eastAsia="仿宋_GB2312"/>
          <w:kern w:val="2"/>
          <w:sz w:val="32"/>
          <w:szCs w:val="20"/>
          <w:lang w:val="zh-CN" w:eastAsia="zh-CN"/>
        </w:rPr>
        <w:t>对学校基础设施建设和教育教学设备的投入，改善了学校的办学条件。对教师培训经费的投入提高了教师的教学水平，幼儿的综合素质得到了显著提升。</w:t>
      </w:r>
    </w:p>
    <w:p>
      <w:pPr>
        <w:autoSpaceDE/>
        <w:autoSpaceDN/>
        <w:adjustRightInd/>
        <w:spacing w:line="560" w:lineRule="exact"/>
        <w:ind w:firstLine="643" w:firstLineChars="200"/>
        <w:jc w:val="both"/>
        <w:rPr>
          <w:rFonts w:hint="eastAsia" w:ascii="楷体_GB2312" w:hAnsi="Times New Roman" w:eastAsia="楷体_GB2312"/>
          <w:b/>
          <w:kern w:val="2"/>
          <w:sz w:val="32"/>
          <w:szCs w:val="20"/>
          <w:lang w:val="en-US" w:eastAsia="zh-CN"/>
        </w:rPr>
      </w:pPr>
      <w:r>
        <w:rPr>
          <w:rFonts w:hint="eastAsia" w:ascii="楷体_GB2312" w:hAnsi="Times New Roman" w:eastAsia="楷体_GB2312"/>
          <w:b/>
          <w:kern w:val="2"/>
          <w:sz w:val="32"/>
          <w:szCs w:val="20"/>
          <w:lang w:val="en-US" w:eastAsia="zh-CN"/>
        </w:rPr>
        <w:t>（四）绩效结果应用情况。</w:t>
      </w:r>
    </w:p>
    <w:p>
      <w:pPr>
        <w:autoSpaceDE/>
        <w:autoSpaceDN/>
        <w:adjustRightInd/>
        <w:spacing w:line="560" w:lineRule="exact"/>
        <w:ind w:firstLine="640" w:firstLineChars="200"/>
        <w:jc w:val="both"/>
        <w:rPr>
          <w:rFonts w:hint="eastAsia" w:ascii="Times New Roman" w:hAnsi="Times New Roman" w:eastAsia="仿宋_GB2312"/>
          <w:kern w:val="2"/>
          <w:sz w:val="32"/>
          <w:szCs w:val="20"/>
          <w:lang w:val="zh-CN" w:eastAsia="zh-CN"/>
        </w:rPr>
      </w:pPr>
      <w:r>
        <w:rPr>
          <w:rFonts w:hint="eastAsia" w:ascii="Times New Roman" w:hAnsi="Times New Roman" w:eastAsia="仿宋_GB2312"/>
          <w:kern w:val="2"/>
          <w:sz w:val="32"/>
          <w:szCs w:val="20"/>
          <w:lang w:val="en-US" w:eastAsia="zh-CN"/>
        </w:rPr>
        <w:t>1.</w:t>
      </w:r>
      <w:r>
        <w:rPr>
          <w:rFonts w:hint="eastAsia" w:ascii="Times New Roman" w:hAnsi="Times New Roman" w:eastAsia="仿宋_GB2312"/>
          <w:kern w:val="2"/>
          <w:sz w:val="32"/>
          <w:szCs w:val="20"/>
          <w:lang w:val="zh-CN" w:eastAsia="zh-CN"/>
        </w:rPr>
        <w:t>预算安排调整。根据绩效评价结果，对绩效良好的项目给予优先保障和适当增加预算安排。对于绩效不佳的项目，分析原因并采取调整措施，如减少预算、优化实施方案或终止项目。</w:t>
      </w:r>
    </w:p>
    <w:p>
      <w:pPr>
        <w:autoSpaceDE/>
        <w:autoSpaceDN/>
        <w:adjustRightInd/>
        <w:spacing w:line="560" w:lineRule="exact"/>
        <w:ind w:firstLine="640" w:firstLineChars="200"/>
        <w:jc w:val="both"/>
        <w:rPr>
          <w:rFonts w:hint="eastAsia" w:ascii="Times New Roman" w:hAnsi="Times New Roman" w:eastAsia="仿宋_GB2312"/>
          <w:kern w:val="2"/>
          <w:sz w:val="32"/>
          <w:szCs w:val="20"/>
          <w:lang w:val="zh-CN" w:eastAsia="zh-CN"/>
        </w:rPr>
      </w:pPr>
      <w:r>
        <w:rPr>
          <w:rFonts w:hint="eastAsia" w:ascii="Times New Roman" w:hAnsi="Times New Roman" w:eastAsia="仿宋_GB2312"/>
          <w:kern w:val="2"/>
          <w:sz w:val="32"/>
          <w:szCs w:val="20"/>
          <w:lang w:val="zh-CN" w:eastAsia="zh-CN"/>
        </w:rPr>
        <w:t>2. 政策制定与完善。绩效评价结果为政策制定提供了重要参考。针对绩效评价中发现的问题，及时调整和完善相关政策。例如，根据绩效评价结果调整了教师培训政策，提高了培训的针对性和实效性。</w:t>
      </w:r>
    </w:p>
    <w:p>
      <w:pPr>
        <w:autoSpaceDE/>
        <w:autoSpaceDN/>
        <w:adjustRightInd/>
        <w:spacing w:line="560" w:lineRule="exact"/>
        <w:ind w:firstLine="640" w:firstLineChars="200"/>
        <w:jc w:val="both"/>
        <w:rPr>
          <w:rFonts w:hint="eastAsia" w:ascii="Times New Roman" w:hAnsi="Times New Roman" w:eastAsia="仿宋_GB2312"/>
          <w:kern w:val="2"/>
          <w:sz w:val="32"/>
          <w:szCs w:val="20"/>
          <w:lang w:val="zh-CN" w:eastAsia="zh-CN"/>
        </w:rPr>
      </w:pPr>
      <w:r>
        <w:rPr>
          <w:rFonts w:hint="eastAsia" w:ascii="Times New Roman" w:hAnsi="Times New Roman" w:eastAsia="仿宋_GB2312"/>
          <w:kern w:val="2"/>
          <w:sz w:val="32"/>
          <w:szCs w:val="20"/>
          <w:lang w:val="zh-CN" w:eastAsia="zh-CN"/>
        </w:rPr>
        <w:t>3. 部门管理改进。部门以绩效评价结果为依据，加强内部管理，提高工作效率和服务质量。对绩效不佳的工作环节进行整改，明确责任分工，优化工作流程。同时，加强对人员的培训和考核，激励员工积极提高工作绩效。</w:t>
      </w:r>
    </w:p>
    <w:p>
      <w:pPr>
        <w:autoSpaceDE/>
        <w:autoSpaceDN/>
        <w:adjustRightInd/>
        <w:spacing w:line="560" w:lineRule="exact"/>
        <w:ind w:firstLine="640" w:firstLineChars="200"/>
        <w:jc w:val="both"/>
        <w:rPr>
          <w:rFonts w:hint="eastAsia" w:ascii="Times New Roman" w:hAnsi="Times New Roman" w:eastAsia="仿宋_GB2312"/>
          <w:kern w:val="2"/>
          <w:sz w:val="32"/>
          <w:szCs w:val="20"/>
          <w:lang w:val="zh-CN" w:eastAsia="zh-CN"/>
        </w:rPr>
      </w:pPr>
      <w:r>
        <w:rPr>
          <w:rFonts w:hint="eastAsia" w:ascii="Times New Roman" w:hAnsi="Times New Roman" w:eastAsia="仿宋_GB2312"/>
          <w:kern w:val="2"/>
          <w:sz w:val="32"/>
          <w:szCs w:val="20"/>
          <w:lang w:val="zh-CN" w:eastAsia="zh-CN"/>
        </w:rPr>
        <w:t>4. 信息公开与公众监督。将绩效评价结果向社会公开，接受公众监督，通过公开绩效信息，增强了部门的责任感和透明度，同时公众的反馈意见也为进一步改进绩效提供了有益参考。</w:t>
      </w:r>
    </w:p>
    <w:p>
      <w:pPr>
        <w:autoSpaceDE/>
        <w:autoSpaceDN/>
        <w:adjustRightInd/>
        <w:spacing w:line="560" w:lineRule="exact"/>
        <w:ind w:firstLine="640" w:firstLineChars="200"/>
        <w:jc w:val="both"/>
        <w:rPr>
          <w:rFonts w:hint="eastAsia" w:ascii="黑体" w:hAnsi="黑体" w:eastAsia="黑体"/>
          <w:kern w:val="2"/>
          <w:sz w:val="32"/>
          <w:szCs w:val="20"/>
          <w:lang w:val="en-US" w:eastAsia="zh-CN"/>
        </w:rPr>
      </w:pPr>
      <w:r>
        <w:rPr>
          <w:rFonts w:hint="eastAsia" w:ascii="黑体" w:hAnsi="黑体" w:eastAsia="黑体"/>
          <w:kern w:val="2"/>
          <w:sz w:val="32"/>
          <w:szCs w:val="20"/>
          <w:lang w:val="en-US" w:eastAsia="zh-CN"/>
        </w:rPr>
        <w:t>四、评价结论及建议</w:t>
      </w:r>
    </w:p>
    <w:p>
      <w:pPr>
        <w:autoSpaceDE/>
        <w:autoSpaceDN/>
        <w:adjustRightInd/>
        <w:spacing w:line="560" w:lineRule="exact"/>
        <w:ind w:firstLine="643" w:firstLineChars="200"/>
        <w:jc w:val="both"/>
        <w:rPr>
          <w:rFonts w:hint="eastAsia" w:ascii="Times New Roman" w:hAnsi="Times New Roman" w:eastAsia="Times New Roman"/>
          <w:kern w:val="2"/>
          <w:sz w:val="32"/>
          <w:szCs w:val="20"/>
          <w:lang w:val="zh-CN" w:eastAsia="zh-CN"/>
        </w:rPr>
      </w:pPr>
      <w:r>
        <w:rPr>
          <w:rFonts w:hint="eastAsia" w:ascii="楷体_GB2312" w:hAnsi="Times New Roman" w:eastAsia="楷体_GB2312"/>
          <w:b/>
          <w:kern w:val="2"/>
          <w:sz w:val="32"/>
          <w:szCs w:val="20"/>
          <w:lang w:val="en-US" w:eastAsia="zh-CN"/>
        </w:rPr>
        <w:t>（一）评价结论。</w:t>
      </w:r>
      <w:r>
        <w:rPr>
          <w:rFonts w:hint="eastAsia" w:ascii="Times New Roman" w:hAnsi="Times New Roman" w:eastAsia="仿宋_GB2312"/>
          <w:kern w:val="2"/>
          <w:sz w:val="32"/>
          <w:szCs w:val="20"/>
          <w:lang w:val="zh-CN" w:eastAsia="zh-CN"/>
        </w:rPr>
        <w:t>通过对部门预算绩效的评价，可以看出部门在预算执行和绩效目标完成方面取得了一定的成绩，但也存在一些问题。在今后的工作中，部门应进一步加强预算管理和绩效管理，提高资金使用效益，为实现部门的各项职能和目标提供有力保障，本年度自评得分</w:t>
      </w:r>
      <w:r>
        <w:rPr>
          <w:rFonts w:hint="eastAsia" w:ascii="Times New Roman" w:hAnsi="Times New Roman" w:eastAsia="仿宋_GB2312"/>
          <w:kern w:val="2"/>
          <w:sz w:val="32"/>
          <w:szCs w:val="20"/>
          <w:lang w:val="en-US" w:eastAsia="zh-CN"/>
        </w:rPr>
        <w:t>95分</w:t>
      </w:r>
      <w:r>
        <w:rPr>
          <w:rFonts w:hint="eastAsia" w:ascii="Times New Roman" w:hAnsi="Times New Roman" w:eastAsia="仿宋_GB2312"/>
          <w:kern w:val="2"/>
          <w:sz w:val="32"/>
          <w:szCs w:val="20"/>
          <w:lang w:val="zh-CN" w:eastAsia="zh-CN"/>
        </w:rPr>
        <w:t>。</w:t>
      </w:r>
    </w:p>
    <w:p>
      <w:pPr>
        <w:autoSpaceDE/>
        <w:autoSpaceDN/>
        <w:adjustRightInd/>
        <w:spacing w:line="560" w:lineRule="exact"/>
        <w:ind w:firstLine="643" w:firstLineChars="200"/>
        <w:jc w:val="both"/>
        <w:rPr>
          <w:rFonts w:hint="eastAsia" w:ascii="Times New Roman" w:hAnsi="Times New Roman" w:eastAsia="仿宋_GB2312"/>
          <w:kern w:val="2"/>
          <w:sz w:val="32"/>
          <w:szCs w:val="20"/>
          <w:lang w:val="zh-CN" w:eastAsia="zh-CN"/>
        </w:rPr>
      </w:pPr>
      <w:r>
        <w:rPr>
          <w:rFonts w:hint="eastAsia" w:ascii="楷体_GB2312" w:hAnsi="Times New Roman" w:eastAsia="楷体_GB2312"/>
          <w:b/>
          <w:kern w:val="2"/>
          <w:sz w:val="32"/>
          <w:szCs w:val="20"/>
          <w:lang w:val="en-US" w:eastAsia="zh-CN"/>
        </w:rPr>
        <w:t>（二）存在问题。</w:t>
      </w:r>
      <w:r>
        <w:rPr>
          <w:rFonts w:hint="eastAsia" w:ascii="Times New Roman" w:hAnsi="Times New Roman" w:eastAsia="仿宋_GB2312"/>
          <w:kern w:val="2"/>
          <w:sz w:val="32"/>
          <w:szCs w:val="20"/>
          <w:lang w:val="zh-CN" w:eastAsia="zh-CN"/>
        </w:rPr>
        <w:t>预算编制不够精准，部分项目预算与实际支出存在一定差异；绩效目标设置不够科学，部分指标难以量化和考核；部门内部管理有待加强，工作效率和质量还有提升空间。</w:t>
      </w:r>
    </w:p>
    <w:p>
      <w:pPr>
        <w:autoSpaceDE/>
        <w:autoSpaceDN/>
        <w:adjustRightInd/>
        <w:spacing w:line="560" w:lineRule="exact"/>
        <w:ind w:firstLine="643" w:firstLineChars="200"/>
        <w:jc w:val="both"/>
        <w:rPr>
          <w:rFonts w:hint="eastAsia" w:ascii="Times New Roman" w:hAnsi="Times New Roman" w:eastAsia="Times New Roman"/>
          <w:kern w:val="2"/>
          <w:sz w:val="32"/>
          <w:szCs w:val="20"/>
          <w:lang w:val="zh-CN" w:eastAsia="zh-CN"/>
        </w:rPr>
      </w:pPr>
      <w:r>
        <w:rPr>
          <w:rFonts w:hint="eastAsia" w:ascii="楷体_GB2312" w:hAnsi="Times New Roman" w:eastAsia="楷体_GB2312"/>
          <w:b/>
          <w:kern w:val="2"/>
          <w:sz w:val="32"/>
          <w:szCs w:val="20"/>
          <w:lang w:val="en-US" w:eastAsia="zh-CN"/>
        </w:rPr>
        <w:t>（三）改进建议。</w:t>
      </w:r>
      <w:r>
        <w:rPr>
          <w:rFonts w:hint="eastAsia" w:ascii="Times New Roman" w:hAnsi="Times New Roman" w:eastAsia="仿宋_GB2312"/>
          <w:kern w:val="2"/>
          <w:sz w:val="32"/>
          <w:szCs w:val="20"/>
          <w:lang w:val="zh-CN" w:eastAsia="zh-CN"/>
        </w:rPr>
        <w:t>加强预算编制的科学性和准确性，提高预算执行的刚性；优化绩效目标设置，使其更加科学合理、可量化、可考核；加强部门内部管理，提高工作人员的业务水平和工作效率，提升服务质量。</w:t>
      </w:r>
    </w:p>
    <w:p>
      <w:pPr>
        <w:autoSpaceDE/>
        <w:autoSpaceDN/>
        <w:adjustRightInd/>
        <w:spacing w:line="560" w:lineRule="exact"/>
        <w:jc w:val="both"/>
        <w:rPr>
          <w:rFonts w:hint="eastAsia" w:ascii="Times New Roman" w:hAnsi="Times New Roman" w:eastAsia="Times New Roman"/>
          <w:kern w:val="2"/>
          <w:sz w:val="32"/>
          <w:szCs w:val="20"/>
          <w:lang w:val="zh-CN" w:eastAsia="zh-CN"/>
        </w:rPr>
      </w:pPr>
    </w:p>
    <w:p>
      <w:pPr>
        <w:autoSpaceDE/>
        <w:autoSpaceDN/>
        <w:adjustRightInd/>
        <w:spacing w:line="560" w:lineRule="exact"/>
        <w:ind w:firstLine="640" w:firstLineChars="200"/>
        <w:jc w:val="both"/>
        <w:rPr>
          <w:rFonts w:hint="eastAsia" w:ascii="宋体" w:hAnsi="宋体" w:eastAsia="宋体"/>
          <w:kern w:val="2"/>
          <w:sz w:val="32"/>
          <w:szCs w:val="20"/>
          <w:lang w:val="zh-CN" w:eastAsia="zh-CN"/>
        </w:rPr>
      </w:pPr>
      <w:r>
        <w:rPr>
          <w:rFonts w:hint="eastAsia" w:ascii="宋体" w:hAnsi="宋体" w:eastAsia="宋体"/>
          <w:kern w:val="2"/>
          <w:sz w:val="32"/>
          <w:szCs w:val="20"/>
          <w:lang w:val="zh-CN" w:eastAsia="zh-CN"/>
        </w:rPr>
        <w:t>附表：</w:t>
      </w:r>
      <w:r>
        <w:rPr>
          <w:rFonts w:hint="eastAsia" w:ascii="宋体" w:hAnsi="宋体" w:eastAsia="宋体"/>
          <w:kern w:val="2"/>
          <w:sz w:val="32"/>
          <w:szCs w:val="20"/>
          <w:lang w:val="en-US" w:eastAsia="zh-CN"/>
        </w:rPr>
        <w:t>部门</w:t>
      </w:r>
      <w:r>
        <w:rPr>
          <w:rFonts w:hint="eastAsia" w:ascii="宋体" w:hAnsi="宋体" w:eastAsia="宋体"/>
          <w:kern w:val="2"/>
          <w:sz w:val="32"/>
          <w:szCs w:val="20"/>
          <w:lang w:val="zh-CN" w:eastAsia="zh-CN"/>
        </w:rPr>
        <w:t>预算项目支出绩效自评表（2023年度）</w:t>
      </w:r>
    </w:p>
    <w:tbl>
      <w:tblPr>
        <w:tblStyle w:val="17"/>
        <w:tblW w:w="849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4"/>
        <w:gridCol w:w="964"/>
        <w:gridCol w:w="973"/>
        <w:gridCol w:w="1206"/>
        <w:gridCol w:w="469"/>
        <w:gridCol w:w="720"/>
        <w:gridCol w:w="402"/>
        <w:gridCol w:w="888"/>
        <w:gridCol w:w="486"/>
        <w:gridCol w:w="486"/>
        <w:gridCol w:w="1299"/>
      </w:tblGrid>
      <w:tr>
        <w:tblPrEx>
          <w:tblCellMar>
            <w:top w:w="0" w:type="dxa"/>
            <w:left w:w="108" w:type="dxa"/>
            <w:bottom w:w="0" w:type="dxa"/>
            <w:right w:w="108" w:type="dxa"/>
          </w:tblCellMar>
        </w:tblPrEx>
        <w:trPr>
          <w:trHeight w:val="883" w:hRule="atLeast"/>
        </w:trPr>
        <w:tc>
          <w:tcPr>
            <w:tcW w:w="8497"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黑体" w:hAnsi="宋体" w:eastAsia="黑体"/>
                <w:b/>
                <w:color w:val="000000"/>
                <w:kern w:val="0"/>
                <w:sz w:val="30"/>
                <w:szCs w:val="20"/>
                <w:lang/>
              </w:rPr>
            </w:pPr>
            <w:r>
              <w:rPr>
                <w:rFonts w:hint="eastAsia" w:ascii="黑体" w:hAnsi="宋体" w:eastAsia="黑体"/>
                <w:b/>
                <w:color w:val="000000"/>
                <w:kern w:val="0"/>
                <w:sz w:val="30"/>
                <w:szCs w:val="20"/>
                <w:lang w:val="en-US" w:eastAsia="zh-CN"/>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56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left"/>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项目名称</w:t>
            </w:r>
          </w:p>
        </w:tc>
        <w:tc>
          <w:tcPr>
            <w:tcW w:w="6929"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left"/>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51090422T000006818424-幼儿资助及幼儿发展资金</w:t>
            </w:r>
          </w:p>
        </w:tc>
      </w:tr>
      <w:tr>
        <w:tblPrEx>
          <w:tblCellMar>
            <w:top w:w="0" w:type="dxa"/>
            <w:left w:w="108" w:type="dxa"/>
            <w:bottom w:w="0" w:type="dxa"/>
            <w:right w:w="108" w:type="dxa"/>
          </w:tblCellMar>
        </w:tblPrEx>
        <w:trPr>
          <w:trHeight w:val="505" w:hRule="atLeast"/>
        </w:trPr>
        <w:tc>
          <w:tcPr>
            <w:tcW w:w="156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left"/>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主管部门</w:t>
            </w:r>
          </w:p>
        </w:tc>
        <w:tc>
          <w:tcPr>
            <w:tcW w:w="3770"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left"/>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遂宁市安居区拦江镇中心幼儿园部门</w:t>
            </w:r>
          </w:p>
        </w:tc>
        <w:tc>
          <w:tcPr>
            <w:tcW w:w="8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实施单位 （盖章）</w:t>
            </w:r>
          </w:p>
        </w:tc>
        <w:tc>
          <w:tcPr>
            <w:tcW w:w="227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遂宁市安居区拦江镇中心幼儿园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0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left"/>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项目基本情况</w:t>
            </w:r>
          </w:p>
        </w:tc>
        <w:tc>
          <w:tcPr>
            <w:tcW w:w="96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left"/>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1.项目年度目标完成情况</w:t>
            </w:r>
          </w:p>
        </w:tc>
        <w:tc>
          <w:tcPr>
            <w:tcW w:w="3770"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项目年度目标</w:t>
            </w:r>
          </w:p>
        </w:tc>
        <w:tc>
          <w:tcPr>
            <w:tcW w:w="315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0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val="0"/>
              <w:autoSpaceDN w:val="0"/>
              <w:adjustRightInd w:val="0"/>
              <w:jc w:val="left"/>
              <w:rPr>
                <w:rFonts w:hint="eastAsia" w:ascii="宋体" w:hAnsi="宋体" w:eastAsia="宋体"/>
                <w:color w:val="000000"/>
                <w:kern w:val="0"/>
                <w:sz w:val="18"/>
                <w:szCs w:val="20"/>
                <w:lang/>
              </w:rPr>
            </w:pPr>
          </w:p>
        </w:tc>
        <w:tc>
          <w:tcPr>
            <w:tcW w:w="9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val="0"/>
              <w:autoSpaceDN w:val="0"/>
              <w:adjustRightInd w:val="0"/>
              <w:jc w:val="left"/>
              <w:rPr>
                <w:rFonts w:hint="eastAsia" w:ascii="宋体" w:hAnsi="宋体" w:eastAsia="宋体"/>
                <w:color w:val="000000"/>
                <w:kern w:val="0"/>
                <w:sz w:val="18"/>
                <w:szCs w:val="20"/>
                <w:lang/>
              </w:rPr>
            </w:pPr>
          </w:p>
        </w:tc>
        <w:tc>
          <w:tcPr>
            <w:tcW w:w="3770"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left"/>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促进附设幼儿园健康发展，提高预算编制质量，严格执行预算，减少结余资金。</w:t>
            </w:r>
          </w:p>
        </w:tc>
        <w:tc>
          <w:tcPr>
            <w:tcW w:w="315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left"/>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严格执行预算，及时申请支付资金，促进幼儿园健康发展。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trPr>
        <w:tc>
          <w:tcPr>
            <w:tcW w:w="60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val="0"/>
              <w:autoSpaceDN w:val="0"/>
              <w:adjustRightInd w:val="0"/>
              <w:jc w:val="left"/>
              <w:rPr>
                <w:rFonts w:hint="eastAsia" w:ascii="宋体" w:hAnsi="宋体" w:eastAsia="宋体"/>
                <w:color w:val="000000"/>
                <w:kern w:val="0"/>
                <w:sz w:val="18"/>
                <w:szCs w:val="20"/>
                <w:lang/>
              </w:rPr>
            </w:pP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left"/>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2.项目实施内容及过程概述</w:t>
            </w:r>
          </w:p>
        </w:tc>
        <w:tc>
          <w:tcPr>
            <w:tcW w:w="6929"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left"/>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及时申报经费，促进幼儿园健康发展。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0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预算执行情况（10分）</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年度预算数（万元）</w:t>
            </w:r>
          </w:p>
        </w:tc>
        <w:tc>
          <w:tcPr>
            <w:tcW w:w="9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年初预算</w:t>
            </w:r>
          </w:p>
        </w:tc>
        <w:tc>
          <w:tcPr>
            <w:tcW w:w="12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调整后预算数</w:t>
            </w:r>
          </w:p>
        </w:tc>
        <w:tc>
          <w:tcPr>
            <w:tcW w:w="159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预算执行数</w:t>
            </w:r>
          </w:p>
        </w:tc>
        <w:tc>
          <w:tcPr>
            <w:tcW w:w="8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预算执行率</w:t>
            </w:r>
          </w:p>
        </w:tc>
        <w:tc>
          <w:tcPr>
            <w:tcW w:w="4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权重</w:t>
            </w:r>
          </w:p>
        </w:tc>
        <w:tc>
          <w:tcPr>
            <w:tcW w:w="4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得分</w:t>
            </w:r>
          </w:p>
        </w:tc>
        <w:tc>
          <w:tcPr>
            <w:tcW w:w="12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60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val="0"/>
              <w:autoSpaceDN w:val="0"/>
              <w:adjustRightInd w:val="0"/>
              <w:jc w:val="center"/>
              <w:rPr>
                <w:rFonts w:hint="eastAsia" w:ascii="宋体" w:hAnsi="宋体" w:eastAsia="宋体"/>
                <w:color w:val="000000"/>
                <w:kern w:val="0"/>
                <w:sz w:val="18"/>
                <w:szCs w:val="20"/>
                <w:lang/>
              </w:rPr>
            </w:pP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总额</w:t>
            </w:r>
          </w:p>
        </w:tc>
        <w:tc>
          <w:tcPr>
            <w:tcW w:w="9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0.00</w:t>
            </w:r>
          </w:p>
        </w:tc>
        <w:tc>
          <w:tcPr>
            <w:tcW w:w="12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140.03</w:t>
            </w:r>
          </w:p>
        </w:tc>
        <w:tc>
          <w:tcPr>
            <w:tcW w:w="159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7.03</w:t>
            </w:r>
          </w:p>
        </w:tc>
        <w:tc>
          <w:tcPr>
            <w:tcW w:w="8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5.02%</w:t>
            </w:r>
          </w:p>
        </w:tc>
        <w:tc>
          <w:tcPr>
            <w:tcW w:w="4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10</w:t>
            </w:r>
          </w:p>
        </w:tc>
        <w:tc>
          <w:tcPr>
            <w:tcW w:w="4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5</w:t>
            </w:r>
          </w:p>
        </w:tc>
        <w:tc>
          <w:tcPr>
            <w:tcW w:w="129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left"/>
              <w:textAlignment w:val="center"/>
              <w:rPr>
                <w:rFonts w:hint="eastAsia" w:ascii="黑体" w:hAnsi="黑体" w:eastAsia="黑体"/>
                <w:i/>
                <w:color w:val="000000"/>
                <w:kern w:val="0"/>
                <w:sz w:val="18"/>
                <w:szCs w:val="20"/>
                <w:lang/>
              </w:rPr>
            </w:pPr>
            <w:r>
              <w:rPr>
                <w:rFonts w:hint="eastAsia" w:ascii="黑体" w:hAnsi="黑体" w:eastAsia="黑体"/>
                <w:color w:val="000000"/>
                <w:kern w:val="0"/>
                <w:sz w:val="18"/>
                <w:szCs w:val="20"/>
                <w:lang w:val="en-US" w:eastAsia="zh-CN"/>
              </w:rPr>
              <w:t>项目周期长，未及时完成。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0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val="0"/>
              <w:autoSpaceDN w:val="0"/>
              <w:adjustRightInd w:val="0"/>
              <w:jc w:val="center"/>
              <w:rPr>
                <w:rFonts w:hint="eastAsia" w:ascii="宋体" w:hAnsi="宋体" w:eastAsia="宋体"/>
                <w:color w:val="000000"/>
                <w:kern w:val="0"/>
                <w:sz w:val="18"/>
                <w:szCs w:val="20"/>
                <w:lang/>
              </w:rPr>
            </w:pP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其中：财政资金</w:t>
            </w:r>
          </w:p>
        </w:tc>
        <w:tc>
          <w:tcPr>
            <w:tcW w:w="9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0.00</w:t>
            </w:r>
          </w:p>
        </w:tc>
        <w:tc>
          <w:tcPr>
            <w:tcW w:w="12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140.03</w:t>
            </w:r>
          </w:p>
        </w:tc>
        <w:tc>
          <w:tcPr>
            <w:tcW w:w="159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7.03</w:t>
            </w:r>
          </w:p>
        </w:tc>
        <w:tc>
          <w:tcPr>
            <w:tcW w:w="8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5.02%</w:t>
            </w:r>
          </w:p>
        </w:tc>
        <w:tc>
          <w:tcPr>
            <w:tcW w:w="4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w:t>
            </w:r>
          </w:p>
        </w:tc>
        <w:tc>
          <w:tcPr>
            <w:tcW w:w="4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w:t>
            </w:r>
          </w:p>
        </w:tc>
        <w:tc>
          <w:tcPr>
            <w:tcW w:w="129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val="0"/>
              <w:autoSpaceDN w:val="0"/>
              <w:adjustRightInd w:val="0"/>
              <w:jc w:val="left"/>
              <w:rPr>
                <w:rFonts w:hint="eastAsia" w:ascii="黑体" w:hAnsi="黑体" w:eastAsia="黑体"/>
                <w:i/>
                <w:color w:val="000000"/>
                <w:kern w:val="0"/>
                <w:sz w:val="18"/>
                <w:szCs w:val="20"/>
                <w:lang/>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0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val="0"/>
              <w:autoSpaceDN w:val="0"/>
              <w:adjustRightInd w:val="0"/>
              <w:jc w:val="center"/>
              <w:rPr>
                <w:rFonts w:hint="eastAsia" w:ascii="宋体" w:hAnsi="宋体" w:eastAsia="宋体"/>
                <w:color w:val="000000"/>
                <w:kern w:val="0"/>
                <w:sz w:val="18"/>
                <w:szCs w:val="20"/>
                <w:lang/>
              </w:rPr>
            </w:pP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财政专户管理资金</w:t>
            </w:r>
          </w:p>
        </w:tc>
        <w:tc>
          <w:tcPr>
            <w:tcW w:w="9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0.00</w:t>
            </w:r>
          </w:p>
        </w:tc>
        <w:tc>
          <w:tcPr>
            <w:tcW w:w="12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0.00</w:t>
            </w:r>
          </w:p>
        </w:tc>
        <w:tc>
          <w:tcPr>
            <w:tcW w:w="159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0.00</w:t>
            </w:r>
          </w:p>
        </w:tc>
        <w:tc>
          <w:tcPr>
            <w:tcW w:w="8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0.00%</w:t>
            </w:r>
          </w:p>
        </w:tc>
        <w:tc>
          <w:tcPr>
            <w:tcW w:w="4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w:t>
            </w:r>
          </w:p>
        </w:tc>
        <w:tc>
          <w:tcPr>
            <w:tcW w:w="4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w:t>
            </w:r>
          </w:p>
        </w:tc>
        <w:tc>
          <w:tcPr>
            <w:tcW w:w="129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val="0"/>
              <w:autoSpaceDN w:val="0"/>
              <w:adjustRightInd w:val="0"/>
              <w:jc w:val="left"/>
              <w:rPr>
                <w:rFonts w:hint="eastAsia" w:ascii="黑体" w:hAnsi="黑体" w:eastAsia="黑体"/>
                <w:i/>
                <w:color w:val="000000"/>
                <w:kern w:val="0"/>
                <w:sz w:val="18"/>
                <w:szCs w:val="20"/>
                <w:lang/>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60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val="0"/>
              <w:autoSpaceDN w:val="0"/>
              <w:adjustRightInd w:val="0"/>
              <w:jc w:val="center"/>
              <w:rPr>
                <w:rFonts w:hint="eastAsia" w:ascii="宋体" w:hAnsi="宋体" w:eastAsia="宋体"/>
                <w:color w:val="000000"/>
                <w:kern w:val="0"/>
                <w:sz w:val="18"/>
                <w:szCs w:val="20"/>
                <w:lang/>
              </w:rPr>
            </w:pP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单位资金</w:t>
            </w:r>
          </w:p>
        </w:tc>
        <w:tc>
          <w:tcPr>
            <w:tcW w:w="9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0.00</w:t>
            </w:r>
          </w:p>
        </w:tc>
        <w:tc>
          <w:tcPr>
            <w:tcW w:w="12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0.00</w:t>
            </w:r>
          </w:p>
        </w:tc>
        <w:tc>
          <w:tcPr>
            <w:tcW w:w="159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0.00</w:t>
            </w:r>
          </w:p>
        </w:tc>
        <w:tc>
          <w:tcPr>
            <w:tcW w:w="8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0.00%</w:t>
            </w:r>
          </w:p>
        </w:tc>
        <w:tc>
          <w:tcPr>
            <w:tcW w:w="4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w:t>
            </w:r>
          </w:p>
        </w:tc>
        <w:tc>
          <w:tcPr>
            <w:tcW w:w="4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w:t>
            </w:r>
          </w:p>
        </w:tc>
        <w:tc>
          <w:tcPr>
            <w:tcW w:w="129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val="0"/>
              <w:autoSpaceDN w:val="0"/>
              <w:adjustRightInd w:val="0"/>
              <w:jc w:val="left"/>
              <w:rPr>
                <w:rFonts w:hint="eastAsia" w:ascii="黑体" w:hAnsi="黑体" w:eastAsia="黑体"/>
                <w:i/>
                <w:color w:val="000000"/>
                <w:kern w:val="0"/>
                <w:sz w:val="18"/>
                <w:szCs w:val="20"/>
                <w:lang/>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60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val="0"/>
              <w:autoSpaceDN w:val="0"/>
              <w:adjustRightInd w:val="0"/>
              <w:jc w:val="center"/>
              <w:rPr>
                <w:rFonts w:hint="eastAsia" w:ascii="宋体" w:hAnsi="宋体" w:eastAsia="宋体"/>
                <w:color w:val="000000"/>
                <w:kern w:val="0"/>
                <w:sz w:val="18"/>
                <w:szCs w:val="20"/>
                <w:lang/>
              </w:rPr>
            </w:pP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其他资金</w:t>
            </w:r>
          </w:p>
        </w:tc>
        <w:tc>
          <w:tcPr>
            <w:tcW w:w="9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val="0"/>
              <w:autoSpaceDN w:val="0"/>
              <w:adjustRightInd w:val="0"/>
              <w:jc w:val="center"/>
              <w:rPr>
                <w:rFonts w:hint="eastAsia" w:ascii="微软雅黑" w:hAnsi="微软雅黑" w:eastAsia="微软雅黑"/>
                <w:i/>
                <w:color w:val="000000"/>
                <w:kern w:val="0"/>
                <w:sz w:val="16"/>
                <w:szCs w:val="20"/>
                <w:lang/>
              </w:rPr>
            </w:pPr>
          </w:p>
        </w:tc>
        <w:tc>
          <w:tcPr>
            <w:tcW w:w="12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val="0"/>
              <w:autoSpaceDN w:val="0"/>
              <w:adjustRightInd w:val="0"/>
              <w:jc w:val="center"/>
              <w:rPr>
                <w:rFonts w:hint="eastAsia" w:ascii="微软雅黑" w:hAnsi="微软雅黑" w:eastAsia="微软雅黑"/>
                <w:i/>
                <w:color w:val="000000"/>
                <w:kern w:val="0"/>
                <w:sz w:val="16"/>
                <w:szCs w:val="20"/>
                <w:lang/>
              </w:rPr>
            </w:pPr>
          </w:p>
        </w:tc>
        <w:tc>
          <w:tcPr>
            <w:tcW w:w="159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val="0"/>
              <w:autoSpaceDN w:val="0"/>
              <w:adjustRightInd w:val="0"/>
              <w:jc w:val="center"/>
              <w:rPr>
                <w:rFonts w:hint="eastAsia" w:ascii="微软雅黑" w:hAnsi="微软雅黑" w:eastAsia="微软雅黑"/>
                <w:i/>
                <w:color w:val="000000"/>
                <w:kern w:val="0"/>
                <w:sz w:val="16"/>
                <w:szCs w:val="20"/>
                <w:lang/>
              </w:rPr>
            </w:pPr>
          </w:p>
        </w:tc>
        <w:tc>
          <w:tcPr>
            <w:tcW w:w="8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val="0"/>
              <w:autoSpaceDN w:val="0"/>
              <w:adjustRightInd w:val="0"/>
              <w:jc w:val="center"/>
              <w:rPr>
                <w:rFonts w:hint="eastAsia" w:ascii="微软雅黑" w:hAnsi="微软雅黑" w:eastAsia="微软雅黑"/>
                <w:i/>
                <w:color w:val="000000"/>
                <w:kern w:val="0"/>
                <w:sz w:val="16"/>
                <w:szCs w:val="20"/>
                <w:lang/>
              </w:rPr>
            </w:pPr>
          </w:p>
        </w:tc>
        <w:tc>
          <w:tcPr>
            <w:tcW w:w="4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w:t>
            </w:r>
          </w:p>
        </w:tc>
        <w:tc>
          <w:tcPr>
            <w:tcW w:w="4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w:t>
            </w:r>
          </w:p>
        </w:tc>
        <w:tc>
          <w:tcPr>
            <w:tcW w:w="129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val="0"/>
              <w:autoSpaceDN w:val="0"/>
              <w:adjustRightInd w:val="0"/>
              <w:jc w:val="left"/>
              <w:rPr>
                <w:rFonts w:hint="eastAsia" w:ascii="黑体" w:hAnsi="黑体" w:eastAsia="黑体"/>
                <w:i/>
                <w:color w:val="000000"/>
                <w:kern w:val="0"/>
                <w:sz w:val="18"/>
                <w:szCs w:val="20"/>
                <w:lang/>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1" w:hRule="atLeast"/>
        </w:trPr>
        <w:tc>
          <w:tcPr>
            <w:tcW w:w="60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绩效指标（90分）</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一级指标</w:t>
            </w:r>
          </w:p>
        </w:tc>
        <w:tc>
          <w:tcPr>
            <w:tcW w:w="9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二级指标</w:t>
            </w:r>
          </w:p>
        </w:tc>
        <w:tc>
          <w:tcPr>
            <w:tcW w:w="12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三级指标</w:t>
            </w:r>
          </w:p>
        </w:tc>
        <w:tc>
          <w:tcPr>
            <w:tcW w:w="4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指标性质</w:t>
            </w:r>
          </w:p>
        </w:tc>
        <w:tc>
          <w:tcPr>
            <w:tcW w:w="7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指标值</w:t>
            </w:r>
          </w:p>
        </w:tc>
        <w:tc>
          <w:tcPr>
            <w:tcW w:w="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度量单位</w:t>
            </w:r>
          </w:p>
        </w:tc>
        <w:tc>
          <w:tcPr>
            <w:tcW w:w="8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完成值</w:t>
            </w:r>
          </w:p>
        </w:tc>
        <w:tc>
          <w:tcPr>
            <w:tcW w:w="4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权重</w:t>
            </w:r>
          </w:p>
        </w:tc>
        <w:tc>
          <w:tcPr>
            <w:tcW w:w="4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得分</w:t>
            </w:r>
          </w:p>
        </w:tc>
        <w:tc>
          <w:tcPr>
            <w:tcW w:w="12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60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val="0"/>
              <w:autoSpaceDN w:val="0"/>
              <w:adjustRightInd w:val="0"/>
              <w:jc w:val="center"/>
              <w:rPr>
                <w:rFonts w:hint="eastAsia" w:ascii="宋体" w:hAnsi="宋体" w:eastAsia="宋体"/>
                <w:color w:val="000000"/>
                <w:kern w:val="0"/>
                <w:sz w:val="18"/>
                <w:szCs w:val="20"/>
                <w:lang/>
              </w:rPr>
            </w:pP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产出指标</w:t>
            </w:r>
          </w:p>
        </w:tc>
        <w:tc>
          <w:tcPr>
            <w:tcW w:w="9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数量指标</w:t>
            </w:r>
          </w:p>
        </w:tc>
        <w:tc>
          <w:tcPr>
            <w:tcW w:w="12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运转保障率</w:t>
            </w:r>
          </w:p>
        </w:tc>
        <w:tc>
          <w:tcPr>
            <w:tcW w:w="4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w:t>
            </w:r>
          </w:p>
        </w:tc>
        <w:tc>
          <w:tcPr>
            <w:tcW w:w="7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100</w:t>
            </w:r>
          </w:p>
        </w:tc>
        <w:tc>
          <w:tcPr>
            <w:tcW w:w="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w:t>
            </w:r>
          </w:p>
        </w:tc>
        <w:tc>
          <w:tcPr>
            <w:tcW w:w="8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val="0"/>
              <w:autoSpaceDN w:val="0"/>
              <w:adjustRightInd w:val="0"/>
              <w:jc w:val="center"/>
              <w:rPr>
                <w:rFonts w:hint="eastAsia" w:ascii="微软雅黑" w:hAnsi="微软雅黑" w:eastAsia="微软雅黑"/>
                <w:i/>
                <w:color w:val="000000"/>
                <w:kern w:val="0"/>
                <w:sz w:val="16"/>
                <w:szCs w:val="20"/>
                <w:lang/>
              </w:rPr>
            </w:pPr>
          </w:p>
        </w:tc>
        <w:tc>
          <w:tcPr>
            <w:tcW w:w="4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80</w:t>
            </w:r>
          </w:p>
        </w:tc>
        <w:tc>
          <w:tcPr>
            <w:tcW w:w="4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80</w:t>
            </w:r>
          </w:p>
        </w:tc>
        <w:tc>
          <w:tcPr>
            <w:tcW w:w="12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val="0"/>
              <w:autoSpaceDN w:val="0"/>
              <w:adjustRightInd w:val="0"/>
              <w:jc w:val="center"/>
              <w:rPr>
                <w:rFonts w:hint="eastAsia" w:ascii="微软雅黑" w:hAnsi="微软雅黑" w:eastAsia="微软雅黑"/>
                <w:i/>
                <w:color w:val="000000"/>
                <w:kern w:val="0"/>
                <w:sz w:val="16"/>
                <w:szCs w:val="20"/>
                <w:lang/>
              </w:rPr>
            </w:pPr>
            <w:r>
              <w:rPr>
                <w:rFonts w:hint="eastAsia" w:ascii="宋体" w:hAnsi="宋体" w:eastAsia="宋体"/>
                <w:color w:val="000000"/>
                <w:kern w:val="0"/>
                <w:sz w:val="18"/>
                <w:szCs w:val="20"/>
                <w:lang/>
              </w:rPr>
              <w:t>项目周期长</w:t>
            </w:r>
          </w:p>
        </w:tc>
      </w:tr>
      <w:tr>
        <w:tblPrEx>
          <w:tblCellMar>
            <w:top w:w="0" w:type="dxa"/>
            <w:left w:w="108" w:type="dxa"/>
            <w:bottom w:w="0" w:type="dxa"/>
            <w:right w:w="108" w:type="dxa"/>
          </w:tblCellMar>
        </w:tblPrEx>
        <w:trPr>
          <w:trHeight w:val="286" w:hRule="atLeast"/>
        </w:trPr>
        <w:tc>
          <w:tcPr>
            <w:tcW w:w="6226"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合计</w:t>
            </w:r>
          </w:p>
        </w:tc>
        <w:tc>
          <w:tcPr>
            <w:tcW w:w="4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100</w:t>
            </w:r>
          </w:p>
        </w:tc>
        <w:tc>
          <w:tcPr>
            <w:tcW w:w="4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right"/>
              <w:textAlignment w:val="center"/>
              <w:rPr>
                <w:rFonts w:hint="eastAsia" w:ascii="宋体" w:hAnsi="宋体" w:eastAsia="宋体"/>
                <w:color w:val="000000"/>
                <w:kern w:val="0"/>
                <w:sz w:val="18"/>
                <w:szCs w:val="20"/>
                <w:lang w:val="en-US"/>
              </w:rPr>
            </w:pPr>
            <w:r>
              <w:rPr>
                <w:rFonts w:hint="eastAsia" w:ascii="宋体" w:hAnsi="宋体" w:eastAsia="宋体"/>
                <w:color w:val="000000"/>
                <w:kern w:val="0"/>
                <w:sz w:val="18"/>
                <w:szCs w:val="20"/>
                <w:lang w:val="en-US" w:eastAsia="zh-CN"/>
              </w:rPr>
              <w:t>85</w:t>
            </w:r>
          </w:p>
        </w:tc>
        <w:tc>
          <w:tcPr>
            <w:tcW w:w="12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val="0"/>
              <w:autoSpaceDN w:val="0"/>
              <w:adjustRightInd w:val="0"/>
              <w:jc w:val="left"/>
              <w:rPr>
                <w:rFonts w:hint="eastAsia" w:ascii="宋体" w:hAnsi="宋体" w:eastAsia="宋体"/>
                <w:color w:val="000000"/>
                <w:kern w:val="0"/>
                <w:sz w:val="18"/>
                <w:szCs w:val="20"/>
                <w:lang/>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6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评价结论</w:t>
            </w:r>
          </w:p>
        </w:tc>
        <w:tc>
          <w:tcPr>
            <w:tcW w:w="6594"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left"/>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根据该项目预算执行率、 绩效目标实现指标自评得分90.00分，自评等次为：良，严格执行相关政策，按要求支付，促进幼儿园健康发展。</w:t>
            </w:r>
          </w:p>
        </w:tc>
        <w:tc>
          <w:tcPr>
            <w:tcW w:w="12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val="0"/>
              <w:autoSpaceDN w:val="0"/>
              <w:adjustRightInd w:val="0"/>
              <w:jc w:val="left"/>
              <w:rPr>
                <w:rFonts w:hint="eastAsia" w:ascii="宋体" w:hAnsi="宋体" w:eastAsia="宋体"/>
                <w:color w:val="000000"/>
                <w:kern w:val="0"/>
                <w:sz w:val="18"/>
                <w:szCs w:val="20"/>
                <w:lang/>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6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存在问题</w:t>
            </w:r>
          </w:p>
        </w:tc>
        <w:tc>
          <w:tcPr>
            <w:tcW w:w="6594"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left"/>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建设进度与计划不一致。</w:t>
            </w:r>
          </w:p>
        </w:tc>
        <w:tc>
          <w:tcPr>
            <w:tcW w:w="12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val="0"/>
              <w:autoSpaceDN w:val="0"/>
              <w:adjustRightInd w:val="0"/>
              <w:jc w:val="left"/>
              <w:rPr>
                <w:rFonts w:hint="eastAsia" w:ascii="宋体" w:hAnsi="宋体" w:eastAsia="宋体"/>
                <w:color w:val="000000"/>
                <w:kern w:val="0"/>
                <w:sz w:val="18"/>
                <w:szCs w:val="20"/>
                <w:lang/>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6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改进措施</w:t>
            </w:r>
          </w:p>
        </w:tc>
        <w:tc>
          <w:tcPr>
            <w:tcW w:w="6594"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left"/>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按需申报资金、及时发放。</w:t>
            </w:r>
          </w:p>
        </w:tc>
        <w:tc>
          <w:tcPr>
            <w:tcW w:w="12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val="0"/>
              <w:autoSpaceDN w:val="0"/>
              <w:adjustRightInd w:val="0"/>
              <w:jc w:val="left"/>
              <w:rPr>
                <w:rFonts w:hint="eastAsia" w:ascii="宋体" w:hAnsi="宋体" w:eastAsia="宋体"/>
                <w:color w:val="000000"/>
                <w:kern w:val="0"/>
                <w:sz w:val="18"/>
                <w:szCs w:val="20"/>
                <w:lang/>
              </w:rPr>
            </w:pPr>
          </w:p>
        </w:tc>
      </w:tr>
      <w:tr>
        <w:tblPrEx>
          <w:tblCellMar>
            <w:top w:w="0" w:type="dxa"/>
            <w:left w:w="108" w:type="dxa"/>
            <w:bottom w:w="0" w:type="dxa"/>
            <w:right w:w="108" w:type="dxa"/>
          </w:tblCellMar>
        </w:tblPrEx>
        <w:trPr>
          <w:trHeight w:val="286" w:hRule="atLeast"/>
        </w:trPr>
        <w:tc>
          <w:tcPr>
            <w:tcW w:w="4216"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left"/>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项目负责人：唐海燕</w:t>
            </w:r>
          </w:p>
        </w:tc>
        <w:tc>
          <w:tcPr>
            <w:tcW w:w="4281"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left"/>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财务负责人：唐亚群</w:t>
            </w:r>
          </w:p>
        </w:tc>
      </w:tr>
      <w:tr>
        <w:tblPrEx>
          <w:tblCellMar>
            <w:top w:w="0" w:type="dxa"/>
            <w:left w:w="108" w:type="dxa"/>
            <w:bottom w:w="0" w:type="dxa"/>
            <w:right w:w="108" w:type="dxa"/>
          </w:tblCellMar>
        </w:tblPrEx>
        <w:trPr>
          <w:trHeight w:val="286" w:hRule="atLeast"/>
        </w:trPr>
        <w:tc>
          <w:tcPr>
            <w:tcW w:w="604" w:type="dxa"/>
            <w:tcBorders>
              <w:top w:val="nil"/>
              <w:left w:val="nil"/>
              <w:bottom w:val="nil"/>
              <w:right w:val="nil"/>
              <w:tl2br w:val="nil"/>
              <w:tr2bl w:val="nil"/>
            </w:tcBorders>
            <w:noWrap w:val="0"/>
            <w:vAlign w:val="center"/>
          </w:tcPr>
          <w:p>
            <w:pPr>
              <w:autoSpaceDE w:val="0"/>
              <w:autoSpaceDN w:val="0"/>
              <w:adjustRightInd w:val="0"/>
              <w:jc w:val="left"/>
              <w:rPr>
                <w:rFonts w:hint="eastAsia" w:ascii="宋体" w:hAnsi="宋体" w:eastAsia="宋体"/>
                <w:color w:val="000000"/>
                <w:kern w:val="0"/>
                <w:sz w:val="18"/>
                <w:szCs w:val="20"/>
                <w:lang/>
              </w:rPr>
            </w:pPr>
          </w:p>
        </w:tc>
        <w:tc>
          <w:tcPr>
            <w:tcW w:w="964" w:type="dxa"/>
            <w:tcBorders>
              <w:top w:val="nil"/>
              <w:left w:val="nil"/>
              <w:bottom w:val="nil"/>
              <w:right w:val="nil"/>
              <w:tl2br w:val="nil"/>
              <w:tr2bl w:val="nil"/>
            </w:tcBorders>
            <w:noWrap w:val="0"/>
            <w:vAlign w:val="center"/>
          </w:tcPr>
          <w:p>
            <w:pPr>
              <w:autoSpaceDE w:val="0"/>
              <w:autoSpaceDN w:val="0"/>
              <w:adjustRightInd w:val="0"/>
              <w:jc w:val="left"/>
              <w:rPr>
                <w:rFonts w:hint="eastAsia" w:ascii="宋体" w:hAnsi="宋体" w:eastAsia="宋体"/>
                <w:color w:val="000000"/>
                <w:kern w:val="0"/>
                <w:sz w:val="18"/>
                <w:szCs w:val="20"/>
                <w:lang/>
              </w:rPr>
            </w:pPr>
          </w:p>
        </w:tc>
        <w:tc>
          <w:tcPr>
            <w:tcW w:w="973" w:type="dxa"/>
            <w:tcBorders>
              <w:top w:val="nil"/>
              <w:left w:val="nil"/>
              <w:bottom w:val="nil"/>
              <w:right w:val="nil"/>
              <w:tl2br w:val="nil"/>
              <w:tr2bl w:val="nil"/>
            </w:tcBorders>
            <w:noWrap w:val="0"/>
            <w:vAlign w:val="center"/>
          </w:tcPr>
          <w:p>
            <w:pPr>
              <w:autoSpaceDE w:val="0"/>
              <w:autoSpaceDN w:val="0"/>
              <w:adjustRightInd w:val="0"/>
              <w:jc w:val="left"/>
              <w:rPr>
                <w:rFonts w:hint="eastAsia" w:ascii="宋体" w:hAnsi="宋体" w:eastAsia="宋体"/>
                <w:color w:val="000000"/>
                <w:kern w:val="0"/>
                <w:sz w:val="18"/>
                <w:szCs w:val="20"/>
                <w:lang/>
              </w:rPr>
            </w:pPr>
          </w:p>
        </w:tc>
        <w:tc>
          <w:tcPr>
            <w:tcW w:w="1206" w:type="dxa"/>
            <w:tcBorders>
              <w:top w:val="nil"/>
              <w:left w:val="nil"/>
              <w:bottom w:val="nil"/>
              <w:right w:val="nil"/>
              <w:tl2br w:val="nil"/>
              <w:tr2bl w:val="nil"/>
            </w:tcBorders>
            <w:noWrap w:val="0"/>
            <w:vAlign w:val="center"/>
          </w:tcPr>
          <w:p>
            <w:pPr>
              <w:autoSpaceDE w:val="0"/>
              <w:autoSpaceDN w:val="0"/>
              <w:adjustRightInd w:val="0"/>
              <w:jc w:val="left"/>
              <w:rPr>
                <w:rFonts w:hint="eastAsia" w:ascii="宋体" w:hAnsi="宋体" w:eastAsia="宋体"/>
                <w:color w:val="000000"/>
                <w:kern w:val="0"/>
                <w:sz w:val="18"/>
                <w:szCs w:val="20"/>
                <w:lang/>
              </w:rPr>
            </w:pPr>
          </w:p>
        </w:tc>
        <w:tc>
          <w:tcPr>
            <w:tcW w:w="469" w:type="dxa"/>
            <w:tcBorders>
              <w:top w:val="nil"/>
              <w:left w:val="nil"/>
              <w:bottom w:val="nil"/>
              <w:right w:val="nil"/>
              <w:tl2br w:val="nil"/>
              <w:tr2bl w:val="nil"/>
            </w:tcBorders>
            <w:noWrap w:val="0"/>
            <w:vAlign w:val="center"/>
          </w:tcPr>
          <w:p>
            <w:pPr>
              <w:autoSpaceDE w:val="0"/>
              <w:autoSpaceDN w:val="0"/>
              <w:adjustRightInd w:val="0"/>
              <w:jc w:val="left"/>
              <w:rPr>
                <w:rFonts w:hint="eastAsia" w:ascii="宋体" w:hAnsi="宋体" w:eastAsia="宋体"/>
                <w:color w:val="000000"/>
                <w:kern w:val="0"/>
                <w:sz w:val="18"/>
                <w:szCs w:val="20"/>
                <w:lang/>
              </w:rPr>
            </w:pPr>
          </w:p>
        </w:tc>
        <w:tc>
          <w:tcPr>
            <w:tcW w:w="720" w:type="dxa"/>
            <w:tcBorders>
              <w:top w:val="nil"/>
              <w:left w:val="nil"/>
              <w:bottom w:val="nil"/>
              <w:right w:val="nil"/>
              <w:tl2br w:val="nil"/>
              <w:tr2bl w:val="nil"/>
            </w:tcBorders>
            <w:noWrap w:val="0"/>
            <w:vAlign w:val="center"/>
          </w:tcPr>
          <w:p>
            <w:pPr>
              <w:autoSpaceDE w:val="0"/>
              <w:autoSpaceDN w:val="0"/>
              <w:adjustRightInd w:val="0"/>
              <w:jc w:val="left"/>
              <w:rPr>
                <w:rFonts w:hint="eastAsia" w:ascii="宋体" w:hAnsi="宋体" w:eastAsia="宋体"/>
                <w:color w:val="000000"/>
                <w:kern w:val="0"/>
                <w:sz w:val="18"/>
                <w:szCs w:val="20"/>
                <w:lang/>
              </w:rPr>
            </w:pPr>
          </w:p>
        </w:tc>
        <w:tc>
          <w:tcPr>
            <w:tcW w:w="402" w:type="dxa"/>
            <w:tcBorders>
              <w:top w:val="nil"/>
              <w:left w:val="nil"/>
              <w:bottom w:val="nil"/>
              <w:right w:val="nil"/>
              <w:tl2br w:val="nil"/>
              <w:tr2bl w:val="nil"/>
            </w:tcBorders>
            <w:noWrap w:val="0"/>
            <w:vAlign w:val="center"/>
          </w:tcPr>
          <w:p>
            <w:pPr>
              <w:autoSpaceDE w:val="0"/>
              <w:autoSpaceDN w:val="0"/>
              <w:adjustRightInd w:val="0"/>
              <w:jc w:val="left"/>
              <w:rPr>
                <w:rFonts w:hint="eastAsia" w:ascii="宋体" w:hAnsi="宋体" w:eastAsia="宋体"/>
                <w:color w:val="000000"/>
                <w:kern w:val="0"/>
                <w:sz w:val="18"/>
                <w:szCs w:val="20"/>
                <w:lang/>
              </w:rPr>
            </w:pPr>
          </w:p>
        </w:tc>
        <w:tc>
          <w:tcPr>
            <w:tcW w:w="888" w:type="dxa"/>
            <w:tcBorders>
              <w:top w:val="nil"/>
              <w:left w:val="nil"/>
              <w:bottom w:val="nil"/>
              <w:right w:val="nil"/>
              <w:tl2br w:val="nil"/>
              <w:tr2bl w:val="nil"/>
            </w:tcBorders>
            <w:noWrap w:val="0"/>
            <w:vAlign w:val="center"/>
          </w:tcPr>
          <w:p>
            <w:pPr>
              <w:autoSpaceDE w:val="0"/>
              <w:autoSpaceDN w:val="0"/>
              <w:adjustRightInd w:val="0"/>
              <w:jc w:val="left"/>
              <w:rPr>
                <w:rFonts w:hint="eastAsia" w:ascii="宋体" w:hAnsi="宋体" w:eastAsia="宋体"/>
                <w:color w:val="000000"/>
                <w:kern w:val="0"/>
                <w:sz w:val="18"/>
                <w:szCs w:val="20"/>
                <w:lang/>
              </w:rPr>
            </w:pPr>
          </w:p>
        </w:tc>
        <w:tc>
          <w:tcPr>
            <w:tcW w:w="486" w:type="dxa"/>
            <w:tcBorders>
              <w:top w:val="nil"/>
              <w:left w:val="nil"/>
              <w:bottom w:val="nil"/>
              <w:right w:val="nil"/>
              <w:tl2br w:val="nil"/>
              <w:tr2bl w:val="nil"/>
            </w:tcBorders>
            <w:noWrap w:val="0"/>
            <w:vAlign w:val="center"/>
          </w:tcPr>
          <w:p>
            <w:pPr>
              <w:autoSpaceDE w:val="0"/>
              <w:autoSpaceDN w:val="0"/>
              <w:adjustRightInd w:val="0"/>
              <w:jc w:val="left"/>
              <w:rPr>
                <w:rFonts w:hint="eastAsia" w:ascii="宋体" w:hAnsi="宋体" w:eastAsia="宋体"/>
                <w:color w:val="000000"/>
                <w:kern w:val="0"/>
                <w:sz w:val="18"/>
                <w:szCs w:val="20"/>
                <w:lang/>
              </w:rPr>
            </w:pPr>
          </w:p>
        </w:tc>
        <w:tc>
          <w:tcPr>
            <w:tcW w:w="486" w:type="dxa"/>
            <w:tcBorders>
              <w:top w:val="nil"/>
              <w:left w:val="nil"/>
              <w:bottom w:val="nil"/>
              <w:right w:val="nil"/>
              <w:tl2br w:val="nil"/>
              <w:tr2bl w:val="nil"/>
            </w:tcBorders>
            <w:noWrap w:val="0"/>
            <w:vAlign w:val="center"/>
          </w:tcPr>
          <w:p>
            <w:pPr>
              <w:autoSpaceDE w:val="0"/>
              <w:autoSpaceDN w:val="0"/>
              <w:adjustRightInd w:val="0"/>
              <w:jc w:val="left"/>
              <w:rPr>
                <w:rFonts w:hint="eastAsia" w:ascii="宋体" w:hAnsi="宋体" w:eastAsia="宋体"/>
                <w:color w:val="000000"/>
                <w:kern w:val="0"/>
                <w:sz w:val="18"/>
                <w:szCs w:val="20"/>
                <w:lang/>
              </w:rPr>
            </w:pPr>
          </w:p>
        </w:tc>
        <w:tc>
          <w:tcPr>
            <w:tcW w:w="1299" w:type="dxa"/>
            <w:tcBorders>
              <w:top w:val="nil"/>
              <w:left w:val="nil"/>
              <w:bottom w:val="nil"/>
              <w:right w:val="nil"/>
              <w:tl2br w:val="nil"/>
              <w:tr2bl w:val="nil"/>
            </w:tcBorders>
            <w:noWrap w:val="0"/>
            <w:vAlign w:val="center"/>
          </w:tcPr>
          <w:p>
            <w:pPr>
              <w:autoSpaceDE w:val="0"/>
              <w:autoSpaceDN w:val="0"/>
              <w:adjustRightInd w:val="0"/>
              <w:jc w:val="left"/>
              <w:rPr>
                <w:rFonts w:hint="eastAsia" w:ascii="宋体" w:hAnsi="宋体" w:eastAsia="宋体"/>
                <w:color w:val="000000"/>
                <w:kern w:val="0"/>
                <w:sz w:val="18"/>
                <w:szCs w:val="20"/>
                <w:lang/>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3" w:hRule="atLeast"/>
        </w:trPr>
        <w:tc>
          <w:tcPr>
            <w:tcW w:w="8497"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黑体" w:hAnsi="宋体" w:eastAsia="黑体"/>
                <w:b/>
                <w:color w:val="000000"/>
                <w:kern w:val="0"/>
                <w:sz w:val="30"/>
                <w:szCs w:val="20"/>
                <w:lang/>
              </w:rPr>
            </w:pPr>
            <w:r>
              <w:rPr>
                <w:rFonts w:hint="eastAsia" w:ascii="黑体" w:hAnsi="宋体" w:eastAsia="黑体"/>
                <w:b/>
                <w:color w:val="000000"/>
                <w:kern w:val="0"/>
                <w:sz w:val="30"/>
                <w:szCs w:val="20"/>
                <w:lang w:val="en-US" w:eastAsia="zh-CN"/>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56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left"/>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项目名称</w:t>
            </w:r>
          </w:p>
        </w:tc>
        <w:tc>
          <w:tcPr>
            <w:tcW w:w="6929"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left"/>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51090423T000008954243-2020年市级教育发展专项资金（学前教育奖补）1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156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left"/>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主管部门</w:t>
            </w:r>
          </w:p>
        </w:tc>
        <w:tc>
          <w:tcPr>
            <w:tcW w:w="3770"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left"/>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遂宁市安居区拦江镇中心幼儿园部门</w:t>
            </w:r>
          </w:p>
        </w:tc>
        <w:tc>
          <w:tcPr>
            <w:tcW w:w="8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实施单位 （盖章）</w:t>
            </w:r>
          </w:p>
        </w:tc>
        <w:tc>
          <w:tcPr>
            <w:tcW w:w="227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遂宁市安居区拦江镇中心幼儿园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0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left"/>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项目基本情况</w:t>
            </w:r>
          </w:p>
        </w:tc>
        <w:tc>
          <w:tcPr>
            <w:tcW w:w="96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left"/>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1.项目年度目标完成情况</w:t>
            </w:r>
          </w:p>
        </w:tc>
        <w:tc>
          <w:tcPr>
            <w:tcW w:w="3770"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项目年度目标</w:t>
            </w:r>
          </w:p>
        </w:tc>
        <w:tc>
          <w:tcPr>
            <w:tcW w:w="315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黑体" w:hAnsi="黑体" w:eastAsia="黑体"/>
                <w:color w:val="000000"/>
                <w:kern w:val="0"/>
                <w:sz w:val="18"/>
                <w:szCs w:val="20"/>
                <w:lang/>
              </w:rPr>
            </w:pPr>
            <w:r>
              <w:rPr>
                <w:rFonts w:hint="eastAsia" w:ascii="黑体" w:hAnsi="黑体" w:eastAsia="黑体"/>
                <w:color w:val="000000"/>
                <w:kern w:val="0"/>
                <w:sz w:val="18"/>
                <w:szCs w:val="20"/>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0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val="0"/>
              <w:autoSpaceDN w:val="0"/>
              <w:adjustRightInd w:val="0"/>
              <w:jc w:val="left"/>
              <w:rPr>
                <w:rFonts w:hint="eastAsia" w:ascii="宋体" w:hAnsi="宋体" w:eastAsia="宋体"/>
                <w:color w:val="000000"/>
                <w:kern w:val="0"/>
                <w:sz w:val="18"/>
                <w:szCs w:val="20"/>
                <w:lang/>
              </w:rPr>
            </w:pPr>
          </w:p>
        </w:tc>
        <w:tc>
          <w:tcPr>
            <w:tcW w:w="9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val="0"/>
              <w:autoSpaceDN w:val="0"/>
              <w:adjustRightInd w:val="0"/>
              <w:jc w:val="left"/>
              <w:rPr>
                <w:rFonts w:hint="eastAsia" w:ascii="宋体" w:hAnsi="宋体" w:eastAsia="宋体"/>
                <w:color w:val="000000"/>
                <w:kern w:val="0"/>
                <w:sz w:val="18"/>
                <w:szCs w:val="20"/>
                <w:lang/>
              </w:rPr>
            </w:pPr>
          </w:p>
        </w:tc>
        <w:tc>
          <w:tcPr>
            <w:tcW w:w="3770"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left"/>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促进学校健康发展，提高预算编制质量，严格执行预算，减少结余资金。</w:t>
            </w:r>
          </w:p>
        </w:tc>
        <w:tc>
          <w:tcPr>
            <w:tcW w:w="315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left"/>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严格执行预算，及时申请支付资金，促进学校健康发展。</w:t>
            </w:r>
          </w:p>
        </w:tc>
      </w:tr>
      <w:tr>
        <w:tblPrEx>
          <w:tblCellMar>
            <w:top w:w="0" w:type="dxa"/>
            <w:left w:w="108" w:type="dxa"/>
            <w:bottom w:w="0" w:type="dxa"/>
            <w:right w:w="108" w:type="dxa"/>
          </w:tblCellMar>
        </w:tblPrEx>
        <w:trPr>
          <w:trHeight w:val="686" w:hRule="atLeast"/>
        </w:trPr>
        <w:tc>
          <w:tcPr>
            <w:tcW w:w="60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val="0"/>
              <w:autoSpaceDN w:val="0"/>
              <w:adjustRightInd w:val="0"/>
              <w:jc w:val="left"/>
              <w:rPr>
                <w:rFonts w:hint="eastAsia" w:ascii="宋体" w:hAnsi="宋体" w:eastAsia="宋体"/>
                <w:color w:val="000000"/>
                <w:kern w:val="0"/>
                <w:sz w:val="18"/>
                <w:szCs w:val="20"/>
                <w:lang/>
              </w:rPr>
            </w:pP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left"/>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2.项目实施内容及过程概述</w:t>
            </w:r>
          </w:p>
        </w:tc>
        <w:tc>
          <w:tcPr>
            <w:tcW w:w="6929"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left"/>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及时申报经费，促进学校健康发展。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0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预算执行情况（10分）</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年度预算数（万元）</w:t>
            </w:r>
          </w:p>
        </w:tc>
        <w:tc>
          <w:tcPr>
            <w:tcW w:w="9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年初预算</w:t>
            </w:r>
          </w:p>
        </w:tc>
        <w:tc>
          <w:tcPr>
            <w:tcW w:w="12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调整后预算数</w:t>
            </w:r>
          </w:p>
        </w:tc>
        <w:tc>
          <w:tcPr>
            <w:tcW w:w="159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预算执行数</w:t>
            </w:r>
          </w:p>
        </w:tc>
        <w:tc>
          <w:tcPr>
            <w:tcW w:w="8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预算执行率</w:t>
            </w:r>
          </w:p>
        </w:tc>
        <w:tc>
          <w:tcPr>
            <w:tcW w:w="4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权重</w:t>
            </w:r>
          </w:p>
        </w:tc>
        <w:tc>
          <w:tcPr>
            <w:tcW w:w="4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得分</w:t>
            </w:r>
          </w:p>
        </w:tc>
        <w:tc>
          <w:tcPr>
            <w:tcW w:w="12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60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val="0"/>
              <w:autoSpaceDN w:val="0"/>
              <w:adjustRightInd w:val="0"/>
              <w:jc w:val="center"/>
              <w:rPr>
                <w:rFonts w:hint="eastAsia" w:ascii="宋体" w:hAnsi="宋体" w:eastAsia="宋体"/>
                <w:color w:val="000000"/>
                <w:kern w:val="0"/>
                <w:sz w:val="18"/>
                <w:szCs w:val="20"/>
                <w:lang/>
              </w:rPr>
            </w:pP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总额</w:t>
            </w:r>
          </w:p>
        </w:tc>
        <w:tc>
          <w:tcPr>
            <w:tcW w:w="9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0.00</w:t>
            </w:r>
          </w:p>
        </w:tc>
        <w:tc>
          <w:tcPr>
            <w:tcW w:w="12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12.35</w:t>
            </w:r>
          </w:p>
        </w:tc>
        <w:tc>
          <w:tcPr>
            <w:tcW w:w="159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12.35</w:t>
            </w:r>
          </w:p>
        </w:tc>
        <w:tc>
          <w:tcPr>
            <w:tcW w:w="8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100.00%</w:t>
            </w:r>
          </w:p>
        </w:tc>
        <w:tc>
          <w:tcPr>
            <w:tcW w:w="4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10</w:t>
            </w:r>
          </w:p>
        </w:tc>
        <w:tc>
          <w:tcPr>
            <w:tcW w:w="4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10</w:t>
            </w:r>
          </w:p>
        </w:tc>
        <w:tc>
          <w:tcPr>
            <w:tcW w:w="129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val="0"/>
              <w:autoSpaceDN w:val="0"/>
              <w:adjustRightInd w:val="0"/>
              <w:jc w:val="left"/>
              <w:rPr>
                <w:rFonts w:hint="eastAsia" w:ascii="黑体" w:hAnsi="黑体" w:eastAsia="黑体"/>
                <w:i/>
                <w:color w:val="000000"/>
                <w:kern w:val="0"/>
                <w:sz w:val="18"/>
                <w:szCs w:val="20"/>
                <w:lang/>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0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val="0"/>
              <w:autoSpaceDN w:val="0"/>
              <w:adjustRightInd w:val="0"/>
              <w:jc w:val="center"/>
              <w:rPr>
                <w:rFonts w:hint="eastAsia" w:ascii="宋体" w:hAnsi="宋体" w:eastAsia="宋体"/>
                <w:color w:val="000000"/>
                <w:kern w:val="0"/>
                <w:sz w:val="18"/>
                <w:szCs w:val="20"/>
                <w:lang/>
              </w:rPr>
            </w:pP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其中：财政资金</w:t>
            </w:r>
          </w:p>
        </w:tc>
        <w:tc>
          <w:tcPr>
            <w:tcW w:w="9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0.00</w:t>
            </w:r>
          </w:p>
        </w:tc>
        <w:tc>
          <w:tcPr>
            <w:tcW w:w="12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12.35</w:t>
            </w:r>
          </w:p>
        </w:tc>
        <w:tc>
          <w:tcPr>
            <w:tcW w:w="159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12.35</w:t>
            </w:r>
          </w:p>
        </w:tc>
        <w:tc>
          <w:tcPr>
            <w:tcW w:w="8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100.00%</w:t>
            </w:r>
          </w:p>
        </w:tc>
        <w:tc>
          <w:tcPr>
            <w:tcW w:w="4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w:t>
            </w:r>
          </w:p>
        </w:tc>
        <w:tc>
          <w:tcPr>
            <w:tcW w:w="4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w:t>
            </w:r>
          </w:p>
        </w:tc>
        <w:tc>
          <w:tcPr>
            <w:tcW w:w="129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val="0"/>
              <w:autoSpaceDN w:val="0"/>
              <w:adjustRightInd w:val="0"/>
              <w:jc w:val="left"/>
              <w:rPr>
                <w:rFonts w:hint="eastAsia" w:ascii="黑体" w:hAnsi="黑体" w:eastAsia="黑体"/>
                <w:i/>
                <w:color w:val="000000"/>
                <w:kern w:val="0"/>
                <w:sz w:val="18"/>
                <w:szCs w:val="20"/>
                <w:lang/>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0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val="0"/>
              <w:autoSpaceDN w:val="0"/>
              <w:adjustRightInd w:val="0"/>
              <w:jc w:val="center"/>
              <w:rPr>
                <w:rFonts w:hint="eastAsia" w:ascii="宋体" w:hAnsi="宋体" w:eastAsia="宋体"/>
                <w:color w:val="000000"/>
                <w:kern w:val="0"/>
                <w:sz w:val="18"/>
                <w:szCs w:val="20"/>
                <w:lang/>
              </w:rPr>
            </w:pP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财政专户管理资金</w:t>
            </w:r>
          </w:p>
        </w:tc>
        <w:tc>
          <w:tcPr>
            <w:tcW w:w="9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0.00</w:t>
            </w:r>
          </w:p>
        </w:tc>
        <w:tc>
          <w:tcPr>
            <w:tcW w:w="12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0.00</w:t>
            </w:r>
          </w:p>
        </w:tc>
        <w:tc>
          <w:tcPr>
            <w:tcW w:w="159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0.00</w:t>
            </w:r>
          </w:p>
        </w:tc>
        <w:tc>
          <w:tcPr>
            <w:tcW w:w="8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0.00%</w:t>
            </w:r>
          </w:p>
        </w:tc>
        <w:tc>
          <w:tcPr>
            <w:tcW w:w="4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w:t>
            </w:r>
          </w:p>
        </w:tc>
        <w:tc>
          <w:tcPr>
            <w:tcW w:w="4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w:t>
            </w:r>
          </w:p>
        </w:tc>
        <w:tc>
          <w:tcPr>
            <w:tcW w:w="129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val="0"/>
              <w:autoSpaceDN w:val="0"/>
              <w:adjustRightInd w:val="0"/>
              <w:jc w:val="left"/>
              <w:rPr>
                <w:rFonts w:hint="eastAsia" w:ascii="黑体" w:hAnsi="黑体" w:eastAsia="黑体"/>
                <w:i/>
                <w:color w:val="000000"/>
                <w:kern w:val="0"/>
                <w:sz w:val="18"/>
                <w:szCs w:val="20"/>
                <w:lang/>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60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val="0"/>
              <w:autoSpaceDN w:val="0"/>
              <w:adjustRightInd w:val="0"/>
              <w:jc w:val="center"/>
              <w:rPr>
                <w:rFonts w:hint="eastAsia" w:ascii="宋体" w:hAnsi="宋体" w:eastAsia="宋体"/>
                <w:color w:val="000000"/>
                <w:kern w:val="0"/>
                <w:sz w:val="18"/>
                <w:szCs w:val="20"/>
                <w:lang/>
              </w:rPr>
            </w:pP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单位资金</w:t>
            </w:r>
          </w:p>
        </w:tc>
        <w:tc>
          <w:tcPr>
            <w:tcW w:w="9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0.00</w:t>
            </w:r>
          </w:p>
        </w:tc>
        <w:tc>
          <w:tcPr>
            <w:tcW w:w="12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0.00</w:t>
            </w:r>
          </w:p>
        </w:tc>
        <w:tc>
          <w:tcPr>
            <w:tcW w:w="159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0.00</w:t>
            </w:r>
          </w:p>
        </w:tc>
        <w:tc>
          <w:tcPr>
            <w:tcW w:w="8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0.00%</w:t>
            </w:r>
          </w:p>
        </w:tc>
        <w:tc>
          <w:tcPr>
            <w:tcW w:w="4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w:t>
            </w:r>
          </w:p>
        </w:tc>
        <w:tc>
          <w:tcPr>
            <w:tcW w:w="4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w:t>
            </w:r>
          </w:p>
        </w:tc>
        <w:tc>
          <w:tcPr>
            <w:tcW w:w="129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val="0"/>
              <w:autoSpaceDN w:val="0"/>
              <w:adjustRightInd w:val="0"/>
              <w:jc w:val="left"/>
              <w:rPr>
                <w:rFonts w:hint="eastAsia" w:ascii="黑体" w:hAnsi="黑体" w:eastAsia="黑体"/>
                <w:i/>
                <w:color w:val="000000"/>
                <w:kern w:val="0"/>
                <w:sz w:val="18"/>
                <w:szCs w:val="20"/>
                <w:lang/>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60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val="0"/>
              <w:autoSpaceDN w:val="0"/>
              <w:adjustRightInd w:val="0"/>
              <w:jc w:val="center"/>
              <w:rPr>
                <w:rFonts w:hint="eastAsia" w:ascii="宋体" w:hAnsi="宋体" w:eastAsia="宋体"/>
                <w:color w:val="000000"/>
                <w:kern w:val="0"/>
                <w:sz w:val="18"/>
                <w:szCs w:val="20"/>
                <w:lang/>
              </w:rPr>
            </w:pP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其他资金</w:t>
            </w:r>
          </w:p>
        </w:tc>
        <w:tc>
          <w:tcPr>
            <w:tcW w:w="9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val="0"/>
              <w:autoSpaceDN w:val="0"/>
              <w:adjustRightInd w:val="0"/>
              <w:jc w:val="center"/>
              <w:rPr>
                <w:rFonts w:hint="eastAsia" w:ascii="微软雅黑" w:hAnsi="微软雅黑" w:eastAsia="微软雅黑"/>
                <w:i/>
                <w:color w:val="000000"/>
                <w:kern w:val="0"/>
                <w:sz w:val="16"/>
                <w:szCs w:val="20"/>
                <w:lang/>
              </w:rPr>
            </w:pPr>
          </w:p>
        </w:tc>
        <w:tc>
          <w:tcPr>
            <w:tcW w:w="12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val="0"/>
              <w:autoSpaceDN w:val="0"/>
              <w:adjustRightInd w:val="0"/>
              <w:jc w:val="center"/>
              <w:rPr>
                <w:rFonts w:hint="eastAsia" w:ascii="微软雅黑" w:hAnsi="微软雅黑" w:eastAsia="微软雅黑"/>
                <w:i/>
                <w:color w:val="000000"/>
                <w:kern w:val="0"/>
                <w:sz w:val="16"/>
                <w:szCs w:val="20"/>
                <w:lang/>
              </w:rPr>
            </w:pPr>
          </w:p>
        </w:tc>
        <w:tc>
          <w:tcPr>
            <w:tcW w:w="159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val="0"/>
              <w:autoSpaceDN w:val="0"/>
              <w:adjustRightInd w:val="0"/>
              <w:jc w:val="center"/>
              <w:rPr>
                <w:rFonts w:hint="eastAsia" w:ascii="微软雅黑" w:hAnsi="微软雅黑" w:eastAsia="微软雅黑"/>
                <w:i/>
                <w:color w:val="000000"/>
                <w:kern w:val="0"/>
                <w:sz w:val="16"/>
                <w:szCs w:val="20"/>
                <w:lang/>
              </w:rPr>
            </w:pPr>
          </w:p>
        </w:tc>
        <w:tc>
          <w:tcPr>
            <w:tcW w:w="8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val="0"/>
              <w:autoSpaceDN w:val="0"/>
              <w:adjustRightInd w:val="0"/>
              <w:jc w:val="center"/>
              <w:rPr>
                <w:rFonts w:hint="eastAsia" w:ascii="微软雅黑" w:hAnsi="微软雅黑" w:eastAsia="微软雅黑"/>
                <w:i/>
                <w:color w:val="000000"/>
                <w:kern w:val="0"/>
                <w:sz w:val="16"/>
                <w:szCs w:val="20"/>
                <w:lang/>
              </w:rPr>
            </w:pPr>
          </w:p>
        </w:tc>
        <w:tc>
          <w:tcPr>
            <w:tcW w:w="4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w:t>
            </w:r>
          </w:p>
        </w:tc>
        <w:tc>
          <w:tcPr>
            <w:tcW w:w="4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w:t>
            </w:r>
          </w:p>
        </w:tc>
        <w:tc>
          <w:tcPr>
            <w:tcW w:w="129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val="0"/>
              <w:autoSpaceDN w:val="0"/>
              <w:adjustRightInd w:val="0"/>
              <w:jc w:val="left"/>
              <w:rPr>
                <w:rFonts w:hint="eastAsia" w:ascii="黑体" w:hAnsi="黑体" w:eastAsia="黑体"/>
                <w:i/>
                <w:color w:val="000000"/>
                <w:kern w:val="0"/>
                <w:sz w:val="18"/>
                <w:szCs w:val="20"/>
                <w:lang/>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1" w:hRule="atLeast"/>
        </w:trPr>
        <w:tc>
          <w:tcPr>
            <w:tcW w:w="60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绩效指标（90分）</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一级指标</w:t>
            </w:r>
          </w:p>
        </w:tc>
        <w:tc>
          <w:tcPr>
            <w:tcW w:w="9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二级指标</w:t>
            </w:r>
          </w:p>
        </w:tc>
        <w:tc>
          <w:tcPr>
            <w:tcW w:w="12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三级指标</w:t>
            </w:r>
          </w:p>
        </w:tc>
        <w:tc>
          <w:tcPr>
            <w:tcW w:w="4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指标性质</w:t>
            </w:r>
          </w:p>
        </w:tc>
        <w:tc>
          <w:tcPr>
            <w:tcW w:w="7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指标值</w:t>
            </w:r>
          </w:p>
        </w:tc>
        <w:tc>
          <w:tcPr>
            <w:tcW w:w="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度量单位</w:t>
            </w:r>
          </w:p>
        </w:tc>
        <w:tc>
          <w:tcPr>
            <w:tcW w:w="8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完成值</w:t>
            </w:r>
          </w:p>
        </w:tc>
        <w:tc>
          <w:tcPr>
            <w:tcW w:w="4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权重</w:t>
            </w:r>
          </w:p>
        </w:tc>
        <w:tc>
          <w:tcPr>
            <w:tcW w:w="4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得分</w:t>
            </w:r>
          </w:p>
        </w:tc>
        <w:tc>
          <w:tcPr>
            <w:tcW w:w="12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60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val="0"/>
              <w:autoSpaceDN w:val="0"/>
              <w:adjustRightInd w:val="0"/>
              <w:jc w:val="center"/>
              <w:rPr>
                <w:rFonts w:hint="eastAsia" w:ascii="宋体" w:hAnsi="宋体" w:eastAsia="宋体"/>
                <w:color w:val="000000"/>
                <w:kern w:val="0"/>
                <w:sz w:val="18"/>
                <w:szCs w:val="20"/>
                <w:lang/>
              </w:rPr>
            </w:pP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产出指标</w:t>
            </w:r>
          </w:p>
        </w:tc>
        <w:tc>
          <w:tcPr>
            <w:tcW w:w="9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数量指标</w:t>
            </w:r>
          </w:p>
        </w:tc>
        <w:tc>
          <w:tcPr>
            <w:tcW w:w="12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运转保障率</w:t>
            </w:r>
          </w:p>
        </w:tc>
        <w:tc>
          <w:tcPr>
            <w:tcW w:w="4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w:t>
            </w:r>
          </w:p>
        </w:tc>
        <w:tc>
          <w:tcPr>
            <w:tcW w:w="7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100</w:t>
            </w:r>
          </w:p>
        </w:tc>
        <w:tc>
          <w:tcPr>
            <w:tcW w:w="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w:t>
            </w:r>
          </w:p>
        </w:tc>
        <w:tc>
          <w:tcPr>
            <w:tcW w:w="8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val="0"/>
              <w:autoSpaceDN w:val="0"/>
              <w:adjustRightInd w:val="0"/>
              <w:jc w:val="center"/>
              <w:rPr>
                <w:rFonts w:hint="eastAsia" w:ascii="微软雅黑" w:hAnsi="微软雅黑" w:eastAsia="微软雅黑"/>
                <w:i/>
                <w:color w:val="000000"/>
                <w:kern w:val="0"/>
                <w:sz w:val="16"/>
                <w:szCs w:val="20"/>
                <w:lang/>
              </w:rPr>
            </w:pPr>
          </w:p>
        </w:tc>
        <w:tc>
          <w:tcPr>
            <w:tcW w:w="4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90</w:t>
            </w:r>
          </w:p>
        </w:tc>
        <w:tc>
          <w:tcPr>
            <w:tcW w:w="4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90</w:t>
            </w:r>
          </w:p>
        </w:tc>
        <w:tc>
          <w:tcPr>
            <w:tcW w:w="12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val="0"/>
              <w:autoSpaceDN w:val="0"/>
              <w:adjustRightInd w:val="0"/>
              <w:jc w:val="center"/>
              <w:rPr>
                <w:rFonts w:hint="eastAsia" w:ascii="微软雅黑" w:hAnsi="微软雅黑" w:eastAsia="微软雅黑"/>
                <w:i/>
                <w:color w:val="000000"/>
                <w:kern w:val="0"/>
                <w:sz w:val="16"/>
                <w:szCs w:val="20"/>
                <w:lang/>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226"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合计</w:t>
            </w:r>
          </w:p>
        </w:tc>
        <w:tc>
          <w:tcPr>
            <w:tcW w:w="4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100</w:t>
            </w:r>
          </w:p>
        </w:tc>
        <w:tc>
          <w:tcPr>
            <w:tcW w:w="4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right"/>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100</w:t>
            </w:r>
          </w:p>
        </w:tc>
        <w:tc>
          <w:tcPr>
            <w:tcW w:w="12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val="0"/>
              <w:autoSpaceDN w:val="0"/>
              <w:adjustRightInd w:val="0"/>
              <w:jc w:val="left"/>
              <w:rPr>
                <w:rFonts w:hint="eastAsia" w:ascii="宋体" w:hAnsi="宋体" w:eastAsia="宋体"/>
                <w:color w:val="000000"/>
                <w:kern w:val="0"/>
                <w:sz w:val="18"/>
                <w:szCs w:val="20"/>
                <w:lang/>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6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评价结论</w:t>
            </w:r>
          </w:p>
        </w:tc>
        <w:tc>
          <w:tcPr>
            <w:tcW w:w="6594"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left"/>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根据该项目预算执行率、 绩效目标实现指标自评得分100.00分，自评等次为：优，严格执行相关政策，按要求支付，促进幼儿园健康发展。</w:t>
            </w:r>
          </w:p>
        </w:tc>
        <w:tc>
          <w:tcPr>
            <w:tcW w:w="12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val="0"/>
              <w:autoSpaceDN w:val="0"/>
              <w:adjustRightInd w:val="0"/>
              <w:jc w:val="left"/>
              <w:rPr>
                <w:rFonts w:hint="eastAsia" w:ascii="宋体" w:hAnsi="宋体" w:eastAsia="宋体"/>
                <w:color w:val="000000"/>
                <w:kern w:val="0"/>
                <w:sz w:val="18"/>
                <w:szCs w:val="20"/>
                <w:lang/>
              </w:rPr>
            </w:pPr>
          </w:p>
        </w:tc>
      </w:tr>
      <w:tr>
        <w:tblPrEx>
          <w:tblCellMar>
            <w:top w:w="0" w:type="dxa"/>
            <w:left w:w="108" w:type="dxa"/>
            <w:bottom w:w="0" w:type="dxa"/>
            <w:right w:w="108" w:type="dxa"/>
          </w:tblCellMar>
        </w:tblPrEx>
        <w:trPr>
          <w:trHeight w:val="562" w:hRule="atLeast"/>
        </w:trPr>
        <w:tc>
          <w:tcPr>
            <w:tcW w:w="6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存在问题</w:t>
            </w:r>
          </w:p>
        </w:tc>
        <w:tc>
          <w:tcPr>
            <w:tcW w:w="6594"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left"/>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无</w:t>
            </w:r>
          </w:p>
        </w:tc>
        <w:tc>
          <w:tcPr>
            <w:tcW w:w="12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val="0"/>
              <w:autoSpaceDN w:val="0"/>
              <w:adjustRightInd w:val="0"/>
              <w:jc w:val="left"/>
              <w:rPr>
                <w:rFonts w:hint="eastAsia" w:ascii="宋体" w:hAnsi="宋体" w:eastAsia="宋体"/>
                <w:color w:val="000000"/>
                <w:kern w:val="0"/>
                <w:sz w:val="18"/>
                <w:szCs w:val="20"/>
                <w:lang/>
              </w:rPr>
            </w:pPr>
          </w:p>
        </w:tc>
      </w:tr>
      <w:tr>
        <w:tblPrEx>
          <w:tblCellMar>
            <w:top w:w="0" w:type="dxa"/>
            <w:left w:w="108" w:type="dxa"/>
            <w:bottom w:w="0" w:type="dxa"/>
            <w:right w:w="108" w:type="dxa"/>
          </w:tblCellMar>
        </w:tblPrEx>
        <w:trPr>
          <w:trHeight w:val="621" w:hRule="atLeast"/>
        </w:trPr>
        <w:tc>
          <w:tcPr>
            <w:tcW w:w="6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改进措施</w:t>
            </w:r>
          </w:p>
        </w:tc>
        <w:tc>
          <w:tcPr>
            <w:tcW w:w="6594"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left"/>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无</w:t>
            </w:r>
          </w:p>
        </w:tc>
        <w:tc>
          <w:tcPr>
            <w:tcW w:w="12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val="0"/>
              <w:autoSpaceDN w:val="0"/>
              <w:adjustRightInd w:val="0"/>
              <w:jc w:val="left"/>
              <w:rPr>
                <w:rFonts w:hint="eastAsia" w:ascii="宋体" w:hAnsi="宋体" w:eastAsia="宋体"/>
                <w:color w:val="000000"/>
                <w:kern w:val="0"/>
                <w:sz w:val="18"/>
                <w:szCs w:val="20"/>
                <w:lang/>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216"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left"/>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项目负责人：唐海燕</w:t>
            </w:r>
          </w:p>
        </w:tc>
        <w:tc>
          <w:tcPr>
            <w:tcW w:w="4281"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left"/>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财务负责人：唐亚群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04" w:type="dxa"/>
            <w:tcBorders>
              <w:top w:val="nil"/>
              <w:left w:val="nil"/>
              <w:bottom w:val="nil"/>
              <w:right w:val="nil"/>
              <w:tl2br w:val="nil"/>
              <w:tr2bl w:val="nil"/>
            </w:tcBorders>
            <w:noWrap w:val="0"/>
            <w:vAlign w:val="center"/>
          </w:tcPr>
          <w:p>
            <w:pPr>
              <w:autoSpaceDE w:val="0"/>
              <w:autoSpaceDN w:val="0"/>
              <w:adjustRightInd w:val="0"/>
              <w:jc w:val="left"/>
              <w:rPr>
                <w:rFonts w:hint="eastAsia" w:ascii="宋体" w:hAnsi="宋体" w:eastAsia="宋体"/>
                <w:color w:val="000000"/>
                <w:kern w:val="0"/>
                <w:sz w:val="18"/>
                <w:szCs w:val="20"/>
                <w:lang/>
              </w:rPr>
            </w:pPr>
          </w:p>
        </w:tc>
        <w:tc>
          <w:tcPr>
            <w:tcW w:w="964" w:type="dxa"/>
            <w:tcBorders>
              <w:top w:val="nil"/>
              <w:left w:val="nil"/>
              <w:bottom w:val="nil"/>
              <w:right w:val="nil"/>
              <w:tl2br w:val="nil"/>
              <w:tr2bl w:val="nil"/>
            </w:tcBorders>
            <w:noWrap w:val="0"/>
            <w:vAlign w:val="center"/>
          </w:tcPr>
          <w:p>
            <w:pPr>
              <w:autoSpaceDE w:val="0"/>
              <w:autoSpaceDN w:val="0"/>
              <w:adjustRightInd w:val="0"/>
              <w:jc w:val="left"/>
              <w:rPr>
                <w:rFonts w:hint="eastAsia" w:ascii="宋体" w:hAnsi="宋体" w:eastAsia="宋体"/>
                <w:color w:val="000000"/>
                <w:kern w:val="0"/>
                <w:sz w:val="18"/>
                <w:szCs w:val="20"/>
                <w:lang/>
              </w:rPr>
            </w:pPr>
          </w:p>
        </w:tc>
        <w:tc>
          <w:tcPr>
            <w:tcW w:w="973" w:type="dxa"/>
            <w:tcBorders>
              <w:top w:val="nil"/>
              <w:left w:val="nil"/>
              <w:bottom w:val="nil"/>
              <w:right w:val="nil"/>
              <w:tl2br w:val="nil"/>
              <w:tr2bl w:val="nil"/>
            </w:tcBorders>
            <w:noWrap w:val="0"/>
            <w:vAlign w:val="center"/>
          </w:tcPr>
          <w:p>
            <w:pPr>
              <w:autoSpaceDE w:val="0"/>
              <w:autoSpaceDN w:val="0"/>
              <w:adjustRightInd w:val="0"/>
              <w:jc w:val="left"/>
              <w:rPr>
                <w:rFonts w:hint="eastAsia" w:ascii="宋体" w:hAnsi="宋体" w:eastAsia="宋体"/>
                <w:color w:val="000000"/>
                <w:kern w:val="0"/>
                <w:sz w:val="18"/>
                <w:szCs w:val="20"/>
                <w:lang/>
              </w:rPr>
            </w:pPr>
          </w:p>
        </w:tc>
        <w:tc>
          <w:tcPr>
            <w:tcW w:w="1206" w:type="dxa"/>
            <w:tcBorders>
              <w:top w:val="nil"/>
              <w:left w:val="nil"/>
              <w:bottom w:val="nil"/>
              <w:right w:val="nil"/>
              <w:tl2br w:val="nil"/>
              <w:tr2bl w:val="nil"/>
            </w:tcBorders>
            <w:noWrap w:val="0"/>
            <w:vAlign w:val="center"/>
          </w:tcPr>
          <w:p>
            <w:pPr>
              <w:autoSpaceDE w:val="0"/>
              <w:autoSpaceDN w:val="0"/>
              <w:adjustRightInd w:val="0"/>
              <w:jc w:val="left"/>
              <w:rPr>
                <w:rFonts w:hint="eastAsia" w:ascii="宋体" w:hAnsi="宋体" w:eastAsia="宋体"/>
                <w:color w:val="000000"/>
                <w:kern w:val="0"/>
                <w:sz w:val="18"/>
                <w:szCs w:val="20"/>
                <w:lang/>
              </w:rPr>
            </w:pPr>
          </w:p>
        </w:tc>
        <w:tc>
          <w:tcPr>
            <w:tcW w:w="469" w:type="dxa"/>
            <w:tcBorders>
              <w:top w:val="nil"/>
              <w:left w:val="nil"/>
              <w:bottom w:val="nil"/>
              <w:right w:val="nil"/>
              <w:tl2br w:val="nil"/>
              <w:tr2bl w:val="nil"/>
            </w:tcBorders>
            <w:noWrap w:val="0"/>
            <w:vAlign w:val="center"/>
          </w:tcPr>
          <w:p>
            <w:pPr>
              <w:autoSpaceDE w:val="0"/>
              <w:autoSpaceDN w:val="0"/>
              <w:adjustRightInd w:val="0"/>
              <w:jc w:val="left"/>
              <w:rPr>
                <w:rFonts w:hint="eastAsia" w:ascii="宋体" w:hAnsi="宋体" w:eastAsia="宋体"/>
                <w:color w:val="000000"/>
                <w:kern w:val="0"/>
                <w:sz w:val="18"/>
                <w:szCs w:val="20"/>
                <w:lang/>
              </w:rPr>
            </w:pPr>
          </w:p>
        </w:tc>
        <w:tc>
          <w:tcPr>
            <w:tcW w:w="720" w:type="dxa"/>
            <w:tcBorders>
              <w:top w:val="nil"/>
              <w:left w:val="nil"/>
              <w:bottom w:val="nil"/>
              <w:right w:val="nil"/>
              <w:tl2br w:val="nil"/>
              <w:tr2bl w:val="nil"/>
            </w:tcBorders>
            <w:noWrap w:val="0"/>
            <w:vAlign w:val="center"/>
          </w:tcPr>
          <w:p>
            <w:pPr>
              <w:autoSpaceDE w:val="0"/>
              <w:autoSpaceDN w:val="0"/>
              <w:adjustRightInd w:val="0"/>
              <w:jc w:val="left"/>
              <w:rPr>
                <w:rFonts w:hint="eastAsia" w:ascii="宋体" w:hAnsi="宋体" w:eastAsia="宋体"/>
                <w:color w:val="000000"/>
                <w:kern w:val="0"/>
                <w:sz w:val="18"/>
                <w:szCs w:val="20"/>
                <w:lang/>
              </w:rPr>
            </w:pPr>
          </w:p>
        </w:tc>
        <w:tc>
          <w:tcPr>
            <w:tcW w:w="402" w:type="dxa"/>
            <w:tcBorders>
              <w:top w:val="nil"/>
              <w:left w:val="nil"/>
              <w:bottom w:val="nil"/>
              <w:right w:val="nil"/>
              <w:tl2br w:val="nil"/>
              <w:tr2bl w:val="nil"/>
            </w:tcBorders>
            <w:noWrap w:val="0"/>
            <w:vAlign w:val="center"/>
          </w:tcPr>
          <w:p>
            <w:pPr>
              <w:autoSpaceDE w:val="0"/>
              <w:autoSpaceDN w:val="0"/>
              <w:adjustRightInd w:val="0"/>
              <w:jc w:val="left"/>
              <w:rPr>
                <w:rFonts w:hint="eastAsia" w:ascii="宋体" w:hAnsi="宋体" w:eastAsia="宋体"/>
                <w:color w:val="000000"/>
                <w:kern w:val="0"/>
                <w:sz w:val="18"/>
                <w:szCs w:val="20"/>
                <w:lang/>
              </w:rPr>
            </w:pPr>
          </w:p>
        </w:tc>
        <w:tc>
          <w:tcPr>
            <w:tcW w:w="888" w:type="dxa"/>
            <w:tcBorders>
              <w:top w:val="nil"/>
              <w:left w:val="nil"/>
              <w:bottom w:val="nil"/>
              <w:right w:val="nil"/>
              <w:tl2br w:val="nil"/>
              <w:tr2bl w:val="nil"/>
            </w:tcBorders>
            <w:noWrap w:val="0"/>
            <w:vAlign w:val="center"/>
          </w:tcPr>
          <w:p>
            <w:pPr>
              <w:autoSpaceDE w:val="0"/>
              <w:autoSpaceDN w:val="0"/>
              <w:adjustRightInd w:val="0"/>
              <w:jc w:val="left"/>
              <w:rPr>
                <w:rFonts w:hint="eastAsia" w:ascii="宋体" w:hAnsi="宋体" w:eastAsia="宋体"/>
                <w:color w:val="000000"/>
                <w:kern w:val="0"/>
                <w:sz w:val="18"/>
                <w:szCs w:val="20"/>
                <w:lang/>
              </w:rPr>
            </w:pPr>
          </w:p>
        </w:tc>
        <w:tc>
          <w:tcPr>
            <w:tcW w:w="486" w:type="dxa"/>
            <w:tcBorders>
              <w:top w:val="nil"/>
              <w:left w:val="nil"/>
              <w:bottom w:val="nil"/>
              <w:right w:val="nil"/>
              <w:tl2br w:val="nil"/>
              <w:tr2bl w:val="nil"/>
            </w:tcBorders>
            <w:noWrap w:val="0"/>
            <w:vAlign w:val="center"/>
          </w:tcPr>
          <w:p>
            <w:pPr>
              <w:autoSpaceDE w:val="0"/>
              <w:autoSpaceDN w:val="0"/>
              <w:adjustRightInd w:val="0"/>
              <w:jc w:val="left"/>
              <w:rPr>
                <w:rFonts w:hint="eastAsia" w:ascii="宋体" w:hAnsi="宋体" w:eastAsia="宋体"/>
                <w:color w:val="000000"/>
                <w:kern w:val="0"/>
                <w:sz w:val="18"/>
                <w:szCs w:val="20"/>
                <w:lang/>
              </w:rPr>
            </w:pPr>
          </w:p>
        </w:tc>
        <w:tc>
          <w:tcPr>
            <w:tcW w:w="486" w:type="dxa"/>
            <w:tcBorders>
              <w:top w:val="nil"/>
              <w:left w:val="nil"/>
              <w:bottom w:val="nil"/>
              <w:right w:val="nil"/>
              <w:tl2br w:val="nil"/>
              <w:tr2bl w:val="nil"/>
            </w:tcBorders>
            <w:noWrap w:val="0"/>
            <w:vAlign w:val="center"/>
          </w:tcPr>
          <w:p>
            <w:pPr>
              <w:autoSpaceDE w:val="0"/>
              <w:autoSpaceDN w:val="0"/>
              <w:adjustRightInd w:val="0"/>
              <w:jc w:val="left"/>
              <w:rPr>
                <w:rFonts w:hint="eastAsia" w:ascii="宋体" w:hAnsi="宋体" w:eastAsia="宋体"/>
                <w:color w:val="000000"/>
                <w:kern w:val="0"/>
                <w:sz w:val="18"/>
                <w:szCs w:val="20"/>
                <w:lang/>
              </w:rPr>
            </w:pPr>
          </w:p>
        </w:tc>
        <w:tc>
          <w:tcPr>
            <w:tcW w:w="1299" w:type="dxa"/>
            <w:tcBorders>
              <w:top w:val="nil"/>
              <w:left w:val="nil"/>
              <w:bottom w:val="nil"/>
              <w:right w:val="nil"/>
              <w:tl2br w:val="nil"/>
              <w:tr2bl w:val="nil"/>
            </w:tcBorders>
            <w:noWrap w:val="0"/>
            <w:vAlign w:val="center"/>
          </w:tcPr>
          <w:p>
            <w:pPr>
              <w:autoSpaceDE w:val="0"/>
              <w:autoSpaceDN w:val="0"/>
              <w:adjustRightInd w:val="0"/>
              <w:jc w:val="left"/>
              <w:rPr>
                <w:rFonts w:hint="eastAsia" w:ascii="宋体" w:hAnsi="宋体" w:eastAsia="宋体"/>
                <w:color w:val="000000"/>
                <w:kern w:val="0"/>
                <w:sz w:val="18"/>
                <w:szCs w:val="20"/>
                <w:lang/>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3" w:hRule="atLeast"/>
        </w:trPr>
        <w:tc>
          <w:tcPr>
            <w:tcW w:w="8497"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黑体" w:hAnsi="宋体" w:eastAsia="黑体"/>
                <w:b/>
                <w:color w:val="000000"/>
                <w:kern w:val="0"/>
                <w:sz w:val="30"/>
                <w:szCs w:val="20"/>
                <w:lang/>
              </w:rPr>
            </w:pPr>
            <w:r>
              <w:rPr>
                <w:rFonts w:hint="eastAsia" w:ascii="黑体" w:hAnsi="宋体" w:eastAsia="黑体"/>
                <w:b/>
                <w:color w:val="000000"/>
                <w:kern w:val="0"/>
                <w:sz w:val="30"/>
                <w:szCs w:val="20"/>
                <w:lang w:val="en-US" w:eastAsia="zh-CN"/>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56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left"/>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项目名称</w:t>
            </w:r>
          </w:p>
        </w:tc>
        <w:tc>
          <w:tcPr>
            <w:tcW w:w="6929"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left"/>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51090423T000008954295-2020年市级教育发展专项资金（学前教育发展）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156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left"/>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主管部门</w:t>
            </w:r>
          </w:p>
        </w:tc>
        <w:tc>
          <w:tcPr>
            <w:tcW w:w="3770"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left"/>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遂宁市安居区拦江镇中心幼儿园部门</w:t>
            </w:r>
          </w:p>
        </w:tc>
        <w:tc>
          <w:tcPr>
            <w:tcW w:w="8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实施单位 （盖章）</w:t>
            </w:r>
          </w:p>
        </w:tc>
        <w:tc>
          <w:tcPr>
            <w:tcW w:w="227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遂宁市安居区拦江镇中心幼儿园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0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left"/>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项目基本情况</w:t>
            </w:r>
          </w:p>
        </w:tc>
        <w:tc>
          <w:tcPr>
            <w:tcW w:w="96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left"/>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1.项目年度目标完成情况</w:t>
            </w:r>
          </w:p>
        </w:tc>
        <w:tc>
          <w:tcPr>
            <w:tcW w:w="3770"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项目年度目标</w:t>
            </w:r>
          </w:p>
        </w:tc>
        <w:tc>
          <w:tcPr>
            <w:tcW w:w="315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0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val="0"/>
              <w:autoSpaceDN w:val="0"/>
              <w:adjustRightInd w:val="0"/>
              <w:jc w:val="left"/>
              <w:rPr>
                <w:rFonts w:hint="eastAsia" w:ascii="宋体" w:hAnsi="宋体" w:eastAsia="宋体"/>
                <w:color w:val="000000"/>
                <w:kern w:val="0"/>
                <w:sz w:val="18"/>
                <w:szCs w:val="20"/>
                <w:lang/>
              </w:rPr>
            </w:pPr>
          </w:p>
        </w:tc>
        <w:tc>
          <w:tcPr>
            <w:tcW w:w="9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val="0"/>
              <w:autoSpaceDN w:val="0"/>
              <w:adjustRightInd w:val="0"/>
              <w:jc w:val="left"/>
              <w:rPr>
                <w:rFonts w:hint="eastAsia" w:ascii="宋体" w:hAnsi="宋体" w:eastAsia="宋体"/>
                <w:color w:val="000000"/>
                <w:kern w:val="0"/>
                <w:sz w:val="18"/>
                <w:szCs w:val="20"/>
                <w:lang/>
              </w:rPr>
            </w:pPr>
          </w:p>
        </w:tc>
        <w:tc>
          <w:tcPr>
            <w:tcW w:w="3770"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left"/>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促进附设幼儿园健康发展，提高预算编制质量，严格执行预算，减少结余资金。</w:t>
            </w:r>
          </w:p>
        </w:tc>
        <w:tc>
          <w:tcPr>
            <w:tcW w:w="315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left"/>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严格执行预算，及时申请支付资金，促进幼儿园健康发展。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trPr>
        <w:tc>
          <w:tcPr>
            <w:tcW w:w="60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val="0"/>
              <w:autoSpaceDN w:val="0"/>
              <w:adjustRightInd w:val="0"/>
              <w:jc w:val="left"/>
              <w:rPr>
                <w:rFonts w:hint="eastAsia" w:ascii="宋体" w:hAnsi="宋体" w:eastAsia="宋体"/>
                <w:color w:val="000000"/>
                <w:kern w:val="0"/>
                <w:sz w:val="18"/>
                <w:szCs w:val="20"/>
                <w:lang/>
              </w:rPr>
            </w:pP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left"/>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2.项目实施内容及过程概述</w:t>
            </w:r>
          </w:p>
        </w:tc>
        <w:tc>
          <w:tcPr>
            <w:tcW w:w="6929"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left"/>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及时申报经费，促进幼儿园健康发展。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0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预算执行情况（10分）</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年度预算数（万元）</w:t>
            </w:r>
          </w:p>
        </w:tc>
        <w:tc>
          <w:tcPr>
            <w:tcW w:w="9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年初预算</w:t>
            </w:r>
          </w:p>
        </w:tc>
        <w:tc>
          <w:tcPr>
            <w:tcW w:w="12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调整后预算数</w:t>
            </w:r>
          </w:p>
        </w:tc>
        <w:tc>
          <w:tcPr>
            <w:tcW w:w="159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预算执行数</w:t>
            </w:r>
          </w:p>
        </w:tc>
        <w:tc>
          <w:tcPr>
            <w:tcW w:w="8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预算执行率</w:t>
            </w:r>
          </w:p>
        </w:tc>
        <w:tc>
          <w:tcPr>
            <w:tcW w:w="4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权重</w:t>
            </w:r>
          </w:p>
        </w:tc>
        <w:tc>
          <w:tcPr>
            <w:tcW w:w="4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得分</w:t>
            </w:r>
          </w:p>
        </w:tc>
        <w:tc>
          <w:tcPr>
            <w:tcW w:w="12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60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val="0"/>
              <w:autoSpaceDN w:val="0"/>
              <w:adjustRightInd w:val="0"/>
              <w:jc w:val="center"/>
              <w:rPr>
                <w:rFonts w:hint="eastAsia" w:ascii="宋体" w:hAnsi="宋体" w:eastAsia="宋体"/>
                <w:color w:val="000000"/>
                <w:kern w:val="0"/>
                <w:sz w:val="18"/>
                <w:szCs w:val="20"/>
                <w:lang/>
              </w:rPr>
            </w:pP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总额</w:t>
            </w:r>
          </w:p>
        </w:tc>
        <w:tc>
          <w:tcPr>
            <w:tcW w:w="9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0.00</w:t>
            </w:r>
          </w:p>
        </w:tc>
        <w:tc>
          <w:tcPr>
            <w:tcW w:w="12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2.02</w:t>
            </w:r>
          </w:p>
        </w:tc>
        <w:tc>
          <w:tcPr>
            <w:tcW w:w="159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2.02</w:t>
            </w:r>
          </w:p>
        </w:tc>
        <w:tc>
          <w:tcPr>
            <w:tcW w:w="8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100.00%</w:t>
            </w:r>
          </w:p>
        </w:tc>
        <w:tc>
          <w:tcPr>
            <w:tcW w:w="4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10</w:t>
            </w:r>
          </w:p>
        </w:tc>
        <w:tc>
          <w:tcPr>
            <w:tcW w:w="4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10</w:t>
            </w:r>
          </w:p>
        </w:tc>
        <w:tc>
          <w:tcPr>
            <w:tcW w:w="129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val="0"/>
              <w:autoSpaceDN w:val="0"/>
              <w:adjustRightInd w:val="0"/>
              <w:jc w:val="left"/>
              <w:rPr>
                <w:rFonts w:hint="eastAsia" w:ascii="黑体" w:hAnsi="黑体" w:eastAsia="黑体"/>
                <w:i/>
                <w:color w:val="000000"/>
                <w:kern w:val="0"/>
                <w:sz w:val="18"/>
                <w:szCs w:val="20"/>
                <w:lang/>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0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val="0"/>
              <w:autoSpaceDN w:val="0"/>
              <w:adjustRightInd w:val="0"/>
              <w:jc w:val="center"/>
              <w:rPr>
                <w:rFonts w:hint="eastAsia" w:ascii="宋体" w:hAnsi="宋体" w:eastAsia="宋体"/>
                <w:color w:val="000000"/>
                <w:kern w:val="0"/>
                <w:sz w:val="18"/>
                <w:szCs w:val="20"/>
                <w:lang/>
              </w:rPr>
            </w:pP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其中：财政资金</w:t>
            </w:r>
          </w:p>
        </w:tc>
        <w:tc>
          <w:tcPr>
            <w:tcW w:w="9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0.00</w:t>
            </w:r>
          </w:p>
        </w:tc>
        <w:tc>
          <w:tcPr>
            <w:tcW w:w="12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2.02</w:t>
            </w:r>
          </w:p>
        </w:tc>
        <w:tc>
          <w:tcPr>
            <w:tcW w:w="159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2.02</w:t>
            </w:r>
          </w:p>
        </w:tc>
        <w:tc>
          <w:tcPr>
            <w:tcW w:w="8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100.00%</w:t>
            </w:r>
          </w:p>
        </w:tc>
        <w:tc>
          <w:tcPr>
            <w:tcW w:w="4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w:t>
            </w:r>
          </w:p>
        </w:tc>
        <w:tc>
          <w:tcPr>
            <w:tcW w:w="4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w:t>
            </w:r>
          </w:p>
        </w:tc>
        <w:tc>
          <w:tcPr>
            <w:tcW w:w="129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val="0"/>
              <w:autoSpaceDN w:val="0"/>
              <w:adjustRightInd w:val="0"/>
              <w:jc w:val="left"/>
              <w:rPr>
                <w:rFonts w:hint="eastAsia" w:ascii="黑体" w:hAnsi="黑体" w:eastAsia="黑体"/>
                <w:i/>
                <w:color w:val="000000"/>
                <w:kern w:val="0"/>
                <w:sz w:val="18"/>
                <w:szCs w:val="20"/>
                <w:lang/>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0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val="0"/>
              <w:autoSpaceDN w:val="0"/>
              <w:adjustRightInd w:val="0"/>
              <w:jc w:val="center"/>
              <w:rPr>
                <w:rFonts w:hint="eastAsia" w:ascii="宋体" w:hAnsi="宋体" w:eastAsia="宋体"/>
                <w:color w:val="000000"/>
                <w:kern w:val="0"/>
                <w:sz w:val="18"/>
                <w:szCs w:val="20"/>
                <w:lang/>
              </w:rPr>
            </w:pP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财政专户管理资金</w:t>
            </w:r>
          </w:p>
        </w:tc>
        <w:tc>
          <w:tcPr>
            <w:tcW w:w="9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0.00</w:t>
            </w:r>
          </w:p>
        </w:tc>
        <w:tc>
          <w:tcPr>
            <w:tcW w:w="12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0.00</w:t>
            </w:r>
          </w:p>
        </w:tc>
        <w:tc>
          <w:tcPr>
            <w:tcW w:w="159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0.00</w:t>
            </w:r>
          </w:p>
        </w:tc>
        <w:tc>
          <w:tcPr>
            <w:tcW w:w="8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0.00%</w:t>
            </w:r>
          </w:p>
        </w:tc>
        <w:tc>
          <w:tcPr>
            <w:tcW w:w="4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w:t>
            </w:r>
          </w:p>
        </w:tc>
        <w:tc>
          <w:tcPr>
            <w:tcW w:w="4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w:t>
            </w:r>
          </w:p>
        </w:tc>
        <w:tc>
          <w:tcPr>
            <w:tcW w:w="129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val="0"/>
              <w:autoSpaceDN w:val="0"/>
              <w:adjustRightInd w:val="0"/>
              <w:jc w:val="left"/>
              <w:rPr>
                <w:rFonts w:hint="eastAsia" w:ascii="黑体" w:hAnsi="黑体" w:eastAsia="黑体"/>
                <w:i/>
                <w:color w:val="000000"/>
                <w:kern w:val="0"/>
                <w:sz w:val="18"/>
                <w:szCs w:val="20"/>
                <w:lang/>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60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val="0"/>
              <w:autoSpaceDN w:val="0"/>
              <w:adjustRightInd w:val="0"/>
              <w:jc w:val="center"/>
              <w:rPr>
                <w:rFonts w:hint="eastAsia" w:ascii="宋体" w:hAnsi="宋体" w:eastAsia="宋体"/>
                <w:color w:val="000000"/>
                <w:kern w:val="0"/>
                <w:sz w:val="18"/>
                <w:szCs w:val="20"/>
                <w:lang/>
              </w:rPr>
            </w:pP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单位资金</w:t>
            </w:r>
          </w:p>
        </w:tc>
        <w:tc>
          <w:tcPr>
            <w:tcW w:w="9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0.00</w:t>
            </w:r>
          </w:p>
        </w:tc>
        <w:tc>
          <w:tcPr>
            <w:tcW w:w="12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0.00</w:t>
            </w:r>
          </w:p>
        </w:tc>
        <w:tc>
          <w:tcPr>
            <w:tcW w:w="159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0.00</w:t>
            </w:r>
          </w:p>
        </w:tc>
        <w:tc>
          <w:tcPr>
            <w:tcW w:w="8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0.00%</w:t>
            </w:r>
          </w:p>
        </w:tc>
        <w:tc>
          <w:tcPr>
            <w:tcW w:w="4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w:t>
            </w:r>
          </w:p>
        </w:tc>
        <w:tc>
          <w:tcPr>
            <w:tcW w:w="4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w:t>
            </w:r>
          </w:p>
        </w:tc>
        <w:tc>
          <w:tcPr>
            <w:tcW w:w="129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val="0"/>
              <w:autoSpaceDN w:val="0"/>
              <w:adjustRightInd w:val="0"/>
              <w:jc w:val="left"/>
              <w:rPr>
                <w:rFonts w:hint="eastAsia" w:ascii="黑体" w:hAnsi="黑体" w:eastAsia="黑体"/>
                <w:i/>
                <w:color w:val="000000"/>
                <w:kern w:val="0"/>
                <w:sz w:val="18"/>
                <w:szCs w:val="20"/>
                <w:lang/>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60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val="0"/>
              <w:autoSpaceDN w:val="0"/>
              <w:adjustRightInd w:val="0"/>
              <w:jc w:val="center"/>
              <w:rPr>
                <w:rFonts w:hint="eastAsia" w:ascii="宋体" w:hAnsi="宋体" w:eastAsia="宋体"/>
                <w:color w:val="000000"/>
                <w:kern w:val="0"/>
                <w:sz w:val="18"/>
                <w:szCs w:val="20"/>
                <w:lang/>
              </w:rPr>
            </w:pP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其他资金</w:t>
            </w:r>
          </w:p>
        </w:tc>
        <w:tc>
          <w:tcPr>
            <w:tcW w:w="9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val="0"/>
              <w:autoSpaceDN w:val="0"/>
              <w:adjustRightInd w:val="0"/>
              <w:jc w:val="center"/>
              <w:rPr>
                <w:rFonts w:hint="eastAsia" w:ascii="微软雅黑" w:hAnsi="微软雅黑" w:eastAsia="微软雅黑"/>
                <w:i/>
                <w:color w:val="000000"/>
                <w:kern w:val="0"/>
                <w:sz w:val="16"/>
                <w:szCs w:val="20"/>
                <w:lang/>
              </w:rPr>
            </w:pPr>
          </w:p>
        </w:tc>
        <w:tc>
          <w:tcPr>
            <w:tcW w:w="12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val="0"/>
              <w:autoSpaceDN w:val="0"/>
              <w:adjustRightInd w:val="0"/>
              <w:jc w:val="center"/>
              <w:rPr>
                <w:rFonts w:hint="eastAsia" w:ascii="微软雅黑" w:hAnsi="微软雅黑" w:eastAsia="微软雅黑"/>
                <w:i/>
                <w:color w:val="000000"/>
                <w:kern w:val="0"/>
                <w:sz w:val="16"/>
                <w:szCs w:val="20"/>
                <w:lang/>
              </w:rPr>
            </w:pPr>
          </w:p>
        </w:tc>
        <w:tc>
          <w:tcPr>
            <w:tcW w:w="159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val="0"/>
              <w:autoSpaceDN w:val="0"/>
              <w:adjustRightInd w:val="0"/>
              <w:jc w:val="center"/>
              <w:rPr>
                <w:rFonts w:hint="eastAsia" w:ascii="微软雅黑" w:hAnsi="微软雅黑" w:eastAsia="微软雅黑"/>
                <w:i/>
                <w:color w:val="000000"/>
                <w:kern w:val="0"/>
                <w:sz w:val="16"/>
                <w:szCs w:val="20"/>
                <w:lang/>
              </w:rPr>
            </w:pPr>
          </w:p>
        </w:tc>
        <w:tc>
          <w:tcPr>
            <w:tcW w:w="8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val="0"/>
              <w:autoSpaceDN w:val="0"/>
              <w:adjustRightInd w:val="0"/>
              <w:jc w:val="center"/>
              <w:rPr>
                <w:rFonts w:hint="eastAsia" w:ascii="微软雅黑" w:hAnsi="微软雅黑" w:eastAsia="微软雅黑"/>
                <w:i/>
                <w:color w:val="000000"/>
                <w:kern w:val="0"/>
                <w:sz w:val="16"/>
                <w:szCs w:val="20"/>
                <w:lang/>
              </w:rPr>
            </w:pPr>
          </w:p>
        </w:tc>
        <w:tc>
          <w:tcPr>
            <w:tcW w:w="4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w:t>
            </w:r>
          </w:p>
        </w:tc>
        <w:tc>
          <w:tcPr>
            <w:tcW w:w="4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w:t>
            </w:r>
          </w:p>
        </w:tc>
        <w:tc>
          <w:tcPr>
            <w:tcW w:w="129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val="0"/>
              <w:autoSpaceDN w:val="0"/>
              <w:adjustRightInd w:val="0"/>
              <w:jc w:val="left"/>
              <w:rPr>
                <w:rFonts w:hint="eastAsia" w:ascii="黑体" w:hAnsi="黑体" w:eastAsia="黑体"/>
                <w:i/>
                <w:color w:val="000000"/>
                <w:kern w:val="0"/>
                <w:sz w:val="18"/>
                <w:szCs w:val="20"/>
                <w:lang/>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1" w:hRule="atLeast"/>
        </w:trPr>
        <w:tc>
          <w:tcPr>
            <w:tcW w:w="60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绩效指标（90分）</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一级指标</w:t>
            </w:r>
          </w:p>
        </w:tc>
        <w:tc>
          <w:tcPr>
            <w:tcW w:w="9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二级指标</w:t>
            </w:r>
          </w:p>
        </w:tc>
        <w:tc>
          <w:tcPr>
            <w:tcW w:w="12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三级指标</w:t>
            </w:r>
          </w:p>
        </w:tc>
        <w:tc>
          <w:tcPr>
            <w:tcW w:w="4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指标性质</w:t>
            </w:r>
          </w:p>
        </w:tc>
        <w:tc>
          <w:tcPr>
            <w:tcW w:w="7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指标值</w:t>
            </w:r>
          </w:p>
        </w:tc>
        <w:tc>
          <w:tcPr>
            <w:tcW w:w="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度量单位</w:t>
            </w:r>
          </w:p>
        </w:tc>
        <w:tc>
          <w:tcPr>
            <w:tcW w:w="8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完成值</w:t>
            </w:r>
          </w:p>
        </w:tc>
        <w:tc>
          <w:tcPr>
            <w:tcW w:w="4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权重</w:t>
            </w:r>
          </w:p>
        </w:tc>
        <w:tc>
          <w:tcPr>
            <w:tcW w:w="4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得分</w:t>
            </w:r>
          </w:p>
        </w:tc>
        <w:tc>
          <w:tcPr>
            <w:tcW w:w="12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60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val="0"/>
              <w:autoSpaceDN w:val="0"/>
              <w:adjustRightInd w:val="0"/>
              <w:jc w:val="center"/>
              <w:rPr>
                <w:rFonts w:hint="eastAsia" w:ascii="宋体" w:hAnsi="宋体" w:eastAsia="宋体"/>
                <w:color w:val="000000"/>
                <w:kern w:val="0"/>
                <w:sz w:val="18"/>
                <w:szCs w:val="20"/>
                <w:lang/>
              </w:rPr>
            </w:pP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产出指标</w:t>
            </w:r>
          </w:p>
        </w:tc>
        <w:tc>
          <w:tcPr>
            <w:tcW w:w="9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数量指标</w:t>
            </w:r>
          </w:p>
        </w:tc>
        <w:tc>
          <w:tcPr>
            <w:tcW w:w="12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运转保障率</w:t>
            </w:r>
          </w:p>
        </w:tc>
        <w:tc>
          <w:tcPr>
            <w:tcW w:w="4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w:t>
            </w:r>
          </w:p>
        </w:tc>
        <w:tc>
          <w:tcPr>
            <w:tcW w:w="7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100</w:t>
            </w:r>
          </w:p>
        </w:tc>
        <w:tc>
          <w:tcPr>
            <w:tcW w:w="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w:t>
            </w:r>
          </w:p>
        </w:tc>
        <w:tc>
          <w:tcPr>
            <w:tcW w:w="8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val="0"/>
              <w:autoSpaceDN w:val="0"/>
              <w:adjustRightInd w:val="0"/>
              <w:jc w:val="center"/>
              <w:rPr>
                <w:rFonts w:hint="eastAsia" w:ascii="微软雅黑" w:hAnsi="微软雅黑" w:eastAsia="微软雅黑"/>
                <w:i/>
                <w:color w:val="000000"/>
                <w:kern w:val="0"/>
                <w:sz w:val="16"/>
                <w:szCs w:val="20"/>
                <w:lang/>
              </w:rPr>
            </w:pPr>
          </w:p>
        </w:tc>
        <w:tc>
          <w:tcPr>
            <w:tcW w:w="4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90</w:t>
            </w:r>
          </w:p>
        </w:tc>
        <w:tc>
          <w:tcPr>
            <w:tcW w:w="4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90</w:t>
            </w:r>
          </w:p>
        </w:tc>
        <w:tc>
          <w:tcPr>
            <w:tcW w:w="12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val="0"/>
              <w:autoSpaceDN w:val="0"/>
              <w:adjustRightInd w:val="0"/>
              <w:jc w:val="center"/>
              <w:rPr>
                <w:rFonts w:hint="eastAsia" w:ascii="微软雅黑" w:hAnsi="微软雅黑" w:eastAsia="微软雅黑"/>
                <w:i/>
                <w:color w:val="000000"/>
                <w:kern w:val="0"/>
                <w:sz w:val="16"/>
                <w:szCs w:val="20"/>
                <w:lang/>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226"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合计</w:t>
            </w:r>
          </w:p>
        </w:tc>
        <w:tc>
          <w:tcPr>
            <w:tcW w:w="4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100</w:t>
            </w:r>
          </w:p>
        </w:tc>
        <w:tc>
          <w:tcPr>
            <w:tcW w:w="4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right"/>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100</w:t>
            </w:r>
          </w:p>
        </w:tc>
        <w:tc>
          <w:tcPr>
            <w:tcW w:w="12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val="0"/>
              <w:autoSpaceDN w:val="0"/>
              <w:adjustRightInd w:val="0"/>
              <w:jc w:val="left"/>
              <w:rPr>
                <w:rFonts w:hint="eastAsia" w:ascii="宋体" w:hAnsi="宋体" w:eastAsia="宋体"/>
                <w:color w:val="000000"/>
                <w:kern w:val="0"/>
                <w:sz w:val="18"/>
                <w:szCs w:val="20"/>
                <w:lang/>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6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评价结论</w:t>
            </w:r>
          </w:p>
        </w:tc>
        <w:tc>
          <w:tcPr>
            <w:tcW w:w="6594"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left"/>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根据该项目预算执行率、 绩效目标实现指标自评得分100.00分，自评等次为：优，严格执行相关政策，按要求支付，促进幼儿园健康发展。</w:t>
            </w:r>
          </w:p>
        </w:tc>
        <w:tc>
          <w:tcPr>
            <w:tcW w:w="12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val="0"/>
              <w:autoSpaceDN w:val="0"/>
              <w:adjustRightInd w:val="0"/>
              <w:jc w:val="left"/>
              <w:rPr>
                <w:rFonts w:hint="eastAsia" w:ascii="宋体" w:hAnsi="宋体" w:eastAsia="宋体"/>
                <w:color w:val="000000"/>
                <w:kern w:val="0"/>
                <w:sz w:val="18"/>
                <w:szCs w:val="20"/>
                <w:lang/>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6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存在问题</w:t>
            </w:r>
          </w:p>
        </w:tc>
        <w:tc>
          <w:tcPr>
            <w:tcW w:w="6594"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left"/>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无</w:t>
            </w:r>
          </w:p>
        </w:tc>
        <w:tc>
          <w:tcPr>
            <w:tcW w:w="12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val="0"/>
              <w:autoSpaceDN w:val="0"/>
              <w:adjustRightInd w:val="0"/>
              <w:jc w:val="left"/>
              <w:rPr>
                <w:rFonts w:hint="eastAsia" w:ascii="宋体" w:hAnsi="宋体" w:eastAsia="宋体"/>
                <w:color w:val="000000"/>
                <w:kern w:val="0"/>
                <w:sz w:val="18"/>
                <w:szCs w:val="20"/>
                <w:lang/>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6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改进措施</w:t>
            </w:r>
          </w:p>
        </w:tc>
        <w:tc>
          <w:tcPr>
            <w:tcW w:w="6594"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left"/>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无</w:t>
            </w:r>
          </w:p>
        </w:tc>
        <w:tc>
          <w:tcPr>
            <w:tcW w:w="12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val="0"/>
              <w:autoSpaceDN w:val="0"/>
              <w:adjustRightInd w:val="0"/>
              <w:jc w:val="left"/>
              <w:rPr>
                <w:rFonts w:hint="eastAsia" w:ascii="宋体" w:hAnsi="宋体" w:eastAsia="宋体"/>
                <w:color w:val="000000"/>
                <w:kern w:val="0"/>
                <w:sz w:val="18"/>
                <w:szCs w:val="20"/>
                <w:lang/>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216"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left"/>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项目负责人：唐海燕</w:t>
            </w:r>
          </w:p>
        </w:tc>
        <w:tc>
          <w:tcPr>
            <w:tcW w:w="4281"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left"/>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财务负责人：唐亚群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04" w:type="dxa"/>
            <w:tcBorders>
              <w:top w:val="nil"/>
              <w:left w:val="nil"/>
              <w:bottom w:val="nil"/>
              <w:right w:val="nil"/>
              <w:tl2br w:val="nil"/>
              <w:tr2bl w:val="nil"/>
            </w:tcBorders>
            <w:noWrap w:val="0"/>
            <w:vAlign w:val="center"/>
          </w:tcPr>
          <w:p>
            <w:pPr>
              <w:autoSpaceDE w:val="0"/>
              <w:autoSpaceDN w:val="0"/>
              <w:adjustRightInd w:val="0"/>
              <w:jc w:val="left"/>
              <w:rPr>
                <w:rFonts w:hint="eastAsia" w:ascii="宋体" w:hAnsi="宋体" w:eastAsia="宋体"/>
                <w:color w:val="000000"/>
                <w:kern w:val="0"/>
                <w:sz w:val="18"/>
                <w:szCs w:val="20"/>
                <w:lang/>
              </w:rPr>
            </w:pPr>
          </w:p>
        </w:tc>
        <w:tc>
          <w:tcPr>
            <w:tcW w:w="964" w:type="dxa"/>
            <w:tcBorders>
              <w:top w:val="nil"/>
              <w:left w:val="nil"/>
              <w:bottom w:val="nil"/>
              <w:right w:val="nil"/>
              <w:tl2br w:val="nil"/>
              <w:tr2bl w:val="nil"/>
            </w:tcBorders>
            <w:noWrap w:val="0"/>
            <w:vAlign w:val="center"/>
          </w:tcPr>
          <w:p>
            <w:pPr>
              <w:autoSpaceDE w:val="0"/>
              <w:autoSpaceDN w:val="0"/>
              <w:adjustRightInd w:val="0"/>
              <w:jc w:val="left"/>
              <w:rPr>
                <w:rFonts w:hint="eastAsia" w:ascii="宋体" w:hAnsi="宋体" w:eastAsia="宋体"/>
                <w:color w:val="000000"/>
                <w:kern w:val="0"/>
                <w:sz w:val="18"/>
                <w:szCs w:val="20"/>
                <w:lang/>
              </w:rPr>
            </w:pPr>
          </w:p>
        </w:tc>
        <w:tc>
          <w:tcPr>
            <w:tcW w:w="973" w:type="dxa"/>
            <w:tcBorders>
              <w:top w:val="nil"/>
              <w:left w:val="nil"/>
              <w:bottom w:val="nil"/>
              <w:right w:val="nil"/>
              <w:tl2br w:val="nil"/>
              <w:tr2bl w:val="nil"/>
            </w:tcBorders>
            <w:noWrap w:val="0"/>
            <w:vAlign w:val="center"/>
          </w:tcPr>
          <w:p>
            <w:pPr>
              <w:autoSpaceDE w:val="0"/>
              <w:autoSpaceDN w:val="0"/>
              <w:adjustRightInd w:val="0"/>
              <w:jc w:val="left"/>
              <w:rPr>
                <w:rFonts w:hint="eastAsia" w:ascii="宋体" w:hAnsi="宋体" w:eastAsia="宋体"/>
                <w:color w:val="000000"/>
                <w:kern w:val="0"/>
                <w:sz w:val="18"/>
                <w:szCs w:val="20"/>
                <w:lang/>
              </w:rPr>
            </w:pPr>
          </w:p>
        </w:tc>
        <w:tc>
          <w:tcPr>
            <w:tcW w:w="1206" w:type="dxa"/>
            <w:tcBorders>
              <w:top w:val="nil"/>
              <w:left w:val="nil"/>
              <w:bottom w:val="nil"/>
              <w:right w:val="nil"/>
              <w:tl2br w:val="nil"/>
              <w:tr2bl w:val="nil"/>
            </w:tcBorders>
            <w:noWrap w:val="0"/>
            <w:vAlign w:val="center"/>
          </w:tcPr>
          <w:p>
            <w:pPr>
              <w:autoSpaceDE w:val="0"/>
              <w:autoSpaceDN w:val="0"/>
              <w:adjustRightInd w:val="0"/>
              <w:jc w:val="left"/>
              <w:rPr>
                <w:rFonts w:hint="eastAsia" w:ascii="宋体" w:hAnsi="宋体" w:eastAsia="宋体"/>
                <w:color w:val="000000"/>
                <w:kern w:val="0"/>
                <w:sz w:val="18"/>
                <w:szCs w:val="20"/>
                <w:lang/>
              </w:rPr>
            </w:pPr>
          </w:p>
        </w:tc>
        <w:tc>
          <w:tcPr>
            <w:tcW w:w="469" w:type="dxa"/>
            <w:tcBorders>
              <w:top w:val="nil"/>
              <w:left w:val="nil"/>
              <w:bottom w:val="nil"/>
              <w:right w:val="nil"/>
              <w:tl2br w:val="nil"/>
              <w:tr2bl w:val="nil"/>
            </w:tcBorders>
            <w:noWrap w:val="0"/>
            <w:vAlign w:val="center"/>
          </w:tcPr>
          <w:p>
            <w:pPr>
              <w:autoSpaceDE w:val="0"/>
              <w:autoSpaceDN w:val="0"/>
              <w:adjustRightInd w:val="0"/>
              <w:jc w:val="left"/>
              <w:rPr>
                <w:rFonts w:hint="eastAsia" w:ascii="宋体" w:hAnsi="宋体" w:eastAsia="宋体"/>
                <w:color w:val="000000"/>
                <w:kern w:val="0"/>
                <w:sz w:val="18"/>
                <w:szCs w:val="20"/>
                <w:lang/>
              </w:rPr>
            </w:pPr>
          </w:p>
        </w:tc>
        <w:tc>
          <w:tcPr>
            <w:tcW w:w="720" w:type="dxa"/>
            <w:tcBorders>
              <w:top w:val="nil"/>
              <w:left w:val="nil"/>
              <w:bottom w:val="nil"/>
              <w:right w:val="nil"/>
              <w:tl2br w:val="nil"/>
              <w:tr2bl w:val="nil"/>
            </w:tcBorders>
            <w:noWrap w:val="0"/>
            <w:vAlign w:val="center"/>
          </w:tcPr>
          <w:p>
            <w:pPr>
              <w:autoSpaceDE w:val="0"/>
              <w:autoSpaceDN w:val="0"/>
              <w:adjustRightInd w:val="0"/>
              <w:jc w:val="left"/>
              <w:rPr>
                <w:rFonts w:hint="eastAsia" w:ascii="宋体" w:hAnsi="宋体" w:eastAsia="宋体"/>
                <w:color w:val="000000"/>
                <w:kern w:val="0"/>
                <w:sz w:val="18"/>
                <w:szCs w:val="20"/>
                <w:lang/>
              </w:rPr>
            </w:pPr>
          </w:p>
        </w:tc>
        <w:tc>
          <w:tcPr>
            <w:tcW w:w="402" w:type="dxa"/>
            <w:tcBorders>
              <w:top w:val="nil"/>
              <w:left w:val="nil"/>
              <w:bottom w:val="nil"/>
              <w:right w:val="nil"/>
              <w:tl2br w:val="nil"/>
              <w:tr2bl w:val="nil"/>
            </w:tcBorders>
            <w:noWrap w:val="0"/>
            <w:vAlign w:val="center"/>
          </w:tcPr>
          <w:p>
            <w:pPr>
              <w:autoSpaceDE w:val="0"/>
              <w:autoSpaceDN w:val="0"/>
              <w:adjustRightInd w:val="0"/>
              <w:jc w:val="left"/>
              <w:rPr>
                <w:rFonts w:hint="eastAsia" w:ascii="宋体" w:hAnsi="宋体" w:eastAsia="宋体"/>
                <w:color w:val="000000"/>
                <w:kern w:val="0"/>
                <w:sz w:val="18"/>
                <w:szCs w:val="20"/>
                <w:lang/>
              </w:rPr>
            </w:pPr>
          </w:p>
        </w:tc>
        <w:tc>
          <w:tcPr>
            <w:tcW w:w="888" w:type="dxa"/>
            <w:tcBorders>
              <w:top w:val="nil"/>
              <w:left w:val="nil"/>
              <w:bottom w:val="nil"/>
              <w:right w:val="nil"/>
              <w:tl2br w:val="nil"/>
              <w:tr2bl w:val="nil"/>
            </w:tcBorders>
            <w:noWrap w:val="0"/>
            <w:vAlign w:val="center"/>
          </w:tcPr>
          <w:p>
            <w:pPr>
              <w:autoSpaceDE w:val="0"/>
              <w:autoSpaceDN w:val="0"/>
              <w:adjustRightInd w:val="0"/>
              <w:jc w:val="left"/>
              <w:rPr>
                <w:rFonts w:hint="eastAsia" w:ascii="宋体" w:hAnsi="宋体" w:eastAsia="宋体"/>
                <w:color w:val="000000"/>
                <w:kern w:val="0"/>
                <w:sz w:val="18"/>
                <w:szCs w:val="20"/>
                <w:lang/>
              </w:rPr>
            </w:pPr>
          </w:p>
        </w:tc>
        <w:tc>
          <w:tcPr>
            <w:tcW w:w="486" w:type="dxa"/>
            <w:tcBorders>
              <w:top w:val="nil"/>
              <w:left w:val="nil"/>
              <w:bottom w:val="nil"/>
              <w:right w:val="nil"/>
              <w:tl2br w:val="nil"/>
              <w:tr2bl w:val="nil"/>
            </w:tcBorders>
            <w:noWrap w:val="0"/>
            <w:vAlign w:val="center"/>
          </w:tcPr>
          <w:p>
            <w:pPr>
              <w:autoSpaceDE w:val="0"/>
              <w:autoSpaceDN w:val="0"/>
              <w:adjustRightInd w:val="0"/>
              <w:jc w:val="left"/>
              <w:rPr>
                <w:rFonts w:hint="eastAsia" w:ascii="宋体" w:hAnsi="宋体" w:eastAsia="宋体"/>
                <w:color w:val="000000"/>
                <w:kern w:val="0"/>
                <w:sz w:val="18"/>
                <w:szCs w:val="20"/>
                <w:lang/>
              </w:rPr>
            </w:pPr>
          </w:p>
        </w:tc>
        <w:tc>
          <w:tcPr>
            <w:tcW w:w="486" w:type="dxa"/>
            <w:tcBorders>
              <w:top w:val="nil"/>
              <w:left w:val="nil"/>
              <w:bottom w:val="nil"/>
              <w:right w:val="nil"/>
              <w:tl2br w:val="nil"/>
              <w:tr2bl w:val="nil"/>
            </w:tcBorders>
            <w:noWrap w:val="0"/>
            <w:vAlign w:val="center"/>
          </w:tcPr>
          <w:p>
            <w:pPr>
              <w:autoSpaceDE w:val="0"/>
              <w:autoSpaceDN w:val="0"/>
              <w:adjustRightInd w:val="0"/>
              <w:jc w:val="left"/>
              <w:rPr>
                <w:rFonts w:hint="eastAsia" w:ascii="宋体" w:hAnsi="宋体" w:eastAsia="宋体"/>
                <w:color w:val="000000"/>
                <w:kern w:val="0"/>
                <w:sz w:val="18"/>
                <w:szCs w:val="20"/>
                <w:lang/>
              </w:rPr>
            </w:pPr>
          </w:p>
        </w:tc>
        <w:tc>
          <w:tcPr>
            <w:tcW w:w="1299" w:type="dxa"/>
            <w:tcBorders>
              <w:top w:val="nil"/>
              <w:left w:val="nil"/>
              <w:bottom w:val="nil"/>
              <w:right w:val="nil"/>
              <w:tl2br w:val="nil"/>
              <w:tr2bl w:val="nil"/>
            </w:tcBorders>
            <w:noWrap w:val="0"/>
            <w:vAlign w:val="center"/>
          </w:tcPr>
          <w:p>
            <w:pPr>
              <w:autoSpaceDE w:val="0"/>
              <w:autoSpaceDN w:val="0"/>
              <w:adjustRightInd w:val="0"/>
              <w:jc w:val="left"/>
              <w:rPr>
                <w:rFonts w:hint="eastAsia" w:ascii="宋体" w:hAnsi="宋体" w:eastAsia="宋体"/>
                <w:color w:val="000000"/>
                <w:kern w:val="0"/>
                <w:sz w:val="18"/>
                <w:szCs w:val="20"/>
                <w:lang/>
              </w:rPr>
            </w:pPr>
          </w:p>
        </w:tc>
      </w:tr>
      <w:tr>
        <w:tblPrEx>
          <w:tblCellMar>
            <w:top w:w="0" w:type="dxa"/>
            <w:left w:w="108" w:type="dxa"/>
            <w:bottom w:w="0" w:type="dxa"/>
            <w:right w:w="108" w:type="dxa"/>
          </w:tblCellMar>
        </w:tblPrEx>
        <w:trPr>
          <w:trHeight w:val="883" w:hRule="atLeast"/>
        </w:trPr>
        <w:tc>
          <w:tcPr>
            <w:tcW w:w="8497"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黑体" w:hAnsi="宋体" w:eastAsia="黑体"/>
                <w:b/>
                <w:color w:val="000000"/>
                <w:kern w:val="0"/>
                <w:sz w:val="30"/>
                <w:szCs w:val="20"/>
                <w:lang/>
              </w:rPr>
            </w:pPr>
            <w:r>
              <w:rPr>
                <w:rFonts w:hint="eastAsia" w:ascii="黑体" w:hAnsi="宋体" w:eastAsia="黑体"/>
                <w:b/>
                <w:color w:val="000000"/>
                <w:kern w:val="0"/>
                <w:sz w:val="30"/>
                <w:szCs w:val="20"/>
                <w:lang w:val="en-US" w:eastAsia="zh-CN"/>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56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left"/>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项目名称</w:t>
            </w:r>
          </w:p>
        </w:tc>
        <w:tc>
          <w:tcPr>
            <w:tcW w:w="6929"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left"/>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51090423T000009655849-区级名师工程建设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156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left"/>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主管部门</w:t>
            </w:r>
          </w:p>
        </w:tc>
        <w:tc>
          <w:tcPr>
            <w:tcW w:w="3770"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left"/>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遂宁市安居区拦江镇中心幼儿园部门</w:t>
            </w:r>
          </w:p>
        </w:tc>
        <w:tc>
          <w:tcPr>
            <w:tcW w:w="8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实施单位 （盖章）</w:t>
            </w:r>
          </w:p>
        </w:tc>
        <w:tc>
          <w:tcPr>
            <w:tcW w:w="227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遂宁市安居区拦江镇中心幼儿园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0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left"/>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项目基本情况</w:t>
            </w:r>
          </w:p>
        </w:tc>
        <w:tc>
          <w:tcPr>
            <w:tcW w:w="96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left"/>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1.项目年度目标完成情况</w:t>
            </w:r>
          </w:p>
        </w:tc>
        <w:tc>
          <w:tcPr>
            <w:tcW w:w="3770"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项目年度目标</w:t>
            </w:r>
          </w:p>
        </w:tc>
        <w:tc>
          <w:tcPr>
            <w:tcW w:w="315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0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val="0"/>
              <w:autoSpaceDN w:val="0"/>
              <w:adjustRightInd w:val="0"/>
              <w:jc w:val="left"/>
              <w:rPr>
                <w:rFonts w:hint="eastAsia" w:ascii="宋体" w:hAnsi="宋体" w:eastAsia="宋体"/>
                <w:color w:val="000000"/>
                <w:kern w:val="0"/>
                <w:sz w:val="18"/>
                <w:szCs w:val="20"/>
                <w:lang/>
              </w:rPr>
            </w:pPr>
          </w:p>
        </w:tc>
        <w:tc>
          <w:tcPr>
            <w:tcW w:w="9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val="0"/>
              <w:autoSpaceDN w:val="0"/>
              <w:adjustRightInd w:val="0"/>
              <w:jc w:val="left"/>
              <w:rPr>
                <w:rFonts w:hint="eastAsia" w:ascii="宋体" w:hAnsi="宋体" w:eastAsia="宋体"/>
                <w:color w:val="000000"/>
                <w:kern w:val="0"/>
                <w:sz w:val="18"/>
                <w:szCs w:val="20"/>
                <w:lang/>
              </w:rPr>
            </w:pPr>
          </w:p>
        </w:tc>
        <w:tc>
          <w:tcPr>
            <w:tcW w:w="3770"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left"/>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促进教师成长，提高预算编制质量，严格执行预算，减少结余资金。</w:t>
            </w:r>
          </w:p>
        </w:tc>
        <w:tc>
          <w:tcPr>
            <w:tcW w:w="315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left"/>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严格执行预算，及时申请支付资金，促进教师成长。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trPr>
        <w:tc>
          <w:tcPr>
            <w:tcW w:w="60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val="0"/>
              <w:autoSpaceDN w:val="0"/>
              <w:adjustRightInd w:val="0"/>
              <w:jc w:val="left"/>
              <w:rPr>
                <w:rFonts w:hint="eastAsia" w:ascii="宋体" w:hAnsi="宋体" w:eastAsia="宋体"/>
                <w:color w:val="000000"/>
                <w:kern w:val="0"/>
                <w:sz w:val="18"/>
                <w:szCs w:val="20"/>
                <w:lang/>
              </w:rPr>
            </w:pP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left"/>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2.项目实施内容及过程概述</w:t>
            </w:r>
          </w:p>
        </w:tc>
        <w:tc>
          <w:tcPr>
            <w:tcW w:w="6929"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left"/>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及时申报经费，促进教师更快成长。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0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预算执行情况（10分）</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年度预算数（万元）</w:t>
            </w:r>
          </w:p>
        </w:tc>
        <w:tc>
          <w:tcPr>
            <w:tcW w:w="9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年初预算</w:t>
            </w:r>
          </w:p>
        </w:tc>
        <w:tc>
          <w:tcPr>
            <w:tcW w:w="12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调整后预算数</w:t>
            </w:r>
          </w:p>
        </w:tc>
        <w:tc>
          <w:tcPr>
            <w:tcW w:w="159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预算执行数</w:t>
            </w:r>
          </w:p>
        </w:tc>
        <w:tc>
          <w:tcPr>
            <w:tcW w:w="8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预算执行率</w:t>
            </w:r>
          </w:p>
        </w:tc>
        <w:tc>
          <w:tcPr>
            <w:tcW w:w="4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权重</w:t>
            </w:r>
          </w:p>
        </w:tc>
        <w:tc>
          <w:tcPr>
            <w:tcW w:w="4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得分</w:t>
            </w:r>
          </w:p>
        </w:tc>
        <w:tc>
          <w:tcPr>
            <w:tcW w:w="12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60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val="0"/>
              <w:autoSpaceDN w:val="0"/>
              <w:adjustRightInd w:val="0"/>
              <w:jc w:val="center"/>
              <w:rPr>
                <w:rFonts w:hint="eastAsia" w:ascii="宋体" w:hAnsi="宋体" w:eastAsia="宋体"/>
                <w:color w:val="000000"/>
                <w:kern w:val="0"/>
                <w:sz w:val="18"/>
                <w:szCs w:val="20"/>
                <w:lang/>
              </w:rPr>
            </w:pP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总额</w:t>
            </w:r>
          </w:p>
        </w:tc>
        <w:tc>
          <w:tcPr>
            <w:tcW w:w="9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0.00</w:t>
            </w:r>
          </w:p>
        </w:tc>
        <w:tc>
          <w:tcPr>
            <w:tcW w:w="12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0.30</w:t>
            </w:r>
          </w:p>
        </w:tc>
        <w:tc>
          <w:tcPr>
            <w:tcW w:w="159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0.30</w:t>
            </w:r>
          </w:p>
        </w:tc>
        <w:tc>
          <w:tcPr>
            <w:tcW w:w="8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100.00%</w:t>
            </w:r>
          </w:p>
        </w:tc>
        <w:tc>
          <w:tcPr>
            <w:tcW w:w="4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10</w:t>
            </w:r>
          </w:p>
        </w:tc>
        <w:tc>
          <w:tcPr>
            <w:tcW w:w="4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10</w:t>
            </w:r>
          </w:p>
        </w:tc>
        <w:tc>
          <w:tcPr>
            <w:tcW w:w="129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val="0"/>
              <w:autoSpaceDN w:val="0"/>
              <w:adjustRightInd w:val="0"/>
              <w:jc w:val="left"/>
              <w:rPr>
                <w:rFonts w:hint="eastAsia" w:ascii="黑体" w:hAnsi="黑体" w:eastAsia="黑体"/>
                <w:i/>
                <w:color w:val="000000"/>
                <w:kern w:val="0"/>
                <w:sz w:val="18"/>
                <w:szCs w:val="20"/>
                <w:lang/>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0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val="0"/>
              <w:autoSpaceDN w:val="0"/>
              <w:adjustRightInd w:val="0"/>
              <w:jc w:val="center"/>
              <w:rPr>
                <w:rFonts w:hint="eastAsia" w:ascii="宋体" w:hAnsi="宋体" w:eastAsia="宋体"/>
                <w:color w:val="000000"/>
                <w:kern w:val="0"/>
                <w:sz w:val="18"/>
                <w:szCs w:val="20"/>
                <w:lang/>
              </w:rPr>
            </w:pP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其中：财政资金</w:t>
            </w:r>
          </w:p>
        </w:tc>
        <w:tc>
          <w:tcPr>
            <w:tcW w:w="9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0.00</w:t>
            </w:r>
          </w:p>
        </w:tc>
        <w:tc>
          <w:tcPr>
            <w:tcW w:w="12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0.30</w:t>
            </w:r>
          </w:p>
        </w:tc>
        <w:tc>
          <w:tcPr>
            <w:tcW w:w="159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0.30</w:t>
            </w:r>
          </w:p>
        </w:tc>
        <w:tc>
          <w:tcPr>
            <w:tcW w:w="8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100.00%</w:t>
            </w:r>
          </w:p>
        </w:tc>
        <w:tc>
          <w:tcPr>
            <w:tcW w:w="4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w:t>
            </w:r>
          </w:p>
        </w:tc>
        <w:tc>
          <w:tcPr>
            <w:tcW w:w="4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w:t>
            </w:r>
          </w:p>
        </w:tc>
        <w:tc>
          <w:tcPr>
            <w:tcW w:w="129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val="0"/>
              <w:autoSpaceDN w:val="0"/>
              <w:adjustRightInd w:val="0"/>
              <w:jc w:val="left"/>
              <w:rPr>
                <w:rFonts w:hint="eastAsia" w:ascii="黑体" w:hAnsi="黑体" w:eastAsia="黑体"/>
                <w:i/>
                <w:color w:val="000000"/>
                <w:kern w:val="0"/>
                <w:sz w:val="18"/>
                <w:szCs w:val="20"/>
                <w:lang/>
              </w:rPr>
            </w:pPr>
          </w:p>
        </w:tc>
      </w:tr>
      <w:tr>
        <w:tblPrEx>
          <w:tblCellMar>
            <w:top w:w="0" w:type="dxa"/>
            <w:left w:w="108" w:type="dxa"/>
            <w:bottom w:w="0" w:type="dxa"/>
            <w:right w:w="108" w:type="dxa"/>
          </w:tblCellMar>
        </w:tblPrEx>
        <w:trPr>
          <w:trHeight w:val="460" w:hRule="atLeast"/>
        </w:trPr>
        <w:tc>
          <w:tcPr>
            <w:tcW w:w="60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val="0"/>
              <w:autoSpaceDN w:val="0"/>
              <w:adjustRightInd w:val="0"/>
              <w:jc w:val="center"/>
              <w:rPr>
                <w:rFonts w:hint="eastAsia" w:ascii="宋体" w:hAnsi="宋体" w:eastAsia="宋体"/>
                <w:color w:val="000000"/>
                <w:kern w:val="0"/>
                <w:sz w:val="18"/>
                <w:szCs w:val="20"/>
                <w:lang/>
              </w:rPr>
            </w:pP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财政专户管理资金</w:t>
            </w:r>
          </w:p>
        </w:tc>
        <w:tc>
          <w:tcPr>
            <w:tcW w:w="9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0.00</w:t>
            </w:r>
          </w:p>
        </w:tc>
        <w:tc>
          <w:tcPr>
            <w:tcW w:w="12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0.00</w:t>
            </w:r>
          </w:p>
        </w:tc>
        <w:tc>
          <w:tcPr>
            <w:tcW w:w="159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0.00</w:t>
            </w:r>
          </w:p>
        </w:tc>
        <w:tc>
          <w:tcPr>
            <w:tcW w:w="8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0.00%</w:t>
            </w:r>
          </w:p>
        </w:tc>
        <w:tc>
          <w:tcPr>
            <w:tcW w:w="4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w:t>
            </w:r>
          </w:p>
        </w:tc>
        <w:tc>
          <w:tcPr>
            <w:tcW w:w="4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w:t>
            </w:r>
          </w:p>
        </w:tc>
        <w:tc>
          <w:tcPr>
            <w:tcW w:w="129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val="0"/>
              <w:autoSpaceDN w:val="0"/>
              <w:adjustRightInd w:val="0"/>
              <w:jc w:val="left"/>
              <w:rPr>
                <w:rFonts w:hint="eastAsia" w:ascii="黑体" w:hAnsi="黑体" w:eastAsia="黑体"/>
                <w:i/>
                <w:color w:val="000000"/>
                <w:kern w:val="0"/>
                <w:sz w:val="18"/>
                <w:szCs w:val="20"/>
                <w:lang/>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60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val="0"/>
              <w:autoSpaceDN w:val="0"/>
              <w:adjustRightInd w:val="0"/>
              <w:jc w:val="center"/>
              <w:rPr>
                <w:rFonts w:hint="eastAsia" w:ascii="宋体" w:hAnsi="宋体" w:eastAsia="宋体"/>
                <w:color w:val="000000"/>
                <w:kern w:val="0"/>
                <w:sz w:val="18"/>
                <w:szCs w:val="20"/>
                <w:lang/>
              </w:rPr>
            </w:pP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单位资金</w:t>
            </w:r>
          </w:p>
        </w:tc>
        <w:tc>
          <w:tcPr>
            <w:tcW w:w="9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0.00</w:t>
            </w:r>
          </w:p>
        </w:tc>
        <w:tc>
          <w:tcPr>
            <w:tcW w:w="12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0.00</w:t>
            </w:r>
          </w:p>
        </w:tc>
        <w:tc>
          <w:tcPr>
            <w:tcW w:w="159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0.00</w:t>
            </w:r>
          </w:p>
        </w:tc>
        <w:tc>
          <w:tcPr>
            <w:tcW w:w="8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0.00%</w:t>
            </w:r>
          </w:p>
        </w:tc>
        <w:tc>
          <w:tcPr>
            <w:tcW w:w="4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w:t>
            </w:r>
          </w:p>
        </w:tc>
        <w:tc>
          <w:tcPr>
            <w:tcW w:w="4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w:t>
            </w:r>
          </w:p>
        </w:tc>
        <w:tc>
          <w:tcPr>
            <w:tcW w:w="129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val="0"/>
              <w:autoSpaceDN w:val="0"/>
              <w:adjustRightInd w:val="0"/>
              <w:jc w:val="left"/>
              <w:rPr>
                <w:rFonts w:hint="eastAsia" w:ascii="黑体" w:hAnsi="黑体" w:eastAsia="黑体"/>
                <w:i/>
                <w:color w:val="000000"/>
                <w:kern w:val="0"/>
                <w:sz w:val="18"/>
                <w:szCs w:val="20"/>
                <w:lang/>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60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val="0"/>
              <w:autoSpaceDN w:val="0"/>
              <w:adjustRightInd w:val="0"/>
              <w:jc w:val="center"/>
              <w:rPr>
                <w:rFonts w:hint="eastAsia" w:ascii="宋体" w:hAnsi="宋体" w:eastAsia="宋体"/>
                <w:color w:val="000000"/>
                <w:kern w:val="0"/>
                <w:sz w:val="18"/>
                <w:szCs w:val="20"/>
                <w:lang/>
              </w:rPr>
            </w:pP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其他资金</w:t>
            </w:r>
          </w:p>
        </w:tc>
        <w:tc>
          <w:tcPr>
            <w:tcW w:w="9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val="0"/>
              <w:autoSpaceDN w:val="0"/>
              <w:adjustRightInd w:val="0"/>
              <w:jc w:val="center"/>
              <w:rPr>
                <w:rFonts w:hint="eastAsia" w:ascii="微软雅黑" w:hAnsi="微软雅黑" w:eastAsia="微软雅黑"/>
                <w:i/>
                <w:color w:val="000000"/>
                <w:kern w:val="0"/>
                <w:sz w:val="16"/>
                <w:szCs w:val="20"/>
                <w:lang/>
              </w:rPr>
            </w:pPr>
          </w:p>
        </w:tc>
        <w:tc>
          <w:tcPr>
            <w:tcW w:w="12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val="0"/>
              <w:autoSpaceDN w:val="0"/>
              <w:adjustRightInd w:val="0"/>
              <w:jc w:val="center"/>
              <w:rPr>
                <w:rFonts w:hint="eastAsia" w:ascii="微软雅黑" w:hAnsi="微软雅黑" w:eastAsia="微软雅黑"/>
                <w:i/>
                <w:color w:val="000000"/>
                <w:kern w:val="0"/>
                <w:sz w:val="16"/>
                <w:szCs w:val="20"/>
                <w:lang/>
              </w:rPr>
            </w:pPr>
          </w:p>
        </w:tc>
        <w:tc>
          <w:tcPr>
            <w:tcW w:w="159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val="0"/>
              <w:autoSpaceDN w:val="0"/>
              <w:adjustRightInd w:val="0"/>
              <w:jc w:val="center"/>
              <w:rPr>
                <w:rFonts w:hint="eastAsia" w:ascii="微软雅黑" w:hAnsi="微软雅黑" w:eastAsia="微软雅黑"/>
                <w:i/>
                <w:color w:val="000000"/>
                <w:kern w:val="0"/>
                <w:sz w:val="16"/>
                <w:szCs w:val="20"/>
                <w:lang/>
              </w:rPr>
            </w:pPr>
          </w:p>
        </w:tc>
        <w:tc>
          <w:tcPr>
            <w:tcW w:w="8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val="0"/>
              <w:autoSpaceDN w:val="0"/>
              <w:adjustRightInd w:val="0"/>
              <w:jc w:val="center"/>
              <w:rPr>
                <w:rFonts w:hint="eastAsia" w:ascii="微软雅黑" w:hAnsi="微软雅黑" w:eastAsia="微软雅黑"/>
                <w:i/>
                <w:color w:val="000000"/>
                <w:kern w:val="0"/>
                <w:sz w:val="16"/>
                <w:szCs w:val="20"/>
                <w:lang/>
              </w:rPr>
            </w:pPr>
          </w:p>
        </w:tc>
        <w:tc>
          <w:tcPr>
            <w:tcW w:w="4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w:t>
            </w:r>
          </w:p>
        </w:tc>
        <w:tc>
          <w:tcPr>
            <w:tcW w:w="4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w:t>
            </w:r>
          </w:p>
        </w:tc>
        <w:tc>
          <w:tcPr>
            <w:tcW w:w="129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val="0"/>
              <w:autoSpaceDN w:val="0"/>
              <w:adjustRightInd w:val="0"/>
              <w:jc w:val="left"/>
              <w:rPr>
                <w:rFonts w:hint="eastAsia" w:ascii="黑体" w:hAnsi="黑体" w:eastAsia="黑体"/>
                <w:i/>
                <w:color w:val="000000"/>
                <w:kern w:val="0"/>
                <w:sz w:val="18"/>
                <w:szCs w:val="20"/>
                <w:lang/>
              </w:rPr>
            </w:pPr>
          </w:p>
        </w:tc>
      </w:tr>
      <w:tr>
        <w:tblPrEx>
          <w:tblCellMar>
            <w:top w:w="0" w:type="dxa"/>
            <w:left w:w="108" w:type="dxa"/>
            <w:bottom w:w="0" w:type="dxa"/>
            <w:right w:w="108" w:type="dxa"/>
          </w:tblCellMar>
        </w:tblPrEx>
        <w:trPr>
          <w:trHeight w:val="911" w:hRule="atLeast"/>
        </w:trPr>
        <w:tc>
          <w:tcPr>
            <w:tcW w:w="60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绩效指标（90分）</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一级指标</w:t>
            </w:r>
          </w:p>
        </w:tc>
        <w:tc>
          <w:tcPr>
            <w:tcW w:w="9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二级指标</w:t>
            </w:r>
          </w:p>
        </w:tc>
        <w:tc>
          <w:tcPr>
            <w:tcW w:w="12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三级指标</w:t>
            </w:r>
          </w:p>
        </w:tc>
        <w:tc>
          <w:tcPr>
            <w:tcW w:w="4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指标性质</w:t>
            </w:r>
          </w:p>
        </w:tc>
        <w:tc>
          <w:tcPr>
            <w:tcW w:w="7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指标值</w:t>
            </w:r>
          </w:p>
        </w:tc>
        <w:tc>
          <w:tcPr>
            <w:tcW w:w="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度量单位</w:t>
            </w:r>
          </w:p>
        </w:tc>
        <w:tc>
          <w:tcPr>
            <w:tcW w:w="8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完成值</w:t>
            </w:r>
          </w:p>
        </w:tc>
        <w:tc>
          <w:tcPr>
            <w:tcW w:w="4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权重</w:t>
            </w:r>
          </w:p>
        </w:tc>
        <w:tc>
          <w:tcPr>
            <w:tcW w:w="4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得分</w:t>
            </w:r>
          </w:p>
        </w:tc>
        <w:tc>
          <w:tcPr>
            <w:tcW w:w="12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60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val="0"/>
              <w:autoSpaceDN w:val="0"/>
              <w:adjustRightInd w:val="0"/>
              <w:jc w:val="center"/>
              <w:rPr>
                <w:rFonts w:hint="eastAsia" w:ascii="宋体" w:hAnsi="宋体" w:eastAsia="宋体"/>
                <w:color w:val="000000"/>
                <w:kern w:val="0"/>
                <w:sz w:val="18"/>
                <w:szCs w:val="20"/>
                <w:lang/>
              </w:rPr>
            </w:pP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产出指标</w:t>
            </w:r>
          </w:p>
        </w:tc>
        <w:tc>
          <w:tcPr>
            <w:tcW w:w="9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数量指标</w:t>
            </w:r>
          </w:p>
        </w:tc>
        <w:tc>
          <w:tcPr>
            <w:tcW w:w="12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运转保障率</w:t>
            </w:r>
          </w:p>
        </w:tc>
        <w:tc>
          <w:tcPr>
            <w:tcW w:w="4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w:t>
            </w:r>
          </w:p>
        </w:tc>
        <w:tc>
          <w:tcPr>
            <w:tcW w:w="7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100</w:t>
            </w:r>
          </w:p>
        </w:tc>
        <w:tc>
          <w:tcPr>
            <w:tcW w:w="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w:t>
            </w:r>
          </w:p>
        </w:tc>
        <w:tc>
          <w:tcPr>
            <w:tcW w:w="8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val="0"/>
              <w:autoSpaceDN w:val="0"/>
              <w:adjustRightInd w:val="0"/>
              <w:jc w:val="center"/>
              <w:rPr>
                <w:rFonts w:hint="eastAsia" w:ascii="微软雅黑" w:hAnsi="微软雅黑" w:eastAsia="微软雅黑"/>
                <w:i/>
                <w:color w:val="000000"/>
                <w:kern w:val="0"/>
                <w:sz w:val="16"/>
                <w:szCs w:val="20"/>
                <w:lang/>
              </w:rPr>
            </w:pPr>
          </w:p>
        </w:tc>
        <w:tc>
          <w:tcPr>
            <w:tcW w:w="4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90</w:t>
            </w:r>
          </w:p>
        </w:tc>
        <w:tc>
          <w:tcPr>
            <w:tcW w:w="4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90</w:t>
            </w:r>
          </w:p>
        </w:tc>
        <w:tc>
          <w:tcPr>
            <w:tcW w:w="12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val="0"/>
              <w:autoSpaceDN w:val="0"/>
              <w:adjustRightInd w:val="0"/>
              <w:jc w:val="center"/>
              <w:rPr>
                <w:rFonts w:hint="eastAsia" w:ascii="微软雅黑" w:hAnsi="微软雅黑" w:eastAsia="微软雅黑"/>
                <w:i/>
                <w:color w:val="000000"/>
                <w:kern w:val="0"/>
                <w:sz w:val="16"/>
                <w:szCs w:val="20"/>
                <w:lang/>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226"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合计</w:t>
            </w:r>
          </w:p>
        </w:tc>
        <w:tc>
          <w:tcPr>
            <w:tcW w:w="4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100</w:t>
            </w:r>
          </w:p>
        </w:tc>
        <w:tc>
          <w:tcPr>
            <w:tcW w:w="4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right"/>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100</w:t>
            </w:r>
          </w:p>
        </w:tc>
        <w:tc>
          <w:tcPr>
            <w:tcW w:w="12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val="0"/>
              <w:autoSpaceDN w:val="0"/>
              <w:adjustRightInd w:val="0"/>
              <w:jc w:val="left"/>
              <w:rPr>
                <w:rFonts w:hint="eastAsia" w:ascii="宋体" w:hAnsi="宋体" w:eastAsia="宋体"/>
                <w:color w:val="000000"/>
                <w:kern w:val="0"/>
                <w:sz w:val="18"/>
                <w:szCs w:val="20"/>
                <w:lang/>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6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评价结论</w:t>
            </w:r>
          </w:p>
        </w:tc>
        <w:tc>
          <w:tcPr>
            <w:tcW w:w="6594"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left"/>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根据该项目预算执行率、 绩效目标实现指标自评得分100.00分，自评等次为：优，严格执行相关政策，按要求支付，促进教师更快成长。</w:t>
            </w:r>
          </w:p>
        </w:tc>
        <w:tc>
          <w:tcPr>
            <w:tcW w:w="12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val="0"/>
              <w:autoSpaceDN w:val="0"/>
              <w:adjustRightInd w:val="0"/>
              <w:jc w:val="left"/>
              <w:rPr>
                <w:rFonts w:hint="eastAsia" w:ascii="宋体" w:hAnsi="宋体" w:eastAsia="宋体"/>
                <w:color w:val="000000"/>
                <w:kern w:val="0"/>
                <w:sz w:val="18"/>
                <w:szCs w:val="20"/>
                <w:lang/>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6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存在问题</w:t>
            </w:r>
          </w:p>
        </w:tc>
        <w:tc>
          <w:tcPr>
            <w:tcW w:w="6594"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left"/>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无</w:t>
            </w:r>
          </w:p>
        </w:tc>
        <w:tc>
          <w:tcPr>
            <w:tcW w:w="12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val="0"/>
              <w:autoSpaceDN w:val="0"/>
              <w:adjustRightInd w:val="0"/>
              <w:jc w:val="left"/>
              <w:rPr>
                <w:rFonts w:hint="eastAsia" w:ascii="宋体" w:hAnsi="宋体" w:eastAsia="宋体"/>
                <w:color w:val="000000"/>
                <w:kern w:val="0"/>
                <w:sz w:val="18"/>
                <w:szCs w:val="20"/>
                <w:lang/>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6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center"/>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改进措施</w:t>
            </w:r>
          </w:p>
        </w:tc>
        <w:tc>
          <w:tcPr>
            <w:tcW w:w="6594"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left"/>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无</w:t>
            </w:r>
          </w:p>
        </w:tc>
        <w:tc>
          <w:tcPr>
            <w:tcW w:w="12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val="0"/>
              <w:autoSpaceDN w:val="0"/>
              <w:adjustRightInd w:val="0"/>
              <w:jc w:val="left"/>
              <w:rPr>
                <w:rFonts w:hint="eastAsia" w:ascii="宋体" w:hAnsi="宋体" w:eastAsia="宋体"/>
                <w:color w:val="000000"/>
                <w:kern w:val="0"/>
                <w:sz w:val="18"/>
                <w:szCs w:val="20"/>
                <w:lang/>
              </w:rPr>
            </w:pPr>
          </w:p>
        </w:tc>
      </w:tr>
      <w:tr>
        <w:tblPrEx>
          <w:tblCellMar>
            <w:top w:w="0" w:type="dxa"/>
            <w:left w:w="108" w:type="dxa"/>
            <w:bottom w:w="0" w:type="dxa"/>
            <w:right w:w="108" w:type="dxa"/>
          </w:tblCellMar>
        </w:tblPrEx>
        <w:trPr>
          <w:trHeight w:val="296" w:hRule="atLeast"/>
        </w:trPr>
        <w:tc>
          <w:tcPr>
            <w:tcW w:w="4216"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left"/>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项目负责人：唐海燕</w:t>
            </w:r>
          </w:p>
        </w:tc>
        <w:tc>
          <w:tcPr>
            <w:tcW w:w="4281"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autoSpaceDE w:val="0"/>
              <w:autoSpaceDN w:val="0"/>
              <w:adjustRightInd w:val="0"/>
              <w:jc w:val="left"/>
              <w:textAlignment w:val="center"/>
              <w:rPr>
                <w:rFonts w:hint="eastAsia" w:ascii="宋体" w:hAnsi="宋体" w:eastAsia="宋体"/>
                <w:color w:val="000000"/>
                <w:kern w:val="0"/>
                <w:sz w:val="18"/>
                <w:szCs w:val="20"/>
                <w:lang/>
              </w:rPr>
            </w:pPr>
            <w:r>
              <w:rPr>
                <w:rFonts w:hint="eastAsia" w:ascii="宋体" w:hAnsi="宋体" w:eastAsia="宋体"/>
                <w:color w:val="000000"/>
                <w:kern w:val="0"/>
                <w:sz w:val="18"/>
                <w:szCs w:val="20"/>
                <w:lang w:val="en-US" w:eastAsia="zh-CN"/>
              </w:rPr>
              <w:t>财务负责人：唐亚群</w:t>
            </w:r>
          </w:p>
        </w:tc>
      </w:tr>
    </w:tbl>
    <w:p>
      <w:pPr>
        <w:autoSpaceDE w:val="0"/>
        <w:autoSpaceDN w:val="0"/>
        <w:adjustRightInd w:val="0"/>
        <w:jc w:val="left"/>
        <w:rPr>
          <w:rFonts w:hint="eastAsia" w:ascii="仿宋_GB2312" w:hAnsi="仿宋_GB2312" w:eastAsia="仿宋_GB2312"/>
          <w:color w:val="auto"/>
          <w:kern w:val="0"/>
          <w:sz w:val="32"/>
          <w:szCs w:val="20"/>
          <w:lang w:val="en-US" w:eastAsia="zh-CN"/>
        </w:rPr>
      </w:pPr>
    </w:p>
    <w:p>
      <w:pPr>
        <w:autoSpaceDE w:val="0"/>
        <w:autoSpaceDN w:val="0"/>
        <w:adjustRightInd w:val="0"/>
        <w:spacing w:line="600" w:lineRule="exact"/>
        <w:jc w:val="center"/>
        <w:rPr>
          <w:rFonts w:hint="eastAsia" w:ascii="黑体" w:hAnsi="黑体" w:eastAsia="黑体"/>
          <w:color w:val="auto"/>
          <w:kern w:val="2"/>
          <w:sz w:val="44"/>
          <w:szCs w:val="20"/>
          <w:lang w:val="en-US"/>
        </w:rPr>
      </w:pPr>
    </w:p>
    <w:p>
      <w:pPr>
        <w:autoSpaceDE w:val="0"/>
        <w:autoSpaceDN w:val="0"/>
        <w:adjustRightInd w:val="0"/>
        <w:spacing w:line="600" w:lineRule="exact"/>
        <w:jc w:val="center"/>
        <w:rPr>
          <w:rFonts w:hint="eastAsia" w:ascii="黑体" w:hAnsi="黑体" w:eastAsia="黑体"/>
          <w:color w:val="auto"/>
          <w:kern w:val="2"/>
          <w:sz w:val="44"/>
          <w:szCs w:val="20"/>
          <w:lang w:val="en-US"/>
        </w:rPr>
      </w:pPr>
    </w:p>
    <w:p>
      <w:pPr>
        <w:autoSpaceDE w:val="0"/>
        <w:autoSpaceDN w:val="0"/>
        <w:adjustRightInd w:val="0"/>
        <w:spacing w:line="600" w:lineRule="exact"/>
        <w:jc w:val="center"/>
        <w:rPr>
          <w:rFonts w:hint="eastAsia" w:ascii="黑体" w:hAnsi="黑体" w:eastAsia="黑体"/>
          <w:color w:val="auto"/>
          <w:kern w:val="2"/>
          <w:sz w:val="44"/>
          <w:szCs w:val="20"/>
          <w:lang w:val="en-US"/>
        </w:rPr>
      </w:pPr>
    </w:p>
    <w:p>
      <w:pPr>
        <w:autoSpaceDE w:val="0"/>
        <w:autoSpaceDN w:val="0"/>
        <w:adjustRightInd w:val="0"/>
        <w:spacing w:line="600" w:lineRule="exact"/>
        <w:jc w:val="center"/>
        <w:rPr>
          <w:rFonts w:hint="eastAsia" w:ascii="黑体" w:hAnsi="黑体" w:eastAsia="黑体"/>
          <w:color w:val="auto"/>
          <w:kern w:val="2"/>
          <w:sz w:val="44"/>
          <w:szCs w:val="20"/>
          <w:lang w:val="en-US"/>
        </w:rPr>
      </w:pPr>
    </w:p>
    <w:p>
      <w:pPr>
        <w:autoSpaceDE w:val="0"/>
        <w:autoSpaceDN w:val="0"/>
        <w:adjustRightInd w:val="0"/>
        <w:spacing w:line="600" w:lineRule="exact"/>
        <w:jc w:val="center"/>
        <w:rPr>
          <w:rFonts w:hint="eastAsia" w:ascii="黑体" w:hAnsi="黑体" w:eastAsia="黑体"/>
          <w:color w:val="auto"/>
          <w:kern w:val="2"/>
          <w:sz w:val="44"/>
          <w:szCs w:val="20"/>
          <w:lang w:val="en-US"/>
        </w:rPr>
      </w:pPr>
    </w:p>
    <w:p>
      <w:pPr>
        <w:pStyle w:val="2"/>
        <w:jc w:val="left"/>
        <w:rPr>
          <w:rFonts w:hint="eastAsia" w:ascii="黑体" w:hAnsi="黑体" w:eastAsia="黑体"/>
          <w:color w:val="auto"/>
          <w:kern w:val="2"/>
          <w:sz w:val="44"/>
          <w:szCs w:val="20"/>
          <w:lang w:val="en-US"/>
        </w:rPr>
      </w:pPr>
    </w:p>
    <w:p>
      <w:pPr>
        <w:pStyle w:val="3"/>
        <w:jc w:val="left"/>
        <w:rPr>
          <w:rFonts w:hint="eastAsia"/>
          <w:kern w:val="0"/>
          <w:sz w:val="24"/>
          <w:szCs w:val="20"/>
          <w:lang w:val="en-US"/>
        </w:rPr>
      </w:pPr>
    </w:p>
    <w:p>
      <w:pPr>
        <w:autoSpaceDE w:val="0"/>
        <w:autoSpaceDN w:val="0"/>
        <w:adjustRightInd w:val="0"/>
        <w:spacing w:line="600" w:lineRule="exact"/>
        <w:jc w:val="center"/>
        <w:rPr>
          <w:rFonts w:hint="eastAsia" w:ascii="黑体" w:hAnsi="黑体" w:eastAsia="黑体"/>
          <w:color w:val="auto"/>
          <w:kern w:val="2"/>
          <w:sz w:val="44"/>
          <w:szCs w:val="20"/>
          <w:lang w:val="en-US"/>
        </w:rPr>
      </w:pPr>
    </w:p>
    <w:p>
      <w:pPr>
        <w:autoSpaceDE w:val="0"/>
        <w:autoSpaceDN w:val="0"/>
        <w:adjustRightInd w:val="0"/>
        <w:spacing w:line="600" w:lineRule="exact"/>
        <w:jc w:val="center"/>
        <w:rPr>
          <w:rFonts w:hint="eastAsia" w:ascii="黑体" w:hAnsi="黑体" w:eastAsia="黑体"/>
          <w:color w:val="auto"/>
          <w:kern w:val="44"/>
          <w:sz w:val="44"/>
          <w:szCs w:val="20"/>
          <w:lang w:val="en-US"/>
        </w:rPr>
      </w:pPr>
      <w:r>
        <w:rPr>
          <w:rFonts w:hint="eastAsia" w:ascii="黑体" w:hAnsi="黑体" w:eastAsia="黑体"/>
          <w:color w:val="auto"/>
          <w:kern w:val="2"/>
          <w:sz w:val="44"/>
          <w:szCs w:val="20"/>
          <w:lang w:val="en-US"/>
        </w:rPr>
        <w:t>第</w:t>
      </w:r>
      <w:r>
        <w:rPr>
          <w:rFonts w:hint="eastAsia" w:ascii="黑体" w:hAnsi="黑体" w:eastAsia="黑体"/>
          <w:color w:val="auto"/>
          <w:kern w:val="44"/>
          <w:sz w:val="44"/>
          <w:szCs w:val="20"/>
          <w:lang w:val="en-US"/>
        </w:rPr>
        <w:t>五部分 附表</w:t>
      </w:r>
    </w:p>
    <w:p>
      <w:pPr>
        <w:autoSpaceDE w:val="0"/>
        <w:autoSpaceDN w:val="0"/>
        <w:adjustRightInd w:val="0"/>
        <w:spacing w:line="600" w:lineRule="exact"/>
        <w:jc w:val="left"/>
        <w:rPr>
          <w:rFonts w:hint="eastAsia" w:ascii="仿宋" w:hAnsi="仿宋" w:eastAsia="仿宋"/>
          <w:color w:val="auto"/>
          <w:kern w:val="0"/>
          <w:sz w:val="32"/>
          <w:szCs w:val="20"/>
          <w:lang w:val="en-US" w:eastAsia="zh-CN"/>
        </w:rPr>
      </w:pPr>
      <w:r>
        <w:rPr>
          <w:rFonts w:hint="eastAsia" w:ascii="仿宋" w:hAnsi="仿宋" w:eastAsia="仿宋"/>
          <w:color w:val="auto"/>
          <w:kern w:val="0"/>
          <w:sz w:val="32"/>
          <w:szCs w:val="20"/>
          <w:lang w:val="en-US" w:eastAsia="zh-CN"/>
        </w:rPr>
        <w:t>一、收入支出决算总表</w:t>
      </w:r>
    </w:p>
    <w:p>
      <w:pPr>
        <w:autoSpaceDE w:val="0"/>
        <w:autoSpaceDN w:val="0"/>
        <w:adjustRightInd w:val="0"/>
        <w:spacing w:line="600" w:lineRule="exact"/>
        <w:jc w:val="left"/>
        <w:rPr>
          <w:rFonts w:hint="eastAsia" w:ascii="仿宋" w:hAnsi="仿宋" w:eastAsia="仿宋"/>
          <w:color w:val="auto"/>
          <w:kern w:val="0"/>
          <w:sz w:val="32"/>
          <w:szCs w:val="20"/>
          <w:lang w:val="en-US" w:eastAsia="zh-CN"/>
        </w:rPr>
      </w:pPr>
      <w:r>
        <w:rPr>
          <w:rFonts w:hint="eastAsia" w:ascii="仿宋" w:hAnsi="仿宋" w:eastAsia="仿宋"/>
          <w:color w:val="auto"/>
          <w:kern w:val="0"/>
          <w:sz w:val="32"/>
          <w:szCs w:val="20"/>
          <w:lang w:val="en-US" w:eastAsia="zh-CN"/>
        </w:rPr>
        <w:t>二、收入决算表</w:t>
      </w:r>
    </w:p>
    <w:p>
      <w:pPr>
        <w:autoSpaceDE w:val="0"/>
        <w:autoSpaceDN w:val="0"/>
        <w:adjustRightInd w:val="0"/>
        <w:spacing w:line="600" w:lineRule="exact"/>
        <w:jc w:val="left"/>
        <w:rPr>
          <w:rFonts w:hint="eastAsia" w:ascii="仿宋" w:hAnsi="仿宋" w:eastAsia="仿宋"/>
          <w:color w:val="auto"/>
          <w:kern w:val="0"/>
          <w:sz w:val="32"/>
          <w:szCs w:val="20"/>
          <w:lang w:val="en-US" w:eastAsia="zh-CN"/>
        </w:rPr>
      </w:pPr>
      <w:r>
        <w:rPr>
          <w:rFonts w:hint="eastAsia" w:ascii="仿宋" w:hAnsi="仿宋" w:eastAsia="仿宋"/>
          <w:color w:val="auto"/>
          <w:kern w:val="0"/>
          <w:sz w:val="32"/>
          <w:szCs w:val="20"/>
          <w:lang w:val="en-US" w:eastAsia="zh-CN"/>
        </w:rPr>
        <w:t>三、支出决算表</w:t>
      </w:r>
    </w:p>
    <w:p>
      <w:pPr>
        <w:autoSpaceDE w:val="0"/>
        <w:autoSpaceDN w:val="0"/>
        <w:adjustRightInd w:val="0"/>
        <w:spacing w:line="600" w:lineRule="exact"/>
        <w:jc w:val="left"/>
        <w:rPr>
          <w:rFonts w:hint="eastAsia" w:ascii="仿宋" w:hAnsi="仿宋" w:eastAsia="仿宋"/>
          <w:color w:val="auto"/>
          <w:kern w:val="0"/>
          <w:sz w:val="32"/>
          <w:szCs w:val="20"/>
          <w:lang w:val="en-US" w:eastAsia="zh-CN"/>
        </w:rPr>
      </w:pPr>
      <w:r>
        <w:rPr>
          <w:rFonts w:hint="eastAsia" w:ascii="仿宋" w:hAnsi="仿宋" w:eastAsia="仿宋"/>
          <w:color w:val="auto"/>
          <w:kern w:val="0"/>
          <w:sz w:val="32"/>
          <w:szCs w:val="20"/>
          <w:lang w:val="en-US" w:eastAsia="zh-CN"/>
        </w:rPr>
        <w:t>四、财政拨款收入支出决算总表</w:t>
      </w:r>
    </w:p>
    <w:p>
      <w:pPr>
        <w:autoSpaceDE w:val="0"/>
        <w:autoSpaceDN w:val="0"/>
        <w:adjustRightInd w:val="0"/>
        <w:spacing w:line="600" w:lineRule="exact"/>
        <w:jc w:val="left"/>
        <w:rPr>
          <w:rFonts w:hint="eastAsia" w:ascii="仿宋" w:hAnsi="仿宋" w:eastAsia="仿宋"/>
          <w:color w:val="auto"/>
          <w:kern w:val="0"/>
          <w:sz w:val="32"/>
          <w:szCs w:val="20"/>
          <w:lang w:val="en-US" w:eastAsia="zh-CN"/>
        </w:rPr>
      </w:pPr>
      <w:r>
        <w:rPr>
          <w:rFonts w:hint="eastAsia" w:ascii="仿宋" w:hAnsi="仿宋" w:eastAsia="仿宋"/>
          <w:color w:val="auto"/>
          <w:kern w:val="0"/>
          <w:sz w:val="32"/>
          <w:szCs w:val="20"/>
          <w:lang w:val="en-US" w:eastAsia="zh-CN"/>
        </w:rPr>
        <w:t>五、财政拨款支出决算明细表</w:t>
      </w:r>
    </w:p>
    <w:p>
      <w:pPr>
        <w:autoSpaceDE w:val="0"/>
        <w:autoSpaceDN w:val="0"/>
        <w:adjustRightInd w:val="0"/>
        <w:spacing w:line="600" w:lineRule="exact"/>
        <w:jc w:val="left"/>
        <w:rPr>
          <w:rFonts w:hint="eastAsia" w:ascii="仿宋" w:hAnsi="仿宋" w:eastAsia="仿宋"/>
          <w:color w:val="auto"/>
          <w:kern w:val="0"/>
          <w:sz w:val="32"/>
          <w:szCs w:val="20"/>
          <w:lang w:val="en-US" w:eastAsia="zh-CN"/>
        </w:rPr>
      </w:pPr>
      <w:r>
        <w:rPr>
          <w:rFonts w:hint="eastAsia" w:ascii="仿宋" w:hAnsi="仿宋" w:eastAsia="仿宋"/>
          <w:color w:val="auto"/>
          <w:kern w:val="0"/>
          <w:sz w:val="32"/>
          <w:szCs w:val="20"/>
          <w:lang w:val="en-US" w:eastAsia="zh-CN"/>
        </w:rPr>
        <w:t>六、一般公共预算财政拨款支出决算表</w:t>
      </w:r>
    </w:p>
    <w:p>
      <w:pPr>
        <w:autoSpaceDE w:val="0"/>
        <w:autoSpaceDN w:val="0"/>
        <w:adjustRightInd w:val="0"/>
        <w:spacing w:line="600" w:lineRule="exact"/>
        <w:jc w:val="left"/>
        <w:rPr>
          <w:rFonts w:hint="eastAsia" w:ascii="仿宋" w:hAnsi="仿宋" w:eastAsia="仿宋"/>
          <w:color w:val="auto"/>
          <w:kern w:val="0"/>
          <w:sz w:val="32"/>
          <w:szCs w:val="20"/>
          <w:lang w:val="en-US" w:eastAsia="zh-CN"/>
        </w:rPr>
      </w:pPr>
      <w:r>
        <w:rPr>
          <w:rFonts w:hint="eastAsia" w:ascii="仿宋" w:hAnsi="仿宋" w:eastAsia="仿宋"/>
          <w:color w:val="auto"/>
          <w:kern w:val="0"/>
          <w:sz w:val="32"/>
          <w:szCs w:val="20"/>
          <w:lang w:val="en-US" w:eastAsia="zh-CN"/>
        </w:rPr>
        <w:t>七、一般公共预算财政拨款支出决算明细表</w:t>
      </w:r>
    </w:p>
    <w:p>
      <w:pPr>
        <w:autoSpaceDE w:val="0"/>
        <w:autoSpaceDN w:val="0"/>
        <w:adjustRightInd w:val="0"/>
        <w:spacing w:line="600" w:lineRule="exact"/>
        <w:jc w:val="left"/>
        <w:rPr>
          <w:rFonts w:hint="eastAsia" w:ascii="仿宋" w:hAnsi="仿宋" w:eastAsia="仿宋"/>
          <w:color w:val="auto"/>
          <w:kern w:val="0"/>
          <w:sz w:val="32"/>
          <w:szCs w:val="20"/>
          <w:lang w:val="en-US" w:eastAsia="zh-CN"/>
        </w:rPr>
      </w:pPr>
      <w:r>
        <w:rPr>
          <w:rFonts w:hint="eastAsia" w:ascii="仿宋" w:hAnsi="仿宋" w:eastAsia="仿宋"/>
          <w:color w:val="auto"/>
          <w:kern w:val="0"/>
          <w:sz w:val="32"/>
          <w:szCs w:val="20"/>
          <w:lang w:val="en-US" w:eastAsia="zh-CN"/>
        </w:rPr>
        <w:t>八、一般公共预算财政拨款基本支出决算表</w:t>
      </w:r>
    </w:p>
    <w:p>
      <w:pPr>
        <w:autoSpaceDE w:val="0"/>
        <w:autoSpaceDN w:val="0"/>
        <w:adjustRightInd w:val="0"/>
        <w:spacing w:line="600" w:lineRule="exact"/>
        <w:jc w:val="left"/>
        <w:rPr>
          <w:rFonts w:hint="eastAsia" w:ascii="仿宋" w:hAnsi="仿宋" w:eastAsia="仿宋"/>
          <w:color w:val="auto"/>
          <w:kern w:val="0"/>
          <w:sz w:val="32"/>
          <w:szCs w:val="20"/>
          <w:lang w:val="en-US" w:eastAsia="zh-CN"/>
        </w:rPr>
      </w:pPr>
      <w:r>
        <w:rPr>
          <w:rFonts w:hint="eastAsia" w:ascii="仿宋" w:hAnsi="仿宋" w:eastAsia="仿宋"/>
          <w:color w:val="auto"/>
          <w:kern w:val="0"/>
          <w:sz w:val="32"/>
          <w:szCs w:val="20"/>
          <w:lang w:val="en-US" w:eastAsia="zh-CN"/>
        </w:rPr>
        <w:t>九、一般公共预算财政拨款项目支出决算表</w:t>
      </w:r>
    </w:p>
    <w:p>
      <w:pPr>
        <w:autoSpaceDE w:val="0"/>
        <w:autoSpaceDN w:val="0"/>
        <w:adjustRightInd w:val="0"/>
        <w:spacing w:line="600" w:lineRule="exact"/>
        <w:jc w:val="left"/>
        <w:rPr>
          <w:rFonts w:hint="eastAsia" w:ascii="仿宋" w:hAnsi="仿宋" w:eastAsia="仿宋"/>
          <w:color w:val="auto"/>
          <w:kern w:val="0"/>
          <w:sz w:val="32"/>
          <w:szCs w:val="20"/>
          <w:lang w:val="en-US" w:eastAsia="zh-CN"/>
        </w:rPr>
      </w:pPr>
      <w:r>
        <w:rPr>
          <w:rFonts w:hint="eastAsia" w:ascii="仿宋" w:hAnsi="仿宋" w:eastAsia="仿宋"/>
          <w:color w:val="auto"/>
          <w:kern w:val="0"/>
          <w:sz w:val="32"/>
          <w:szCs w:val="20"/>
          <w:lang w:val="en-US" w:eastAsia="zh-CN"/>
        </w:rPr>
        <w:t>十、政府性基金预算财政拨款收入支出决算表</w:t>
      </w:r>
    </w:p>
    <w:p>
      <w:pPr>
        <w:autoSpaceDE w:val="0"/>
        <w:autoSpaceDN w:val="0"/>
        <w:adjustRightInd w:val="0"/>
        <w:spacing w:line="600" w:lineRule="exact"/>
        <w:jc w:val="left"/>
        <w:rPr>
          <w:rFonts w:hint="eastAsia" w:ascii="仿宋" w:hAnsi="仿宋" w:eastAsia="仿宋"/>
          <w:color w:val="auto"/>
          <w:kern w:val="0"/>
          <w:sz w:val="32"/>
          <w:szCs w:val="20"/>
          <w:lang w:val="en-US" w:eastAsia="zh-CN"/>
        </w:rPr>
      </w:pPr>
      <w:r>
        <w:rPr>
          <w:rFonts w:hint="eastAsia" w:ascii="仿宋" w:hAnsi="仿宋" w:eastAsia="仿宋"/>
          <w:color w:val="auto"/>
          <w:kern w:val="0"/>
          <w:sz w:val="32"/>
          <w:szCs w:val="20"/>
          <w:lang w:val="en-US" w:eastAsia="zh-CN"/>
        </w:rPr>
        <w:t>十一、国有资本经营预算财政拨款收入支出决算表</w:t>
      </w:r>
    </w:p>
    <w:p>
      <w:pPr>
        <w:autoSpaceDE w:val="0"/>
        <w:autoSpaceDN w:val="0"/>
        <w:adjustRightInd w:val="0"/>
        <w:spacing w:line="600" w:lineRule="exact"/>
        <w:jc w:val="left"/>
        <w:rPr>
          <w:rFonts w:hint="eastAsia" w:ascii="仿宋" w:hAnsi="仿宋" w:eastAsia="仿宋"/>
          <w:color w:val="auto"/>
          <w:kern w:val="0"/>
          <w:sz w:val="32"/>
          <w:szCs w:val="20"/>
          <w:lang w:val="en-US" w:eastAsia="zh-CN"/>
        </w:rPr>
      </w:pPr>
      <w:r>
        <w:rPr>
          <w:rFonts w:hint="eastAsia" w:ascii="仿宋" w:hAnsi="仿宋" w:eastAsia="仿宋"/>
          <w:color w:val="auto"/>
          <w:kern w:val="0"/>
          <w:sz w:val="32"/>
          <w:szCs w:val="20"/>
          <w:lang w:val="en-US" w:eastAsia="zh-CN"/>
        </w:rPr>
        <w:t>十二、国有资本经营预算财政拨款支出决算表</w:t>
      </w:r>
    </w:p>
    <w:p>
      <w:pPr>
        <w:autoSpaceDE w:val="0"/>
        <w:autoSpaceDN w:val="0"/>
        <w:adjustRightInd w:val="0"/>
        <w:spacing w:line="600" w:lineRule="exact"/>
        <w:jc w:val="left"/>
        <w:rPr>
          <w:rFonts w:hint="eastAsia" w:ascii="仿宋" w:hAnsi="仿宋" w:eastAsia="仿宋"/>
          <w:color w:val="auto"/>
          <w:kern w:val="0"/>
          <w:sz w:val="32"/>
          <w:szCs w:val="20"/>
          <w:lang w:val="en-US" w:eastAsia="zh-CN"/>
        </w:rPr>
      </w:pPr>
      <w:r>
        <w:rPr>
          <w:rFonts w:hint="eastAsia" w:ascii="仿宋" w:hAnsi="仿宋" w:eastAsia="仿宋"/>
          <w:color w:val="auto"/>
          <w:kern w:val="0"/>
          <w:sz w:val="32"/>
          <w:szCs w:val="20"/>
          <w:lang w:val="en-US" w:eastAsia="zh-CN"/>
        </w:rPr>
        <w:t>十三、财政拨款“三公”经费支出决算表</w:t>
      </w:r>
    </w:p>
    <w:p>
      <w:bookmarkStart w:id="12" w:name="_GoBack"/>
      <w:bookmarkEnd w:id="12"/>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Arial Unicode MS"/>
    <w:panose1 w:val="02010601030101010101"/>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2"/>
          <w:jc w:val="center"/>
        </w:pPr>
        <w:r>
          <w:fldChar w:fldCharType="begin"/>
        </w:r>
        <w:r>
          <w:instrText xml:space="preserve">PAGE   \* MERGEFORMAT</w:instrText>
        </w:r>
        <w:r>
          <w:fldChar w:fldCharType="separate"/>
        </w:r>
        <w:r>
          <w:rPr>
            <w:lang w:val="zh-CN"/>
          </w:rPr>
          <w:t>3</w:t>
        </w:r>
        <w:r>
          <w:fldChar w:fldCharType="end"/>
        </w:r>
      </w:p>
    </w:sdtContent>
  </w:sdt>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2NlZDc2NGI1ZWY2ZGExZGJmNDFlNWZmMzE2NTY2N2UifQ=="/>
  </w:docVars>
  <w:rsids>
    <w:rsidRoot w:val="00F1361C"/>
    <w:rsid w:val="000222C6"/>
    <w:rsid w:val="000234FD"/>
    <w:rsid w:val="0002549F"/>
    <w:rsid w:val="0003027B"/>
    <w:rsid w:val="000468DB"/>
    <w:rsid w:val="0006487A"/>
    <w:rsid w:val="00065F8F"/>
    <w:rsid w:val="00070A43"/>
    <w:rsid w:val="00070EDD"/>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1D59"/>
    <w:rsid w:val="00174518"/>
    <w:rsid w:val="0018106D"/>
    <w:rsid w:val="001877A7"/>
    <w:rsid w:val="00191536"/>
    <w:rsid w:val="00196687"/>
    <w:rsid w:val="001A4D38"/>
    <w:rsid w:val="001C0962"/>
    <w:rsid w:val="001D7409"/>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963"/>
    <w:rsid w:val="00294DC9"/>
    <w:rsid w:val="00295495"/>
    <w:rsid w:val="002A31DE"/>
    <w:rsid w:val="002B2613"/>
    <w:rsid w:val="002D6D05"/>
    <w:rsid w:val="002F1818"/>
    <w:rsid w:val="002F567B"/>
    <w:rsid w:val="003076DA"/>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52CA2"/>
    <w:rsid w:val="00471401"/>
    <w:rsid w:val="00473F31"/>
    <w:rsid w:val="0048263A"/>
    <w:rsid w:val="00487E5D"/>
    <w:rsid w:val="00491AB5"/>
    <w:rsid w:val="004A711F"/>
    <w:rsid w:val="004B199D"/>
    <w:rsid w:val="004B4690"/>
    <w:rsid w:val="004C3AA8"/>
    <w:rsid w:val="004E0A2D"/>
    <w:rsid w:val="004E206B"/>
    <w:rsid w:val="004E6DF7"/>
    <w:rsid w:val="004F0FBD"/>
    <w:rsid w:val="004F2B6A"/>
    <w:rsid w:val="00505A47"/>
    <w:rsid w:val="00512FDA"/>
    <w:rsid w:val="00520DA0"/>
    <w:rsid w:val="00534545"/>
    <w:rsid w:val="005664BB"/>
    <w:rsid w:val="00566FFA"/>
    <w:rsid w:val="0057481D"/>
    <w:rsid w:val="0058486E"/>
    <w:rsid w:val="00585B33"/>
    <w:rsid w:val="0059014D"/>
    <w:rsid w:val="005A25B6"/>
    <w:rsid w:val="005B5587"/>
    <w:rsid w:val="005B5C64"/>
    <w:rsid w:val="005C5337"/>
    <w:rsid w:val="005C6BD0"/>
    <w:rsid w:val="005D1C8B"/>
    <w:rsid w:val="005D468D"/>
    <w:rsid w:val="005D5CED"/>
    <w:rsid w:val="005F1A4C"/>
    <w:rsid w:val="00605688"/>
    <w:rsid w:val="006070AF"/>
    <w:rsid w:val="00607277"/>
    <w:rsid w:val="00607E6C"/>
    <w:rsid w:val="006101B1"/>
    <w:rsid w:val="00613D08"/>
    <w:rsid w:val="00614E44"/>
    <w:rsid w:val="0062270A"/>
    <w:rsid w:val="00622830"/>
    <w:rsid w:val="00623DA0"/>
    <w:rsid w:val="00630AEF"/>
    <w:rsid w:val="006325F8"/>
    <w:rsid w:val="00633463"/>
    <w:rsid w:val="00634C9A"/>
    <w:rsid w:val="0064367F"/>
    <w:rsid w:val="006440E4"/>
    <w:rsid w:val="00646350"/>
    <w:rsid w:val="0066343B"/>
    <w:rsid w:val="00664777"/>
    <w:rsid w:val="006748A4"/>
    <w:rsid w:val="00681A31"/>
    <w:rsid w:val="00683E73"/>
    <w:rsid w:val="006A3141"/>
    <w:rsid w:val="006A5E34"/>
    <w:rsid w:val="006A5E89"/>
    <w:rsid w:val="006B2422"/>
    <w:rsid w:val="006B2B9A"/>
    <w:rsid w:val="006C1937"/>
    <w:rsid w:val="006D2ADA"/>
    <w:rsid w:val="006F020C"/>
    <w:rsid w:val="007127B7"/>
    <w:rsid w:val="0071798E"/>
    <w:rsid w:val="007416B6"/>
    <w:rsid w:val="00746F48"/>
    <w:rsid w:val="00751578"/>
    <w:rsid w:val="0075404D"/>
    <w:rsid w:val="0076182A"/>
    <w:rsid w:val="00767B7E"/>
    <w:rsid w:val="007770C3"/>
    <w:rsid w:val="00784D24"/>
    <w:rsid w:val="00785FBA"/>
    <w:rsid w:val="00786E4A"/>
    <w:rsid w:val="007875EB"/>
    <w:rsid w:val="0079426B"/>
    <w:rsid w:val="007A07C5"/>
    <w:rsid w:val="007A4000"/>
    <w:rsid w:val="007B335C"/>
    <w:rsid w:val="007D1682"/>
    <w:rsid w:val="007D312A"/>
    <w:rsid w:val="007D3F19"/>
    <w:rsid w:val="007D73AE"/>
    <w:rsid w:val="007E23B0"/>
    <w:rsid w:val="007E23E5"/>
    <w:rsid w:val="007E2F2D"/>
    <w:rsid w:val="007F1991"/>
    <w:rsid w:val="007F2C2F"/>
    <w:rsid w:val="007F55FC"/>
    <w:rsid w:val="007F5665"/>
    <w:rsid w:val="00800112"/>
    <w:rsid w:val="00813348"/>
    <w:rsid w:val="008253BB"/>
    <w:rsid w:val="0083706E"/>
    <w:rsid w:val="008408F6"/>
    <w:rsid w:val="008423A5"/>
    <w:rsid w:val="008450BA"/>
    <w:rsid w:val="00850625"/>
    <w:rsid w:val="00853718"/>
    <w:rsid w:val="00855221"/>
    <w:rsid w:val="00860645"/>
    <w:rsid w:val="00871F71"/>
    <w:rsid w:val="00872FD8"/>
    <w:rsid w:val="00885AF4"/>
    <w:rsid w:val="00891713"/>
    <w:rsid w:val="008939CD"/>
    <w:rsid w:val="008A7BE5"/>
    <w:rsid w:val="008B0E49"/>
    <w:rsid w:val="008B768C"/>
    <w:rsid w:val="008C4DB1"/>
    <w:rsid w:val="008C4EAF"/>
    <w:rsid w:val="008C5176"/>
    <w:rsid w:val="008C7FD0"/>
    <w:rsid w:val="008D29C1"/>
    <w:rsid w:val="008E1DE7"/>
    <w:rsid w:val="008E707C"/>
    <w:rsid w:val="00900B08"/>
    <w:rsid w:val="00901ED1"/>
    <w:rsid w:val="00902155"/>
    <w:rsid w:val="00902FA3"/>
    <w:rsid w:val="00923564"/>
    <w:rsid w:val="0092392E"/>
    <w:rsid w:val="009315F9"/>
    <w:rsid w:val="00933499"/>
    <w:rsid w:val="00935C98"/>
    <w:rsid w:val="00946945"/>
    <w:rsid w:val="00951248"/>
    <w:rsid w:val="0095152F"/>
    <w:rsid w:val="00953D43"/>
    <w:rsid w:val="00954C49"/>
    <w:rsid w:val="00955E37"/>
    <w:rsid w:val="0097099F"/>
    <w:rsid w:val="00971997"/>
    <w:rsid w:val="00971FFC"/>
    <w:rsid w:val="0098660A"/>
    <w:rsid w:val="0098758C"/>
    <w:rsid w:val="00987748"/>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46919"/>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90"/>
    <w:rsid w:val="00B161B8"/>
    <w:rsid w:val="00B2048C"/>
    <w:rsid w:val="00B310B9"/>
    <w:rsid w:val="00B35F3F"/>
    <w:rsid w:val="00B36CBB"/>
    <w:rsid w:val="00B425E0"/>
    <w:rsid w:val="00B440AA"/>
    <w:rsid w:val="00B44B70"/>
    <w:rsid w:val="00B4590A"/>
    <w:rsid w:val="00B53C56"/>
    <w:rsid w:val="00B57DAF"/>
    <w:rsid w:val="00B72AE9"/>
    <w:rsid w:val="00B76992"/>
    <w:rsid w:val="00B77EA6"/>
    <w:rsid w:val="00B81598"/>
    <w:rsid w:val="00B841F1"/>
    <w:rsid w:val="00B944D6"/>
    <w:rsid w:val="00B959B5"/>
    <w:rsid w:val="00BB4DF0"/>
    <w:rsid w:val="00BC289F"/>
    <w:rsid w:val="00BC2D50"/>
    <w:rsid w:val="00BC5361"/>
    <w:rsid w:val="00BC5460"/>
    <w:rsid w:val="00BC6B50"/>
    <w:rsid w:val="00BD0E25"/>
    <w:rsid w:val="00BF176B"/>
    <w:rsid w:val="00BF5BD6"/>
    <w:rsid w:val="00C03E31"/>
    <w:rsid w:val="00C12F14"/>
    <w:rsid w:val="00C33E72"/>
    <w:rsid w:val="00C354B2"/>
    <w:rsid w:val="00C35554"/>
    <w:rsid w:val="00C42709"/>
    <w:rsid w:val="00C533CC"/>
    <w:rsid w:val="00C5457B"/>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032AE"/>
    <w:rsid w:val="00D114F0"/>
    <w:rsid w:val="00D20620"/>
    <w:rsid w:val="00D254F7"/>
    <w:rsid w:val="00D26091"/>
    <w:rsid w:val="00D2685C"/>
    <w:rsid w:val="00D34E7C"/>
    <w:rsid w:val="00D35489"/>
    <w:rsid w:val="00D36AFE"/>
    <w:rsid w:val="00D51276"/>
    <w:rsid w:val="00D567AF"/>
    <w:rsid w:val="00D7035F"/>
    <w:rsid w:val="00DA634F"/>
    <w:rsid w:val="00DA65AC"/>
    <w:rsid w:val="00DB1913"/>
    <w:rsid w:val="00DC410D"/>
    <w:rsid w:val="00DC5A81"/>
    <w:rsid w:val="00DC68CA"/>
    <w:rsid w:val="00DC7CBA"/>
    <w:rsid w:val="00DD73B7"/>
    <w:rsid w:val="00DF28BC"/>
    <w:rsid w:val="00DF34B9"/>
    <w:rsid w:val="00E01053"/>
    <w:rsid w:val="00E07ACF"/>
    <w:rsid w:val="00E13F5C"/>
    <w:rsid w:val="00E14763"/>
    <w:rsid w:val="00E331A1"/>
    <w:rsid w:val="00E33202"/>
    <w:rsid w:val="00E336A9"/>
    <w:rsid w:val="00E34BC4"/>
    <w:rsid w:val="00E472B1"/>
    <w:rsid w:val="00E50624"/>
    <w:rsid w:val="00E568DF"/>
    <w:rsid w:val="00E64269"/>
    <w:rsid w:val="00E67D93"/>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61E60"/>
    <w:rsid w:val="00F754A1"/>
    <w:rsid w:val="00F81FD9"/>
    <w:rsid w:val="00F841AA"/>
    <w:rsid w:val="00F84A94"/>
    <w:rsid w:val="00F87E96"/>
    <w:rsid w:val="00F92D5B"/>
    <w:rsid w:val="00F93882"/>
    <w:rsid w:val="00FA23E8"/>
    <w:rsid w:val="00FD3CC1"/>
    <w:rsid w:val="00FF1E02"/>
    <w:rsid w:val="00FF30B4"/>
    <w:rsid w:val="03C149E2"/>
    <w:rsid w:val="053A62B5"/>
    <w:rsid w:val="0A2032A3"/>
    <w:rsid w:val="0B8A37D8"/>
    <w:rsid w:val="10C055FF"/>
    <w:rsid w:val="118107EC"/>
    <w:rsid w:val="11DD6519"/>
    <w:rsid w:val="142D7E3D"/>
    <w:rsid w:val="15480B2C"/>
    <w:rsid w:val="16BB723D"/>
    <w:rsid w:val="18015F3F"/>
    <w:rsid w:val="1BE74A3B"/>
    <w:rsid w:val="1BE8440E"/>
    <w:rsid w:val="1D155CEE"/>
    <w:rsid w:val="20F57F95"/>
    <w:rsid w:val="240371BF"/>
    <w:rsid w:val="24985564"/>
    <w:rsid w:val="25711CC6"/>
    <w:rsid w:val="25C741E6"/>
    <w:rsid w:val="27842671"/>
    <w:rsid w:val="29FD04D3"/>
    <w:rsid w:val="2ABE7A3E"/>
    <w:rsid w:val="2BD730F4"/>
    <w:rsid w:val="2CA234A8"/>
    <w:rsid w:val="2EFA178C"/>
    <w:rsid w:val="303E067E"/>
    <w:rsid w:val="30B46D73"/>
    <w:rsid w:val="319F7F4E"/>
    <w:rsid w:val="383D272C"/>
    <w:rsid w:val="39AE70AB"/>
    <w:rsid w:val="3B8C1350"/>
    <w:rsid w:val="3C0C0783"/>
    <w:rsid w:val="3F9F3A96"/>
    <w:rsid w:val="467B6217"/>
    <w:rsid w:val="48BF60AB"/>
    <w:rsid w:val="493C27E9"/>
    <w:rsid w:val="496F39ED"/>
    <w:rsid w:val="49FF41D3"/>
    <w:rsid w:val="4BE068DB"/>
    <w:rsid w:val="4BF6002B"/>
    <w:rsid w:val="4ECE2238"/>
    <w:rsid w:val="51DB4B86"/>
    <w:rsid w:val="5306566E"/>
    <w:rsid w:val="55097EFD"/>
    <w:rsid w:val="55333C3E"/>
    <w:rsid w:val="644C37EF"/>
    <w:rsid w:val="64CA39A1"/>
    <w:rsid w:val="69630ADE"/>
    <w:rsid w:val="6C4A05C8"/>
    <w:rsid w:val="6D3B1A89"/>
    <w:rsid w:val="71BF4EC2"/>
    <w:rsid w:val="72734D90"/>
    <w:rsid w:val="72B91141"/>
    <w:rsid w:val="72FF6E44"/>
    <w:rsid w:val="7412278C"/>
    <w:rsid w:val="78697A5D"/>
    <w:rsid w:val="79E7B28D"/>
    <w:rsid w:val="7F9F20EE"/>
    <w:rsid w:val="9E3A10E2"/>
    <w:rsid w:val="F2E1F9D4"/>
    <w:rsid w:val="F788081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2"/>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5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footnote text"/>
    <w:next w:val="3"/>
    <w:unhideWhenUsed/>
    <w:qFormat/>
    <w:uiPriority w:val="0"/>
    <w:pPr>
      <w:widowControl w:val="0"/>
      <w:autoSpaceDE w:val="0"/>
      <w:autoSpaceDN w:val="0"/>
      <w:adjustRightInd w:val="0"/>
      <w:snapToGrid w:val="0"/>
    </w:pPr>
    <w:rPr>
      <w:rFonts w:hint="default" w:ascii="Times New Roman" w:hAnsi="Times New Roman" w:eastAsia="宋体" w:cs="Times New Roman"/>
      <w:sz w:val="18"/>
    </w:rPr>
  </w:style>
  <w:style w:type="paragraph" w:styleId="3">
    <w:name w:val="Body Text First Indent 2"/>
    <w:unhideWhenUsed/>
    <w:qFormat/>
    <w:uiPriority w:val="99"/>
    <w:pPr>
      <w:widowControl w:val="0"/>
      <w:autoSpaceDE w:val="0"/>
      <w:autoSpaceDN w:val="0"/>
      <w:adjustRightInd w:val="0"/>
      <w:spacing w:after="120"/>
      <w:ind w:leftChars="200" w:firstLine="420" w:firstLineChars="200"/>
    </w:pPr>
    <w:rPr>
      <w:rFonts w:hint="eastAsia" w:ascii="仿宋_GB2312" w:hAnsi="Times New Roman" w:eastAsia="仿宋_GB2312" w:cs="Times New Roman"/>
      <w:sz w:val="24"/>
    </w:rPr>
  </w:style>
  <w:style w:type="paragraph" w:styleId="7">
    <w:name w:val="annotation text"/>
    <w:basedOn w:val="1"/>
    <w:semiHidden/>
    <w:unhideWhenUsed/>
    <w:qFormat/>
    <w:uiPriority w:val="99"/>
    <w:pPr>
      <w:jc w:val="left"/>
    </w:pPr>
  </w:style>
  <w:style w:type="paragraph" w:styleId="8">
    <w:name w:val="Body Text"/>
    <w:basedOn w:val="1"/>
    <w:link w:val="28"/>
    <w:qFormat/>
    <w:uiPriority w:val="99"/>
    <w:pPr>
      <w:spacing w:beforeLines="30"/>
    </w:pPr>
    <w:rPr>
      <w:rFonts w:ascii="仿宋_GB2312" w:eastAsia="仿宋_GB2312"/>
      <w:kern w:val="0"/>
      <w:sz w:val="30"/>
    </w:rPr>
  </w:style>
  <w:style w:type="paragraph" w:styleId="9">
    <w:name w:val="Body Text Indent"/>
    <w:next w:val="3"/>
    <w:unhideWhenUsed/>
    <w:qFormat/>
    <w:uiPriority w:val="0"/>
    <w:pPr>
      <w:widowControl w:val="0"/>
      <w:autoSpaceDE w:val="0"/>
      <w:autoSpaceDN w:val="0"/>
      <w:adjustRightInd w:val="0"/>
      <w:spacing w:after="120"/>
      <w:ind w:leftChars="200"/>
    </w:pPr>
    <w:rPr>
      <w:rFonts w:hint="eastAsia" w:ascii="仿宋_GB2312" w:hAnsi="Times New Roman" w:eastAsia="仿宋_GB2312" w:cs="Times New Roman"/>
      <w:sz w:val="24"/>
    </w:r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4"/>
    <w:semiHidden/>
    <w:unhideWhenUsed/>
    <w:qFormat/>
    <w:uiPriority w:val="99"/>
    <w:rPr>
      <w:sz w:val="18"/>
      <w:szCs w:val="18"/>
    </w:rPr>
  </w:style>
  <w:style w:type="paragraph" w:styleId="12">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qFormat/>
    <w:uiPriority w:val="0"/>
    <w:pPr>
      <w:spacing w:beforeAutospacing="1" w:afterAutospacing="1"/>
    </w:pPr>
  </w:style>
  <w:style w:type="character" w:styleId="19">
    <w:name w:val="Strong"/>
    <w:basedOn w:val="18"/>
    <w:qFormat/>
    <w:uiPriority w:val="99"/>
    <w:rPr>
      <w:b/>
    </w:rPr>
  </w:style>
  <w:style w:type="character" w:styleId="20">
    <w:name w:val="FollowedHyperlink"/>
    <w:basedOn w:val="18"/>
    <w:semiHidden/>
    <w:unhideWhenUsed/>
    <w:qFormat/>
    <w:uiPriority w:val="99"/>
    <w:rPr>
      <w:color w:val="800080"/>
      <w:u w:val="single"/>
    </w:rPr>
  </w:style>
  <w:style w:type="character" w:styleId="21">
    <w:name w:val="Hyperlink"/>
    <w:basedOn w:val="18"/>
    <w:unhideWhenUsed/>
    <w:qFormat/>
    <w:uiPriority w:val="99"/>
    <w:rPr>
      <w:color w:val="0000FF" w:themeColor="hyperlink"/>
      <w:u w:val="single"/>
    </w:rPr>
  </w:style>
  <w:style w:type="paragraph" w:customStyle="1" w:styleId="2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3">
    <w:name w:val="Header Char"/>
    <w:basedOn w:val="18"/>
    <w:semiHidden/>
    <w:qFormat/>
    <w:uiPriority w:val="99"/>
    <w:rPr>
      <w:rFonts w:ascii="Times New Roman" w:hAnsi="Times New Roman"/>
      <w:sz w:val="18"/>
      <w:szCs w:val="18"/>
    </w:rPr>
  </w:style>
  <w:style w:type="character" w:customStyle="1" w:styleId="24">
    <w:name w:val="页眉 字符"/>
    <w:link w:val="13"/>
    <w:semiHidden/>
    <w:qFormat/>
    <w:locked/>
    <w:uiPriority w:val="99"/>
    <w:rPr>
      <w:sz w:val="18"/>
    </w:rPr>
  </w:style>
  <w:style w:type="character" w:customStyle="1" w:styleId="25">
    <w:name w:val="Footer Char"/>
    <w:basedOn w:val="18"/>
    <w:semiHidden/>
    <w:qFormat/>
    <w:uiPriority w:val="99"/>
    <w:rPr>
      <w:rFonts w:ascii="Times New Roman" w:hAnsi="Times New Roman"/>
      <w:sz w:val="18"/>
      <w:szCs w:val="18"/>
    </w:rPr>
  </w:style>
  <w:style w:type="character" w:customStyle="1" w:styleId="26">
    <w:name w:val="页脚 字符"/>
    <w:link w:val="12"/>
    <w:qFormat/>
    <w:locked/>
    <w:uiPriority w:val="99"/>
    <w:rPr>
      <w:sz w:val="18"/>
    </w:rPr>
  </w:style>
  <w:style w:type="character" w:customStyle="1" w:styleId="27">
    <w:name w:val="Body Text Char"/>
    <w:basedOn w:val="18"/>
    <w:semiHidden/>
    <w:qFormat/>
    <w:uiPriority w:val="99"/>
    <w:rPr>
      <w:rFonts w:ascii="Times New Roman" w:hAnsi="Times New Roman"/>
      <w:szCs w:val="24"/>
    </w:rPr>
  </w:style>
  <w:style w:type="character" w:customStyle="1" w:styleId="28">
    <w:name w:val="正文文本 字符"/>
    <w:link w:val="8"/>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标题 1 字符"/>
    <w:basedOn w:val="18"/>
    <w:link w:val="4"/>
    <w:qFormat/>
    <w:uiPriority w:val="9"/>
    <w:rPr>
      <w:rFonts w:ascii="Times New Roman" w:hAnsi="Times New Roman"/>
      <w:b/>
      <w:bCs/>
      <w:kern w:val="44"/>
      <w:sz w:val="44"/>
      <w:szCs w:val="44"/>
    </w:rPr>
  </w:style>
  <w:style w:type="character" w:customStyle="1" w:styleId="32">
    <w:name w:val="标题 2 字符"/>
    <w:basedOn w:val="18"/>
    <w:link w:val="5"/>
    <w:qFormat/>
    <w:uiPriority w:val="9"/>
    <w:rPr>
      <w:rFonts w:asciiTheme="majorHAnsi" w:hAnsiTheme="majorHAnsi" w:eastAsiaTheme="majorEastAsia" w:cstheme="majorBidi"/>
      <w:b/>
      <w:bCs/>
      <w:kern w:val="2"/>
      <w:sz w:val="32"/>
      <w:szCs w:val="32"/>
    </w:rPr>
  </w:style>
  <w:style w:type="paragraph" w:customStyle="1" w:styleId="33">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4">
    <w:name w:val="批注框文本 字符"/>
    <w:basedOn w:val="18"/>
    <w:link w:val="11"/>
    <w:semiHidden/>
    <w:qFormat/>
    <w:uiPriority w:val="99"/>
    <w:rPr>
      <w:rFonts w:ascii="Times New Roman" w:hAnsi="Times New Roman"/>
      <w:kern w:val="2"/>
      <w:sz w:val="18"/>
      <w:szCs w:val="18"/>
    </w:rPr>
  </w:style>
  <w:style w:type="character" w:customStyle="1" w:styleId="35">
    <w:name w:val="标题 3 字符"/>
    <w:basedOn w:val="18"/>
    <w:link w:val="6"/>
    <w:qFormat/>
    <w:uiPriority w:val="9"/>
    <w:rPr>
      <w:rFonts w:ascii="Times New Roman" w:hAnsi="Times New Roman"/>
      <w:b/>
      <w:bCs/>
      <w:kern w:val="2"/>
      <w:sz w:val="32"/>
      <w:szCs w:val="32"/>
    </w:rPr>
  </w:style>
  <w:style w:type="paragraph" w:customStyle="1" w:styleId="36">
    <w:name w:val="TOC 标题2"/>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7">
    <w:name w:val="font5"/>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38">
    <w:name w:val="xl65"/>
    <w:basedOn w:val="1"/>
    <w:qFormat/>
    <w:uiPriority w:val="0"/>
    <w:pPr>
      <w:widowControl/>
      <w:spacing w:before="100" w:beforeAutospacing="1" w:after="100" w:afterAutospacing="1"/>
      <w:jc w:val="left"/>
    </w:pPr>
    <w:rPr>
      <w:rFonts w:ascii="黑体" w:hAnsi="黑体" w:eastAsia="黑体"/>
      <w:color w:val="000000"/>
      <w:kern w:val="0"/>
      <w:sz w:val="18"/>
      <w:szCs w:val="18"/>
    </w:rPr>
  </w:style>
  <w:style w:type="paragraph" w:customStyle="1" w:styleId="39">
    <w:name w:val="xl6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olor w:val="000000"/>
      <w:kern w:val="0"/>
      <w:sz w:val="18"/>
      <w:szCs w:val="18"/>
    </w:rPr>
  </w:style>
  <w:style w:type="paragraph" w:customStyle="1" w:styleId="40">
    <w:name w:val="xl6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olor w:val="000000"/>
      <w:kern w:val="0"/>
      <w:sz w:val="18"/>
      <w:szCs w:val="18"/>
    </w:rPr>
  </w:style>
  <w:style w:type="paragraph" w:customStyle="1" w:styleId="41">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olor w:val="000000"/>
      <w:kern w:val="0"/>
      <w:sz w:val="18"/>
      <w:szCs w:val="18"/>
    </w:rPr>
  </w:style>
  <w:style w:type="paragraph" w:customStyle="1" w:styleId="42">
    <w:name w:val="xl6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olor w:val="000000"/>
      <w:kern w:val="0"/>
      <w:sz w:val="18"/>
      <w:szCs w:val="18"/>
    </w:rPr>
  </w:style>
  <w:style w:type="paragraph" w:customStyle="1" w:styleId="43">
    <w:name w:val="xl7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i/>
      <w:iCs/>
      <w:color w:val="000000"/>
      <w:kern w:val="0"/>
      <w:sz w:val="16"/>
      <w:szCs w:val="16"/>
    </w:rPr>
  </w:style>
  <w:style w:type="paragraph" w:customStyle="1" w:styleId="44">
    <w:name w:val="xl71"/>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45">
    <w:name w:val="xl72"/>
    <w:basedOn w:val="1"/>
    <w:qFormat/>
    <w:uiPriority w:val="0"/>
    <w:pPr>
      <w:widowControl/>
      <w:spacing w:before="100" w:beforeAutospacing="1" w:after="100" w:afterAutospacing="1"/>
      <w:jc w:val="left"/>
    </w:pPr>
    <w:rPr>
      <w:rFonts w:ascii="宋体" w:hAnsi="宋体"/>
      <w:color w:val="C0C0C0"/>
      <w:kern w:val="0"/>
      <w:sz w:val="20"/>
      <w:szCs w:val="20"/>
    </w:rPr>
  </w:style>
  <w:style w:type="paragraph" w:customStyle="1" w:styleId="46">
    <w:name w:val="xl73"/>
    <w:basedOn w:val="1"/>
    <w:qFormat/>
    <w:uiPriority w:val="0"/>
    <w:pPr>
      <w:widowControl/>
      <w:spacing w:before="100" w:beforeAutospacing="1" w:after="100" w:afterAutospacing="1"/>
      <w:jc w:val="left"/>
    </w:pPr>
    <w:rPr>
      <w:rFonts w:ascii="宋体" w:hAnsi="宋体"/>
      <w:color w:val="000000"/>
      <w:kern w:val="0"/>
      <w:sz w:val="20"/>
      <w:szCs w:val="20"/>
    </w:rPr>
  </w:style>
  <w:style w:type="paragraph" w:customStyle="1" w:styleId="47">
    <w:name w:val="xl7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Times New Roman" w:cs="Courier New"/>
      <w:b/>
      <w:bCs/>
      <w:color w:val="000000"/>
      <w:kern w:val="0"/>
      <w:sz w:val="30"/>
      <w:szCs w:val="30"/>
    </w:rPr>
  </w:style>
  <w:style w:type="paragraph" w:customStyle="1" w:styleId="48">
    <w:name w:val="xl7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黑体" w:hAnsi="黑体" w:eastAsia="黑体"/>
      <w:color w:val="000000"/>
      <w:kern w:val="0"/>
      <w:sz w:val="18"/>
      <w:szCs w:val="18"/>
    </w:rPr>
  </w:style>
  <w:style w:type="paragraph" w:customStyle="1" w:styleId="49">
    <w:name w:val="xl7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黑体" w:hAnsi="黑体" w:eastAsia="黑体"/>
      <w:color w:val="000000"/>
      <w:kern w:val="0"/>
      <w:sz w:val="18"/>
      <w:szCs w:val="18"/>
    </w:rPr>
  </w:style>
  <w:style w:type="paragraph" w:customStyle="1" w:styleId="50">
    <w:name w:val="xl7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i/>
      <w:iCs/>
      <w:color w:val="000000"/>
      <w:kern w:val="0"/>
      <w:sz w:val="16"/>
      <w:szCs w:val="16"/>
    </w:rPr>
  </w:style>
  <w:style w:type="paragraph" w:customStyle="1" w:styleId="51">
    <w:name w:val="xl7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黑体" w:hAnsi="黑体" w:eastAsia="黑体"/>
      <w:i/>
      <w:iCs/>
      <w:color w:val="000000"/>
      <w:kern w:val="0"/>
      <w:sz w:val="18"/>
      <w:szCs w:val="18"/>
    </w:rPr>
  </w:style>
  <w:style w:type="character" w:customStyle="1" w:styleId="52">
    <w:name w:val="标题 1 Char"/>
    <w:link w:val="4"/>
    <w:qFormat/>
    <w:uiPriority w:val="0"/>
    <w:rPr>
      <w:rFonts w:ascii="Times New Roman" w:hAnsi="Times New Roman"/>
      <w:b/>
      <w:kern w:val="44"/>
      <w:sz w:val="44"/>
    </w:rPr>
  </w:style>
  <w:style w:type="character" w:customStyle="1" w:styleId="53">
    <w:name w:val="标题 2 Char"/>
    <w:basedOn w:val="18"/>
    <w:link w:val="5"/>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customXml" Target="../customXml/item1.xml"/><Relationship Id="rId17" Type="http://schemas.openxmlformats.org/officeDocument/2006/relationships/image" Target="media/image6.emf"/><Relationship Id="rId16" Type="http://schemas.openxmlformats.org/officeDocument/2006/relationships/oleObject" Target="embeddings/oleObject6.bin"/><Relationship Id="rId15" Type="http://schemas.openxmlformats.org/officeDocument/2006/relationships/image" Target="media/image5.emf"/><Relationship Id="rId14" Type="http://schemas.openxmlformats.org/officeDocument/2006/relationships/oleObject" Target="embeddings/oleObject5.bin"/><Relationship Id="rId13" Type="http://schemas.openxmlformats.org/officeDocument/2006/relationships/image" Target="media/image4.emf"/><Relationship Id="rId12" Type="http://schemas.openxmlformats.org/officeDocument/2006/relationships/oleObject" Target="embeddings/oleObject4.bin"/><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Hei"/>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SimSun"/>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0EB8C8-2F1A-46E9-8D74-49FDA450EFC5}">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36</Pages>
  <Words>14018</Words>
  <Characters>15448</Characters>
  <Lines>84</Lines>
  <Paragraphs>23</Paragraphs>
  <TotalTime>0</TotalTime>
  <ScaleCrop>false</ScaleCrop>
  <LinksUpToDate>false</LinksUpToDate>
  <CharactersWithSpaces>15518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2024-08-24T02:28:00Z</dcterms:created>
  <dc:creator>曹颖</dc:creator>
  <cp:lastModifiedBy>Lenovo</cp:lastModifiedBy>
  <cp:lastPrinted>2023-07-31T02:35:00Z</cp:lastPrinted>
  <dcterms:modified xsi:type="dcterms:W3CDTF">2024-08-29T08:38:36Z</dcterms:modified>
  <dc:title>四川省***</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48CF4AE90F8548AF9879E71663B1A448_12</vt:lpwstr>
  </property>
</Properties>
</file>