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s="Times New Roman"/>
          <w:szCs w:val="21"/>
        </w:rPr>
      </w:pPr>
      <w:bookmarkStart w:id="0" w:name="_Toc15306267"/>
    </w:p>
    <w:p>
      <w:pPr>
        <w:widowControl w:val="0"/>
        <w:spacing w:before="93" w:beforeLines="30"/>
        <w:jc w:val="both"/>
        <w:rPr>
          <w:rFonts w:ascii="仿宋_GB2312" w:hAnsi="Times New Roman" w:eastAsia="仿宋_GB2312" w:cs="Times New Roman"/>
          <w:kern w:val="0"/>
          <w:sz w:val="30"/>
          <w:szCs w:val="24"/>
          <w:lang w:val="en-US" w:eastAsia="zh-CN" w:bidi="ar-SA"/>
        </w:rPr>
      </w:pPr>
    </w:p>
    <w:p>
      <w:pPr>
        <w:spacing w:line="600" w:lineRule="exact"/>
        <w:jc w:val="center"/>
        <w:outlineLvl w:val="0"/>
        <w:rPr>
          <w:rFonts w:ascii="方正小标宋简体" w:hAnsi="宋体" w:eastAsia="方正小标宋简体" w:cs="Times New Roman"/>
          <w:sz w:val="72"/>
          <w:szCs w:val="72"/>
        </w:rPr>
      </w:pPr>
    </w:p>
    <w:p>
      <w:pPr>
        <w:spacing w:line="600" w:lineRule="exact"/>
        <w:jc w:val="center"/>
        <w:outlineLvl w:val="0"/>
        <w:rPr>
          <w:rFonts w:ascii="方正小标宋简体" w:hAnsi="宋体" w:eastAsia="方正小标宋简体" w:cs="Times New Roman"/>
          <w:sz w:val="72"/>
          <w:szCs w:val="72"/>
        </w:rPr>
      </w:pPr>
    </w:p>
    <w:bookmarkEnd w:id="0"/>
    <w:p>
      <w:pPr>
        <w:widowControl w:val="0"/>
        <w:spacing w:beforeLines="30"/>
        <w:jc w:val="center"/>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2023年度</w:t>
      </w:r>
    </w:p>
    <w:p>
      <w:pPr>
        <w:widowControl w:val="0"/>
        <w:spacing w:beforeLines="30"/>
        <w:jc w:val="center"/>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四川省遂宁市安居区白马镇平宁小学校</w:t>
      </w:r>
    </w:p>
    <w:p>
      <w:pPr>
        <w:widowControl w:val="0"/>
        <w:spacing w:beforeLines="30"/>
        <w:jc w:val="center"/>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部门决算</w:t>
      </w:r>
    </w:p>
    <w:p>
      <w:pPr>
        <w:widowControl/>
        <w:jc w:val="center"/>
        <w:rPr>
          <w:rFonts w:ascii="黑体" w:hAnsi="黑体" w:eastAsia="黑体" w:cs="Times New Roman"/>
          <w:sz w:val="48"/>
          <w:szCs w:val="48"/>
        </w:rPr>
      </w:pPr>
      <w:r>
        <w:rPr>
          <w:rFonts w:ascii="方正小标宋简体" w:hAnsi="宋体" w:eastAsia="方正小标宋简体" w:cs="Times New Roman"/>
          <w:sz w:val="36"/>
          <w:szCs w:val="36"/>
        </w:rPr>
        <w:br w:type="page"/>
      </w:r>
      <w:r>
        <w:rPr>
          <w:rFonts w:hint="eastAsia" w:ascii="黑体" w:hAnsi="黑体" w:eastAsia="黑体" w:cs="Times New Roman"/>
          <w:sz w:val="48"/>
          <w:szCs w:val="48"/>
        </w:rPr>
        <w:t>目录</w:t>
      </w:r>
    </w:p>
    <w:p>
      <w:pPr>
        <w:widowControl/>
        <w:jc w:val="center"/>
        <w:rPr>
          <w:rFonts w:ascii="黑体" w:hAnsi="黑体" w:eastAsia="黑体" w:cs="Times New Roman"/>
          <w:sz w:val="28"/>
          <w:szCs w:val="28"/>
        </w:rPr>
      </w:pPr>
    </w:p>
    <w:p>
      <w:pPr>
        <w:widowControl w:val="0"/>
        <w:tabs>
          <w:tab w:val="right" w:leader="dot" w:pos="8296"/>
        </w:tabs>
        <w:spacing w:before="93"/>
        <w:jc w:val="center"/>
        <w:rPr>
          <w:rFonts w:ascii="仿宋" w:hAnsi="仿宋" w:eastAsia="仿宋" w:cs="Times New Roman"/>
          <w:kern w:val="2"/>
          <w:sz w:val="28"/>
          <w:szCs w:val="28"/>
          <w:lang w:val="en-US" w:eastAsia="zh-CN" w:bidi="ar-SA"/>
        </w:rPr>
      </w:pPr>
      <w:bookmarkStart w:id="1" w:name="_Toc15377196"/>
      <w:bookmarkStart w:id="2" w:name="_Toc15396599"/>
      <w:r>
        <w:rPr>
          <w:rFonts w:hint="eastAsia" w:ascii="仿宋" w:hAnsi="仿宋" w:eastAsia="仿宋" w:cs="Times New Roman"/>
          <w:kern w:val="2"/>
          <w:sz w:val="28"/>
          <w:szCs w:val="28"/>
          <w:lang w:val="en-US" w:eastAsia="zh-CN" w:bidi="ar-SA"/>
        </w:rPr>
        <w:t>公开时间：2024年8月28日</w:t>
      </w:r>
      <w:r>
        <w:rPr>
          <w:rFonts w:ascii="仿宋" w:hAnsi="仿宋" w:eastAsia="仿宋" w:cs="Times New Roman"/>
          <w:kern w:val="2"/>
          <w:sz w:val="28"/>
          <w:szCs w:val="28"/>
          <w:lang w:val="en-US" w:eastAsia="zh-CN" w:bidi="ar-SA"/>
        </w:rPr>
        <w:commentReference w:id="0"/>
      </w:r>
    </w:p>
    <w:p>
      <w:pPr>
        <w:rPr>
          <w:rFonts w:ascii="Times New Roman" w:hAnsi="Times New Roman" w:cs="Times New Roman"/>
        </w:rPr>
      </w:pPr>
    </w:p>
    <w:p>
      <w:pPr>
        <w:widowControl w:val="0"/>
        <w:tabs>
          <w:tab w:val="right" w:leader="dot" w:pos="8296"/>
        </w:tabs>
        <w:adjustRightInd w:val="0"/>
        <w:snapToGrid w:val="0"/>
        <w:spacing w:before="0" w:line="440" w:lineRule="exact"/>
        <w:jc w:val="left"/>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8"/>
          <w:lang w:val="en-US" w:eastAsia="zh-CN" w:bidi="ar-SA"/>
        </w:rPr>
        <w:t>第一部分部门概况</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一、主要职责</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4</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4"/>
          <w:szCs w:val="24"/>
          <w:lang w:val="en-US" w:eastAsia="zh-CN" w:bidi="ar-SA"/>
        </w:rPr>
        <w:t>二、机构设置</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4</w:t>
      </w:r>
    </w:p>
    <w:p>
      <w:pPr>
        <w:widowControl w:val="0"/>
        <w:tabs>
          <w:tab w:val="right" w:leader="dot" w:pos="8296"/>
        </w:tabs>
        <w:adjustRightInd w:val="0"/>
        <w:snapToGrid w:val="0"/>
        <w:spacing w:before="0" w:line="440" w:lineRule="exact"/>
        <w:jc w:val="left"/>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8"/>
          <w:lang w:val="en-US" w:eastAsia="zh-CN" w:bidi="ar-SA"/>
        </w:rPr>
        <w:t>第二部分 2023年度部门决算情况说明</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5</w:t>
      </w:r>
    </w:p>
    <w:p>
      <w:pPr>
        <w:widowControl w:val="0"/>
        <w:tabs>
          <w:tab w:val="right" w:leader="dot" w:pos="8296"/>
        </w:tabs>
        <w:adjustRightInd w:val="0"/>
        <w:snapToGrid w:val="0"/>
        <w:spacing w:line="440" w:lineRule="exact"/>
        <w:ind w:left="420" w:leftChars="200"/>
        <w:jc w:val="left"/>
        <w:rPr>
          <w:rFonts w:ascii="仿宋" w:hAnsi="仿宋" w:eastAsia="仿宋"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一、收入支出决算总体情况说明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5</w:t>
      </w:r>
    </w:p>
    <w:p>
      <w:pPr>
        <w:widowControl w:val="0"/>
        <w:tabs>
          <w:tab w:val="right" w:leader="dot" w:pos="8296"/>
        </w:tabs>
        <w:adjustRightInd w:val="0"/>
        <w:snapToGrid w:val="0"/>
        <w:spacing w:line="440" w:lineRule="exact"/>
        <w:ind w:left="420" w:leftChars="200"/>
        <w:jc w:val="left"/>
        <w:rPr>
          <w:rFonts w:ascii="仿宋" w:hAnsi="仿宋" w:eastAsia="仿宋"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5</w:t>
      </w:r>
    </w:p>
    <w:p>
      <w:pPr>
        <w:widowControl w:val="0"/>
        <w:tabs>
          <w:tab w:val="right" w:leader="dot" w:pos="8296"/>
        </w:tabs>
        <w:adjustRightInd w:val="0"/>
        <w:snapToGrid w:val="0"/>
        <w:spacing w:line="440" w:lineRule="exact"/>
        <w:ind w:left="420" w:leftChars="200"/>
        <w:jc w:val="left"/>
        <w:rPr>
          <w:rFonts w:ascii="仿宋" w:hAnsi="仿宋" w:eastAsia="仿宋"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6</w:t>
      </w:r>
    </w:p>
    <w:p>
      <w:pPr>
        <w:widowControl w:val="0"/>
        <w:tabs>
          <w:tab w:val="right" w:leader="dot" w:pos="8296"/>
        </w:tabs>
        <w:adjustRightInd w:val="0"/>
        <w:snapToGrid w:val="0"/>
        <w:spacing w:line="440" w:lineRule="exact"/>
        <w:ind w:left="420" w:leftChars="200"/>
        <w:jc w:val="left"/>
        <w:rPr>
          <w:rFonts w:ascii="仿宋" w:hAnsi="仿宋" w:eastAsia="仿宋"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四、财政拨款收入支出决算总体情况说明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7</w:t>
      </w:r>
    </w:p>
    <w:p>
      <w:pPr>
        <w:widowControl w:val="0"/>
        <w:tabs>
          <w:tab w:val="right" w:leader="dot" w:pos="8296"/>
        </w:tabs>
        <w:adjustRightInd w:val="0"/>
        <w:snapToGrid w:val="0"/>
        <w:spacing w:line="440" w:lineRule="exact"/>
        <w:ind w:left="420" w:leftChars="200"/>
        <w:jc w:val="left"/>
        <w:rPr>
          <w:rFonts w:ascii="仿宋" w:hAnsi="仿宋" w:eastAsia="仿宋"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五、一般公共预算财政拨款支出决算情况说明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8</w:t>
      </w:r>
    </w:p>
    <w:p>
      <w:pPr>
        <w:widowControl w:val="0"/>
        <w:tabs>
          <w:tab w:val="right" w:leader="dot" w:pos="8296"/>
        </w:tabs>
        <w:adjustRightInd w:val="0"/>
        <w:snapToGrid w:val="0"/>
        <w:spacing w:line="440" w:lineRule="exact"/>
        <w:ind w:left="420" w:leftChars="200"/>
        <w:jc w:val="left"/>
        <w:rPr>
          <w:rFonts w:hint="default" w:ascii="仿宋" w:hAnsi="仿宋"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六、一般公共预算财政拨款基本支出决算情况说明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11</w:t>
      </w:r>
    </w:p>
    <w:p>
      <w:pPr>
        <w:widowControl w:val="0"/>
        <w:tabs>
          <w:tab w:val="right" w:leader="dot" w:pos="8296"/>
        </w:tabs>
        <w:adjustRightInd w:val="0"/>
        <w:snapToGrid w:val="0"/>
        <w:spacing w:line="440" w:lineRule="exact"/>
        <w:ind w:left="420" w:leftChars="20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4"/>
          <w:szCs w:val="24"/>
          <w:lang w:val="en-US" w:eastAsia="zh-CN" w:bidi="ar-SA"/>
        </w:rPr>
        <w:t>七、财政拨款“三公”经费支出决算情况说明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11</w:t>
      </w:r>
    </w:p>
    <w:p>
      <w:pPr>
        <w:widowControl w:val="0"/>
        <w:tabs>
          <w:tab w:val="right" w:leader="dot" w:pos="8296"/>
        </w:tabs>
        <w:adjustRightInd w:val="0"/>
        <w:snapToGrid w:val="0"/>
        <w:spacing w:line="440" w:lineRule="exact"/>
        <w:ind w:left="420" w:leftChars="20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4"/>
          <w:szCs w:val="24"/>
          <w:lang w:val="en-US" w:eastAsia="zh-CN" w:bidi="ar-SA"/>
        </w:rPr>
        <w:t>八、政府性基金预算支出决算情况说明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12</w:t>
      </w:r>
    </w:p>
    <w:p>
      <w:pPr>
        <w:widowControl w:val="0"/>
        <w:tabs>
          <w:tab w:val="right" w:leader="dot" w:pos="8296"/>
        </w:tabs>
        <w:adjustRightInd w:val="0"/>
        <w:snapToGrid w:val="0"/>
        <w:spacing w:line="440" w:lineRule="exact"/>
        <w:ind w:left="420" w:leftChars="200"/>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九、国有资本经营预算支出决算情况说明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12</w:t>
      </w:r>
    </w:p>
    <w:p>
      <w:pPr>
        <w:widowControl w:val="0"/>
        <w:tabs>
          <w:tab w:val="right" w:leader="dot" w:pos="8296"/>
        </w:tabs>
        <w:adjustRightInd w:val="0"/>
        <w:snapToGrid w:val="0"/>
        <w:spacing w:line="440" w:lineRule="exact"/>
        <w:ind w:left="420" w:leftChars="200"/>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十、其他重要事项的情况说明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13</w:t>
      </w:r>
    </w:p>
    <w:p>
      <w:pPr>
        <w:widowControl w:val="0"/>
        <w:tabs>
          <w:tab w:val="right" w:leader="dot" w:pos="8296"/>
        </w:tabs>
        <w:adjustRightInd w:val="0"/>
        <w:snapToGrid w:val="0"/>
        <w:spacing w:before="0" w:line="44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8"/>
          <w:lang w:val="en-US" w:eastAsia="zh-CN" w:bidi="ar-SA"/>
        </w:rPr>
        <w:t>第三部分名词解释</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15</w:t>
      </w:r>
    </w:p>
    <w:p>
      <w:pPr>
        <w:widowControl w:val="0"/>
        <w:tabs>
          <w:tab w:val="right" w:leader="dot" w:pos="8296"/>
        </w:tabs>
        <w:adjustRightInd w:val="0"/>
        <w:snapToGrid w:val="0"/>
        <w:spacing w:before="0" w:line="440" w:lineRule="exact"/>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4"/>
          <w:szCs w:val="28"/>
          <w:lang w:val="en-US" w:eastAsia="zh-CN" w:bidi="ar-SA"/>
        </w:rPr>
        <w:t>第四部分附件</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jc w:val="left"/>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8"/>
          <w:lang w:val="en-US" w:eastAsia="zh-CN" w:bidi="ar-SA"/>
        </w:rPr>
        <w:t>第五部分附表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33</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五、财政拨款支出决算明细表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六、一般公共预算财政拨款支出决算表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七、一般公共预算财政拨款支出决算明细表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八、一般公共预算财政拨款基本支出决算明细表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九、一般公共预算财政拨款项目支出决算表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十、政府性基金预算财政拨款收入支出决算表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十一、国有资本经营预算财政拨款收入支出决算表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十二、国有资本经营预算财政拨款支出决算表</w:t>
      </w:r>
    </w:p>
    <w:p>
      <w:pPr>
        <w:widowControl w:val="0"/>
        <w:tabs>
          <w:tab w:val="right" w:leader="dot" w:pos="8296"/>
        </w:tabs>
        <w:adjustRightInd w:val="0"/>
        <w:snapToGrid w:val="0"/>
        <w:spacing w:line="440" w:lineRule="exact"/>
        <w:ind w:left="420" w:leftChars="20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十三、财政拨款“三公”经费支出决算表</w:t>
      </w:r>
    </w:p>
    <w:p>
      <w:pPr>
        <w:widowControl/>
        <w:spacing w:line="440" w:lineRule="exact"/>
        <w:jc w:val="left"/>
        <w:rPr>
          <w:rFonts w:ascii="仿宋" w:hAnsi="仿宋" w:eastAsia="仿宋" w:cs="Times New Roman"/>
          <w:bCs/>
          <w:kern w:val="44"/>
          <w:sz w:val="24"/>
        </w:rPr>
      </w:pPr>
      <w:r>
        <w:rPr>
          <w:rFonts w:ascii="仿宋" w:hAnsi="仿宋" w:eastAsia="仿宋" w:cs="Times New Roman"/>
          <w:b/>
          <w:sz w:val="24"/>
        </w:rPr>
        <w:br w:type="page"/>
      </w:r>
    </w:p>
    <w:p>
      <w:pPr>
        <w:keepNext/>
        <w:keepLines/>
        <w:widowControl w:val="0"/>
        <w:spacing w:before="340" w:after="330" w:line="578" w:lineRule="auto"/>
        <w:jc w:val="center"/>
        <w:outlineLvl w:val="0"/>
        <w:rPr>
          <w:rFonts w:ascii="黑体" w:hAnsi="黑体" w:eastAsia="黑体" w:cs="Times New Roman"/>
          <w:b/>
          <w:bCs w:val="0"/>
          <w:kern w:val="44"/>
          <w:sz w:val="44"/>
          <w:szCs w:val="44"/>
          <w:lang w:val="en-US" w:eastAsia="zh-CN" w:bidi="ar-SA"/>
        </w:rPr>
      </w:pPr>
      <w:r>
        <w:rPr>
          <w:rFonts w:hint="eastAsia" w:ascii="黑体" w:hAnsi="黑体" w:eastAsia="黑体" w:cs="Times New Roman"/>
          <w:b w:val="0"/>
          <w:bCs/>
          <w:kern w:val="44"/>
          <w:sz w:val="44"/>
          <w:szCs w:val="44"/>
          <w:lang w:val="en-US" w:eastAsia="zh-CN" w:bidi="ar-SA"/>
        </w:rPr>
        <w:t>第一部分 部门</w:t>
      </w:r>
      <w:r>
        <w:rPr>
          <w:rFonts w:hint="eastAsia" w:ascii="黑体" w:hAnsi="黑体" w:eastAsia="黑体" w:cs="Times New Roman"/>
          <w:b w:val="0"/>
          <w:bCs w:val="0"/>
          <w:kern w:val="44"/>
          <w:sz w:val="44"/>
          <w:szCs w:val="44"/>
          <w:lang w:val="en-US" w:eastAsia="zh-CN" w:bidi="ar-SA"/>
        </w:rPr>
        <w:t>概况</w:t>
      </w:r>
      <w:bookmarkEnd w:id="1"/>
      <w:bookmarkEnd w:id="2"/>
    </w:p>
    <w:p>
      <w:pPr>
        <w:widowControl/>
        <w:jc w:val="left"/>
        <w:rPr>
          <w:rFonts w:ascii="黑体" w:hAnsi="Times New Roman" w:eastAsia="黑体" w:cs="Times New Roman"/>
          <w:sz w:val="32"/>
          <w:szCs w:val="32"/>
        </w:rPr>
      </w:pPr>
    </w:p>
    <w:p>
      <w:pPr>
        <w:keepNext/>
        <w:keepLines/>
        <w:widowControl w:val="0"/>
        <w:numPr>
          <w:ilvl w:val="0"/>
          <w:numId w:val="1"/>
        </w:numPr>
        <w:spacing w:before="260" w:after="260" w:line="416" w:lineRule="auto"/>
        <w:jc w:val="both"/>
        <w:outlineLvl w:val="1"/>
        <w:rPr>
          <w:rFonts w:ascii="黑体" w:hAnsi="黑体" w:eastAsia="黑体" w:cs="Times New Roman"/>
          <w:b w:val="0"/>
          <w:bCs w:val="0"/>
          <w:kern w:val="2"/>
          <w:sz w:val="32"/>
          <w:szCs w:val="32"/>
          <w:lang w:val="en-US" w:eastAsia="zh-CN" w:bidi="ar-SA"/>
        </w:rPr>
      </w:pPr>
      <w:bookmarkStart w:id="3" w:name="_Toc15396600"/>
      <w:bookmarkStart w:id="4" w:name="_Toc15377197"/>
      <w:r>
        <w:rPr>
          <w:rFonts w:hint="eastAsia" w:ascii="黑体" w:hAnsi="黑体" w:eastAsia="黑体" w:cs="Times New Roman"/>
          <w:b w:val="0"/>
          <w:bCs w:val="0"/>
          <w:kern w:val="2"/>
          <w:sz w:val="32"/>
          <w:szCs w:val="32"/>
          <w:lang w:val="en-US" w:eastAsia="zh-CN" w:bidi="ar-SA"/>
        </w:rPr>
        <w:t>主要职责</w:t>
      </w:r>
    </w:p>
    <w:p>
      <w:pPr>
        <w:ind w:firstLine="640" w:firstLineChars="200"/>
        <w:rPr>
          <w:rFonts w:hint="eastAsia" w:ascii="Times New Roman" w:hAnsi="Times New Roman" w:cs="Times New Roman"/>
        </w:rPr>
      </w:pPr>
      <w:r>
        <w:rPr>
          <w:rFonts w:hint="eastAsia" w:ascii="仿宋_GB2312" w:hAnsi="仿宋" w:eastAsia="仿宋_GB2312" w:cs="Times New Roman"/>
          <w:sz w:val="32"/>
          <w:szCs w:val="32"/>
        </w:rPr>
        <w:t>四川省遂宁市安居区</w:t>
      </w:r>
      <w:r>
        <w:rPr>
          <w:rFonts w:hint="eastAsia" w:ascii="仿宋_GB2312" w:hAnsi="仿宋" w:eastAsia="仿宋_GB2312" w:cs="Times New Roman"/>
          <w:sz w:val="32"/>
          <w:szCs w:val="32"/>
          <w:lang w:eastAsia="zh-CN"/>
        </w:rPr>
        <w:t>白马</w:t>
      </w:r>
      <w:r>
        <w:rPr>
          <w:rFonts w:hint="eastAsia" w:ascii="仿宋_GB2312" w:hAnsi="仿宋" w:eastAsia="仿宋_GB2312" w:cs="Times New Roman"/>
          <w:sz w:val="32"/>
          <w:szCs w:val="32"/>
        </w:rPr>
        <w:t>镇</w:t>
      </w:r>
      <w:r>
        <w:rPr>
          <w:rFonts w:hint="eastAsia" w:ascii="仿宋_GB2312" w:hAnsi="仿宋" w:eastAsia="仿宋_GB2312" w:cs="Times New Roman"/>
          <w:sz w:val="32"/>
          <w:szCs w:val="32"/>
          <w:lang w:eastAsia="zh-CN"/>
        </w:rPr>
        <w:t>平宁</w:t>
      </w:r>
      <w:r>
        <w:rPr>
          <w:rFonts w:hint="eastAsia" w:ascii="仿宋_GB2312" w:hAnsi="仿宋" w:eastAsia="仿宋_GB2312" w:cs="Times New Roman"/>
          <w:sz w:val="32"/>
          <w:szCs w:val="32"/>
        </w:rPr>
        <w:t>小学校地处遂宁市安居区</w:t>
      </w:r>
      <w:r>
        <w:rPr>
          <w:rFonts w:hint="eastAsia" w:ascii="仿宋_GB2312" w:hAnsi="仿宋" w:eastAsia="仿宋_GB2312" w:cs="Times New Roman"/>
          <w:sz w:val="32"/>
          <w:szCs w:val="32"/>
          <w:lang w:eastAsia="zh-CN"/>
        </w:rPr>
        <w:t>白马</w:t>
      </w:r>
      <w:r>
        <w:rPr>
          <w:rFonts w:hint="eastAsia" w:ascii="仿宋_GB2312" w:hAnsi="仿宋" w:eastAsia="仿宋_GB2312" w:cs="Times New Roman"/>
          <w:sz w:val="32"/>
          <w:szCs w:val="32"/>
        </w:rPr>
        <w:t>镇</w:t>
      </w:r>
      <w:r>
        <w:rPr>
          <w:rFonts w:hint="eastAsia" w:ascii="仿宋_GB2312" w:hAnsi="仿宋" w:eastAsia="仿宋_GB2312" w:cs="Times New Roman"/>
          <w:sz w:val="32"/>
          <w:szCs w:val="32"/>
          <w:lang w:eastAsia="zh-CN"/>
        </w:rPr>
        <w:t>平宁兴隆街</w:t>
      </w:r>
      <w:r>
        <w:rPr>
          <w:rFonts w:hint="eastAsia" w:ascii="仿宋_GB2312" w:hAnsi="仿宋" w:eastAsia="仿宋_GB2312" w:cs="Times New Roman"/>
          <w:sz w:val="32"/>
          <w:szCs w:val="32"/>
          <w:lang w:val="en-US" w:eastAsia="zh-CN"/>
        </w:rPr>
        <w:t>208号</w:t>
      </w:r>
      <w:r>
        <w:rPr>
          <w:rFonts w:hint="eastAsia" w:ascii="仿宋_GB2312" w:hAnsi="仿宋" w:eastAsia="仿宋_GB2312" w:cs="Times New Roman"/>
          <w:sz w:val="32"/>
          <w:szCs w:val="32"/>
        </w:rPr>
        <w:t>，占地面积</w:t>
      </w:r>
      <w:r>
        <w:rPr>
          <w:rFonts w:hint="eastAsia" w:ascii="仿宋_GB2312" w:hAnsi="仿宋" w:eastAsia="仿宋_GB2312" w:cs="Times New Roman"/>
          <w:sz w:val="32"/>
          <w:szCs w:val="32"/>
          <w:lang w:val="en-US" w:eastAsia="zh-CN"/>
        </w:rPr>
        <w:t>3205.6</w:t>
      </w:r>
      <w:r>
        <w:rPr>
          <w:rFonts w:hint="eastAsia" w:ascii="仿宋_GB2312" w:hAnsi="仿宋" w:eastAsia="仿宋_GB2312" w:cs="Times New Roman"/>
          <w:sz w:val="32"/>
          <w:szCs w:val="32"/>
        </w:rPr>
        <w:t>平方米，我校主要服务区域为四川省遂宁市安居区</w:t>
      </w:r>
      <w:r>
        <w:rPr>
          <w:rFonts w:hint="eastAsia" w:ascii="仿宋_GB2312" w:hAnsi="仿宋" w:eastAsia="仿宋_GB2312" w:cs="Times New Roman"/>
          <w:sz w:val="32"/>
          <w:szCs w:val="32"/>
          <w:lang w:eastAsia="zh-CN"/>
        </w:rPr>
        <w:t>白马</w:t>
      </w:r>
      <w:r>
        <w:rPr>
          <w:rFonts w:hint="eastAsia" w:ascii="仿宋_GB2312" w:hAnsi="仿宋" w:eastAsia="仿宋_GB2312" w:cs="Times New Roman"/>
          <w:sz w:val="32"/>
          <w:szCs w:val="32"/>
        </w:rPr>
        <w:t>镇</w:t>
      </w:r>
      <w:r>
        <w:rPr>
          <w:rFonts w:hint="eastAsia" w:ascii="仿宋_GB2312" w:hAnsi="仿宋" w:eastAsia="仿宋_GB2312" w:cs="Times New Roman"/>
          <w:sz w:val="32"/>
          <w:szCs w:val="32"/>
          <w:lang w:eastAsia="zh-CN"/>
        </w:rPr>
        <w:t>平宁</w:t>
      </w:r>
      <w:r>
        <w:rPr>
          <w:rFonts w:hint="eastAsia" w:ascii="仿宋_GB2312" w:hAnsi="仿宋" w:eastAsia="仿宋_GB2312" w:cs="Times New Roman"/>
          <w:sz w:val="32"/>
          <w:szCs w:val="32"/>
        </w:rPr>
        <w:t>片</w:t>
      </w:r>
      <w:r>
        <w:rPr>
          <w:rFonts w:ascii="仿宋_GB2312" w:hAnsi="仿宋" w:eastAsia="仿宋_GB2312" w:cs="Times New Roman"/>
          <w:sz w:val="32"/>
          <w:szCs w:val="32"/>
        </w:rPr>
        <w:t>区</w:t>
      </w:r>
      <w:r>
        <w:rPr>
          <w:rFonts w:hint="eastAsia" w:ascii="仿宋_GB2312" w:hAnsi="仿宋" w:eastAsia="仿宋_GB2312" w:cs="Times New Roman"/>
          <w:sz w:val="32"/>
          <w:szCs w:val="32"/>
        </w:rPr>
        <w:t>所辖行政区及附近区域。我校正确贯彻执行党和国家的教育方针、政策、法规；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pPr>
        <w:rPr>
          <w:rFonts w:ascii="Times New Roman" w:hAnsi="Times New Roman" w:cs="Times New Roman"/>
        </w:rPr>
      </w:pPr>
    </w:p>
    <w:p>
      <w:pPr>
        <w:keepNext/>
        <w:keepLines/>
        <w:widowControl w:val="0"/>
        <w:numPr>
          <w:ilvl w:val="0"/>
          <w:numId w:val="1"/>
        </w:numPr>
        <w:spacing w:before="260" w:after="260" w:line="416" w:lineRule="auto"/>
        <w:ind w:left="0" w:leftChars="0" w:firstLine="0" w:firstLineChars="0"/>
        <w:jc w:val="both"/>
        <w:outlineLvl w:val="1"/>
        <w:rPr>
          <w:rFonts w:ascii="Cambria" w:hAnsi="Cambria" w:eastAsia="宋体" w:cs="Times New Roman"/>
          <w:b/>
          <w:bCs/>
          <w:kern w:val="2"/>
          <w:sz w:val="32"/>
          <w:szCs w:val="32"/>
          <w:lang w:val="en-US" w:eastAsia="zh-CN" w:bidi="ar-SA"/>
        </w:rPr>
      </w:pPr>
      <w:r>
        <w:rPr>
          <w:rFonts w:hint="eastAsia" w:ascii="黑体" w:hAnsi="黑体" w:eastAsia="黑体" w:cs="Times New Roman"/>
          <w:b w:val="0"/>
          <w:bCs/>
          <w:kern w:val="2"/>
          <w:sz w:val="32"/>
          <w:szCs w:val="32"/>
          <w:lang w:val="en-US" w:eastAsia="zh-CN" w:bidi="ar-SA"/>
        </w:rPr>
        <w:t>机构设置</w:t>
      </w:r>
    </w:p>
    <w:bookmarkEnd w:id="3"/>
    <w:bookmarkEnd w:id="4"/>
    <w:p>
      <w:pPr>
        <w:snapToGrid w:val="0"/>
        <w:spacing w:line="540" w:lineRule="exact"/>
        <w:ind w:firstLine="640" w:firstLineChars="200"/>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遂宁市安居区</w:t>
      </w:r>
      <w:r>
        <w:rPr>
          <w:rFonts w:hint="eastAsia" w:ascii="仿宋" w:hAnsi="仿宋" w:eastAsia="仿宋" w:cs="宋体"/>
          <w:bCs/>
          <w:color w:val="000000"/>
          <w:kern w:val="0"/>
          <w:sz w:val="32"/>
          <w:szCs w:val="32"/>
          <w:lang w:eastAsia="zh-CN"/>
        </w:rPr>
        <w:t>白马镇平宁小学校</w:t>
      </w:r>
      <w:r>
        <w:rPr>
          <w:rFonts w:hint="eastAsia" w:ascii="仿宋" w:hAnsi="仿宋" w:eastAsia="仿宋" w:cs="宋体"/>
          <w:bCs/>
          <w:color w:val="000000"/>
          <w:kern w:val="0"/>
          <w:sz w:val="32"/>
          <w:szCs w:val="32"/>
        </w:rPr>
        <w:t>，属遂宁市安居区教育和体育局下属二级事业单位</w:t>
      </w:r>
      <w:r>
        <w:rPr>
          <w:rFonts w:ascii="仿宋" w:hAnsi="仿宋" w:eastAsia="仿宋" w:cs="宋体"/>
          <w:bCs/>
          <w:color w:val="000000"/>
          <w:kern w:val="0"/>
          <w:sz w:val="32"/>
          <w:szCs w:val="32"/>
        </w:rPr>
        <w:t>，</w:t>
      </w:r>
      <w:r>
        <w:rPr>
          <w:rFonts w:hint="eastAsia" w:ascii="仿宋" w:hAnsi="仿宋" w:eastAsia="仿宋" w:cs="仿宋"/>
          <w:sz w:val="32"/>
          <w:szCs w:val="32"/>
        </w:rPr>
        <w:t>纳入202</w:t>
      </w:r>
      <w:r>
        <w:rPr>
          <w:rFonts w:ascii="仿宋" w:hAnsi="仿宋" w:eastAsia="仿宋" w:cs="仿宋"/>
          <w:sz w:val="32"/>
          <w:szCs w:val="32"/>
        </w:rPr>
        <w:t>3</w:t>
      </w:r>
      <w:r>
        <w:rPr>
          <w:rFonts w:hint="eastAsia" w:ascii="仿宋" w:hAnsi="仿宋" w:eastAsia="仿宋" w:cs="仿宋"/>
          <w:sz w:val="32"/>
          <w:szCs w:val="32"/>
        </w:rPr>
        <w:t>年部门决算编报</w:t>
      </w:r>
      <w:r>
        <w:rPr>
          <w:rFonts w:hint="eastAsia" w:ascii="仿宋" w:hAnsi="仿宋" w:eastAsia="仿宋" w:cs="仿宋"/>
          <w:bCs/>
          <w:color w:val="000000"/>
          <w:kern w:val="0"/>
          <w:sz w:val="32"/>
          <w:szCs w:val="32"/>
        </w:rPr>
        <w:t>。</w:t>
      </w:r>
    </w:p>
    <w:p>
      <w:pPr>
        <w:ind w:firstLine="800" w:firstLineChars="250"/>
        <w:rPr>
          <w:rFonts w:ascii="仿宋" w:hAnsi="仿宋" w:eastAsia="仿宋" w:cs="Times New Roman"/>
          <w:sz w:val="32"/>
          <w:szCs w:val="32"/>
        </w:rPr>
      </w:pPr>
      <w:r>
        <w:rPr>
          <w:rFonts w:hint="eastAsia" w:ascii="仿宋" w:hAnsi="仿宋" w:eastAsia="仿宋" w:cs="Times New Roman"/>
          <w:sz w:val="32"/>
          <w:szCs w:val="32"/>
        </w:rPr>
        <w:t>学校的主管部门为四川省遂宁市安居区教育和体育局。</w:t>
      </w:r>
    </w:p>
    <w:p>
      <w:pPr>
        <w:widowControl/>
        <w:jc w:val="left"/>
        <w:rPr>
          <w:rFonts w:ascii="仿宋" w:hAnsi="仿宋" w:eastAsia="仿宋" w:cs="Times New Roman"/>
          <w:kern w:val="0"/>
          <w:sz w:val="32"/>
          <w:szCs w:val="32"/>
        </w:rPr>
      </w:pPr>
      <w:r>
        <w:rPr>
          <w:rFonts w:ascii="仿宋" w:hAnsi="仿宋" w:eastAsia="仿宋" w:cs="Times New Roman"/>
          <w:sz w:val="32"/>
          <w:szCs w:val="32"/>
        </w:rPr>
        <w:br w:type="page"/>
      </w:r>
    </w:p>
    <w:p>
      <w:pPr>
        <w:keepNext/>
        <w:keepLines/>
        <w:widowControl w:val="0"/>
        <w:spacing w:before="340" w:after="330" w:line="578" w:lineRule="auto"/>
        <w:ind w:right="440"/>
        <w:jc w:val="center"/>
        <w:outlineLvl w:val="0"/>
        <w:rPr>
          <w:rFonts w:ascii="黑体" w:hAnsi="黑体" w:eastAsia="黑体" w:cs="Times New Roman"/>
          <w:b w:val="0"/>
          <w:bCs/>
          <w:kern w:val="44"/>
          <w:sz w:val="44"/>
          <w:szCs w:val="44"/>
          <w:lang w:val="en-US" w:eastAsia="zh-CN" w:bidi="ar-SA"/>
        </w:rPr>
      </w:pPr>
      <w:bookmarkStart w:id="5" w:name="_Toc15396602"/>
      <w:bookmarkStart w:id="6" w:name="_Toc15377204"/>
      <w:r>
        <w:rPr>
          <w:rFonts w:hint="eastAsia" w:ascii="黑体" w:hAnsi="黑体" w:eastAsia="黑体" w:cs="Times New Roman"/>
          <w:b w:val="0"/>
          <w:bCs/>
          <w:kern w:val="44"/>
          <w:sz w:val="44"/>
          <w:szCs w:val="44"/>
          <w:lang w:val="en-US" w:eastAsia="zh-CN" w:bidi="ar-SA"/>
        </w:rPr>
        <w:t>第二部分 2023年度部门决算情况说明</w:t>
      </w:r>
      <w:bookmarkEnd w:id="5"/>
      <w:bookmarkEnd w:id="6"/>
    </w:p>
    <w:p>
      <w:pPr>
        <w:rPr>
          <w:rFonts w:ascii="Times New Roman" w:hAnsi="Times New Roman" w:cs="Times New Roman"/>
        </w:rPr>
      </w:pPr>
    </w:p>
    <w:p>
      <w:pPr>
        <w:widowControl w:val="0"/>
        <w:numPr>
          <w:ilvl w:val="0"/>
          <w:numId w:val="2"/>
        </w:numPr>
        <w:spacing w:line="600" w:lineRule="exact"/>
        <w:ind w:left="1360" w:hanging="720" w:firstLineChars="0"/>
        <w:jc w:val="both"/>
        <w:outlineLvl w:val="1"/>
        <w:rPr>
          <w:rFonts w:ascii="黑体" w:hAnsi="黑体" w:eastAsia="黑体" w:cs="Times New Roman"/>
          <w:b w:val="0"/>
          <w:kern w:val="2"/>
          <w:sz w:val="21"/>
          <w:szCs w:val="24"/>
          <w:lang w:val="en-US" w:eastAsia="zh-CN" w:bidi="ar-SA"/>
        </w:rPr>
      </w:pPr>
      <w:bookmarkStart w:id="7" w:name="_Toc15396603"/>
      <w:bookmarkStart w:id="8" w:name="_Toc15377205"/>
      <w:r>
        <w:rPr>
          <w:rFonts w:hint="eastAsia" w:ascii="黑体" w:hAnsi="黑体" w:eastAsia="黑体" w:cs="Times New Roman"/>
          <w:kern w:val="2"/>
          <w:sz w:val="32"/>
          <w:szCs w:val="32"/>
          <w:lang w:val="en-US" w:eastAsia="zh-CN" w:bidi="ar-SA"/>
        </w:rPr>
        <w:t>收</w:t>
      </w:r>
      <w:r>
        <w:rPr>
          <w:rFonts w:hint="eastAsia" w:ascii="黑体" w:hAnsi="黑体" w:eastAsia="黑体" w:cs="Times New Roman"/>
          <w:b w:val="0"/>
          <w:bCs/>
          <w:kern w:val="2"/>
          <w:sz w:val="32"/>
          <w:szCs w:val="32"/>
          <w:lang w:val="en-US" w:eastAsia="zh-CN" w:bidi="ar-SA"/>
        </w:rPr>
        <w:t>入支出决算总体情况说明</w:t>
      </w:r>
      <w:bookmarkEnd w:id="7"/>
      <w:bookmarkEnd w:id="8"/>
    </w:p>
    <w:p>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2023年度收、支总计均为</w:t>
      </w:r>
      <w:r>
        <w:rPr>
          <w:rFonts w:hint="eastAsia" w:ascii="仿宋" w:hAnsi="仿宋" w:eastAsia="仿宋" w:cs="Times New Roman"/>
          <w:b/>
          <w:sz w:val="32"/>
          <w:szCs w:val="32"/>
        </w:rPr>
        <w:t>491.95</w:t>
      </w:r>
      <w:r>
        <w:rPr>
          <w:rFonts w:hint="eastAsia" w:ascii="仿宋" w:hAnsi="仿宋" w:eastAsia="仿宋" w:cs="Times New Roman"/>
          <w:sz w:val="32"/>
          <w:szCs w:val="32"/>
        </w:rPr>
        <w:t>万元。与2022年度相比，收入增加</w:t>
      </w:r>
      <w:r>
        <w:rPr>
          <w:rFonts w:hint="eastAsia" w:ascii="仿宋" w:hAnsi="仿宋" w:eastAsia="仿宋" w:cs="Times New Roman"/>
          <w:sz w:val="32"/>
          <w:szCs w:val="32"/>
          <w:lang w:val="en-US" w:eastAsia="zh-CN"/>
        </w:rPr>
        <w:t>54.99</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12.58</w:t>
      </w:r>
      <w:r>
        <w:rPr>
          <w:rFonts w:ascii="仿宋" w:hAnsi="仿宋" w:eastAsia="仿宋" w:cs="Times New Roman"/>
          <w:sz w:val="32"/>
          <w:szCs w:val="32"/>
        </w:rPr>
        <w:t>%</w:t>
      </w:r>
      <w:r>
        <w:rPr>
          <w:rFonts w:hint="eastAsia" w:ascii="仿宋" w:hAnsi="仿宋" w:eastAsia="仿宋" w:cs="Times New Roman"/>
          <w:sz w:val="32"/>
          <w:szCs w:val="32"/>
        </w:rPr>
        <w:t>。支出增加</w:t>
      </w:r>
      <w:r>
        <w:rPr>
          <w:rFonts w:hint="eastAsia" w:ascii="仿宋" w:hAnsi="仿宋" w:eastAsia="仿宋" w:cs="Times New Roman"/>
          <w:sz w:val="32"/>
          <w:szCs w:val="32"/>
          <w:lang w:val="en-US" w:eastAsia="zh-CN"/>
        </w:rPr>
        <w:t>54.99</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12.58</w:t>
      </w:r>
      <w:r>
        <w:rPr>
          <w:rFonts w:ascii="仿宋" w:hAnsi="仿宋" w:eastAsia="仿宋" w:cs="Times New Roman"/>
          <w:sz w:val="32"/>
          <w:szCs w:val="32"/>
        </w:rPr>
        <w:t>%</w:t>
      </w:r>
      <w:r>
        <w:rPr>
          <w:rFonts w:hint="eastAsia" w:ascii="仿宋" w:hAnsi="仿宋" w:eastAsia="仿宋" w:cs="Times New Roman"/>
          <w:sz w:val="32"/>
          <w:szCs w:val="32"/>
        </w:rPr>
        <w:t>。主要变动原因是人员经费、工资福利增长、学生资助。</w:t>
      </w:r>
    </w:p>
    <w:p>
      <w:pPr>
        <w:widowControl w:val="0"/>
        <w:spacing w:beforeLines="30"/>
        <w:jc w:val="both"/>
        <w:rPr>
          <w:rFonts w:hint="eastAsia" w:ascii="仿宋_GB2312" w:hAnsi="Times New Roman" w:eastAsia="仿宋_GB2312" w:cs="Times New Roman"/>
          <w:kern w:val="0"/>
          <w:sz w:val="30"/>
          <w:szCs w:val="24"/>
          <w:lang w:val="en-US" w:eastAsia="zh-CN" w:bidi="ar-SA"/>
        </w:rPr>
      </w:pPr>
      <w:r>
        <w:rPr>
          <w:rFonts w:ascii="仿宋_GB2312" w:hAnsi="Times New Roman" w:eastAsia="仿宋_GB2312" w:cs="Times New Roman"/>
          <w:kern w:val="0"/>
          <w:sz w:val="30"/>
          <w:szCs w:val="24"/>
          <w:lang w:val="en-US" w:eastAsia="zh-CN" w:bidi="ar-SA"/>
        </w:rPr>
        <w:drawing>
          <wp:inline distT="0" distB="0" distL="0" distR="0">
            <wp:extent cx="5274310" cy="3076575"/>
            <wp:effectExtent l="5080" t="4445" r="1651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（图</w:t>
      </w:r>
      <w:r>
        <w:rPr>
          <w:rFonts w:ascii="仿宋" w:hAnsi="仿宋" w:eastAsia="仿宋" w:cs="Times New Roman"/>
          <w:sz w:val="32"/>
          <w:szCs w:val="32"/>
        </w:rPr>
        <w:t>1</w:t>
      </w:r>
      <w:r>
        <w:rPr>
          <w:rFonts w:hint="eastAsia" w:ascii="仿宋" w:hAnsi="仿宋" w:eastAsia="仿宋" w:cs="Times New Roman"/>
          <w:sz w:val="32"/>
          <w:szCs w:val="32"/>
        </w:rPr>
        <w:t>：收、支决算总计变动情况图）</w:t>
      </w:r>
    </w:p>
    <w:p>
      <w:pPr>
        <w:spacing w:line="600" w:lineRule="exact"/>
        <w:ind w:firstLine="640" w:firstLineChars="200"/>
        <w:jc w:val="left"/>
        <w:rPr>
          <w:rFonts w:ascii="仿宋_GB2312" w:hAnsi="Times New Roman" w:eastAsia="仿宋_GB2312" w:cs="Times New Roman"/>
          <w:sz w:val="32"/>
          <w:szCs w:val="32"/>
        </w:rPr>
      </w:pPr>
    </w:p>
    <w:p>
      <w:pPr>
        <w:widowControl w:val="0"/>
        <w:numPr>
          <w:ilvl w:val="0"/>
          <w:numId w:val="2"/>
        </w:numPr>
        <w:spacing w:line="600" w:lineRule="exact"/>
        <w:ind w:left="1360" w:hanging="720" w:firstLineChars="0"/>
        <w:jc w:val="both"/>
        <w:outlineLvl w:val="1"/>
        <w:rPr>
          <w:rFonts w:ascii="黑体" w:hAnsi="黑体" w:eastAsia="黑体" w:cs="Times New Roman"/>
          <w:b w:val="0"/>
          <w:kern w:val="2"/>
          <w:sz w:val="21"/>
          <w:szCs w:val="24"/>
          <w:lang w:val="en-US" w:eastAsia="zh-CN" w:bidi="ar-SA"/>
        </w:rPr>
      </w:pPr>
      <w:bookmarkStart w:id="9" w:name="_Toc15396604"/>
      <w:bookmarkStart w:id="10" w:name="_Toc15377206"/>
      <w:r>
        <w:rPr>
          <w:rFonts w:hint="eastAsia" w:ascii="黑体" w:hAnsi="黑体" w:eastAsia="黑体" w:cs="Times New Roman"/>
          <w:kern w:val="2"/>
          <w:sz w:val="32"/>
          <w:szCs w:val="32"/>
          <w:lang w:val="en-US" w:eastAsia="zh-CN" w:bidi="ar-SA"/>
        </w:rPr>
        <w:t>收</w:t>
      </w:r>
      <w:r>
        <w:rPr>
          <w:rFonts w:hint="eastAsia" w:ascii="黑体" w:hAnsi="黑体" w:eastAsia="黑体" w:cs="Times New Roman"/>
          <w:b w:val="0"/>
          <w:bCs/>
          <w:kern w:val="2"/>
          <w:sz w:val="32"/>
          <w:szCs w:val="32"/>
          <w:lang w:val="en-US" w:eastAsia="zh-CN" w:bidi="ar-SA"/>
        </w:rPr>
        <w:t>入决算情况说明</w:t>
      </w:r>
      <w:bookmarkEnd w:id="9"/>
      <w:bookmarkEnd w:id="10"/>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2023年度本年收入合计491.95万元，其中：一般公共预算财政拨款收入491.95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ind w:firstLine="643" w:firstLineChars="200"/>
        <w:outlineLvl w:val="1"/>
        <w:rPr>
          <w:rFonts w:ascii="仿宋" w:hAnsi="仿宋" w:eastAsia="仿宋" w:cs="Times New Roman"/>
          <w:sz w:val="32"/>
          <w:szCs w:val="32"/>
        </w:rPr>
      </w:pPr>
      <w:r>
        <w:rPr>
          <w:rFonts w:ascii="仿宋" w:hAnsi="仿宋" w:eastAsia="仿宋" w:cs="Times New Roman"/>
          <w:b/>
          <w:sz w:val="32"/>
          <w:szCs w:val="32"/>
        </w:rPr>
        <w:drawing>
          <wp:anchor distT="0" distB="0" distL="114300" distR="114300" simplePos="0" relativeHeight="251659264" behindDoc="0" locked="0" layoutInCell="1" allowOverlap="1">
            <wp:simplePos x="0" y="0"/>
            <wp:positionH relativeFrom="column">
              <wp:posOffset>62230</wp:posOffset>
            </wp:positionH>
            <wp:positionV relativeFrom="paragraph">
              <wp:posOffset>309245</wp:posOffset>
            </wp:positionV>
            <wp:extent cx="5274310" cy="3076575"/>
            <wp:effectExtent l="5080" t="4445" r="16510" b="508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s="Times New Roman"/>
          <w:b/>
          <w:sz w:val="32"/>
          <w:szCs w:val="32"/>
          <w:lang w:val="en-US" w:eastAsia="zh-CN"/>
        </w:rPr>
        <w:t xml:space="preserve">  </w:t>
      </w:r>
      <w:r>
        <w:rPr>
          <w:rFonts w:hint="eastAsia" w:ascii="仿宋" w:hAnsi="仿宋" w:eastAsia="仿宋" w:cs="Times New Roman"/>
          <w:sz w:val="32"/>
          <w:szCs w:val="32"/>
        </w:rPr>
        <w:t>（图2：收入决算结构图）</w:t>
      </w:r>
    </w:p>
    <w:p>
      <w:pPr>
        <w:spacing w:line="600" w:lineRule="exact"/>
        <w:ind w:firstLine="640" w:firstLineChars="200"/>
        <w:rPr>
          <w:rFonts w:ascii="仿宋_GB2312" w:hAnsi="Times New Roman" w:eastAsia="仿宋_GB2312" w:cs="Times New Roman"/>
          <w:sz w:val="32"/>
          <w:szCs w:val="32"/>
        </w:rPr>
      </w:pPr>
    </w:p>
    <w:p>
      <w:pPr>
        <w:widowControl w:val="0"/>
        <w:numPr>
          <w:ilvl w:val="0"/>
          <w:numId w:val="2"/>
        </w:numPr>
        <w:spacing w:line="600" w:lineRule="exact"/>
        <w:ind w:left="1360" w:hanging="720" w:firstLineChars="0"/>
        <w:jc w:val="both"/>
        <w:outlineLvl w:val="1"/>
        <w:rPr>
          <w:rFonts w:ascii="黑体" w:hAnsi="黑体" w:eastAsia="黑体" w:cs="Times New Roman"/>
          <w:b w:val="0"/>
          <w:kern w:val="2"/>
          <w:sz w:val="21"/>
          <w:szCs w:val="24"/>
          <w:lang w:val="en-US" w:eastAsia="zh-CN" w:bidi="ar-SA"/>
        </w:rPr>
      </w:pPr>
      <w:bookmarkStart w:id="11" w:name="_Toc15396605"/>
      <w:bookmarkStart w:id="12" w:name="_Toc15377207"/>
      <w:r>
        <w:rPr>
          <w:rFonts w:hint="eastAsia" w:ascii="黑体" w:hAnsi="黑体" w:eastAsia="黑体" w:cs="Times New Roman"/>
          <w:kern w:val="2"/>
          <w:sz w:val="32"/>
          <w:szCs w:val="32"/>
          <w:lang w:val="en-US" w:eastAsia="zh-CN" w:bidi="ar-SA"/>
        </w:rPr>
        <w:t>支</w:t>
      </w:r>
      <w:r>
        <w:rPr>
          <w:rFonts w:hint="eastAsia" w:ascii="黑体" w:hAnsi="黑体" w:eastAsia="黑体" w:cs="Times New Roman"/>
          <w:b w:val="0"/>
          <w:bCs/>
          <w:kern w:val="2"/>
          <w:sz w:val="32"/>
          <w:szCs w:val="32"/>
          <w:lang w:val="en-US" w:eastAsia="zh-CN" w:bidi="ar-SA"/>
        </w:rPr>
        <w:t>出决算情况说明</w:t>
      </w:r>
      <w:bookmarkEnd w:id="11"/>
      <w:bookmarkEnd w:id="12"/>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2023年度本年支出合计491.95万元，其中：基本支出460.92万元，占93.69%；项目支出31.03万元，占6.3%；上缴上级支出0万元，占0%；经营支出0万元，占0%；对附属单位补助支出0万元，占0%。</w:t>
      </w:r>
    </w:p>
    <w:p>
      <w:pPr>
        <w:spacing w:line="600" w:lineRule="exact"/>
        <w:ind w:firstLine="640"/>
        <w:rPr>
          <w:rFonts w:ascii="仿宋" w:hAnsi="仿宋" w:eastAsia="仿宋" w:cs="Times New Roman"/>
          <w:sz w:val="32"/>
          <w:szCs w:val="32"/>
          <w:shd w:val="pct10" w:color="auto" w:fill="FFFFFF"/>
        </w:rPr>
      </w:pPr>
    </w:p>
    <w:p>
      <w:pPr>
        <w:widowControl w:val="0"/>
        <w:spacing w:beforeLines="30"/>
        <w:jc w:val="both"/>
        <w:rPr>
          <w:rFonts w:ascii="仿宋" w:hAnsi="仿宋" w:eastAsia="仿宋" w:cs="Times New Roman"/>
          <w:kern w:val="0"/>
          <w:sz w:val="32"/>
          <w:szCs w:val="32"/>
          <w:shd w:val="pct10" w:color="auto" w:fill="FFFFFF"/>
          <w:lang w:val="en-US" w:eastAsia="zh-CN" w:bidi="ar-SA"/>
        </w:rPr>
      </w:pPr>
    </w:p>
    <w:p>
      <w:pPr>
        <w:widowControl w:val="0"/>
        <w:spacing w:beforeLines="30"/>
        <w:jc w:val="both"/>
        <w:rPr>
          <w:rFonts w:ascii="仿宋" w:hAnsi="仿宋" w:eastAsia="仿宋" w:cs="Times New Roman"/>
          <w:kern w:val="0"/>
          <w:sz w:val="32"/>
          <w:szCs w:val="32"/>
          <w:shd w:val="pct10" w:color="auto" w:fill="FFFFFF"/>
          <w:lang w:val="en-US" w:eastAsia="zh-CN" w:bidi="ar-SA"/>
        </w:rPr>
      </w:pPr>
    </w:p>
    <w:p>
      <w:pPr>
        <w:widowControl w:val="0"/>
        <w:spacing w:beforeLines="30"/>
        <w:jc w:val="both"/>
        <w:rPr>
          <w:rFonts w:ascii="仿宋" w:hAnsi="仿宋" w:eastAsia="仿宋" w:cs="Times New Roman"/>
          <w:kern w:val="0"/>
          <w:sz w:val="32"/>
          <w:szCs w:val="32"/>
          <w:shd w:val="pct10" w:color="auto" w:fill="FFFFFF"/>
          <w:lang w:val="en-US" w:eastAsia="zh-CN" w:bidi="ar-SA"/>
        </w:rPr>
      </w:pPr>
      <w:r>
        <w:rPr>
          <w:rFonts w:ascii="仿宋_GB2312" w:hAnsi="Times New Roman" w:eastAsia="仿宋_GB2312" w:cs="Times New Roman"/>
          <w:kern w:val="0"/>
          <w:sz w:val="30"/>
          <w:szCs w:val="24"/>
          <w:lang w:val="en-US" w:eastAsia="zh-CN" w:bidi="ar-SA"/>
        </w:rPr>
        <w:drawing>
          <wp:inline distT="0" distB="0" distL="0" distR="0">
            <wp:extent cx="5171440" cy="2505075"/>
            <wp:effectExtent l="4445" t="4445" r="571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1280" w:firstLineChars="400"/>
        <w:rPr>
          <w:rFonts w:ascii="仿宋" w:hAnsi="仿宋" w:eastAsia="仿宋" w:cs="Times New Roman"/>
          <w:sz w:val="32"/>
          <w:szCs w:val="32"/>
        </w:rPr>
      </w:pPr>
      <w:r>
        <w:rPr>
          <w:rFonts w:hint="eastAsia" w:ascii="仿宋" w:hAnsi="仿宋" w:eastAsia="仿宋" w:cs="Times New Roman"/>
          <w:sz w:val="32"/>
          <w:szCs w:val="32"/>
        </w:rPr>
        <w:t>（图3：支出决算结构图）</w:t>
      </w:r>
    </w:p>
    <w:p>
      <w:pPr>
        <w:spacing w:line="600" w:lineRule="exact"/>
        <w:ind w:firstLine="640" w:firstLineChars="200"/>
        <w:rPr>
          <w:rFonts w:ascii="仿宋_GB2312" w:hAnsi="Times New Roman" w:eastAsia="仿宋_GB2312" w:cs="Times New Roman"/>
          <w:sz w:val="32"/>
          <w:szCs w:val="32"/>
        </w:rPr>
      </w:pPr>
    </w:p>
    <w:p>
      <w:pPr>
        <w:spacing w:line="600" w:lineRule="exact"/>
        <w:ind w:firstLine="640" w:firstLineChars="200"/>
        <w:outlineLvl w:val="1"/>
        <w:rPr>
          <w:rFonts w:ascii="黑体" w:hAnsi="黑体" w:eastAsia="黑体" w:cs="Times New Roman"/>
          <w:b w:val="0"/>
        </w:rPr>
      </w:pPr>
      <w:bookmarkStart w:id="13" w:name="_Toc15377208"/>
      <w:bookmarkStart w:id="14" w:name="_Toc15396606"/>
      <w:r>
        <w:rPr>
          <w:rFonts w:hint="eastAsia" w:ascii="黑体" w:hAnsi="黑体" w:eastAsia="黑体" w:cs="Times New Roman"/>
          <w:sz w:val="32"/>
          <w:szCs w:val="32"/>
        </w:rPr>
        <w:t>四、财</w:t>
      </w:r>
      <w:r>
        <w:rPr>
          <w:rFonts w:hint="eastAsia" w:ascii="黑体" w:hAnsi="黑体" w:eastAsia="黑体" w:cs="Times New Roman"/>
          <w:b w:val="0"/>
          <w:bCs/>
          <w:sz w:val="32"/>
          <w:szCs w:val="32"/>
        </w:rPr>
        <w:t>政拨款收入支出决算总体情况说明</w:t>
      </w:r>
      <w:bookmarkEnd w:id="13"/>
      <w:bookmarkEnd w:id="14"/>
    </w:p>
    <w:p>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2023年度财政拨款收、支总计均为491.95万元。与2022年度相比，财政拨款收入增加</w:t>
      </w:r>
      <w:r>
        <w:rPr>
          <w:rFonts w:hint="eastAsia" w:ascii="仿宋" w:hAnsi="仿宋" w:eastAsia="仿宋" w:cs="Times New Roman"/>
          <w:sz w:val="32"/>
          <w:szCs w:val="32"/>
          <w:lang w:val="en-US" w:eastAsia="zh-CN"/>
        </w:rPr>
        <w:t>54.99</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12.58</w:t>
      </w:r>
      <w:r>
        <w:rPr>
          <w:rFonts w:hint="eastAsia" w:ascii="仿宋" w:hAnsi="仿宋" w:eastAsia="仿宋" w:cs="Times New Roman"/>
          <w:sz w:val="32"/>
          <w:szCs w:val="32"/>
        </w:rPr>
        <w:t>%。财政拨款支出增加</w:t>
      </w:r>
      <w:r>
        <w:rPr>
          <w:rFonts w:hint="eastAsia" w:ascii="仿宋" w:hAnsi="仿宋" w:eastAsia="仿宋" w:cs="Times New Roman"/>
          <w:sz w:val="32"/>
          <w:szCs w:val="32"/>
          <w:lang w:val="en-US" w:eastAsia="zh-CN"/>
        </w:rPr>
        <w:t>54.99</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12.58</w:t>
      </w:r>
      <w:r>
        <w:rPr>
          <w:rFonts w:hint="eastAsia" w:ascii="仿宋" w:hAnsi="仿宋" w:eastAsia="仿宋" w:cs="Times New Roman"/>
          <w:sz w:val="32"/>
          <w:szCs w:val="32"/>
        </w:rPr>
        <w:t>%。主要变动原因是人员经费、工资福利增长、学生资助。</w:t>
      </w:r>
    </w:p>
    <w:p>
      <w:pPr>
        <w:spacing w:line="600" w:lineRule="exact"/>
        <w:rPr>
          <w:rFonts w:ascii="仿宋" w:hAnsi="仿宋" w:eastAsia="仿宋" w:cs="Times New Roman"/>
          <w:sz w:val="32"/>
          <w:szCs w:val="32"/>
        </w:rPr>
      </w:pPr>
      <w:r>
        <w:rPr>
          <w:rFonts w:ascii="仿宋" w:hAnsi="仿宋" w:eastAsia="仿宋" w:cs="Times New Roman"/>
          <w:sz w:val="32"/>
          <w:szCs w:val="32"/>
          <w:u w:val="single"/>
        </w:rPr>
        <w:drawing>
          <wp:anchor distT="0" distB="0" distL="114300" distR="114300" simplePos="0" relativeHeight="251660288" behindDoc="0" locked="0" layoutInCell="1" allowOverlap="1">
            <wp:simplePos x="0" y="0"/>
            <wp:positionH relativeFrom="column">
              <wp:posOffset>33655</wp:posOffset>
            </wp:positionH>
            <wp:positionV relativeFrom="paragraph">
              <wp:posOffset>156845</wp:posOffset>
            </wp:positionV>
            <wp:extent cx="5274310" cy="3076575"/>
            <wp:effectExtent l="5080" t="4445" r="16510" b="508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s="Times New Roman"/>
          <w:sz w:val="32"/>
          <w:szCs w:val="32"/>
        </w:rPr>
        <w:t>（图4：财政拨款收、支决算总计变动情况）</w:t>
      </w:r>
    </w:p>
    <w:p>
      <w:pPr>
        <w:spacing w:line="600" w:lineRule="exact"/>
        <w:ind w:firstLine="640"/>
        <w:rPr>
          <w:rFonts w:ascii="仿宋" w:hAnsi="仿宋" w:eastAsia="仿宋" w:cs="Times New Roman"/>
          <w:b/>
          <w:sz w:val="32"/>
          <w:szCs w:val="32"/>
        </w:rPr>
      </w:pPr>
    </w:p>
    <w:p>
      <w:pPr>
        <w:spacing w:line="600" w:lineRule="exact"/>
        <w:ind w:firstLine="640" w:firstLineChars="200"/>
        <w:outlineLvl w:val="1"/>
        <w:rPr>
          <w:rFonts w:ascii="黑体" w:hAnsi="黑体" w:eastAsia="黑体" w:cs="Times New Roman"/>
          <w:b w:val="0"/>
        </w:rPr>
      </w:pPr>
      <w:bookmarkStart w:id="15" w:name="_Toc15396607"/>
      <w:bookmarkStart w:id="16" w:name="_Toc15377209"/>
      <w:r>
        <w:rPr>
          <w:rFonts w:hint="eastAsia" w:ascii="黑体" w:hAnsi="黑体" w:eastAsia="黑体" w:cs="Times New Roman"/>
          <w:sz w:val="32"/>
          <w:szCs w:val="32"/>
        </w:rPr>
        <w:t>五、</w:t>
      </w:r>
      <w:r>
        <w:rPr>
          <w:rFonts w:hint="eastAsia" w:ascii="黑体" w:hAnsi="黑体" w:eastAsia="黑体" w:cs="Times New Roman"/>
          <w:b/>
          <w:sz w:val="32"/>
          <w:szCs w:val="32"/>
        </w:rPr>
        <w:t>一</w:t>
      </w:r>
      <w:r>
        <w:rPr>
          <w:rFonts w:hint="eastAsia" w:ascii="黑体" w:hAnsi="黑体" w:eastAsia="黑体" w:cs="Times New Roman"/>
          <w:b w:val="0"/>
          <w:bCs/>
          <w:sz w:val="32"/>
          <w:szCs w:val="32"/>
        </w:rPr>
        <w:t>般公共预算财政拨款支出决算情况说明</w:t>
      </w:r>
      <w:bookmarkEnd w:id="15"/>
      <w:bookmarkEnd w:id="16"/>
    </w:p>
    <w:p>
      <w:pPr>
        <w:spacing w:line="600" w:lineRule="exact"/>
        <w:ind w:firstLine="643" w:firstLineChars="200"/>
        <w:outlineLvl w:val="2"/>
        <w:rPr>
          <w:rFonts w:ascii="仿宋" w:hAnsi="仿宋" w:eastAsia="仿宋" w:cs="Times New Roman"/>
          <w:b/>
          <w:sz w:val="32"/>
          <w:szCs w:val="32"/>
        </w:rPr>
      </w:pPr>
      <w:bookmarkStart w:id="17" w:name="_Toc15377210"/>
      <w:r>
        <w:rPr>
          <w:rFonts w:hint="eastAsia" w:ascii="仿宋" w:hAnsi="仿宋" w:eastAsia="仿宋" w:cs="Times New Roman"/>
          <w:b/>
          <w:sz w:val="32"/>
          <w:szCs w:val="32"/>
        </w:rPr>
        <w:t>（一）一般公共预算财政拨款支出决算总体情况</w:t>
      </w:r>
      <w:bookmarkEnd w:id="17"/>
    </w:p>
    <w:p>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2023年度一般公共预算财政拨款支出491.95万元，占本年支出合计的100%。与2022年度相比，一般公共预算财政拨款支出增加增长</w:t>
      </w:r>
      <w:r>
        <w:rPr>
          <w:rFonts w:hint="eastAsia" w:ascii="仿宋" w:hAnsi="仿宋" w:eastAsia="仿宋" w:cs="Times New Roman"/>
          <w:sz w:val="32"/>
          <w:szCs w:val="32"/>
          <w:lang w:val="en-US" w:eastAsia="zh-CN"/>
        </w:rPr>
        <w:t>12.58</w:t>
      </w:r>
      <w:r>
        <w:rPr>
          <w:rFonts w:hint="eastAsia" w:ascii="仿宋" w:hAnsi="仿宋" w:eastAsia="仿宋" w:cs="Times New Roman"/>
          <w:sz w:val="32"/>
          <w:szCs w:val="32"/>
        </w:rPr>
        <w:t>%。主要变动原因是人员经费、工资福利增长、学生资助。</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drawing>
          <wp:anchor distT="0" distB="0" distL="114300" distR="114300" simplePos="0" relativeHeight="251661312" behindDoc="0" locked="0" layoutInCell="1" allowOverlap="1">
            <wp:simplePos x="0" y="0"/>
            <wp:positionH relativeFrom="column">
              <wp:posOffset>-52070</wp:posOffset>
            </wp:positionH>
            <wp:positionV relativeFrom="paragraph">
              <wp:posOffset>306070</wp:posOffset>
            </wp:positionV>
            <wp:extent cx="5274310" cy="3076575"/>
            <wp:effectExtent l="5080" t="4445" r="16510" b="508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rPr>
          <w:rFonts w:ascii="仿宋" w:hAnsi="仿宋" w:eastAsia="仿宋" w:cs="Times New Roman"/>
          <w:sz w:val="32"/>
          <w:szCs w:val="32"/>
        </w:rPr>
      </w:pPr>
      <w:r>
        <w:rPr>
          <w:rFonts w:hint="eastAsia" w:ascii="仿宋" w:hAnsi="仿宋" w:eastAsia="仿宋" w:cs="Times New Roman"/>
          <w:sz w:val="32"/>
          <w:szCs w:val="32"/>
        </w:rPr>
        <w:t>（图5：一般公共预算财政拨款支出决算变动情况）</w:t>
      </w:r>
    </w:p>
    <w:p>
      <w:pPr>
        <w:spacing w:line="600" w:lineRule="exact"/>
        <w:ind w:firstLine="640" w:firstLineChars="200"/>
        <w:rPr>
          <w:rFonts w:ascii="仿宋" w:hAnsi="仿宋" w:eastAsia="仿宋" w:cs="Times New Roman"/>
          <w:sz w:val="32"/>
          <w:szCs w:val="32"/>
        </w:rPr>
      </w:pPr>
    </w:p>
    <w:p>
      <w:pPr>
        <w:spacing w:line="600" w:lineRule="exact"/>
        <w:ind w:firstLine="643" w:firstLineChars="200"/>
        <w:outlineLvl w:val="2"/>
        <w:rPr>
          <w:rFonts w:ascii="仿宋" w:hAnsi="仿宋" w:eastAsia="仿宋" w:cs="Times New Roman"/>
          <w:b/>
          <w:sz w:val="32"/>
          <w:szCs w:val="32"/>
        </w:rPr>
      </w:pPr>
      <w:bookmarkStart w:id="18" w:name="_Toc15377211"/>
      <w:r>
        <w:rPr>
          <w:rFonts w:hint="eastAsia" w:ascii="仿宋" w:hAnsi="仿宋" w:eastAsia="仿宋" w:cs="Times New Roman"/>
          <w:b/>
          <w:sz w:val="32"/>
          <w:szCs w:val="32"/>
        </w:rPr>
        <w:t>（二）一般公共预算财政拨款支出决算结构情况</w:t>
      </w:r>
      <w:bookmarkEnd w:id="18"/>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2023年度一般公共预算财政拨款支出491.95万元，主要用于以下方面:一般公共服务支出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%；教育支出</w:t>
      </w:r>
      <w:r>
        <w:rPr>
          <w:rFonts w:hint="eastAsia" w:ascii="仿宋" w:hAnsi="仿宋" w:eastAsia="仿宋" w:cs="Times New Roman"/>
          <w:sz w:val="32"/>
          <w:szCs w:val="32"/>
          <w:lang w:val="en-US" w:eastAsia="zh-CN"/>
        </w:rPr>
        <w:t>389.72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79.22</w:t>
      </w:r>
      <w:r>
        <w:rPr>
          <w:rFonts w:hint="eastAsia" w:ascii="仿宋" w:hAnsi="仿宋" w:eastAsia="仿宋" w:cs="Times New Roman"/>
          <w:sz w:val="32"/>
          <w:szCs w:val="32"/>
        </w:rPr>
        <w:t>%；科学技术支出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%；文化旅游体育与传媒支出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%；社会保障和就业支出</w:t>
      </w:r>
      <w:r>
        <w:rPr>
          <w:rFonts w:hint="eastAsia" w:ascii="仿宋" w:hAnsi="仿宋" w:eastAsia="仿宋" w:cs="Times New Roman"/>
          <w:sz w:val="32"/>
          <w:szCs w:val="32"/>
          <w:lang w:val="en-US" w:eastAsia="zh-CN"/>
        </w:rPr>
        <w:t>50.11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10.18</w:t>
      </w:r>
      <w:r>
        <w:rPr>
          <w:rFonts w:hint="eastAsia" w:ascii="仿宋" w:hAnsi="仿宋" w:eastAsia="仿宋" w:cs="Times New Roman"/>
          <w:sz w:val="32"/>
          <w:szCs w:val="32"/>
        </w:rPr>
        <w:t>%；卫生健康支出</w:t>
      </w:r>
      <w:r>
        <w:rPr>
          <w:rFonts w:hint="eastAsia" w:ascii="仿宋" w:hAnsi="仿宋" w:eastAsia="仿宋" w:cs="Times New Roman"/>
          <w:sz w:val="32"/>
          <w:szCs w:val="32"/>
          <w:lang w:val="en-US" w:eastAsia="zh-CN"/>
        </w:rPr>
        <w:t>16.72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3.4</w:t>
      </w:r>
      <w:r>
        <w:rPr>
          <w:rFonts w:hint="eastAsia" w:ascii="仿宋" w:hAnsi="仿宋" w:eastAsia="仿宋" w:cs="Times New Roman"/>
          <w:sz w:val="32"/>
          <w:szCs w:val="32"/>
        </w:rPr>
        <w:t>%；住房保障支出</w:t>
      </w:r>
      <w:r>
        <w:rPr>
          <w:rFonts w:hint="eastAsia" w:ascii="仿宋" w:hAnsi="仿宋" w:eastAsia="仿宋" w:cs="Times New Roman"/>
          <w:sz w:val="32"/>
          <w:szCs w:val="32"/>
          <w:lang w:val="en-US" w:eastAsia="zh-CN"/>
        </w:rPr>
        <w:t>35.4</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7.2</w:t>
      </w:r>
      <w:r>
        <w:rPr>
          <w:rFonts w:hint="eastAsia" w:ascii="仿宋" w:hAnsi="仿宋" w:eastAsia="仿宋" w:cs="Times New Roman"/>
          <w:sz w:val="32"/>
          <w:szCs w:val="32"/>
        </w:rPr>
        <w:t>%。</w:t>
      </w:r>
    </w:p>
    <w:p>
      <w:pPr>
        <w:spacing w:line="600" w:lineRule="exact"/>
        <w:rPr>
          <w:rFonts w:hint="eastAsia" w:ascii="仿宋" w:hAnsi="仿宋" w:eastAsia="仿宋" w:cs="Times New Roman"/>
          <w:b/>
          <w:sz w:val="32"/>
          <w:szCs w:val="32"/>
        </w:rPr>
      </w:pPr>
      <w:r>
        <w:rPr>
          <w:rFonts w:hint="eastAsia" w:ascii="仿宋" w:hAnsi="仿宋" w:eastAsia="仿宋" w:cs="Times New Roman"/>
          <w:b/>
          <w:sz w:val="32"/>
          <w:szCs w:val="32"/>
        </w:rPr>
        <w:drawing>
          <wp:anchor distT="0" distB="0" distL="114300" distR="114300" simplePos="0" relativeHeight="251662336" behindDoc="0" locked="0" layoutInCell="1" allowOverlap="1">
            <wp:simplePos x="0" y="0"/>
            <wp:positionH relativeFrom="column">
              <wp:posOffset>-13970</wp:posOffset>
            </wp:positionH>
            <wp:positionV relativeFrom="paragraph">
              <wp:posOffset>156210</wp:posOffset>
            </wp:positionV>
            <wp:extent cx="5274310" cy="3076575"/>
            <wp:effectExtent l="5080" t="4445" r="16510" b="508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rPr>
          <w:rFonts w:ascii="仿宋" w:hAnsi="仿宋" w:eastAsia="仿宋" w:cs="Times New Roman"/>
          <w:sz w:val="32"/>
          <w:szCs w:val="32"/>
        </w:rPr>
      </w:pPr>
      <w:r>
        <w:rPr>
          <w:rFonts w:hint="eastAsia" w:ascii="仿宋" w:hAnsi="仿宋" w:eastAsia="仿宋" w:cs="Times New Roman"/>
          <w:sz w:val="32"/>
          <w:szCs w:val="32"/>
        </w:rPr>
        <w:t>（图6：一般公共预算财政拨款支出决算结构）</w:t>
      </w:r>
    </w:p>
    <w:p>
      <w:pPr>
        <w:spacing w:line="600" w:lineRule="exact"/>
        <w:rPr>
          <w:rFonts w:ascii="仿宋" w:hAnsi="仿宋" w:eastAsia="仿宋" w:cs="Times New Roman"/>
          <w:sz w:val="32"/>
          <w:szCs w:val="32"/>
        </w:rPr>
      </w:pPr>
    </w:p>
    <w:p>
      <w:pPr>
        <w:spacing w:line="600" w:lineRule="exact"/>
        <w:ind w:firstLine="643" w:firstLineChars="200"/>
        <w:outlineLvl w:val="2"/>
        <w:rPr>
          <w:rFonts w:ascii="仿宋" w:hAnsi="仿宋" w:eastAsia="仿宋" w:cs="Times New Roman"/>
          <w:b/>
          <w:sz w:val="32"/>
          <w:szCs w:val="32"/>
        </w:rPr>
      </w:pPr>
      <w:bookmarkStart w:id="19" w:name="_Toc15377212"/>
      <w:r>
        <w:rPr>
          <w:rFonts w:hint="eastAsia" w:ascii="仿宋" w:hAnsi="仿宋" w:eastAsia="仿宋" w:cs="Times New Roman"/>
          <w:b/>
          <w:sz w:val="32"/>
          <w:szCs w:val="32"/>
        </w:rPr>
        <w:t>（三）一般公共预算财政拨款支出决算具体情况</w:t>
      </w:r>
      <w:bookmarkEnd w:id="19"/>
    </w:p>
    <w:p>
      <w:pPr>
        <w:spacing w:line="600" w:lineRule="exact"/>
        <w:ind w:firstLine="643" w:firstLineChars="200"/>
        <w:outlineLvl w:val="2"/>
        <w:rPr>
          <w:rFonts w:ascii="仿宋" w:hAnsi="仿宋" w:eastAsia="仿宋" w:cs="Times New Roman"/>
          <w:sz w:val="32"/>
          <w:szCs w:val="32"/>
        </w:rPr>
      </w:pPr>
      <w:bookmarkStart w:id="20" w:name="_Toc15377213"/>
      <w:bookmarkStart w:id="21" w:name="_Toc15378460"/>
      <w:bookmarkStart w:id="22" w:name="_Toc15377444"/>
      <w:r>
        <w:rPr>
          <w:rFonts w:hint="eastAsia" w:ascii="仿宋" w:hAnsi="仿宋" w:eastAsia="仿宋" w:cs="Times New Roman"/>
          <w:b/>
          <w:sz w:val="32"/>
          <w:szCs w:val="32"/>
        </w:rPr>
        <w:t>2023年度一般公共预算支出决算数为</w:t>
      </w:r>
      <w:r>
        <w:rPr>
          <w:rFonts w:ascii="仿宋" w:hAnsi="仿宋" w:eastAsia="仿宋" w:cs="Times New Roman"/>
          <w:b/>
          <w:sz w:val="32"/>
          <w:szCs w:val="32"/>
        </w:rPr>
        <w:t>491.95</w:t>
      </w:r>
      <w:r>
        <w:rPr>
          <w:rFonts w:hint="eastAsia" w:ascii="仿宋" w:hAnsi="仿宋" w:eastAsia="仿宋" w:cs="Times New Roman"/>
          <w:sz w:val="32"/>
          <w:szCs w:val="32"/>
        </w:rPr>
        <w:t>，</w:t>
      </w:r>
      <w:r>
        <w:rPr>
          <w:rFonts w:hint="eastAsia" w:ascii="仿宋" w:hAnsi="仿宋" w:eastAsia="仿宋" w:cs="Times New Roman"/>
          <w:b/>
          <w:bCs/>
          <w:sz w:val="32"/>
          <w:szCs w:val="32"/>
        </w:rPr>
        <w:t>完成预算</w:t>
      </w:r>
      <w:r>
        <w:rPr>
          <w:rFonts w:hint="eastAsia" w:ascii="仿宋" w:hAnsi="仿宋" w:eastAsia="仿宋" w:cs="Times New Roman"/>
          <w:b/>
          <w:bCs/>
          <w:sz w:val="32"/>
          <w:szCs w:val="32"/>
          <w:lang w:val="en-US" w:eastAsia="zh-CN"/>
        </w:rPr>
        <w:t>100</w:t>
      </w:r>
      <w:r>
        <w:rPr>
          <w:rFonts w:ascii="仿宋" w:hAnsi="仿宋" w:eastAsia="仿宋" w:cs="Times New Roman"/>
          <w:b/>
          <w:bCs/>
          <w:sz w:val="32"/>
          <w:szCs w:val="32"/>
        </w:rPr>
        <w:t>%</w:t>
      </w:r>
      <w:r>
        <w:rPr>
          <w:rFonts w:hint="eastAsia" w:ascii="仿宋" w:hAnsi="仿宋" w:eastAsia="仿宋" w:cs="Times New Roman"/>
          <w:b/>
          <w:bCs/>
          <w:sz w:val="32"/>
          <w:szCs w:val="32"/>
          <w:lang w:val="en-US" w:eastAsia="zh-CN"/>
        </w:rPr>
        <w:t>,决算数与预算数持平</w:t>
      </w:r>
      <w:r>
        <w:rPr>
          <w:rFonts w:hint="eastAsia" w:ascii="仿宋" w:hAnsi="仿宋" w:eastAsia="仿宋" w:cs="Times New Roman"/>
          <w:b/>
          <w:bCs/>
          <w:sz w:val="32"/>
          <w:szCs w:val="32"/>
        </w:rPr>
        <w:t>。其中：</w:t>
      </w:r>
      <w:bookmarkEnd w:id="20"/>
      <w:bookmarkEnd w:id="21"/>
      <w:bookmarkEnd w:id="22"/>
    </w:p>
    <w:p>
      <w:pPr>
        <w:numPr>
          <w:ilvl w:val="0"/>
          <w:numId w:val="3"/>
        </w:numPr>
        <w:spacing w:line="600" w:lineRule="exact"/>
        <w:ind w:firstLine="643" w:firstLineChars="200"/>
        <w:rPr>
          <w:rFonts w:hint="eastAsia" w:ascii="仿宋" w:hAnsi="仿宋" w:eastAsia="仿宋" w:cs="Times New Roman"/>
          <w:b w:val="0"/>
          <w:bCs/>
          <w:sz w:val="32"/>
          <w:szCs w:val="32"/>
          <w:lang w:val="en-US" w:eastAsia="zh-CN"/>
        </w:rPr>
      </w:pPr>
      <w:r>
        <w:rPr>
          <w:rFonts w:hint="eastAsia" w:ascii="仿宋" w:hAnsi="仿宋" w:eastAsia="仿宋" w:cs="Times New Roman"/>
          <w:b/>
          <w:bCs/>
          <w:sz w:val="32"/>
          <w:szCs w:val="32"/>
        </w:rPr>
        <w:t>教育（205类）普通教育（02款）学前教育（0</w:t>
      </w:r>
      <w:r>
        <w:rPr>
          <w:rFonts w:ascii="仿宋" w:hAnsi="仿宋" w:eastAsia="仿宋" w:cs="Times New Roman"/>
          <w:b/>
          <w:bCs/>
          <w:sz w:val="32"/>
          <w:szCs w:val="32"/>
        </w:rPr>
        <w:t>1</w:t>
      </w:r>
      <w:r>
        <w:rPr>
          <w:rFonts w:hint="eastAsia" w:ascii="仿宋" w:hAnsi="仿宋" w:eastAsia="仿宋" w:cs="Times New Roman"/>
          <w:b/>
          <w:bCs/>
          <w:sz w:val="32"/>
          <w:szCs w:val="32"/>
        </w:rPr>
        <w:t>项）</w:t>
      </w:r>
      <w:r>
        <w:rPr>
          <w:rFonts w:ascii="仿宋" w:hAnsi="仿宋" w:eastAsia="仿宋" w:cs="Times New Roman"/>
          <w:b/>
          <w:bCs/>
          <w:sz w:val="32"/>
          <w:szCs w:val="32"/>
        </w:rPr>
        <w:t>:</w:t>
      </w:r>
      <w:r>
        <w:rPr>
          <w:rFonts w:hint="eastAsia" w:ascii="仿宋" w:hAnsi="仿宋" w:eastAsia="仿宋" w:cs="Times New Roman"/>
          <w:b w:val="0"/>
          <w:bCs/>
          <w:sz w:val="32"/>
          <w:szCs w:val="32"/>
        </w:rPr>
        <w:t>支出决算为</w:t>
      </w:r>
      <w:r>
        <w:rPr>
          <w:rFonts w:hint="eastAsia" w:ascii="仿宋" w:hAnsi="仿宋" w:eastAsia="仿宋" w:cs="Times New Roman"/>
          <w:b w:val="0"/>
          <w:bCs/>
          <w:sz w:val="32"/>
          <w:szCs w:val="32"/>
          <w:lang w:val="en-US" w:eastAsia="zh-CN"/>
        </w:rPr>
        <w:t>3.05</w:t>
      </w:r>
      <w:r>
        <w:rPr>
          <w:rFonts w:hint="eastAsia" w:ascii="仿宋" w:hAnsi="仿宋" w:eastAsia="仿宋" w:cs="Times New Roman"/>
          <w:b w:val="0"/>
          <w:bCs/>
          <w:sz w:val="32"/>
          <w:szCs w:val="32"/>
        </w:rPr>
        <w:t>万元，完成预算100</w:t>
      </w:r>
      <w:r>
        <w:rPr>
          <w:rFonts w:ascii="仿宋" w:hAnsi="仿宋" w:eastAsia="仿宋" w:cs="Times New Roman"/>
          <w:b w:val="0"/>
          <w:bCs/>
          <w:sz w:val="32"/>
          <w:szCs w:val="32"/>
        </w:rPr>
        <w:t>%</w:t>
      </w:r>
      <w:r>
        <w:rPr>
          <w:rFonts w:hint="eastAsia" w:ascii="仿宋" w:hAnsi="仿宋" w:eastAsia="仿宋" w:cs="Times New Roman"/>
          <w:b w:val="0"/>
          <w:bCs/>
          <w:sz w:val="32"/>
          <w:szCs w:val="32"/>
          <w:lang w:val="en-US" w:eastAsia="zh-CN"/>
        </w:rPr>
        <w:t>,决算数与预算数持平。</w:t>
      </w:r>
    </w:p>
    <w:p>
      <w:pPr>
        <w:numPr>
          <w:ilvl w:val="0"/>
          <w:numId w:val="3"/>
        </w:numPr>
        <w:spacing w:line="600" w:lineRule="exact"/>
        <w:ind w:firstLine="643" w:firstLineChars="200"/>
        <w:rPr>
          <w:rFonts w:hint="eastAsia" w:ascii="仿宋" w:hAnsi="仿宋" w:eastAsia="仿宋" w:cs="Times New Roman"/>
          <w:b w:val="0"/>
          <w:bCs/>
          <w:sz w:val="32"/>
          <w:szCs w:val="32"/>
        </w:rPr>
      </w:pPr>
      <w:r>
        <w:rPr>
          <w:rFonts w:hint="eastAsia" w:ascii="仿宋" w:hAnsi="仿宋" w:eastAsia="仿宋" w:cs="Times New Roman"/>
          <w:b/>
          <w:bCs/>
          <w:sz w:val="32"/>
          <w:szCs w:val="32"/>
        </w:rPr>
        <w:t>教育（205类）普通教育（02款）</w:t>
      </w:r>
      <w:r>
        <w:rPr>
          <w:rFonts w:hint="eastAsia" w:ascii="仿宋" w:hAnsi="仿宋" w:eastAsia="仿宋" w:cs="Times New Roman"/>
          <w:b/>
          <w:bCs/>
          <w:sz w:val="32"/>
          <w:szCs w:val="32"/>
          <w:lang w:eastAsia="zh-CN"/>
        </w:rPr>
        <w:t>小学</w:t>
      </w:r>
      <w:r>
        <w:rPr>
          <w:rFonts w:hint="eastAsia" w:ascii="仿宋" w:hAnsi="仿宋" w:eastAsia="仿宋" w:cs="Times New Roman"/>
          <w:b/>
          <w:bCs/>
          <w:sz w:val="32"/>
          <w:szCs w:val="32"/>
        </w:rPr>
        <w:t>教育（0</w:t>
      </w:r>
      <w:r>
        <w:rPr>
          <w:rFonts w:hint="eastAsia" w:ascii="仿宋" w:hAnsi="仿宋" w:eastAsia="仿宋" w:cs="Times New Roman"/>
          <w:b/>
          <w:bCs/>
          <w:sz w:val="32"/>
          <w:szCs w:val="32"/>
          <w:lang w:val="en-US" w:eastAsia="zh-CN"/>
        </w:rPr>
        <w:t>2</w:t>
      </w:r>
      <w:r>
        <w:rPr>
          <w:rFonts w:hint="eastAsia" w:ascii="仿宋" w:hAnsi="仿宋" w:eastAsia="仿宋" w:cs="Times New Roman"/>
          <w:b/>
          <w:bCs/>
          <w:sz w:val="32"/>
          <w:szCs w:val="32"/>
        </w:rPr>
        <w:t>项）</w:t>
      </w:r>
      <w:r>
        <w:rPr>
          <w:rFonts w:ascii="仿宋" w:hAnsi="仿宋" w:eastAsia="仿宋" w:cs="Times New Roman"/>
          <w:b/>
          <w:bCs/>
          <w:sz w:val="32"/>
          <w:szCs w:val="32"/>
        </w:rPr>
        <w:t>:</w:t>
      </w:r>
      <w:r>
        <w:rPr>
          <w:rFonts w:hint="eastAsia" w:ascii="仿宋" w:hAnsi="仿宋" w:eastAsia="仿宋" w:cs="Times New Roman"/>
          <w:b w:val="0"/>
          <w:bCs/>
          <w:sz w:val="32"/>
          <w:szCs w:val="32"/>
        </w:rPr>
        <w:t>支出决算为</w:t>
      </w:r>
      <w:r>
        <w:rPr>
          <w:rFonts w:hint="eastAsia" w:ascii="仿宋" w:hAnsi="仿宋" w:eastAsia="仿宋" w:cs="Times New Roman"/>
          <w:b w:val="0"/>
          <w:bCs/>
          <w:sz w:val="32"/>
          <w:szCs w:val="32"/>
          <w:lang w:val="en-US" w:eastAsia="zh-CN"/>
        </w:rPr>
        <w:t>355.15</w:t>
      </w:r>
      <w:r>
        <w:rPr>
          <w:rFonts w:hint="eastAsia" w:ascii="仿宋" w:hAnsi="仿宋" w:eastAsia="仿宋" w:cs="Times New Roman"/>
          <w:b w:val="0"/>
          <w:bCs/>
          <w:sz w:val="32"/>
          <w:szCs w:val="32"/>
        </w:rPr>
        <w:t>万元，完成预</w:t>
      </w:r>
      <w:r>
        <w:rPr>
          <w:rFonts w:hint="eastAsia" w:ascii="仿宋" w:hAnsi="仿宋" w:eastAsia="仿宋" w:cs="Times New Roman"/>
          <w:b w:val="0"/>
          <w:bCs/>
          <w:sz w:val="32"/>
          <w:szCs w:val="32"/>
          <w:lang w:val="en-US" w:eastAsia="zh-CN"/>
        </w:rPr>
        <w:t>算100%,决算数与预算数持</w:t>
      </w:r>
      <w:r>
        <w:rPr>
          <w:rFonts w:hint="eastAsia" w:ascii="仿宋" w:hAnsi="仿宋" w:eastAsia="仿宋" w:cs="Times New Roman"/>
          <w:b/>
          <w:bCs/>
          <w:sz w:val="32"/>
          <w:szCs w:val="32"/>
          <w:lang w:val="en-US" w:eastAsia="zh-CN"/>
        </w:rPr>
        <w:t>平</w:t>
      </w:r>
      <w:r>
        <w:rPr>
          <w:rFonts w:hint="eastAsia" w:ascii="仿宋" w:hAnsi="仿宋" w:eastAsia="仿宋" w:cs="Times New Roman"/>
          <w:b w:val="0"/>
          <w:bCs/>
          <w:sz w:val="32"/>
          <w:szCs w:val="32"/>
        </w:rPr>
        <w:t>。</w:t>
      </w:r>
    </w:p>
    <w:p>
      <w:pPr>
        <w:numPr>
          <w:ilvl w:val="0"/>
          <w:numId w:val="3"/>
        </w:numPr>
        <w:spacing w:line="600" w:lineRule="exact"/>
        <w:ind w:firstLine="643" w:firstLineChars="200"/>
        <w:rPr>
          <w:rFonts w:hint="eastAsia" w:ascii="仿宋" w:hAnsi="仿宋" w:eastAsia="仿宋" w:cs="Times New Roman"/>
          <w:b w:val="0"/>
          <w:bCs/>
          <w:sz w:val="32"/>
          <w:szCs w:val="32"/>
          <w:lang w:val="en-US" w:eastAsia="zh-CN"/>
        </w:rPr>
      </w:pPr>
      <w:r>
        <w:rPr>
          <w:rFonts w:hint="eastAsia" w:ascii="仿宋" w:hAnsi="仿宋" w:eastAsia="仿宋" w:cs="Times New Roman"/>
          <w:b/>
          <w:bCs/>
          <w:sz w:val="32"/>
          <w:szCs w:val="32"/>
        </w:rPr>
        <w:t>教育（205类）普通教育（02款）</w:t>
      </w:r>
      <w:r>
        <w:rPr>
          <w:rFonts w:hint="eastAsia" w:ascii="仿宋" w:hAnsi="仿宋" w:eastAsia="仿宋" w:cs="Times New Roman"/>
          <w:b/>
          <w:bCs/>
          <w:sz w:val="32"/>
          <w:szCs w:val="32"/>
          <w:lang w:eastAsia="zh-CN"/>
        </w:rPr>
        <w:t>小学</w:t>
      </w:r>
      <w:r>
        <w:rPr>
          <w:rFonts w:hint="eastAsia" w:ascii="仿宋" w:hAnsi="仿宋" w:eastAsia="仿宋" w:cs="Times New Roman"/>
          <w:b/>
          <w:bCs/>
          <w:sz w:val="32"/>
          <w:szCs w:val="32"/>
        </w:rPr>
        <w:t>教育（</w:t>
      </w:r>
      <w:r>
        <w:rPr>
          <w:rFonts w:hint="eastAsia" w:ascii="仿宋" w:hAnsi="仿宋" w:eastAsia="仿宋" w:cs="Times New Roman"/>
          <w:b/>
          <w:bCs/>
          <w:sz w:val="32"/>
          <w:szCs w:val="32"/>
          <w:lang w:val="en-US" w:eastAsia="zh-CN"/>
        </w:rPr>
        <w:t>99</w:t>
      </w:r>
      <w:r>
        <w:rPr>
          <w:rFonts w:hint="eastAsia" w:ascii="仿宋" w:hAnsi="仿宋" w:eastAsia="仿宋" w:cs="Times New Roman"/>
          <w:b/>
          <w:bCs/>
          <w:sz w:val="32"/>
          <w:szCs w:val="32"/>
        </w:rPr>
        <w:t>项）</w:t>
      </w:r>
      <w:r>
        <w:rPr>
          <w:rFonts w:ascii="仿宋" w:hAnsi="仿宋" w:eastAsia="仿宋" w:cs="Times New Roman"/>
          <w:b/>
          <w:bCs/>
          <w:sz w:val="32"/>
          <w:szCs w:val="32"/>
        </w:rPr>
        <w:t>:</w:t>
      </w:r>
      <w:r>
        <w:rPr>
          <w:rFonts w:hint="eastAsia" w:ascii="仿宋" w:hAnsi="仿宋" w:eastAsia="仿宋" w:cs="Times New Roman"/>
          <w:b w:val="0"/>
          <w:bCs/>
          <w:sz w:val="32"/>
          <w:szCs w:val="32"/>
        </w:rPr>
        <w:t>支出决算为</w:t>
      </w:r>
      <w:r>
        <w:rPr>
          <w:rFonts w:hint="eastAsia" w:ascii="仿宋" w:hAnsi="仿宋" w:eastAsia="仿宋" w:cs="Times New Roman"/>
          <w:b w:val="0"/>
          <w:bCs/>
          <w:sz w:val="32"/>
          <w:szCs w:val="32"/>
          <w:lang w:val="en-US" w:eastAsia="zh-CN"/>
        </w:rPr>
        <w:t>18.75</w:t>
      </w:r>
      <w:r>
        <w:rPr>
          <w:rFonts w:hint="eastAsia" w:ascii="仿宋" w:hAnsi="仿宋" w:eastAsia="仿宋" w:cs="Times New Roman"/>
          <w:b w:val="0"/>
          <w:bCs/>
          <w:sz w:val="32"/>
          <w:szCs w:val="32"/>
        </w:rPr>
        <w:t>万元，完成预</w:t>
      </w:r>
      <w:r>
        <w:rPr>
          <w:rFonts w:hint="eastAsia" w:ascii="仿宋" w:hAnsi="仿宋" w:eastAsia="仿宋" w:cs="Times New Roman"/>
          <w:b w:val="0"/>
          <w:bCs/>
          <w:sz w:val="32"/>
          <w:szCs w:val="32"/>
          <w:lang w:val="en-US" w:eastAsia="zh-CN"/>
        </w:rPr>
        <w:t>算100%,决算数与预算数持平。</w:t>
      </w:r>
    </w:p>
    <w:p>
      <w:pPr>
        <w:numPr>
          <w:ilvl w:val="0"/>
          <w:numId w:val="3"/>
        </w:numPr>
        <w:spacing w:line="600" w:lineRule="exact"/>
        <w:ind w:firstLine="643" w:firstLineChars="200"/>
        <w:rPr>
          <w:rFonts w:hint="eastAsia" w:ascii="仿宋" w:hAnsi="仿宋" w:eastAsia="仿宋" w:cs="Times New Roman"/>
          <w:b w:val="0"/>
          <w:bCs/>
          <w:sz w:val="32"/>
          <w:szCs w:val="32"/>
          <w:lang w:val="en-US" w:eastAsia="zh-CN"/>
        </w:rPr>
      </w:pPr>
      <w:r>
        <w:rPr>
          <w:rFonts w:hint="eastAsia" w:ascii="仿宋" w:hAnsi="仿宋" w:eastAsia="仿宋" w:cs="Times New Roman"/>
          <w:b/>
          <w:bCs/>
          <w:sz w:val="32"/>
          <w:szCs w:val="32"/>
        </w:rPr>
        <w:t>教育（205类）普通教育（0</w:t>
      </w:r>
      <w:r>
        <w:rPr>
          <w:rFonts w:hint="eastAsia" w:ascii="仿宋" w:hAnsi="仿宋" w:eastAsia="仿宋" w:cs="Times New Roman"/>
          <w:b/>
          <w:bCs/>
          <w:sz w:val="32"/>
          <w:szCs w:val="32"/>
          <w:lang w:val="en-US" w:eastAsia="zh-CN"/>
        </w:rPr>
        <w:t>9</w:t>
      </w:r>
      <w:r>
        <w:rPr>
          <w:rFonts w:hint="eastAsia" w:ascii="仿宋" w:hAnsi="仿宋" w:eastAsia="仿宋" w:cs="Times New Roman"/>
          <w:b/>
          <w:bCs/>
          <w:sz w:val="32"/>
          <w:szCs w:val="32"/>
        </w:rPr>
        <w:t>款）</w:t>
      </w:r>
      <w:r>
        <w:rPr>
          <w:rFonts w:hint="eastAsia" w:ascii="仿宋" w:hAnsi="仿宋" w:eastAsia="仿宋" w:cs="Times New Roman"/>
          <w:b/>
          <w:bCs/>
          <w:sz w:val="32"/>
          <w:szCs w:val="32"/>
          <w:lang w:eastAsia="zh-CN"/>
        </w:rPr>
        <w:t>小学</w:t>
      </w:r>
      <w:r>
        <w:rPr>
          <w:rFonts w:hint="eastAsia" w:ascii="仿宋" w:hAnsi="仿宋" w:eastAsia="仿宋" w:cs="Times New Roman"/>
          <w:b/>
          <w:bCs/>
          <w:sz w:val="32"/>
          <w:szCs w:val="32"/>
        </w:rPr>
        <w:t>教育（</w:t>
      </w:r>
      <w:r>
        <w:rPr>
          <w:rFonts w:hint="eastAsia" w:ascii="仿宋" w:hAnsi="仿宋" w:eastAsia="仿宋" w:cs="Times New Roman"/>
          <w:b/>
          <w:bCs/>
          <w:sz w:val="32"/>
          <w:szCs w:val="32"/>
          <w:lang w:val="en-US" w:eastAsia="zh-CN"/>
        </w:rPr>
        <w:t>99</w:t>
      </w:r>
      <w:r>
        <w:rPr>
          <w:rFonts w:hint="eastAsia" w:ascii="仿宋" w:hAnsi="仿宋" w:eastAsia="仿宋" w:cs="Times New Roman"/>
          <w:b/>
          <w:bCs/>
          <w:sz w:val="32"/>
          <w:szCs w:val="32"/>
        </w:rPr>
        <w:t>项）</w:t>
      </w:r>
      <w:r>
        <w:rPr>
          <w:rFonts w:ascii="仿宋" w:hAnsi="仿宋" w:eastAsia="仿宋" w:cs="Times New Roman"/>
          <w:b/>
          <w:bCs/>
          <w:sz w:val="32"/>
          <w:szCs w:val="32"/>
        </w:rPr>
        <w:t>:</w:t>
      </w:r>
      <w:r>
        <w:rPr>
          <w:rFonts w:hint="eastAsia" w:ascii="仿宋" w:hAnsi="仿宋" w:eastAsia="仿宋" w:cs="Times New Roman"/>
          <w:b w:val="0"/>
          <w:bCs/>
          <w:sz w:val="32"/>
          <w:szCs w:val="32"/>
        </w:rPr>
        <w:t>支出决算为</w:t>
      </w:r>
      <w:r>
        <w:rPr>
          <w:rFonts w:hint="eastAsia" w:ascii="仿宋" w:hAnsi="仿宋" w:eastAsia="仿宋" w:cs="Times New Roman"/>
          <w:b w:val="0"/>
          <w:bCs/>
          <w:sz w:val="32"/>
          <w:szCs w:val="32"/>
          <w:lang w:val="en-US" w:eastAsia="zh-CN"/>
        </w:rPr>
        <w:t>0.3</w:t>
      </w:r>
      <w:r>
        <w:rPr>
          <w:rFonts w:hint="eastAsia" w:ascii="仿宋" w:hAnsi="仿宋" w:eastAsia="仿宋" w:cs="Times New Roman"/>
          <w:b w:val="0"/>
          <w:bCs/>
          <w:sz w:val="32"/>
          <w:szCs w:val="32"/>
        </w:rPr>
        <w:t>万元，完成预</w:t>
      </w:r>
      <w:r>
        <w:rPr>
          <w:rFonts w:hint="eastAsia" w:ascii="仿宋" w:hAnsi="仿宋" w:eastAsia="仿宋" w:cs="Times New Roman"/>
          <w:b w:val="0"/>
          <w:bCs/>
          <w:sz w:val="32"/>
          <w:szCs w:val="32"/>
          <w:lang w:val="en-US" w:eastAsia="zh-CN"/>
        </w:rPr>
        <w:t>算100%,决算数与预算数持平。</w:t>
      </w:r>
    </w:p>
    <w:p>
      <w:pPr>
        <w:widowControl w:val="0"/>
        <w:spacing w:beforeLines="30"/>
        <w:ind w:firstLine="643" w:firstLineChars="200"/>
        <w:jc w:val="both"/>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bCs/>
          <w:kern w:val="0"/>
          <w:sz w:val="32"/>
          <w:szCs w:val="32"/>
          <w:lang w:val="en-US" w:eastAsia="zh-CN" w:bidi="ar-SA"/>
        </w:rPr>
        <w:t>5.教育（205类）普通教育（99款）小学教育（99项）</w:t>
      </w:r>
      <w:r>
        <w:rPr>
          <w:rFonts w:ascii="仿宋" w:hAnsi="仿宋" w:eastAsia="仿宋" w:cs="Times New Roman"/>
          <w:b/>
          <w:bCs/>
          <w:kern w:val="0"/>
          <w:sz w:val="32"/>
          <w:szCs w:val="32"/>
          <w:lang w:val="en-US" w:eastAsia="zh-CN" w:bidi="ar-SA"/>
        </w:rPr>
        <w:t>:</w:t>
      </w:r>
      <w:r>
        <w:rPr>
          <w:rFonts w:hint="eastAsia" w:ascii="仿宋" w:hAnsi="仿宋" w:eastAsia="仿宋" w:cs="Times New Roman"/>
          <w:b w:val="0"/>
          <w:bCs/>
          <w:kern w:val="0"/>
          <w:sz w:val="32"/>
          <w:szCs w:val="32"/>
          <w:lang w:val="en-US" w:eastAsia="zh-CN" w:bidi="ar-SA"/>
        </w:rPr>
        <w:t>支出决算为0.49万元，完成预</w:t>
      </w:r>
      <w:r>
        <w:rPr>
          <w:rFonts w:hint="eastAsia" w:ascii="仿宋" w:hAnsi="仿宋" w:eastAsia="仿宋" w:cs="Times New Roman"/>
          <w:b w:val="0"/>
          <w:bCs/>
          <w:kern w:val="2"/>
          <w:sz w:val="32"/>
          <w:szCs w:val="32"/>
          <w:lang w:val="en-US" w:eastAsia="zh-CN" w:bidi="ar-SA"/>
        </w:rPr>
        <w:t>算100%,决算数与预算数持平。</w:t>
      </w:r>
    </w:p>
    <w:p>
      <w:pPr>
        <w:spacing w:line="600" w:lineRule="exact"/>
        <w:ind w:firstLine="643" w:firstLineChars="200"/>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bCs/>
          <w:sz w:val="32"/>
          <w:szCs w:val="32"/>
          <w:lang w:val="en-US" w:eastAsia="zh-CN"/>
        </w:rPr>
        <w:t>6</w:t>
      </w:r>
      <w:r>
        <w:rPr>
          <w:rFonts w:ascii="仿宋" w:hAnsi="仿宋" w:eastAsia="仿宋" w:cs="Times New Roman"/>
          <w:b/>
          <w:bCs/>
          <w:sz w:val="32"/>
          <w:szCs w:val="32"/>
        </w:rPr>
        <w:t>.</w:t>
      </w:r>
      <w:r>
        <w:rPr>
          <w:rFonts w:hint="eastAsia" w:ascii="仿宋" w:hAnsi="仿宋" w:eastAsia="仿宋" w:cs="Times New Roman"/>
          <w:b/>
          <w:bCs/>
          <w:sz w:val="32"/>
          <w:szCs w:val="32"/>
        </w:rPr>
        <w:t>社会保障和就业（208类）行政事业单位养老支出（05款）机关事业单位基本养老保险缴费支出（05项）</w:t>
      </w:r>
      <w:r>
        <w:rPr>
          <w:rFonts w:ascii="仿宋" w:hAnsi="仿宋" w:eastAsia="仿宋" w:cs="Times New Roman"/>
          <w:b/>
          <w:bCs/>
          <w:sz w:val="32"/>
          <w:szCs w:val="32"/>
        </w:rPr>
        <w:t>:</w:t>
      </w:r>
      <w:r>
        <w:rPr>
          <w:rFonts w:hint="eastAsia" w:ascii="仿宋" w:hAnsi="仿宋" w:eastAsia="仿宋" w:cs="Times New Roman"/>
          <w:b w:val="0"/>
          <w:bCs/>
          <w:sz w:val="32"/>
          <w:szCs w:val="32"/>
        </w:rPr>
        <w:t>支出决算为</w:t>
      </w:r>
      <w:r>
        <w:rPr>
          <w:rFonts w:hint="eastAsia" w:ascii="仿宋" w:hAnsi="仿宋" w:eastAsia="仿宋" w:cs="Times New Roman"/>
          <w:b w:val="0"/>
          <w:bCs/>
          <w:sz w:val="32"/>
          <w:szCs w:val="32"/>
          <w:lang w:val="en-US" w:eastAsia="zh-CN"/>
        </w:rPr>
        <w:t>42.78</w:t>
      </w:r>
      <w:r>
        <w:rPr>
          <w:rFonts w:hint="eastAsia" w:ascii="仿宋" w:hAnsi="仿宋" w:eastAsia="仿宋" w:cs="Times New Roman"/>
          <w:b w:val="0"/>
          <w:bCs/>
          <w:sz w:val="32"/>
          <w:szCs w:val="32"/>
        </w:rPr>
        <w:t>万元，完成预算10</w:t>
      </w:r>
      <w:r>
        <w:rPr>
          <w:rFonts w:hint="eastAsia" w:ascii="仿宋" w:hAnsi="仿宋" w:eastAsia="仿宋" w:cs="Times New Roman"/>
          <w:b w:val="0"/>
          <w:bCs/>
          <w:kern w:val="2"/>
          <w:sz w:val="32"/>
          <w:szCs w:val="32"/>
          <w:lang w:val="en-US" w:eastAsia="zh-CN" w:bidi="ar-SA"/>
        </w:rPr>
        <w:t>0%,决算数与预算数持平。</w:t>
      </w:r>
    </w:p>
    <w:p>
      <w:pPr>
        <w:spacing w:line="600" w:lineRule="exact"/>
        <w:ind w:firstLine="643" w:firstLineChars="200"/>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bCs/>
          <w:sz w:val="32"/>
          <w:szCs w:val="32"/>
          <w:lang w:val="en-US" w:eastAsia="zh-CN"/>
        </w:rPr>
        <w:t>7</w:t>
      </w:r>
      <w:r>
        <w:rPr>
          <w:rFonts w:ascii="仿宋" w:hAnsi="仿宋" w:eastAsia="仿宋" w:cs="Times New Roman"/>
          <w:b/>
          <w:bCs/>
          <w:sz w:val="32"/>
          <w:szCs w:val="32"/>
        </w:rPr>
        <w:t>.</w:t>
      </w:r>
      <w:r>
        <w:rPr>
          <w:rFonts w:hint="eastAsia" w:ascii="仿宋" w:hAnsi="仿宋" w:eastAsia="仿宋" w:cs="Times New Roman"/>
          <w:b/>
          <w:bCs/>
          <w:sz w:val="32"/>
          <w:szCs w:val="32"/>
        </w:rPr>
        <w:t>社会保障和就业（208类）行政事业单位养老支出（05款）机关事业单位基本养老保险缴费支出（</w:t>
      </w:r>
      <w:r>
        <w:rPr>
          <w:rFonts w:hint="eastAsia" w:ascii="仿宋" w:hAnsi="仿宋" w:eastAsia="仿宋" w:cs="Times New Roman"/>
          <w:b/>
          <w:bCs/>
          <w:sz w:val="32"/>
          <w:szCs w:val="32"/>
          <w:lang w:val="en-US" w:eastAsia="zh-CN"/>
        </w:rPr>
        <w:t>99</w:t>
      </w:r>
      <w:r>
        <w:rPr>
          <w:rFonts w:hint="eastAsia" w:ascii="仿宋" w:hAnsi="仿宋" w:eastAsia="仿宋" w:cs="Times New Roman"/>
          <w:b/>
          <w:bCs/>
          <w:sz w:val="32"/>
          <w:szCs w:val="32"/>
        </w:rPr>
        <w:t>项）</w:t>
      </w:r>
      <w:r>
        <w:rPr>
          <w:rFonts w:ascii="仿宋" w:hAnsi="仿宋" w:eastAsia="仿宋" w:cs="Times New Roman"/>
          <w:b/>
          <w:bCs/>
          <w:sz w:val="32"/>
          <w:szCs w:val="32"/>
        </w:rPr>
        <w:t>:</w:t>
      </w:r>
      <w:r>
        <w:rPr>
          <w:rFonts w:hint="eastAsia" w:ascii="仿宋" w:hAnsi="仿宋" w:eastAsia="仿宋" w:cs="Times New Roman"/>
          <w:b w:val="0"/>
          <w:bCs/>
          <w:sz w:val="32"/>
          <w:szCs w:val="32"/>
        </w:rPr>
        <w:t>支出决算为</w:t>
      </w:r>
      <w:r>
        <w:rPr>
          <w:rFonts w:hint="eastAsia" w:ascii="仿宋" w:hAnsi="仿宋" w:eastAsia="仿宋" w:cs="Times New Roman"/>
          <w:b w:val="0"/>
          <w:bCs/>
          <w:sz w:val="32"/>
          <w:szCs w:val="32"/>
          <w:lang w:val="en-US" w:eastAsia="zh-CN"/>
        </w:rPr>
        <w:t>5.26</w:t>
      </w:r>
      <w:r>
        <w:rPr>
          <w:rFonts w:hint="eastAsia" w:ascii="仿宋" w:hAnsi="仿宋" w:eastAsia="仿宋" w:cs="Times New Roman"/>
          <w:b w:val="0"/>
          <w:bCs/>
          <w:sz w:val="32"/>
          <w:szCs w:val="32"/>
        </w:rPr>
        <w:t>万元，完成预算</w:t>
      </w:r>
      <w:r>
        <w:rPr>
          <w:rFonts w:hint="eastAsia" w:ascii="仿宋" w:hAnsi="仿宋" w:eastAsia="仿宋" w:cs="Times New Roman"/>
          <w:b w:val="0"/>
          <w:bCs/>
          <w:kern w:val="2"/>
          <w:sz w:val="32"/>
          <w:szCs w:val="32"/>
          <w:lang w:val="en-US" w:eastAsia="zh-CN" w:bidi="ar-SA"/>
        </w:rPr>
        <w:t>100%,决算数与预算数持平。</w:t>
      </w:r>
    </w:p>
    <w:p>
      <w:pPr>
        <w:spacing w:line="600" w:lineRule="exact"/>
        <w:ind w:firstLine="643" w:firstLineChars="200"/>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bCs/>
          <w:sz w:val="32"/>
          <w:szCs w:val="32"/>
          <w:lang w:val="en-US" w:eastAsia="zh-CN"/>
        </w:rPr>
        <w:t>8</w:t>
      </w:r>
      <w:r>
        <w:rPr>
          <w:rFonts w:ascii="仿宋" w:hAnsi="仿宋" w:eastAsia="仿宋" w:cs="Times New Roman"/>
          <w:b/>
          <w:bCs/>
          <w:sz w:val="32"/>
          <w:szCs w:val="32"/>
        </w:rPr>
        <w:t>.</w:t>
      </w:r>
      <w:r>
        <w:rPr>
          <w:rFonts w:hint="eastAsia" w:ascii="仿宋" w:hAnsi="仿宋" w:eastAsia="仿宋" w:cs="Times New Roman"/>
          <w:b/>
          <w:bCs/>
          <w:sz w:val="32"/>
          <w:szCs w:val="32"/>
        </w:rPr>
        <w:t>社会保障和就业（208类）行政事业单位养老支出（</w:t>
      </w:r>
      <w:r>
        <w:rPr>
          <w:rFonts w:hint="eastAsia" w:ascii="仿宋" w:hAnsi="仿宋" w:eastAsia="仿宋" w:cs="Times New Roman"/>
          <w:b/>
          <w:bCs/>
          <w:sz w:val="32"/>
          <w:szCs w:val="32"/>
          <w:lang w:val="en-US" w:eastAsia="zh-CN"/>
        </w:rPr>
        <w:t>99</w:t>
      </w:r>
      <w:r>
        <w:rPr>
          <w:rFonts w:hint="eastAsia" w:ascii="仿宋" w:hAnsi="仿宋" w:eastAsia="仿宋" w:cs="Times New Roman"/>
          <w:b/>
          <w:bCs/>
          <w:sz w:val="32"/>
          <w:szCs w:val="32"/>
        </w:rPr>
        <w:t>款）机关事业单位基本养老保险缴费支出（</w:t>
      </w:r>
      <w:r>
        <w:rPr>
          <w:rFonts w:hint="eastAsia" w:ascii="仿宋" w:hAnsi="仿宋" w:eastAsia="仿宋" w:cs="Times New Roman"/>
          <w:b/>
          <w:bCs/>
          <w:sz w:val="32"/>
          <w:szCs w:val="32"/>
          <w:lang w:val="en-US" w:eastAsia="zh-CN"/>
        </w:rPr>
        <w:t>99</w:t>
      </w:r>
      <w:r>
        <w:rPr>
          <w:rFonts w:hint="eastAsia" w:ascii="仿宋" w:hAnsi="仿宋" w:eastAsia="仿宋" w:cs="Times New Roman"/>
          <w:b/>
          <w:bCs/>
          <w:sz w:val="32"/>
          <w:szCs w:val="32"/>
        </w:rPr>
        <w:t>项）</w:t>
      </w:r>
      <w:r>
        <w:rPr>
          <w:rFonts w:ascii="仿宋" w:hAnsi="仿宋" w:eastAsia="仿宋" w:cs="Times New Roman"/>
          <w:b/>
          <w:bCs/>
          <w:sz w:val="32"/>
          <w:szCs w:val="32"/>
        </w:rPr>
        <w:t>:</w:t>
      </w:r>
      <w:r>
        <w:rPr>
          <w:rFonts w:hint="eastAsia" w:ascii="仿宋" w:hAnsi="仿宋" w:eastAsia="仿宋" w:cs="Times New Roman"/>
          <w:b w:val="0"/>
          <w:bCs/>
          <w:sz w:val="32"/>
          <w:szCs w:val="32"/>
        </w:rPr>
        <w:t>支出决算为</w:t>
      </w:r>
      <w:r>
        <w:rPr>
          <w:rFonts w:hint="eastAsia" w:ascii="仿宋" w:hAnsi="仿宋" w:eastAsia="仿宋" w:cs="Times New Roman"/>
          <w:b w:val="0"/>
          <w:bCs/>
          <w:sz w:val="32"/>
          <w:szCs w:val="32"/>
          <w:lang w:val="en-US" w:eastAsia="zh-CN"/>
        </w:rPr>
        <w:t>2.06</w:t>
      </w:r>
      <w:r>
        <w:rPr>
          <w:rFonts w:hint="eastAsia" w:ascii="仿宋" w:hAnsi="仿宋" w:eastAsia="仿宋" w:cs="Times New Roman"/>
          <w:b w:val="0"/>
          <w:bCs/>
          <w:sz w:val="32"/>
          <w:szCs w:val="32"/>
        </w:rPr>
        <w:t>万元，完成预</w:t>
      </w:r>
      <w:r>
        <w:rPr>
          <w:rFonts w:hint="eastAsia" w:ascii="仿宋" w:hAnsi="仿宋" w:eastAsia="仿宋" w:cs="Times New Roman"/>
          <w:b w:val="0"/>
          <w:bCs/>
          <w:kern w:val="2"/>
          <w:sz w:val="32"/>
          <w:szCs w:val="32"/>
          <w:lang w:val="en-US" w:eastAsia="zh-CN" w:bidi="ar-SA"/>
        </w:rPr>
        <w:t>算100%,决算数与预算数持平。</w:t>
      </w:r>
    </w:p>
    <w:p>
      <w:pPr>
        <w:spacing w:line="600" w:lineRule="exact"/>
        <w:ind w:firstLine="643" w:firstLineChars="200"/>
        <w:rPr>
          <w:rFonts w:ascii="仿宋" w:hAnsi="仿宋" w:eastAsia="仿宋" w:cs="Times New Roman"/>
          <w:b w:val="0"/>
          <w:bCs/>
          <w:sz w:val="32"/>
          <w:szCs w:val="32"/>
        </w:rPr>
      </w:pPr>
      <w:r>
        <w:rPr>
          <w:rFonts w:hint="eastAsia" w:ascii="仿宋" w:hAnsi="仿宋" w:eastAsia="仿宋" w:cs="Times New Roman"/>
          <w:b/>
          <w:bCs/>
          <w:sz w:val="32"/>
          <w:szCs w:val="32"/>
          <w:lang w:val="en-US" w:eastAsia="zh-CN"/>
        </w:rPr>
        <w:t>9</w:t>
      </w:r>
      <w:r>
        <w:rPr>
          <w:rFonts w:ascii="仿宋" w:hAnsi="仿宋" w:eastAsia="仿宋" w:cs="Times New Roman"/>
          <w:b/>
          <w:bCs/>
          <w:sz w:val="32"/>
          <w:szCs w:val="32"/>
        </w:rPr>
        <w:t>.</w:t>
      </w:r>
      <w:r>
        <w:rPr>
          <w:rFonts w:hint="eastAsia" w:ascii="仿宋" w:hAnsi="仿宋" w:eastAsia="仿宋" w:cs="Times New Roman"/>
          <w:b/>
          <w:bCs/>
          <w:sz w:val="32"/>
          <w:szCs w:val="32"/>
        </w:rPr>
        <w:t>卫生健康（210类）行政事业单位医疗（11款）事业单位医疗（02项）</w:t>
      </w:r>
      <w:r>
        <w:rPr>
          <w:rFonts w:ascii="仿宋" w:hAnsi="仿宋" w:eastAsia="仿宋" w:cs="Times New Roman"/>
          <w:b/>
          <w:bCs/>
          <w:sz w:val="32"/>
          <w:szCs w:val="32"/>
        </w:rPr>
        <w:t>:</w:t>
      </w:r>
      <w:r>
        <w:rPr>
          <w:rFonts w:hint="eastAsia" w:ascii="仿宋" w:hAnsi="仿宋" w:eastAsia="仿宋" w:cs="Times New Roman"/>
          <w:b w:val="0"/>
          <w:bCs/>
          <w:sz w:val="32"/>
          <w:szCs w:val="32"/>
        </w:rPr>
        <w:t>支出决算为</w:t>
      </w:r>
      <w:r>
        <w:rPr>
          <w:rFonts w:hint="eastAsia" w:ascii="仿宋" w:hAnsi="仿宋" w:eastAsia="仿宋" w:cs="Times New Roman"/>
          <w:b w:val="0"/>
          <w:bCs/>
          <w:sz w:val="32"/>
          <w:szCs w:val="32"/>
          <w:lang w:val="en-US" w:eastAsia="zh-CN"/>
        </w:rPr>
        <w:t>16.72</w:t>
      </w:r>
      <w:r>
        <w:rPr>
          <w:rFonts w:hint="eastAsia" w:ascii="仿宋" w:hAnsi="仿宋" w:eastAsia="仿宋" w:cs="Times New Roman"/>
          <w:b w:val="0"/>
          <w:bCs/>
          <w:sz w:val="32"/>
          <w:szCs w:val="32"/>
        </w:rPr>
        <w:t>万元，完成预算100</w:t>
      </w:r>
      <w:r>
        <w:rPr>
          <w:rFonts w:ascii="仿宋" w:hAnsi="仿宋" w:eastAsia="仿宋" w:cs="Times New Roman"/>
          <w:b w:val="0"/>
          <w:bCs/>
          <w:sz w:val="32"/>
          <w:szCs w:val="32"/>
        </w:rPr>
        <w:t>%</w:t>
      </w:r>
      <w:r>
        <w:rPr>
          <w:rFonts w:hint="eastAsia" w:ascii="仿宋" w:hAnsi="仿宋" w:eastAsia="仿宋" w:cs="Times New Roman"/>
          <w:b w:val="0"/>
          <w:bCs/>
          <w:sz w:val="32"/>
          <w:szCs w:val="32"/>
          <w:lang w:val="en-US" w:eastAsia="zh-CN"/>
        </w:rPr>
        <w:t>,</w:t>
      </w:r>
      <w:r>
        <w:rPr>
          <w:rFonts w:hint="eastAsia" w:ascii="仿宋" w:hAnsi="仿宋" w:eastAsia="仿宋" w:cs="Times New Roman"/>
          <w:b w:val="0"/>
          <w:bCs/>
          <w:kern w:val="2"/>
          <w:sz w:val="32"/>
          <w:szCs w:val="32"/>
          <w:lang w:val="en-US" w:eastAsia="zh-CN" w:bidi="ar-SA"/>
        </w:rPr>
        <w:t>决算数与预算数持平。</w:t>
      </w:r>
    </w:p>
    <w:p>
      <w:pPr>
        <w:spacing w:line="600" w:lineRule="exact"/>
        <w:ind w:firstLine="643" w:firstLineChars="200"/>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bCs/>
          <w:sz w:val="32"/>
          <w:szCs w:val="32"/>
          <w:lang w:val="en-US" w:eastAsia="zh-CN"/>
        </w:rPr>
        <w:t>10</w:t>
      </w:r>
      <w:r>
        <w:rPr>
          <w:rFonts w:ascii="仿宋" w:hAnsi="仿宋" w:eastAsia="仿宋" w:cs="Times New Roman"/>
          <w:b/>
          <w:bCs/>
          <w:sz w:val="32"/>
          <w:szCs w:val="32"/>
        </w:rPr>
        <w:t>.</w:t>
      </w:r>
      <w:r>
        <w:rPr>
          <w:rFonts w:hint="eastAsia" w:ascii="仿宋" w:hAnsi="仿宋" w:eastAsia="仿宋" w:cs="Times New Roman"/>
          <w:b/>
          <w:bCs/>
          <w:sz w:val="32"/>
          <w:szCs w:val="32"/>
        </w:rPr>
        <w:t>住房保障（221类）住房改革支出（02款）住房公积金（01项）</w:t>
      </w:r>
      <w:r>
        <w:rPr>
          <w:rFonts w:ascii="仿宋" w:hAnsi="仿宋" w:eastAsia="仿宋" w:cs="Times New Roman"/>
          <w:b/>
          <w:bCs/>
          <w:sz w:val="32"/>
          <w:szCs w:val="32"/>
        </w:rPr>
        <w:t>:</w:t>
      </w:r>
      <w:r>
        <w:rPr>
          <w:rFonts w:hint="eastAsia" w:ascii="仿宋" w:hAnsi="仿宋" w:eastAsia="仿宋" w:cs="Times New Roman"/>
          <w:b w:val="0"/>
          <w:bCs/>
          <w:sz w:val="32"/>
          <w:szCs w:val="32"/>
        </w:rPr>
        <w:t>支出决算为</w:t>
      </w:r>
      <w:r>
        <w:rPr>
          <w:rFonts w:hint="eastAsia" w:ascii="仿宋" w:hAnsi="仿宋" w:eastAsia="仿宋" w:cs="Times New Roman"/>
          <w:b w:val="0"/>
          <w:bCs/>
          <w:sz w:val="32"/>
          <w:szCs w:val="32"/>
          <w:lang w:val="en-US" w:eastAsia="zh-CN"/>
        </w:rPr>
        <w:t>35.4</w:t>
      </w:r>
      <w:r>
        <w:rPr>
          <w:rFonts w:hint="eastAsia" w:ascii="仿宋" w:hAnsi="仿宋" w:eastAsia="仿宋" w:cs="Times New Roman"/>
          <w:b w:val="0"/>
          <w:bCs/>
          <w:sz w:val="32"/>
          <w:szCs w:val="32"/>
        </w:rPr>
        <w:t>万元，完成预算10</w:t>
      </w:r>
      <w:r>
        <w:rPr>
          <w:rFonts w:hint="eastAsia" w:ascii="仿宋" w:hAnsi="仿宋" w:eastAsia="仿宋" w:cs="Times New Roman"/>
          <w:b w:val="0"/>
          <w:bCs/>
          <w:kern w:val="2"/>
          <w:sz w:val="32"/>
          <w:szCs w:val="32"/>
          <w:lang w:val="en-US" w:eastAsia="zh-CN" w:bidi="ar-SA"/>
        </w:rPr>
        <w:t>0%,决算数与预算数持平。</w:t>
      </w:r>
    </w:p>
    <w:p>
      <w:pPr>
        <w:spacing w:line="600" w:lineRule="exact"/>
        <w:ind w:firstLine="640" w:firstLineChars="200"/>
        <w:rPr>
          <w:rFonts w:hint="eastAsia" w:ascii="仿宋" w:hAnsi="仿宋" w:eastAsia="仿宋" w:cs="Times New Roman"/>
          <w:b w:val="0"/>
          <w:bCs/>
          <w:kern w:val="2"/>
          <w:sz w:val="32"/>
          <w:szCs w:val="32"/>
          <w:lang w:val="en-US" w:eastAsia="zh-CN" w:bidi="ar-SA"/>
        </w:rPr>
      </w:pPr>
    </w:p>
    <w:p>
      <w:pPr>
        <w:tabs>
          <w:tab w:val="right" w:pos="8306"/>
        </w:tabs>
        <w:spacing w:line="600" w:lineRule="exact"/>
        <w:ind w:firstLine="640"/>
        <w:outlineLvl w:val="1"/>
        <w:rPr>
          <w:rFonts w:ascii="Times New Roman" w:hAnsi="Times New Roman" w:cs="Times New Roman"/>
        </w:rPr>
      </w:pPr>
      <w:bookmarkStart w:id="23" w:name="_Toc15377214"/>
      <w:bookmarkStart w:id="24" w:name="_Toc15396608"/>
      <w:r>
        <w:rPr>
          <w:rFonts w:hint="eastAsia" w:ascii="黑体" w:hAnsi="Times New Roman" w:eastAsia="黑体" w:cs="Times New Roman"/>
          <w:sz w:val="32"/>
          <w:szCs w:val="32"/>
        </w:rPr>
        <w:t>六</w:t>
      </w:r>
      <w:r>
        <w:rPr>
          <w:rFonts w:hint="eastAsia" w:ascii="黑体" w:hAnsi="Times New Roman" w:eastAsia="黑体" w:cs="Times New Roman"/>
          <w:b/>
          <w:sz w:val="32"/>
          <w:szCs w:val="32"/>
        </w:rPr>
        <w:t>、</w:t>
      </w:r>
      <w:r>
        <w:rPr>
          <w:rFonts w:hint="eastAsia" w:ascii="黑体" w:hAnsi="黑体" w:eastAsia="黑体" w:cs="Times New Roman"/>
          <w:b/>
          <w:sz w:val="32"/>
          <w:szCs w:val="32"/>
        </w:rPr>
        <w:t>一</w:t>
      </w:r>
      <w:r>
        <w:rPr>
          <w:rFonts w:hint="eastAsia" w:ascii="黑体" w:hAnsi="黑体" w:eastAsia="黑体" w:cs="Times New Roman"/>
          <w:b w:val="0"/>
          <w:bCs/>
          <w:sz w:val="32"/>
          <w:szCs w:val="32"/>
        </w:rPr>
        <w:t>般公共预算财政拨款基本支出决算情况说明</w:t>
      </w:r>
      <w:bookmarkEnd w:id="23"/>
      <w:bookmarkEnd w:id="24"/>
      <w:r>
        <w:rPr>
          <w:rFonts w:ascii="黑体" w:hAnsi="黑体" w:eastAsia="黑体" w:cs="Times New Roman"/>
          <w:b w:val="0"/>
          <w:bCs/>
          <w:sz w:val="32"/>
          <w:szCs w:val="32"/>
        </w:rPr>
        <w:tab/>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2023年度一般公共预算财政拨款基本支出460.92万元，其中：</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人员经费445.45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Times New Roman"/>
          <w:sz w:val="32"/>
          <w:szCs w:val="32"/>
        </w:rPr>
        <w:br w:type="textWrapping"/>
      </w:r>
      <w:r>
        <w:rPr>
          <w:rFonts w:hint="eastAsia" w:ascii="仿宋" w:hAnsi="仿宋" w:eastAsia="仿宋" w:cs="Times New Roman"/>
          <w:sz w:val="32"/>
          <w:szCs w:val="32"/>
        </w:rPr>
        <w:t>　　公用经费15.47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cs="Times New Roman"/>
          <w:b/>
          <w:sz w:val="32"/>
          <w:szCs w:val="32"/>
        </w:rPr>
      </w:pPr>
    </w:p>
    <w:p>
      <w:pPr>
        <w:spacing w:line="600" w:lineRule="exact"/>
        <w:ind w:firstLine="640" w:firstLineChars="200"/>
        <w:outlineLvl w:val="1"/>
        <w:rPr>
          <w:rFonts w:ascii="黑体" w:hAnsi="黑体" w:eastAsia="黑体" w:cs="Times New Roman"/>
          <w:b w:val="0"/>
        </w:rPr>
      </w:pPr>
      <w:bookmarkStart w:id="25" w:name="_Toc15377215"/>
      <w:bookmarkStart w:id="26" w:name="_Toc15396609"/>
      <w:r>
        <w:rPr>
          <w:rFonts w:hint="eastAsia" w:ascii="黑体" w:hAnsi="Times New Roman" w:eastAsia="黑体" w:cs="Times New Roman"/>
          <w:sz w:val="32"/>
          <w:szCs w:val="32"/>
        </w:rPr>
        <w:t>七、</w:t>
      </w:r>
      <w:r>
        <w:rPr>
          <w:rFonts w:hint="eastAsia" w:ascii="黑体" w:hAnsi="黑体" w:eastAsia="黑体" w:cs="Times New Roman"/>
          <w:b w:val="0"/>
          <w:bCs/>
          <w:sz w:val="32"/>
          <w:szCs w:val="32"/>
        </w:rPr>
        <w:t>财政拨款</w:t>
      </w:r>
      <w:r>
        <w:rPr>
          <w:rFonts w:hint="eastAsia" w:ascii="黑体" w:hAnsi="黑体" w:eastAsia="黑体" w:cs="Times New Roman"/>
          <w:b/>
          <w:bCs/>
          <w:sz w:val="32"/>
          <w:szCs w:val="32"/>
        </w:rPr>
        <w:t>“</w:t>
      </w:r>
      <w:r>
        <w:rPr>
          <w:rFonts w:hint="eastAsia" w:ascii="黑体" w:hAnsi="黑体" w:eastAsia="黑体" w:cs="Times New Roman"/>
          <w:b w:val="0"/>
          <w:bCs/>
          <w:sz w:val="32"/>
          <w:szCs w:val="32"/>
        </w:rPr>
        <w:t>三公”经费支出决算情况说明</w:t>
      </w:r>
      <w:bookmarkEnd w:id="25"/>
      <w:bookmarkEnd w:id="26"/>
    </w:p>
    <w:p>
      <w:pPr>
        <w:spacing w:line="600" w:lineRule="exact"/>
        <w:ind w:firstLine="640"/>
        <w:outlineLvl w:val="2"/>
        <w:rPr>
          <w:rFonts w:ascii="仿宋" w:hAnsi="仿宋" w:eastAsia="仿宋" w:cs="Times New Roman"/>
          <w:b/>
          <w:sz w:val="32"/>
          <w:szCs w:val="32"/>
        </w:rPr>
      </w:pPr>
      <w:bookmarkStart w:id="27" w:name="_Toc15377216"/>
      <w:r>
        <w:rPr>
          <w:rFonts w:hint="eastAsia" w:ascii="仿宋" w:hAnsi="仿宋" w:eastAsia="仿宋" w:cs="Times New Roman"/>
          <w:b/>
          <w:sz w:val="32"/>
          <w:szCs w:val="32"/>
        </w:rPr>
        <w:t>（一）“三公”经费财政拨款支出决算总体情况说明</w:t>
      </w:r>
      <w:bookmarkEnd w:id="27"/>
    </w:p>
    <w:p>
      <w:pPr>
        <w:spacing w:line="600" w:lineRule="exact"/>
        <w:ind w:firstLine="640"/>
        <w:outlineLvl w:val="2"/>
        <w:rPr>
          <w:rFonts w:hint="eastAsia" w:ascii="仿宋" w:hAnsi="仿宋" w:eastAsia="仿宋" w:cs="Times New Roman"/>
          <w:sz w:val="32"/>
          <w:szCs w:val="32"/>
          <w:lang w:val="en-US" w:eastAsia="zh-CN"/>
        </w:rPr>
      </w:pPr>
      <w:bookmarkStart w:id="28" w:name="_Toc15377217"/>
      <w:r>
        <w:rPr>
          <w:rFonts w:hint="eastAsia" w:ascii="仿宋" w:hAnsi="仿宋" w:eastAsia="仿宋" w:cs="Times New Roman"/>
          <w:sz w:val="32"/>
          <w:szCs w:val="32"/>
        </w:rPr>
        <w:t>2023年度“三公”经费财政拨款支出决算</w:t>
      </w:r>
      <w:r>
        <w:rPr>
          <w:rFonts w:hint="eastAsia" w:ascii="仿宋" w:hAnsi="仿宋" w:eastAsia="仿宋" w:cs="Times New Roman"/>
          <w:color w:val="auto"/>
          <w:sz w:val="32"/>
          <w:szCs w:val="32"/>
        </w:rPr>
        <w:t>为</w:t>
      </w:r>
      <w:r>
        <w:rPr>
          <w:rFonts w:ascii="Times New Roman" w:hAnsi="Times New Roman" w:cs="Times New Roman"/>
          <w:color w:val="auto"/>
          <w:sz w:val="32"/>
          <w:szCs w:val="32"/>
        </w:rPr>
        <w:t>0</w:t>
      </w:r>
      <w:r>
        <w:rPr>
          <w:rFonts w:hint="eastAsia" w:ascii="仿宋" w:hAnsi="仿宋" w:eastAsia="仿宋" w:cs="Times New Roman"/>
          <w:color w:val="auto"/>
          <w:sz w:val="32"/>
          <w:szCs w:val="32"/>
        </w:rPr>
        <w:t>万元，完成预算1</w:t>
      </w:r>
      <w:r>
        <w:rPr>
          <w:rFonts w:ascii="仿宋" w:hAnsi="仿宋" w:eastAsia="仿宋" w:cs="Times New Roman"/>
          <w:color w:val="auto"/>
          <w:sz w:val="32"/>
          <w:szCs w:val="32"/>
        </w:rPr>
        <w:t>0</w:t>
      </w:r>
      <w:r>
        <w:rPr>
          <w:rFonts w:ascii="Times New Roman" w:hAnsi="Times New Roman" w:cs="Times New Roman"/>
          <w:color w:val="auto"/>
          <w:sz w:val="32"/>
          <w:szCs w:val="32"/>
        </w:rPr>
        <w:t>0</w:t>
      </w:r>
      <w:r>
        <w:rPr>
          <w:rFonts w:hint="eastAsia" w:ascii="仿宋" w:hAnsi="仿宋" w:eastAsia="仿宋" w:cs="Times New Roman"/>
          <w:color w:val="auto"/>
          <w:sz w:val="32"/>
          <w:szCs w:val="32"/>
        </w:rPr>
        <w:t>%，</w:t>
      </w:r>
      <w:r>
        <w:rPr>
          <w:rFonts w:hint="eastAsia" w:ascii="仿宋" w:hAnsi="仿宋" w:eastAsia="仿宋" w:cs="Times New Roman"/>
          <w:sz w:val="32"/>
          <w:szCs w:val="32"/>
        </w:rPr>
        <w:t>与上年度持平</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决算数与预算数持平。</w:t>
      </w:r>
    </w:p>
    <w:p>
      <w:pPr>
        <w:spacing w:line="600" w:lineRule="exact"/>
        <w:ind w:firstLine="640"/>
        <w:outlineLvl w:val="2"/>
        <w:rPr>
          <w:rFonts w:ascii="仿宋" w:hAnsi="仿宋" w:eastAsia="仿宋" w:cs="Times New Roman"/>
          <w:b/>
          <w:sz w:val="32"/>
          <w:szCs w:val="32"/>
        </w:rPr>
      </w:pPr>
      <w:r>
        <w:rPr>
          <w:rFonts w:hint="eastAsia" w:ascii="仿宋" w:hAnsi="仿宋" w:eastAsia="仿宋" w:cs="Times New Roman"/>
          <w:b/>
          <w:sz w:val="32"/>
          <w:szCs w:val="32"/>
        </w:rPr>
        <w:t>（二）“三公”经费财政拨款支出决算具体情况说明</w:t>
      </w:r>
      <w:bookmarkEnd w:id="28"/>
    </w:p>
    <w:p>
      <w:pPr>
        <w:spacing w:line="600" w:lineRule="exact"/>
        <w:ind w:firstLine="640"/>
        <w:rPr>
          <w:rFonts w:ascii="仿宋" w:hAnsi="仿宋" w:eastAsia="仿宋" w:cs="Times New Roman"/>
          <w:sz w:val="32"/>
          <w:szCs w:val="32"/>
        </w:rPr>
      </w:pPr>
      <w:r>
        <w:rPr>
          <w:rFonts w:ascii="仿宋" w:hAnsi="仿宋" w:eastAsia="仿宋" w:cs="Times New Roman"/>
          <w:sz w:val="32"/>
          <w:szCs w:val="32"/>
        </w:rPr>
        <w:t>20</w:t>
      </w:r>
      <w:r>
        <w:rPr>
          <w:rFonts w:hint="eastAsia" w:ascii="仿宋" w:hAnsi="仿宋" w:eastAsia="仿宋" w:cs="Times New Roman"/>
          <w:sz w:val="32"/>
          <w:szCs w:val="32"/>
        </w:rPr>
        <w:t>23年“三公”经费财政拨款支出决算中，因公出国（境）费支出决算0万元，占0</w:t>
      </w:r>
      <w:r>
        <w:rPr>
          <w:rFonts w:ascii="仿宋" w:hAnsi="仿宋" w:eastAsia="仿宋" w:cs="Times New Roman"/>
          <w:sz w:val="32"/>
          <w:szCs w:val="32"/>
        </w:rPr>
        <w:t>%</w:t>
      </w:r>
      <w:r>
        <w:rPr>
          <w:rFonts w:hint="eastAsia" w:ascii="仿宋" w:hAnsi="仿宋" w:eastAsia="仿宋" w:cs="Times New Roman"/>
          <w:sz w:val="32"/>
          <w:szCs w:val="32"/>
        </w:rPr>
        <w:t>；公务用车购置及运行维护费支出决算0万元，占0</w:t>
      </w:r>
      <w:r>
        <w:rPr>
          <w:rFonts w:ascii="仿宋" w:hAnsi="仿宋" w:eastAsia="仿宋" w:cs="Times New Roman"/>
          <w:sz w:val="32"/>
          <w:szCs w:val="32"/>
        </w:rPr>
        <w:t>%</w:t>
      </w:r>
      <w:r>
        <w:rPr>
          <w:rFonts w:hint="eastAsia" w:ascii="仿宋" w:hAnsi="仿宋" w:eastAsia="仿宋" w:cs="Times New Roman"/>
          <w:sz w:val="32"/>
          <w:szCs w:val="32"/>
        </w:rPr>
        <w:t>；公务接待费支出决算0万元，占0</w:t>
      </w:r>
      <w:r>
        <w:rPr>
          <w:rFonts w:ascii="仿宋" w:hAnsi="仿宋" w:eastAsia="仿宋" w:cs="Times New Roman"/>
          <w:sz w:val="32"/>
          <w:szCs w:val="32"/>
        </w:rPr>
        <w:t>%</w:t>
      </w:r>
      <w:r>
        <w:rPr>
          <w:rFonts w:hint="eastAsia" w:ascii="仿宋" w:hAnsi="仿宋" w:eastAsia="仿宋" w:cs="Times New Roman"/>
          <w:sz w:val="32"/>
          <w:szCs w:val="32"/>
        </w:rPr>
        <w:t>。</w:t>
      </w:r>
      <w:r>
        <w:rPr>
          <w:rFonts w:ascii="宋体" w:hAnsi="宋体" w:eastAsia="宋体" w:cs="宋体"/>
          <w:sz w:val="24"/>
          <w:szCs w:val="24"/>
        </w:rPr>
        <w:t>具体情况如下：</w:t>
      </w:r>
    </w:p>
    <w:p>
      <w:pPr>
        <w:spacing w:line="600" w:lineRule="exact"/>
        <w:ind w:firstLine="640"/>
        <w:rPr>
          <w:rFonts w:hint="eastAsia" w:ascii="仿宋" w:hAnsi="仿宋" w:eastAsia="仿宋" w:cs="Times New Roman"/>
          <w:sz w:val="32"/>
          <w:szCs w:val="32"/>
        </w:rPr>
      </w:pPr>
      <w:r>
        <w:rPr>
          <w:rFonts w:hint="eastAsia" w:ascii="仿宋_GB2312" w:hAnsi="Times New Roman" w:eastAsia="仿宋_GB2312" w:cs="Times New Roman"/>
          <w:b/>
          <w:sz w:val="32"/>
          <w:szCs w:val="32"/>
        </w:rPr>
        <w:t>1.因公出国（境）经费支出</w:t>
      </w:r>
      <w:r>
        <w:rPr>
          <w:rFonts w:ascii="Times New Roman" w:hAnsi="Times New Roman" w:cs="Times New Roman"/>
          <w:sz w:val="32"/>
          <w:szCs w:val="32"/>
        </w:rPr>
        <w:t>0</w:t>
      </w:r>
      <w:r>
        <w:rPr>
          <w:rFonts w:hint="eastAsia" w:ascii="仿宋_GB2312" w:hAnsi="Times New Roman" w:eastAsia="仿宋_GB2312" w:cs="Times New Roman"/>
          <w:sz w:val="32"/>
          <w:szCs w:val="32"/>
        </w:rPr>
        <w:t>万</w:t>
      </w:r>
      <w:r>
        <w:rPr>
          <w:rFonts w:hint="eastAsia" w:ascii="仿宋" w:hAnsi="仿宋" w:eastAsia="仿宋" w:cs="Times New Roman"/>
          <w:sz w:val="32"/>
          <w:szCs w:val="32"/>
        </w:rPr>
        <w:t>元，完成预算</w:t>
      </w: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0%。全年安排因公出国（境）团组0次，出国（境）0人。因公出国（境）支出决算比2022年增加0万元，增长0%。</w:t>
      </w:r>
    </w:p>
    <w:p>
      <w:pPr>
        <w:spacing w:line="600" w:lineRule="exact"/>
        <w:ind w:firstLine="640"/>
        <w:rPr>
          <w:rFonts w:hint="eastAsia" w:ascii="仿宋" w:hAnsi="仿宋" w:eastAsia="仿宋" w:cs="Times New Roman"/>
          <w:sz w:val="32"/>
          <w:szCs w:val="32"/>
        </w:rPr>
      </w:pPr>
      <w:r>
        <w:rPr>
          <w:rFonts w:hint="eastAsia" w:ascii="仿宋_GB2312" w:hAnsi="Times New Roman" w:eastAsia="仿宋_GB2312" w:cs="Times New Roman"/>
          <w:b/>
          <w:sz w:val="32"/>
          <w:szCs w:val="32"/>
        </w:rPr>
        <w:t>2.公务用车购置及运行维护费支出</w:t>
      </w:r>
      <w:r>
        <w:rPr>
          <w:rFonts w:ascii="Times New Roman" w:hAnsi="Times New Roman" w:cs="Times New Roman"/>
          <w:sz w:val="32"/>
          <w:szCs w:val="32"/>
        </w:rPr>
        <w:t>0</w:t>
      </w:r>
      <w:r>
        <w:rPr>
          <w:rFonts w:hint="eastAsia" w:ascii="仿宋_GB2312" w:hAnsi="Times New Roman" w:eastAsia="仿宋_GB2312" w:cs="Times New Roman"/>
          <w:sz w:val="32"/>
          <w:szCs w:val="32"/>
        </w:rPr>
        <w:t>万</w:t>
      </w:r>
      <w:r>
        <w:rPr>
          <w:rFonts w:hint="eastAsia" w:ascii="仿宋" w:hAnsi="仿宋" w:eastAsia="仿宋" w:cs="Times New Roman"/>
          <w:sz w:val="32"/>
          <w:szCs w:val="32"/>
        </w:rPr>
        <w:t>元,完成预算</w:t>
      </w: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0%。公务用车购置及运行维护费支出决算比2022年度增加0万元，增长0%。</w:t>
      </w:r>
    </w:p>
    <w:p>
      <w:pPr>
        <w:spacing w:line="600" w:lineRule="exact"/>
        <w:ind w:firstLine="640" w:firstLineChars="200"/>
        <w:rPr>
          <w:rFonts w:hint="eastAsia" w:ascii="仿宋_GB2312" w:hAnsi="Times New Roman" w:eastAsia="仿宋_GB2312" w:cs="Times New Roman"/>
          <w:b/>
          <w:sz w:val="32"/>
          <w:szCs w:val="32"/>
        </w:rPr>
      </w:pPr>
      <w:r>
        <w:rPr>
          <w:rFonts w:hint="eastAsia" w:ascii="仿宋_GB2312" w:hAnsi="Times New Roman" w:eastAsia="仿宋_GB2312" w:cs="Times New Roman"/>
          <w:sz w:val="32"/>
          <w:szCs w:val="32"/>
        </w:rPr>
        <w:t>其中：</w:t>
      </w:r>
      <w:r>
        <w:rPr>
          <w:rFonts w:hint="eastAsia" w:ascii="仿宋_GB2312" w:hAnsi="Times New Roman" w:eastAsia="仿宋_GB2312" w:cs="Times New Roman"/>
          <w:b/>
          <w:sz w:val="32"/>
          <w:szCs w:val="32"/>
        </w:rPr>
        <w:t>公务用车购置支出</w:t>
      </w:r>
      <w:r>
        <w:rPr>
          <w:rFonts w:ascii="Times New Roman" w:hAnsi="Times New Roman" w:cs="Times New Roman"/>
          <w:sz w:val="32"/>
          <w:szCs w:val="32"/>
        </w:rPr>
        <w:t>0</w:t>
      </w:r>
      <w:r>
        <w:rPr>
          <w:rFonts w:hint="eastAsia" w:ascii="仿宋_GB2312" w:hAnsi="Times New Roman" w:eastAsia="仿宋_GB2312" w:cs="Times New Roman"/>
          <w:sz w:val="32"/>
          <w:szCs w:val="32"/>
        </w:rPr>
        <w:t>万元。全年按规定更新购置公务用车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辆，其中：轿车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辆、金额</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元，越野车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辆、金额</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万元，载客汽车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辆、金额</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万元。截至2023年12月31日，单位共有公务用车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辆，其中：轿车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辆、越野车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辆、载客汽车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w:t>
      </w:r>
    </w:p>
    <w:p>
      <w:pPr>
        <w:spacing w:line="60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公务用车运行维护费支出</w:t>
      </w:r>
      <w:r>
        <w:rPr>
          <w:rFonts w:ascii="Times New Roman" w:hAnsi="Times New Roman" w:cs="Times New Roman"/>
          <w:sz w:val="32"/>
          <w:szCs w:val="32"/>
        </w:rPr>
        <w:t>0</w:t>
      </w:r>
      <w:r>
        <w:rPr>
          <w:rFonts w:hint="eastAsia" w:ascii="仿宋_GB2312" w:hAnsi="Times New Roman" w:eastAsia="仿宋_GB2312" w:cs="Times New Roman"/>
          <w:sz w:val="32"/>
          <w:szCs w:val="32"/>
        </w:rPr>
        <w:t>万元。</w:t>
      </w:r>
    </w:p>
    <w:p>
      <w:pPr>
        <w:spacing w:line="600" w:lineRule="exact"/>
        <w:ind w:firstLine="643"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公务接待费支出</w:t>
      </w:r>
      <w:r>
        <w:rPr>
          <w:rFonts w:ascii="Times New Roman" w:hAnsi="Times New Roman" w:cs="Times New Roman"/>
          <w:sz w:val="32"/>
          <w:szCs w:val="32"/>
        </w:rPr>
        <w:t>0</w:t>
      </w:r>
      <w:r>
        <w:rPr>
          <w:rFonts w:hint="eastAsia" w:ascii="仿宋_GB2312" w:hAnsi="Times New Roman" w:eastAsia="仿宋_GB2312" w:cs="Times New Roman"/>
          <w:sz w:val="32"/>
          <w:szCs w:val="32"/>
        </w:rPr>
        <w:t>万元，完成预算</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%。公务接待费支出决算与2022年度持平。其中：</w:t>
      </w: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国内公务接待支出0万元。国内公务接待0批次，0人次（不包括陪同人员），共计支出0万元。</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外事接待支出0万元。外事接待0批次，0人次（不包括陪同人员），共计支出0万元。</w:t>
      </w:r>
    </w:p>
    <w:p>
      <w:pPr>
        <w:spacing w:line="600" w:lineRule="exact"/>
        <w:ind w:firstLine="480" w:firstLineChars="150"/>
        <w:outlineLvl w:val="1"/>
        <w:rPr>
          <w:rFonts w:ascii="黑体" w:hAnsi="黑体" w:eastAsia="黑体" w:cs="Times New Roman"/>
        </w:rPr>
      </w:pPr>
      <w:bookmarkStart w:id="29" w:name="_Toc15377218"/>
      <w:bookmarkStart w:id="30" w:name="_Toc15396610"/>
      <w:r>
        <w:rPr>
          <w:rFonts w:hint="eastAsia" w:ascii="黑体" w:hAnsi="Times New Roman" w:eastAsia="黑体" w:cs="Times New Roman"/>
          <w:sz w:val="32"/>
          <w:szCs w:val="32"/>
        </w:rPr>
        <w:t>八、</w:t>
      </w:r>
      <w:r>
        <w:rPr>
          <w:rFonts w:hint="eastAsia" w:ascii="黑体" w:hAnsi="黑体" w:eastAsia="黑体" w:cs="Times New Roman"/>
          <w:b w:val="0"/>
          <w:bCs/>
          <w:sz w:val="32"/>
          <w:szCs w:val="32"/>
        </w:rPr>
        <w:t>政府性基金预算支出决算情况说明</w:t>
      </w:r>
      <w:bookmarkEnd w:id="29"/>
      <w:bookmarkEnd w:id="30"/>
    </w:p>
    <w:p>
      <w:pPr>
        <w:spacing w:line="600" w:lineRule="exact"/>
        <w:ind w:firstLine="64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20</w:t>
      </w:r>
      <w:r>
        <w:rPr>
          <w:rFonts w:hint="eastAsia" w:ascii="仿宋_GB2312" w:hAnsi="Times New Roman" w:eastAsia="仿宋_GB2312" w:cs="Times New Roman"/>
          <w:color w:val="auto"/>
          <w:sz w:val="32"/>
          <w:szCs w:val="32"/>
        </w:rPr>
        <w:t>23</w:t>
      </w:r>
      <w:r>
        <w:rPr>
          <w:rFonts w:hint="eastAsia" w:ascii="仿宋_GB2312" w:hAnsi="Times New Roman" w:eastAsia="仿宋_GB2312" w:cs="Times New Roman"/>
          <w:color w:val="auto"/>
          <w:sz w:val="32"/>
          <w:szCs w:val="32"/>
          <w:lang w:eastAsia="zh-CN"/>
        </w:rPr>
        <w:t>年度</w:t>
      </w:r>
      <w:r>
        <w:rPr>
          <w:rFonts w:hint="eastAsia" w:ascii="仿宋_GB2312" w:hAnsi="Times New Roman" w:eastAsia="仿宋_GB2312" w:cs="Times New Roman"/>
          <w:color w:val="auto"/>
          <w:sz w:val="32"/>
          <w:szCs w:val="32"/>
        </w:rPr>
        <w:t>政府性基金预算财政拨款支出</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rPr>
        <w:t>万元</w:t>
      </w:r>
    </w:p>
    <w:p>
      <w:pPr>
        <w:numPr>
          <w:ilvl w:val="0"/>
          <w:numId w:val="4"/>
        </w:numPr>
        <w:spacing w:line="600" w:lineRule="exact"/>
        <w:ind w:firstLine="640"/>
        <w:outlineLvl w:val="1"/>
        <w:rPr>
          <w:rFonts w:ascii="黑体" w:hAnsi="黑体" w:eastAsia="黑体" w:cs="Times New Roman"/>
          <w:b w:val="0"/>
        </w:rPr>
      </w:pPr>
      <w:bookmarkStart w:id="31" w:name="_Toc15396611"/>
      <w:bookmarkStart w:id="32" w:name="_Toc15377219"/>
      <w:r>
        <w:rPr>
          <w:rFonts w:hint="eastAsia" w:ascii="黑体" w:hAnsi="黑体" w:eastAsia="黑体" w:cs="Times New Roman"/>
          <w:b w:val="0"/>
          <w:bCs/>
          <w:sz w:val="32"/>
          <w:szCs w:val="32"/>
        </w:rPr>
        <w:t>国有资本经营预算支出决算情况说明</w:t>
      </w:r>
      <w:bookmarkEnd w:id="31"/>
      <w:bookmarkEnd w:id="32"/>
    </w:p>
    <w:p>
      <w:pPr>
        <w:widowControl w:val="0"/>
        <w:spacing w:line="600" w:lineRule="exact"/>
        <w:ind w:left="360" w:firstLine="0" w:firstLineChars="0"/>
        <w:jc w:val="both"/>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20</w:t>
      </w:r>
      <w:r>
        <w:rPr>
          <w:rFonts w:hint="eastAsia" w:ascii="仿宋_GB2312" w:hAnsi="Times New Roman" w:eastAsia="仿宋_GB2312" w:cs="Times New Roman"/>
          <w:kern w:val="2"/>
          <w:sz w:val="32"/>
          <w:szCs w:val="32"/>
          <w:lang w:val="en-US" w:eastAsia="zh-CN" w:bidi="ar-SA"/>
        </w:rPr>
        <w:t>23年度国有资本经营预算财政拨款支出0万元。</w:t>
      </w:r>
    </w:p>
    <w:p>
      <w:pPr>
        <w:widowControl w:val="0"/>
        <w:spacing w:line="600" w:lineRule="exact"/>
        <w:ind w:left="360" w:firstLine="321" w:firstLineChars="100"/>
        <w:jc w:val="both"/>
        <w:outlineLvl w:val="1"/>
        <w:rPr>
          <w:rFonts w:ascii="黑体" w:hAnsi="黑体" w:eastAsia="黑体" w:cs="Times New Roman"/>
          <w:b w:val="0"/>
          <w:kern w:val="2"/>
          <w:sz w:val="21"/>
          <w:szCs w:val="24"/>
          <w:lang w:val="en-US" w:eastAsia="zh-CN" w:bidi="ar-SA"/>
        </w:rPr>
      </w:pPr>
      <w:bookmarkStart w:id="33" w:name="_Toc15396612"/>
      <w:bookmarkStart w:id="34" w:name="_Toc15377221"/>
      <w:r>
        <w:rPr>
          <w:rFonts w:hint="eastAsia" w:ascii="黑体" w:hAnsi="黑体" w:eastAsia="黑体" w:cs="Times New Roman"/>
          <w:b/>
          <w:bCs/>
          <w:kern w:val="2"/>
          <w:sz w:val="32"/>
          <w:szCs w:val="32"/>
          <w:lang w:val="en-US" w:eastAsia="zh-CN" w:bidi="ar-SA"/>
        </w:rPr>
        <w:t>十</w:t>
      </w:r>
      <w:r>
        <w:rPr>
          <w:rFonts w:ascii="黑体" w:hAnsi="黑体" w:eastAsia="黑体" w:cs="Times New Roman"/>
          <w:b/>
          <w:bCs/>
          <w:kern w:val="2"/>
          <w:sz w:val="32"/>
          <w:szCs w:val="32"/>
          <w:lang w:val="en-US" w:eastAsia="zh-CN" w:bidi="ar-SA"/>
        </w:rPr>
        <w:t>、</w:t>
      </w:r>
      <w:r>
        <w:rPr>
          <w:rFonts w:hint="eastAsia" w:ascii="黑体" w:hAnsi="黑体" w:eastAsia="黑体" w:cs="Times New Roman"/>
          <w:b w:val="0"/>
          <w:bCs/>
          <w:kern w:val="2"/>
          <w:sz w:val="32"/>
          <w:szCs w:val="32"/>
          <w:lang w:val="en-US" w:eastAsia="zh-CN" w:bidi="ar-SA"/>
        </w:rPr>
        <w:t>其他重要事项的情况说明</w:t>
      </w:r>
      <w:bookmarkEnd w:id="33"/>
      <w:bookmarkEnd w:id="34"/>
    </w:p>
    <w:p>
      <w:pPr>
        <w:spacing w:line="600" w:lineRule="exact"/>
        <w:ind w:firstLine="643" w:firstLineChars="200"/>
        <w:outlineLvl w:val="2"/>
        <w:rPr>
          <w:rFonts w:ascii="仿宋" w:hAnsi="仿宋" w:eastAsia="仿宋" w:cs="Times New Roman"/>
          <w:sz w:val="32"/>
          <w:szCs w:val="32"/>
        </w:rPr>
      </w:pPr>
      <w:bookmarkStart w:id="35" w:name="_Toc15377222"/>
      <w:r>
        <w:rPr>
          <w:rFonts w:hint="eastAsia" w:ascii="仿宋" w:hAnsi="仿宋" w:eastAsia="仿宋" w:cs="Times New Roman"/>
          <w:b/>
          <w:sz w:val="32"/>
          <w:szCs w:val="32"/>
        </w:rPr>
        <w:t>（一）机关运行经费支出情况</w:t>
      </w:r>
      <w:bookmarkEnd w:id="35"/>
    </w:p>
    <w:p>
      <w:pPr>
        <w:spacing w:line="600" w:lineRule="exact"/>
        <w:ind w:firstLine="640" w:firstLineChars="200"/>
        <w:rPr>
          <w:rFonts w:hint="eastAsia" w:ascii="仿宋_GB2312" w:hAnsi="Times New Roman" w:eastAsia="仿宋_GB2312" w:cs="Times New Roman"/>
          <w:sz w:val="32"/>
          <w:szCs w:val="32"/>
        </w:rPr>
      </w:pPr>
      <w:r>
        <w:rPr>
          <w:rFonts w:ascii="仿宋_GB2312" w:hAnsi="Times New Roman" w:eastAsia="仿宋_GB2312" w:cs="Times New Roman"/>
          <w:sz w:val="32"/>
          <w:szCs w:val="32"/>
        </w:rPr>
        <w:t>20</w:t>
      </w:r>
      <w:r>
        <w:rPr>
          <w:rFonts w:hint="eastAsia" w:ascii="仿宋_GB2312" w:hAnsi="Times New Roman" w:eastAsia="仿宋_GB2312" w:cs="Times New Roman"/>
          <w:sz w:val="32"/>
          <w:szCs w:val="32"/>
        </w:rPr>
        <w:t>23年</w:t>
      </w:r>
      <w:r>
        <w:rPr>
          <w:rFonts w:hint="eastAsia" w:ascii="仿宋_GB2312" w:hAnsi="Times New Roman" w:eastAsia="仿宋_GB2312" w:cs="Times New Roman"/>
          <w:sz w:val="32"/>
          <w:szCs w:val="32"/>
          <w:lang w:eastAsia="zh-CN"/>
        </w:rPr>
        <w:t>度</w:t>
      </w:r>
      <w:r>
        <w:rPr>
          <w:rFonts w:hint="eastAsia" w:ascii="仿宋_GB2312" w:hAnsi="Times New Roman" w:eastAsia="仿宋_GB2312" w:cs="Times New Roman"/>
          <w:sz w:val="32"/>
          <w:szCs w:val="32"/>
        </w:rPr>
        <w:t>，</w:t>
      </w:r>
      <w:r>
        <w:rPr>
          <w:rFonts w:hint="eastAsia" w:ascii="仿宋_GB2312" w:hAnsi="Times New Roman" w:eastAsia="仿宋_GB2312" w:cs="Times New Roman"/>
          <w:color w:val="auto"/>
          <w:sz w:val="32"/>
          <w:szCs w:val="32"/>
        </w:rPr>
        <w:t>遂宁市安居区</w:t>
      </w:r>
      <w:r>
        <w:rPr>
          <w:rFonts w:hint="eastAsia" w:ascii="仿宋_GB2312" w:hAnsi="Times New Roman" w:eastAsia="仿宋_GB2312" w:cs="Times New Roman"/>
          <w:color w:val="auto"/>
          <w:sz w:val="32"/>
          <w:szCs w:val="32"/>
          <w:lang w:eastAsia="zh-CN"/>
        </w:rPr>
        <w:t>白马镇平宁小学校</w:t>
      </w:r>
      <w:r>
        <w:rPr>
          <w:rFonts w:hint="eastAsia" w:ascii="仿宋_GB2312" w:hAnsi="Times New Roman" w:eastAsia="仿宋_GB2312" w:cs="Times New Roman"/>
          <w:sz w:val="32"/>
          <w:szCs w:val="32"/>
        </w:rPr>
        <w:t>机关运行经费支出0万元。与2022年度决算数持平。</w:t>
      </w:r>
    </w:p>
    <w:p>
      <w:pPr>
        <w:autoSpaceDE w:val="0"/>
        <w:autoSpaceDN w:val="0"/>
        <w:adjustRightInd w:val="0"/>
        <w:spacing w:line="600" w:lineRule="exact"/>
        <w:ind w:firstLine="643" w:firstLineChars="200"/>
        <w:jc w:val="left"/>
        <w:outlineLvl w:val="2"/>
        <w:rPr>
          <w:rFonts w:ascii="仿宋" w:hAnsi="仿宋" w:eastAsia="仿宋" w:cs="Times New Roman"/>
          <w:b/>
          <w:sz w:val="32"/>
          <w:szCs w:val="32"/>
        </w:rPr>
      </w:pPr>
      <w:bookmarkStart w:id="36" w:name="_Toc15377223"/>
      <w:r>
        <w:rPr>
          <w:rFonts w:hint="eastAsia" w:ascii="仿宋" w:hAnsi="仿宋" w:eastAsia="仿宋" w:cs="Times New Roman"/>
          <w:b/>
          <w:sz w:val="32"/>
          <w:szCs w:val="32"/>
        </w:rPr>
        <w:t>（二）政府采购支出情况</w:t>
      </w:r>
      <w:bookmarkEnd w:id="36"/>
    </w:p>
    <w:p>
      <w:pPr>
        <w:autoSpaceDE w:val="0"/>
        <w:autoSpaceDN w:val="0"/>
        <w:adjustRightInd w:val="0"/>
        <w:spacing w:line="600" w:lineRule="exact"/>
        <w:ind w:firstLine="640" w:firstLineChars="200"/>
        <w:jc w:val="left"/>
        <w:outlineLvl w:val="2"/>
        <w:rPr>
          <w:rFonts w:ascii="仿宋_GB2312" w:hAnsi="Times New Roman" w:eastAsia="仿宋_GB2312" w:cs="Times New Roman"/>
          <w:sz w:val="32"/>
          <w:szCs w:val="32"/>
        </w:rPr>
      </w:pPr>
      <w:bookmarkStart w:id="37" w:name="_Toc15377224"/>
      <w:r>
        <w:rPr>
          <w:rFonts w:hint="eastAsia" w:ascii="仿宋_GB2312" w:hAnsi="Times New Roman" w:eastAsia="仿宋_GB2312" w:cs="Times New Roman"/>
          <w:sz w:val="32"/>
          <w:szCs w:val="32"/>
        </w:rPr>
        <w:t>2023年度，</w:t>
      </w:r>
      <w:r>
        <w:rPr>
          <w:rFonts w:hint="eastAsia" w:ascii="仿宋_GB2312" w:hAnsi="Times New Roman" w:eastAsia="仿宋_GB2312" w:cs="Times New Roman"/>
          <w:color w:val="auto"/>
          <w:sz w:val="32"/>
          <w:szCs w:val="32"/>
        </w:rPr>
        <w:t>遂宁市安居区</w:t>
      </w:r>
      <w:r>
        <w:rPr>
          <w:rFonts w:hint="eastAsia" w:ascii="仿宋_GB2312" w:hAnsi="Times New Roman" w:eastAsia="仿宋_GB2312" w:cs="Times New Roman"/>
          <w:color w:val="auto"/>
          <w:sz w:val="32"/>
          <w:szCs w:val="32"/>
          <w:lang w:eastAsia="zh-CN"/>
        </w:rPr>
        <w:t>白马镇平宁小学校</w:t>
      </w:r>
      <w:r>
        <w:rPr>
          <w:rFonts w:hint="eastAsia" w:ascii="仿宋_GB2312" w:hAnsi="Times New Roman" w:eastAsia="仿宋_GB2312" w:cs="Times New Roman"/>
          <w:sz w:val="32"/>
          <w:szCs w:val="32"/>
        </w:rPr>
        <w:t>政府采购支出总额</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万元，其中：政府采购货物支出</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万元、政府采购工程支出</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万元、政府采购服务支出</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万元。授予中小企业合同金额</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万元，占政府采购支出总额的</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%，其中：授予小微企业合同金额</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万元，占政府采购支出总额的</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w:t>
      </w:r>
    </w:p>
    <w:bookmarkEnd w:id="37"/>
    <w:p>
      <w:pPr>
        <w:autoSpaceDE w:val="0"/>
        <w:autoSpaceDN w:val="0"/>
        <w:adjustRightInd w:val="0"/>
        <w:spacing w:line="600" w:lineRule="exact"/>
        <w:ind w:firstLine="643" w:firstLineChars="200"/>
        <w:jc w:val="left"/>
        <w:outlineLvl w:val="2"/>
        <w:rPr>
          <w:rFonts w:ascii="仿宋" w:hAnsi="仿宋" w:eastAsia="仿宋" w:cs="Times New Roman"/>
          <w:b/>
          <w:sz w:val="32"/>
          <w:szCs w:val="32"/>
        </w:rPr>
      </w:pPr>
      <w:r>
        <w:rPr>
          <w:rFonts w:hint="eastAsia" w:ascii="仿宋" w:hAnsi="仿宋" w:eastAsia="仿宋" w:cs="Times New Roman"/>
          <w:b/>
          <w:sz w:val="32"/>
          <w:szCs w:val="32"/>
        </w:rPr>
        <w:t>（三）国有资产占有使用情况</w:t>
      </w:r>
    </w:p>
    <w:p>
      <w:pPr>
        <w:autoSpaceDE w:val="0"/>
        <w:autoSpaceDN w:val="0"/>
        <w:adjustRightInd w:val="0"/>
        <w:spacing w:line="60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截至2023年12月31日，</w:t>
      </w:r>
      <w:r>
        <w:rPr>
          <w:rFonts w:hint="eastAsia" w:ascii="仿宋_GB2312" w:hAnsi="Times New Roman" w:eastAsia="仿宋_GB2312" w:cs="Times New Roman"/>
          <w:color w:val="auto"/>
          <w:sz w:val="32"/>
          <w:szCs w:val="32"/>
        </w:rPr>
        <w:t>遂宁市安居区</w:t>
      </w:r>
      <w:r>
        <w:rPr>
          <w:rFonts w:hint="eastAsia" w:ascii="仿宋_GB2312" w:hAnsi="Times New Roman" w:eastAsia="仿宋_GB2312" w:cs="Times New Roman"/>
          <w:color w:val="auto"/>
          <w:sz w:val="32"/>
          <w:szCs w:val="32"/>
          <w:lang w:eastAsia="zh-CN"/>
        </w:rPr>
        <w:t>白马镇平宁小学校</w:t>
      </w:r>
      <w:r>
        <w:rPr>
          <w:rFonts w:hint="eastAsia" w:ascii="仿宋_GB2312" w:hAnsi="Times New Roman" w:eastAsia="仿宋_GB2312" w:cs="Times New Roman"/>
          <w:sz w:val="32"/>
          <w:szCs w:val="32"/>
        </w:rPr>
        <w:t>共有车辆0辆，其中：主要领导干部用车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辆、机要通信用车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辆、应急保障用车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辆、其他用车</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辆。单价100万元以上设备（不含车辆）</w:t>
      </w:r>
      <w:r>
        <w:rPr>
          <w:rFonts w:ascii="Times New Roman" w:hAnsi="Times New Roman" w:cs="Times New Roman"/>
          <w:sz w:val="32"/>
          <w:szCs w:val="32"/>
        </w:rPr>
        <w:t>0</w:t>
      </w:r>
      <w:r>
        <w:rPr>
          <w:rFonts w:hint="eastAsia" w:ascii="仿宋_GB2312" w:hAnsi="Times New Roman" w:eastAsia="仿宋_GB2312" w:cs="Times New Roman"/>
          <w:sz w:val="32"/>
          <w:szCs w:val="32"/>
        </w:rPr>
        <w:t>台（套）。</w:t>
      </w:r>
    </w:p>
    <w:p>
      <w:pPr>
        <w:autoSpaceDE w:val="0"/>
        <w:autoSpaceDN w:val="0"/>
        <w:adjustRightInd w:val="0"/>
        <w:spacing w:line="600" w:lineRule="exact"/>
        <w:ind w:firstLine="643" w:firstLineChars="200"/>
        <w:jc w:val="left"/>
        <w:outlineLvl w:val="2"/>
        <w:rPr>
          <w:rFonts w:ascii="仿宋" w:hAnsi="仿宋" w:eastAsia="仿宋" w:cs="Times New Roman"/>
          <w:b/>
          <w:sz w:val="32"/>
          <w:szCs w:val="32"/>
        </w:rPr>
      </w:pPr>
      <w:r>
        <w:rPr>
          <w:rFonts w:hint="eastAsia" w:ascii="仿宋" w:hAnsi="仿宋" w:eastAsia="仿宋" w:cs="Times New Roman"/>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eastAsia="zh-CN"/>
        </w:rPr>
        <w:t>幼儿资助及发展</w:t>
      </w:r>
      <w:r>
        <w:rPr>
          <w:rFonts w:hint="eastAsia" w:ascii="仿宋_GB2312" w:hAnsi="仿宋_GB2312" w:eastAsia="仿宋_GB2312" w:cs="仿宋_GB2312"/>
          <w:sz w:val="32"/>
          <w:szCs w:val="32"/>
        </w:rPr>
        <w:t>项目等</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个项目开展绩效监控。</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平宁小学</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23</w:t>
      </w:r>
      <w:r>
        <w:rPr>
          <w:rFonts w:ascii="仿宋_GB2312" w:hAnsi="仿宋_GB2312" w:eastAsia="仿宋_GB2312" w:cs="仿宋_GB2312"/>
          <w:sz w:val="32"/>
          <w:szCs w:val="32"/>
        </w:rPr>
        <w:t>年部门</w:t>
      </w:r>
      <w:r>
        <w:rPr>
          <w:rFonts w:hint="eastAsia" w:ascii="仿宋_GB2312" w:hAnsi="仿宋_GB2312" w:eastAsia="仿宋_GB2312" w:cs="仿宋_GB2312"/>
          <w:sz w:val="32"/>
          <w:szCs w:val="32"/>
          <w:lang w:val="zh-CN"/>
        </w:rPr>
        <w:t>整体支出绩效评价报告</w:t>
      </w:r>
      <w:r>
        <w:rPr>
          <w:rFonts w:hint="eastAsia" w:ascii="仿宋_GB2312" w:hAnsi="仿宋_GB2312" w:eastAsia="仿宋_GB2312" w:cs="仿宋_GB2312"/>
          <w:sz w:val="32"/>
          <w:szCs w:val="32"/>
        </w:rPr>
        <w:t>、绩效自评报告、</w:t>
      </w:r>
      <w:r>
        <w:rPr>
          <w:rFonts w:hint="eastAsia" w:ascii="仿宋_GB2312" w:hAnsi="仿宋_GB2312" w:eastAsia="仿宋_GB2312" w:cs="仿宋_GB2312"/>
          <w:sz w:val="32"/>
          <w:szCs w:val="32"/>
          <w:lang w:eastAsia="zh-CN"/>
        </w:rPr>
        <w:t>幼儿资助及发展</w:t>
      </w:r>
      <w:r>
        <w:rPr>
          <w:rFonts w:hint="eastAsia" w:ascii="仿宋_GB2312" w:hAnsi="仿宋_GB2312" w:eastAsia="仿宋_GB2312" w:cs="仿宋_GB2312"/>
          <w:sz w:val="32"/>
          <w:szCs w:val="32"/>
        </w:rPr>
        <w:t>项目等专项预算项目绩效自评报告，其中，</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23</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部门整体（含部门预算项目）绩效自评得分为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幼儿资助及发展</w:t>
      </w:r>
      <w:r>
        <w:rPr>
          <w:rFonts w:hint="eastAsia" w:ascii="仿宋_GB2312" w:hAnsi="仿宋_GB2312" w:eastAsia="仿宋_GB2312" w:cs="仿宋_GB2312"/>
          <w:sz w:val="32"/>
          <w:szCs w:val="32"/>
        </w:rPr>
        <w:t>专项预算项目绩效自评得分为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分，绩效自评综述：顺利完成目标。绩效自评报告详见附件。</w:t>
      </w:r>
    </w:p>
    <w:p>
      <w:pPr>
        <w:widowControl w:val="0"/>
        <w:spacing w:beforeLines="30"/>
        <w:jc w:val="both"/>
        <w:rPr>
          <w:rFonts w:ascii="仿宋_GB2312" w:hAnsi="Times New Roman" w:eastAsia="仿宋_GB2312" w:cs="Times New Roman"/>
          <w:kern w:val="0"/>
          <w:sz w:val="30"/>
          <w:szCs w:val="24"/>
          <w:lang w:val="en-US" w:eastAsia="zh-CN" w:bidi="ar-SA"/>
        </w:rPr>
      </w:pP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pPr>
        <w:numPr>
          <w:ilvl w:val="0"/>
          <w:numId w:val="5"/>
        </w:numPr>
        <w:spacing w:line="600" w:lineRule="exact"/>
        <w:ind w:firstLine="660" w:firstLineChars="150"/>
        <w:jc w:val="center"/>
        <w:outlineLvl w:val="0"/>
        <w:rPr>
          <w:rFonts w:ascii="黑体" w:hAnsi="黑体" w:eastAsia="黑体" w:cs="Times New Roman"/>
          <w:b w:val="0"/>
        </w:rPr>
      </w:pPr>
      <w:bookmarkStart w:id="38" w:name="_Toc15377225"/>
      <w:bookmarkStart w:id="39" w:name="_Toc15396613"/>
      <w:r>
        <w:rPr>
          <w:rFonts w:hint="eastAsia" w:ascii="黑体" w:hAnsi="黑体" w:eastAsia="黑体" w:cs="Times New Roman"/>
          <w:sz w:val="44"/>
          <w:szCs w:val="44"/>
        </w:rPr>
        <w:t>名</w:t>
      </w:r>
      <w:r>
        <w:rPr>
          <w:rFonts w:hint="eastAsia" w:ascii="黑体" w:hAnsi="黑体" w:eastAsia="黑体" w:cs="Times New Roman"/>
          <w:b w:val="0"/>
          <w:bCs/>
          <w:kern w:val="44"/>
          <w:sz w:val="44"/>
          <w:szCs w:val="44"/>
        </w:rPr>
        <w:t>词解释</w:t>
      </w:r>
      <w:bookmarkEnd w:id="38"/>
      <w:bookmarkEnd w:id="39"/>
    </w:p>
    <w:p>
      <w:pPr>
        <w:spacing w:line="600" w:lineRule="exact"/>
        <w:jc w:val="left"/>
        <w:rPr>
          <w:rFonts w:ascii="宋体" w:hAnsi="Times New Roman" w:cs="Times New Roman"/>
          <w:b/>
          <w:sz w:val="44"/>
          <w:szCs w:val="44"/>
        </w:rPr>
      </w:pPr>
    </w:p>
    <w:p>
      <w:pPr>
        <w:widowControl w:val="0"/>
        <w:autoSpaceDE w:val="0"/>
        <w:autoSpaceDN w:val="0"/>
        <w:adjustRightInd w:val="0"/>
        <w:spacing w:line="560" w:lineRule="exact"/>
        <w:ind w:firstLine="640" w:firstLineChars="200"/>
        <w:rPr>
          <w:rFonts w:ascii="仿宋_GB2312" w:hAnsi="Calibri" w:eastAsia="仿宋_GB2312" w:cs="仿宋"/>
          <w:color w:val="auto"/>
          <w:sz w:val="32"/>
          <w:szCs w:val="32"/>
          <w:lang w:val="en-US" w:eastAsia="zh-CN" w:bidi="ar-SA"/>
        </w:rPr>
      </w:pPr>
      <w:bookmarkStart w:id="40" w:name="_Toc15377226"/>
      <w:r>
        <w:rPr>
          <w:rFonts w:ascii="仿宋_GB2312" w:hAnsi="Calibri" w:eastAsia="仿宋_GB2312" w:cs="仿宋"/>
          <w:color w:val="auto"/>
          <w:sz w:val="32"/>
          <w:szCs w:val="32"/>
          <w:lang w:val="en-US" w:eastAsia="zh-CN" w:bidi="ar-SA"/>
        </w:rPr>
        <w:t>1.</w:t>
      </w:r>
      <w:r>
        <w:rPr>
          <w:rFonts w:hint="eastAsia" w:ascii="仿宋_GB2312" w:hAnsi="Calibri" w:eastAsia="仿宋_GB2312" w:cs="仿宋"/>
          <w:color w:val="auto"/>
          <w:sz w:val="32"/>
          <w:szCs w:val="32"/>
          <w:lang w:val="en-US" w:eastAsia="zh-CN" w:bidi="ar-SA"/>
        </w:rPr>
        <w:t>财政拨款收入：指单位从同级财政部门取得的财政预算资金。</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auto"/>
          <w:sz w:val="32"/>
          <w:szCs w:val="32"/>
          <w:lang w:val="en-US" w:eastAsia="zh-CN" w:bidi="ar-SA"/>
        </w:rPr>
        <w:t>2.</w:t>
      </w:r>
      <w:r>
        <w:rPr>
          <w:rFonts w:hint="eastAsia" w:ascii="仿宋_GB2312" w:hAnsi="Calibri" w:eastAsia="仿宋_GB2312" w:cs="仿宋"/>
          <w:color w:val="000000"/>
          <w:sz w:val="32"/>
          <w:szCs w:val="32"/>
          <w:lang w:val="en-US" w:eastAsia="zh-CN" w:bidi="ar-SA"/>
        </w:rPr>
        <w:t>教育（2</w:t>
      </w:r>
      <w:r>
        <w:rPr>
          <w:rFonts w:ascii="仿宋_GB2312" w:hAnsi="Calibri" w:eastAsia="仿宋_GB2312" w:cs="仿宋"/>
          <w:color w:val="000000"/>
          <w:sz w:val="32"/>
          <w:szCs w:val="32"/>
          <w:lang w:val="en-US" w:eastAsia="zh-CN" w:bidi="ar-SA"/>
        </w:rPr>
        <w:t>05</w:t>
      </w:r>
      <w:r>
        <w:rPr>
          <w:rFonts w:hint="eastAsia" w:ascii="仿宋_GB2312" w:hAnsi="Calibri" w:eastAsia="仿宋_GB2312" w:cs="仿宋"/>
          <w:color w:val="000000"/>
          <w:sz w:val="32"/>
          <w:szCs w:val="32"/>
          <w:lang w:val="en-US" w:eastAsia="zh-CN" w:bidi="ar-SA"/>
        </w:rPr>
        <w:t>类）普通教育（0</w:t>
      </w:r>
      <w:r>
        <w:rPr>
          <w:rFonts w:ascii="仿宋_GB2312" w:hAnsi="Calibri" w:eastAsia="仿宋_GB2312" w:cs="仿宋"/>
          <w:color w:val="000000"/>
          <w:sz w:val="32"/>
          <w:szCs w:val="32"/>
          <w:lang w:val="en-US" w:eastAsia="zh-CN" w:bidi="ar-SA"/>
        </w:rPr>
        <w:t>2</w:t>
      </w:r>
      <w:r>
        <w:rPr>
          <w:rFonts w:hint="eastAsia" w:ascii="仿宋_GB2312" w:hAnsi="Calibri" w:eastAsia="仿宋_GB2312" w:cs="仿宋"/>
          <w:color w:val="000000"/>
          <w:sz w:val="32"/>
          <w:szCs w:val="32"/>
          <w:lang w:val="en-US" w:eastAsia="zh-CN" w:bidi="ar-SA"/>
        </w:rPr>
        <w:t>款）学前教育支出（0</w:t>
      </w:r>
      <w:r>
        <w:rPr>
          <w:rFonts w:ascii="仿宋_GB2312" w:hAnsi="Calibri" w:eastAsia="仿宋_GB2312" w:cs="仿宋"/>
          <w:color w:val="000000"/>
          <w:sz w:val="32"/>
          <w:szCs w:val="32"/>
          <w:lang w:val="en-US" w:eastAsia="zh-CN" w:bidi="ar-SA"/>
        </w:rPr>
        <w:t>1项）：反映用于学前教育的工资、绩效、津补贴、工会经费、福利费、资助、公用经费、保教费等支出。</w:t>
      </w:r>
    </w:p>
    <w:p>
      <w:pPr>
        <w:widowControl w:val="0"/>
        <w:autoSpaceDE w:val="0"/>
        <w:autoSpaceDN w:val="0"/>
        <w:adjustRightInd w:val="0"/>
        <w:spacing w:line="560" w:lineRule="exact"/>
        <w:ind w:firstLine="640" w:firstLineChars="200"/>
        <w:rPr>
          <w:rFonts w:ascii="仿宋" w:hAnsi="仿宋" w:eastAsia="仿宋" w:cs="仿宋"/>
          <w:color w:val="000000"/>
          <w:sz w:val="32"/>
          <w:szCs w:val="32"/>
          <w:lang w:val="en-US" w:eastAsia="zh-CN" w:bidi="ar-SA"/>
        </w:rPr>
      </w:pPr>
      <w:r>
        <w:rPr>
          <w:rFonts w:ascii="仿宋_GB2312" w:hAnsi="Calibri" w:eastAsia="仿宋_GB2312" w:cs="仿宋"/>
          <w:color w:val="000000"/>
          <w:sz w:val="32"/>
          <w:szCs w:val="32"/>
          <w:lang w:val="en-US" w:eastAsia="zh-CN" w:bidi="ar-SA"/>
        </w:rPr>
        <w:t>3.</w:t>
      </w:r>
      <w:r>
        <w:rPr>
          <w:rFonts w:ascii="仿宋" w:hAnsi="Calibri" w:eastAsia="仿宋" w:cs="仿宋"/>
          <w:color w:val="000000"/>
          <w:sz w:val="24"/>
          <w:szCs w:val="24"/>
          <w:lang w:val="en-US" w:eastAsia="zh-CN" w:bidi="ar-SA"/>
        </w:rPr>
        <w:t xml:space="preserve"> </w:t>
      </w:r>
      <w:r>
        <w:rPr>
          <w:rFonts w:hint="eastAsia" w:ascii="仿宋_GB2312" w:hAnsi="Calibri" w:eastAsia="仿宋_GB2312" w:cs="仿宋"/>
          <w:color w:val="000000"/>
          <w:sz w:val="32"/>
          <w:szCs w:val="32"/>
          <w:lang w:val="en-US" w:eastAsia="zh-CN" w:bidi="ar-SA"/>
        </w:rPr>
        <w:t>教育（2</w:t>
      </w:r>
      <w:r>
        <w:rPr>
          <w:rFonts w:ascii="仿宋_GB2312" w:hAnsi="Calibri" w:eastAsia="仿宋_GB2312" w:cs="仿宋"/>
          <w:color w:val="000000"/>
          <w:sz w:val="32"/>
          <w:szCs w:val="32"/>
          <w:lang w:val="en-US" w:eastAsia="zh-CN" w:bidi="ar-SA"/>
        </w:rPr>
        <w:t>05</w:t>
      </w:r>
      <w:r>
        <w:rPr>
          <w:rFonts w:hint="eastAsia" w:ascii="仿宋_GB2312" w:hAnsi="Calibri" w:eastAsia="仿宋_GB2312" w:cs="仿宋"/>
          <w:color w:val="000000"/>
          <w:sz w:val="32"/>
          <w:szCs w:val="32"/>
          <w:lang w:val="en-US" w:eastAsia="zh-CN" w:bidi="ar-SA"/>
        </w:rPr>
        <w:t>类）普通教育（0</w:t>
      </w:r>
      <w:r>
        <w:rPr>
          <w:rFonts w:ascii="仿宋_GB2312" w:hAnsi="Calibri" w:eastAsia="仿宋_GB2312" w:cs="仿宋"/>
          <w:color w:val="000000"/>
          <w:sz w:val="32"/>
          <w:szCs w:val="32"/>
          <w:lang w:val="en-US" w:eastAsia="zh-CN" w:bidi="ar-SA"/>
        </w:rPr>
        <w:t>2</w:t>
      </w:r>
      <w:r>
        <w:rPr>
          <w:rFonts w:hint="eastAsia" w:ascii="仿宋_GB2312" w:hAnsi="Calibri" w:eastAsia="仿宋_GB2312" w:cs="仿宋"/>
          <w:color w:val="000000"/>
          <w:sz w:val="32"/>
          <w:szCs w:val="32"/>
          <w:lang w:val="en-US" w:eastAsia="zh-CN" w:bidi="ar-SA"/>
        </w:rPr>
        <w:t>款）其他普通教育支出（9</w:t>
      </w:r>
      <w:r>
        <w:rPr>
          <w:rFonts w:ascii="仿宋_GB2312" w:hAnsi="Calibri" w:eastAsia="仿宋_GB2312" w:cs="仿宋"/>
          <w:color w:val="000000"/>
          <w:sz w:val="32"/>
          <w:szCs w:val="32"/>
          <w:lang w:val="en-US" w:eastAsia="zh-CN" w:bidi="ar-SA"/>
        </w:rPr>
        <w:t>9</w:t>
      </w:r>
      <w:r>
        <w:rPr>
          <w:rFonts w:hint="eastAsia" w:ascii="仿宋_GB2312" w:hAnsi="Calibri" w:eastAsia="仿宋_GB2312" w:cs="仿宋"/>
          <w:color w:val="000000"/>
          <w:sz w:val="32"/>
          <w:szCs w:val="32"/>
          <w:lang w:val="en-US" w:eastAsia="zh-CN" w:bidi="ar-SA"/>
        </w:rPr>
        <w:t>项）</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反映用于学前教育的</w:t>
      </w:r>
      <w:r>
        <w:rPr>
          <w:rFonts w:ascii="仿宋_GB2312" w:hAnsi="Calibri" w:eastAsia="仿宋_GB2312" w:cs="仿宋"/>
          <w:color w:val="000000"/>
          <w:sz w:val="32"/>
          <w:szCs w:val="32"/>
          <w:lang w:val="en-US" w:eastAsia="zh-CN" w:bidi="ar-SA"/>
        </w:rPr>
        <w:t>绩效、津补贴、保教费等支出</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w:t>
      </w:r>
      <w:r>
        <w:rPr>
          <w:rFonts w:ascii="仿宋" w:hAnsi="仿宋" w:eastAsia="仿宋" w:cs="Times New Roman"/>
          <w:sz w:val="32"/>
          <w:szCs w:val="32"/>
        </w:rPr>
        <w:t>.</w:t>
      </w:r>
      <w:r>
        <w:rPr>
          <w:rFonts w:hint="eastAsia" w:ascii="仿宋" w:hAnsi="仿宋" w:eastAsia="仿宋" w:cs="Times New Roman"/>
          <w:sz w:val="32"/>
          <w:szCs w:val="32"/>
        </w:rPr>
        <w:t>社会保障和就业（208类）行政事业单位离退休（05款）机关事业单位基本养老保险缴费支出（05项）</w:t>
      </w:r>
      <w:r>
        <w:rPr>
          <w:rFonts w:ascii="仿宋" w:hAnsi="仿宋" w:eastAsia="仿宋" w:cs="Times New Roman"/>
          <w:sz w:val="32"/>
          <w:szCs w:val="32"/>
        </w:rPr>
        <w:t xml:space="preserve">: </w:t>
      </w:r>
      <w:r>
        <w:rPr>
          <w:rFonts w:hint="eastAsia" w:ascii="仿宋" w:hAnsi="仿宋" w:eastAsia="仿宋" w:cs="Times New Roman"/>
          <w:sz w:val="32"/>
          <w:szCs w:val="32"/>
        </w:rPr>
        <w:t>反映机关事业单位实施养老保险制度由单位缴纳的基本养老保险费支出。</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w:t>
      </w:r>
      <w:r>
        <w:rPr>
          <w:rFonts w:ascii="仿宋" w:hAnsi="仿宋" w:eastAsia="仿宋" w:cs="Times New Roman"/>
          <w:sz w:val="32"/>
          <w:szCs w:val="32"/>
        </w:rPr>
        <w:t xml:space="preserve">. </w:t>
      </w:r>
      <w:r>
        <w:rPr>
          <w:rFonts w:hint="eastAsia" w:ascii="仿宋" w:hAnsi="仿宋" w:eastAsia="仿宋" w:cs="Times New Roman"/>
          <w:sz w:val="32"/>
          <w:szCs w:val="32"/>
        </w:rPr>
        <w:t>社会保障和就业（208类）其他社会保障和就业支出（99款）其他社会保障和就业支出（01项）</w:t>
      </w:r>
      <w:r>
        <w:rPr>
          <w:rFonts w:ascii="仿宋" w:hAnsi="仿宋" w:eastAsia="仿宋" w:cs="Times New Roman"/>
          <w:sz w:val="32"/>
          <w:szCs w:val="32"/>
        </w:rPr>
        <w:t>: 反应</w:t>
      </w:r>
      <w:r>
        <w:rPr>
          <w:rFonts w:hint="eastAsia" w:ascii="仿宋_GB2312" w:hAnsi="Times New Roman" w:eastAsia="仿宋_GB2312" w:cs="Times New Roman"/>
          <w:sz w:val="32"/>
          <w:szCs w:val="32"/>
        </w:rPr>
        <w:t>用于本单位职工工伤及失业保险单位缴费支出</w:t>
      </w:r>
      <w:r>
        <w:rPr>
          <w:rFonts w:hint="eastAsia"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医疗卫生与计划生育（210类）行政事业单位医疗（11款）行政单位医疗（01项）</w:t>
      </w:r>
      <w:r>
        <w:rPr>
          <w:rFonts w:ascii="仿宋" w:hAnsi="仿宋" w:eastAsia="仿宋" w:cs="Times New Roman"/>
          <w:sz w:val="32"/>
          <w:szCs w:val="32"/>
        </w:rPr>
        <w:t>:</w:t>
      </w:r>
      <w:r>
        <w:rPr>
          <w:rFonts w:hint="eastAsia" w:ascii="仿宋_GB2312" w:hAnsi="Times New Roman" w:eastAsia="仿宋_GB2312" w:cs="Times New Roman"/>
          <w:sz w:val="32"/>
          <w:szCs w:val="32"/>
        </w:rPr>
        <w:t xml:space="preserve"> 反映用于本单位职工基本医疗保险及住院补充医疗保险单位缴费支出</w:t>
      </w:r>
      <w:r>
        <w:rPr>
          <w:rFonts w:hint="eastAsia"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住房保障支出（221类）住房改革支出（02款）住房公积金（01项）</w:t>
      </w:r>
      <w:r>
        <w:rPr>
          <w:rFonts w:ascii="仿宋" w:hAnsi="仿宋" w:eastAsia="仿宋" w:cs="Times New Roman"/>
          <w:sz w:val="32"/>
          <w:szCs w:val="32"/>
        </w:rPr>
        <w:t>:</w:t>
      </w:r>
      <w:r>
        <w:rPr>
          <w:rFonts w:hint="eastAsia" w:ascii="仿宋_GB2312" w:hAnsi="Times New Roman" w:eastAsia="仿宋_GB2312" w:cs="Times New Roman"/>
          <w:sz w:val="32"/>
          <w:szCs w:val="32"/>
        </w:rPr>
        <w:t xml:space="preserve"> 反映用于本单位职工住房公积金单位缴费支出。</w:t>
      </w:r>
      <w:r>
        <w:rPr>
          <w:rFonts w:hint="eastAsia"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基本支出：指为保障机构正常运转、完成日常工作任务而发生的人员支出和公用支出。</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9.</w:t>
      </w:r>
      <w:r>
        <w:rPr>
          <w:rFonts w:hint="eastAsia" w:ascii="仿宋" w:hAnsi="仿宋" w:eastAsia="仿宋" w:cs="Times New Roman"/>
          <w:sz w:val="32"/>
          <w:szCs w:val="32"/>
        </w:rPr>
        <w:t>项目支出：指在基本支出之外为完成特定行政任务和事业发展目标所发生的支出。</w:t>
      </w:r>
    </w:p>
    <w:p>
      <w:pPr>
        <w:autoSpaceDE w:val="0"/>
        <w:autoSpaceDN w:val="0"/>
        <w:adjustRightInd w:val="0"/>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0.</w:t>
      </w:r>
      <w:r>
        <w:rPr>
          <w:rFonts w:hint="eastAsia" w:ascii="仿宋" w:hAnsi="仿宋" w:eastAsia="仿宋"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ascii="黑体" w:hAnsi="黑体" w:eastAsia="黑体" w:cs="Times New Roman"/>
          <w:b w:val="0"/>
        </w:rPr>
      </w:pPr>
      <w:r>
        <w:rPr>
          <w:rFonts w:ascii="宋体" w:hAnsi="Times New Roman" w:cs="Times New Roman"/>
          <w:b/>
          <w:sz w:val="44"/>
          <w:szCs w:val="44"/>
        </w:rPr>
        <w:br w:type="page"/>
      </w:r>
      <w:bookmarkStart w:id="41" w:name="_Toc15396614"/>
      <w:r>
        <w:rPr>
          <w:rFonts w:hint="eastAsia" w:ascii="黑体" w:hAnsi="黑体" w:eastAsia="黑体" w:cs="Times New Roman"/>
          <w:sz w:val="44"/>
          <w:szCs w:val="44"/>
        </w:rPr>
        <w:t>第</w:t>
      </w:r>
      <w:r>
        <w:rPr>
          <w:rFonts w:hint="eastAsia" w:ascii="黑体" w:hAnsi="黑体" w:eastAsia="黑体" w:cs="Times New Roman"/>
          <w:b w:val="0"/>
          <w:bCs/>
          <w:kern w:val="44"/>
          <w:sz w:val="44"/>
          <w:szCs w:val="44"/>
        </w:rPr>
        <w:t>四部分 附件</w:t>
      </w:r>
      <w:bookmarkEnd w:id="41"/>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60" w:lineRule="exact"/>
        <w:jc w:val="center"/>
        <w:rPr>
          <w:rFonts w:ascii="方正小标宋简体" w:hAnsi="宋体" w:eastAsia="方正小标宋简体" w:cs="Times New Roman"/>
          <w:color w:val="000000"/>
          <w:kern w:val="0"/>
          <w:sz w:val="40"/>
          <w:szCs w:val="44"/>
          <w:lang w:val="zh-CN"/>
        </w:rPr>
      </w:pPr>
      <w:r>
        <w:rPr>
          <w:rFonts w:ascii="方正小标宋简体" w:hAnsi="宋体" w:eastAsia="方正小标宋简体" w:cs="Times New Roman"/>
          <w:color w:val="000000"/>
          <w:kern w:val="0"/>
          <w:sz w:val="40"/>
          <w:szCs w:val="44"/>
        </w:rPr>
        <w:t>20</w:t>
      </w:r>
      <w:r>
        <w:rPr>
          <w:rFonts w:hint="eastAsia" w:ascii="方正小标宋简体" w:hAnsi="宋体" w:eastAsia="方正小标宋简体" w:cs="Times New Roman"/>
          <w:color w:val="000000"/>
          <w:kern w:val="0"/>
          <w:sz w:val="40"/>
          <w:szCs w:val="44"/>
        </w:rPr>
        <w:t>23</w:t>
      </w:r>
      <w:r>
        <w:rPr>
          <w:rFonts w:ascii="方正小标宋简体" w:hAnsi="宋体" w:eastAsia="方正小标宋简体" w:cs="Times New Roman"/>
          <w:color w:val="000000"/>
          <w:kern w:val="0"/>
          <w:sz w:val="40"/>
          <w:szCs w:val="44"/>
        </w:rPr>
        <w:t>年部门</w:t>
      </w:r>
      <w:r>
        <w:rPr>
          <w:rFonts w:hint="eastAsia" w:ascii="方正小标宋简体" w:hAnsi="宋体" w:eastAsia="方正小标宋简体" w:cs="Times New Roman"/>
          <w:color w:val="000000"/>
          <w:kern w:val="0"/>
          <w:sz w:val="40"/>
          <w:szCs w:val="44"/>
          <w:lang w:val="zh-CN"/>
        </w:rPr>
        <w:t>整体支出绩效评价报告</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一、部门（单位）概况</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（一）机构组成</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1．行政办公室</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2．财务室</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3．教导处</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4．教研室</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5．德育处</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6．安全办</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遂宁市安居区</w:t>
      </w:r>
      <w:r>
        <w:rPr>
          <w:rFonts w:hint="default" w:ascii="仿宋" w:hAnsi="仿宋" w:eastAsia="仿宋" w:cs="Times New Roman"/>
          <w:sz w:val="32"/>
          <w:szCs w:val="32"/>
        </w:rPr>
        <w:t>白马镇平宁小学校</w:t>
      </w:r>
      <w:r>
        <w:rPr>
          <w:rFonts w:hint="eastAsia" w:ascii="仿宋" w:hAnsi="仿宋" w:eastAsia="仿宋" w:cs="Times New Roman"/>
          <w:sz w:val="32"/>
          <w:szCs w:val="32"/>
        </w:rPr>
        <w:t>共设有</w:t>
      </w:r>
      <w:r>
        <w:rPr>
          <w:rFonts w:ascii="仿宋" w:hAnsi="仿宋" w:eastAsia="仿宋" w:cs="Times New Roman"/>
          <w:sz w:val="32"/>
          <w:szCs w:val="32"/>
        </w:rPr>
        <w:t>6</w:t>
      </w:r>
      <w:r>
        <w:rPr>
          <w:rFonts w:hint="eastAsia" w:ascii="仿宋" w:hAnsi="仿宋" w:eastAsia="仿宋" w:cs="Times New Roman"/>
          <w:sz w:val="32"/>
          <w:szCs w:val="32"/>
        </w:rPr>
        <w:t>个内设部门。</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（二）机构职能</w:t>
      </w:r>
    </w:p>
    <w:p>
      <w:pPr>
        <w:jc w:val="center"/>
        <w:rPr>
          <w:rFonts w:ascii="仿宋" w:hAnsi="仿宋" w:eastAsia="仿宋" w:cs="Times New Roman"/>
          <w:sz w:val="32"/>
          <w:szCs w:val="32"/>
        </w:rPr>
      </w:pPr>
      <w:r>
        <w:rPr>
          <w:rFonts w:ascii="仿宋" w:hAnsi="仿宋" w:eastAsia="仿宋" w:cs="Times New Roman"/>
          <w:sz w:val="32"/>
          <w:szCs w:val="32"/>
        </w:rPr>
        <w:t>行政办公室工作职责</w:t>
      </w:r>
    </w:p>
    <w:p>
      <w:pPr>
        <w:ind w:firstLine="640" w:firstLineChars="200"/>
        <w:rPr>
          <w:rFonts w:ascii="仿宋" w:hAnsi="仿宋" w:eastAsia="仿宋" w:cs="Times New Roman"/>
          <w:sz w:val="32"/>
          <w:szCs w:val="32"/>
        </w:rPr>
      </w:pPr>
      <w:r>
        <w:rPr>
          <w:rFonts w:ascii="仿宋" w:hAnsi="仿宋" w:eastAsia="仿宋" w:cs="Times New Roman"/>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负责掌管校印、校领导印章；做好学校介绍信的管理和使用。</w:t>
      </w:r>
    </w:p>
    <w:p>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协助校领导搞好与各有关单位的联络工作。协调各处室、年级的关系，保证学校各处室工作协调运转。</w:t>
      </w:r>
    </w:p>
    <w:p>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负责学校意识形态工作</w:t>
      </w:r>
      <w:r>
        <w:rPr>
          <w:rFonts w:hint="eastAsia" w:ascii="仿宋" w:hAnsi="仿宋" w:eastAsia="仿宋" w:cs="Times New Roman"/>
          <w:sz w:val="32"/>
          <w:szCs w:val="32"/>
        </w:rPr>
        <w:t>，</w:t>
      </w:r>
      <w:r>
        <w:rPr>
          <w:rFonts w:ascii="仿宋" w:hAnsi="仿宋" w:eastAsia="仿宋" w:cs="Times New Roman"/>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5.</w:t>
      </w:r>
      <w:r>
        <w:rPr>
          <w:rFonts w:ascii="仿宋" w:hAnsi="仿宋" w:eastAsia="仿宋" w:cs="Times New Roman"/>
          <w:sz w:val="32"/>
          <w:szCs w:val="32"/>
        </w:rPr>
        <w:t>负责学校教师档案</w:t>
      </w:r>
      <w:r>
        <w:rPr>
          <w:rFonts w:hint="eastAsia" w:ascii="仿宋" w:hAnsi="仿宋" w:eastAsia="仿宋" w:cs="Times New Roman"/>
          <w:sz w:val="32"/>
          <w:szCs w:val="32"/>
        </w:rPr>
        <w:t>、</w:t>
      </w:r>
      <w:r>
        <w:rPr>
          <w:rFonts w:ascii="仿宋" w:hAnsi="仿宋" w:eastAsia="仿宋" w:cs="Times New Roman"/>
          <w:sz w:val="32"/>
          <w:szCs w:val="32"/>
        </w:rPr>
        <w:t>年度考核、职称评聘、转正、晋级增资</w:t>
      </w:r>
      <w:r>
        <w:rPr>
          <w:rFonts w:hint="eastAsia" w:ascii="仿宋" w:hAnsi="仿宋" w:eastAsia="仿宋" w:cs="Times New Roman"/>
          <w:sz w:val="32"/>
          <w:szCs w:val="32"/>
        </w:rPr>
        <w:t>、</w:t>
      </w:r>
      <w:r>
        <w:rPr>
          <w:rFonts w:ascii="仿宋" w:hAnsi="仿宋" w:eastAsia="仿宋" w:cs="Times New Roman"/>
          <w:sz w:val="32"/>
          <w:szCs w:val="32"/>
        </w:rPr>
        <w:t>调进调出、离退休等工作。收集各级先进工作者的推选及评审等工作。做好阶段性迎检工作</w:t>
      </w:r>
      <w:r>
        <w:rPr>
          <w:rFonts w:hint="eastAsia" w:ascii="仿宋" w:hAnsi="仿宋" w:eastAsia="仿宋" w:cs="Times New Roman"/>
          <w:sz w:val="32"/>
          <w:szCs w:val="32"/>
        </w:rPr>
        <w:t>、</w:t>
      </w:r>
      <w:r>
        <w:rPr>
          <w:rFonts w:ascii="仿宋" w:hAnsi="仿宋" w:eastAsia="仿宋" w:cs="Times New Roman"/>
          <w:sz w:val="32"/>
          <w:szCs w:val="32"/>
        </w:rPr>
        <w:t>上级考核</w:t>
      </w:r>
      <w:r>
        <w:rPr>
          <w:rFonts w:hint="eastAsia" w:ascii="仿宋" w:hAnsi="仿宋" w:eastAsia="仿宋" w:cs="Times New Roman"/>
          <w:sz w:val="32"/>
          <w:szCs w:val="32"/>
        </w:rPr>
        <w:t>、</w:t>
      </w:r>
      <w:r>
        <w:rPr>
          <w:rFonts w:ascii="仿宋" w:hAnsi="仿宋" w:eastAsia="仿宋" w:cs="Times New Roman"/>
          <w:sz w:val="32"/>
          <w:szCs w:val="32"/>
        </w:rPr>
        <w:t>教师评价与考核工作</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6.</w:t>
      </w:r>
      <w:r>
        <w:rPr>
          <w:rFonts w:ascii="仿宋" w:hAnsi="仿宋" w:eastAsia="仿宋" w:cs="Times New Roman"/>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7.负责学校统计工作，确保重要数据准确、真实、有效。</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8.负责学生学籍管理，协助教务室做好教务考务管理工作。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9.负责招生工作，妥善保管招生资料。具体工作如下：</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①</w:t>
      </w:r>
      <w:r>
        <w:rPr>
          <w:rFonts w:ascii="仿宋" w:hAnsi="仿宋" w:eastAsia="仿宋" w:cs="Times New Roman"/>
          <w:sz w:val="32"/>
          <w:szCs w:val="32"/>
        </w:rPr>
        <w:t>执行教育部和省教育厅有关招生工作的政策和法规，落实省、市招生委员会相关工作方案和实施细则。</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②</w:t>
      </w:r>
      <w:r>
        <w:rPr>
          <w:rFonts w:ascii="仿宋" w:hAnsi="仿宋" w:eastAsia="仿宋" w:cs="Times New Roman"/>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③</w:t>
      </w:r>
      <w:r>
        <w:rPr>
          <w:rFonts w:ascii="仿宋" w:hAnsi="仿宋" w:eastAsia="仿宋" w:cs="Times New Roman"/>
          <w:sz w:val="32"/>
          <w:szCs w:val="32"/>
        </w:rPr>
        <w:t>具体负责学校招生组织网络的构建，并负责实施相关人员的岗前培训等。</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④</w:t>
      </w:r>
      <w:r>
        <w:rPr>
          <w:rFonts w:ascii="仿宋" w:hAnsi="仿宋" w:eastAsia="仿宋" w:cs="Times New Roman"/>
          <w:sz w:val="32"/>
          <w:szCs w:val="32"/>
        </w:rPr>
        <w:t>充分利用现代媒体，拓展招生宣传渠道，负责编印、寄发相关宣传材料，举办招生宣传专题活动。</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⑤</w:t>
      </w:r>
      <w:r>
        <w:rPr>
          <w:rFonts w:ascii="仿宋" w:hAnsi="仿宋" w:eastAsia="仿宋" w:cs="Times New Roman"/>
          <w:sz w:val="32"/>
          <w:szCs w:val="32"/>
        </w:rPr>
        <w:t>做好日常接待和招生咨询工作，采取积极有效的方式，为学生、家长及基层学校提供高效优质的招生服务。</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⑥</w:t>
      </w:r>
      <w:r>
        <w:rPr>
          <w:rFonts w:ascii="仿宋" w:hAnsi="仿宋" w:eastAsia="仿宋" w:cs="Times New Roman"/>
          <w:sz w:val="32"/>
          <w:szCs w:val="32"/>
        </w:rPr>
        <w:t>具体负责新生的资格审查、报名注册和分类造册等工作，协助教务处做好新生入学进班工作。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10.负责学校资产管理、绿化管理、校园网络建设及管理等，做好如下后勤保障工作：</w:t>
      </w:r>
    </w:p>
    <w:p>
      <w:pPr>
        <w:ind w:firstLine="480" w:firstLineChars="150"/>
        <w:rPr>
          <w:rFonts w:ascii="仿宋" w:hAnsi="仿宋" w:eastAsia="仿宋" w:cs="Times New Roman"/>
          <w:sz w:val="32"/>
          <w:szCs w:val="32"/>
        </w:rPr>
      </w:pPr>
      <w:r>
        <w:rPr>
          <w:rFonts w:hint="eastAsia" w:ascii="仿宋" w:hAnsi="仿宋" w:eastAsia="仿宋" w:cs="Times New Roman"/>
          <w:sz w:val="32"/>
          <w:szCs w:val="32"/>
        </w:rPr>
        <w:t>①根</w:t>
      </w:r>
      <w:r>
        <w:rPr>
          <w:rFonts w:ascii="仿宋" w:hAnsi="仿宋" w:eastAsia="仿宋" w:cs="Times New Roman"/>
          <w:sz w:val="32"/>
          <w:szCs w:val="32"/>
        </w:rPr>
        <w:t>据学校教育、教学需要，做好提供各种教学设备和办公用品等服务性工作；积极参与学校现代化教学设施设备的建设工作</w:t>
      </w:r>
      <w:r>
        <w:rPr>
          <w:rFonts w:hint="eastAsia" w:ascii="仿宋" w:hAnsi="仿宋" w:eastAsia="仿宋" w:cs="Times New Roman"/>
          <w:sz w:val="32"/>
          <w:szCs w:val="32"/>
        </w:rPr>
        <w:t>；</w:t>
      </w:r>
      <w:r>
        <w:rPr>
          <w:rFonts w:ascii="仿宋" w:hAnsi="仿宋" w:eastAsia="仿宋" w:cs="Times New Roman"/>
          <w:sz w:val="32"/>
          <w:szCs w:val="32"/>
        </w:rPr>
        <w:t>负责学校网络建设运行工作。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②</w:t>
      </w:r>
      <w:r>
        <w:rPr>
          <w:rFonts w:ascii="仿宋" w:hAnsi="仿宋" w:eastAsia="仿宋" w:cs="Times New Roman"/>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③</w:t>
      </w:r>
      <w:r>
        <w:rPr>
          <w:rFonts w:ascii="仿宋" w:hAnsi="仿宋" w:eastAsia="仿宋" w:cs="Times New Roman"/>
          <w:sz w:val="32"/>
          <w:szCs w:val="32"/>
        </w:rPr>
        <w:t>负责校舍、校园的建设和管理，做好</w:t>
      </w:r>
      <w:r>
        <w:rPr>
          <w:rFonts w:hint="eastAsia" w:ascii="仿宋" w:hAnsi="仿宋" w:eastAsia="仿宋" w:cs="Times New Roman"/>
          <w:sz w:val="32"/>
          <w:szCs w:val="32"/>
        </w:rPr>
        <w:t>学校</w:t>
      </w:r>
      <w:r>
        <w:rPr>
          <w:rFonts w:ascii="仿宋" w:hAnsi="仿宋" w:eastAsia="仿宋" w:cs="Times New Roman"/>
          <w:sz w:val="32"/>
          <w:szCs w:val="32"/>
        </w:rPr>
        <w:t>功能室建设</w:t>
      </w:r>
      <w:r>
        <w:rPr>
          <w:rFonts w:hint="eastAsia" w:ascii="仿宋" w:hAnsi="仿宋" w:eastAsia="仿宋" w:cs="Times New Roman"/>
          <w:sz w:val="32"/>
          <w:szCs w:val="32"/>
        </w:rPr>
        <w:t>、</w:t>
      </w:r>
      <w:r>
        <w:rPr>
          <w:rFonts w:ascii="仿宋" w:hAnsi="仿宋" w:eastAsia="仿宋" w:cs="Times New Roman"/>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④</w:t>
      </w:r>
      <w:r>
        <w:rPr>
          <w:rFonts w:ascii="仿宋" w:hAnsi="仿宋" w:eastAsia="仿宋" w:cs="Times New Roman"/>
          <w:sz w:val="32"/>
          <w:szCs w:val="32"/>
        </w:rPr>
        <w:t>加强学校固定资产管理工作，建立健全固定资产账目，严格执行国家有关财产物资管理制度</w:t>
      </w:r>
      <w:r>
        <w:rPr>
          <w:rFonts w:hint="eastAsia" w:ascii="仿宋" w:hAnsi="仿宋" w:eastAsia="仿宋" w:cs="Times New Roman"/>
          <w:sz w:val="32"/>
          <w:szCs w:val="32"/>
        </w:rPr>
        <w:t>。</w:t>
      </w:r>
    </w:p>
    <w:p>
      <w:pPr>
        <w:jc w:val="center"/>
        <w:rPr>
          <w:rFonts w:ascii="仿宋" w:hAnsi="仿宋" w:eastAsia="仿宋" w:cs="Times New Roman"/>
          <w:sz w:val="32"/>
          <w:szCs w:val="32"/>
        </w:rPr>
      </w:pPr>
      <w:r>
        <w:rPr>
          <w:rFonts w:ascii="仿宋" w:hAnsi="仿宋" w:eastAsia="仿宋" w:cs="Times New Roman"/>
          <w:sz w:val="32"/>
          <w:szCs w:val="32"/>
        </w:rPr>
        <w:t>财务室工作职责</w:t>
      </w:r>
    </w:p>
    <w:p>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在校长的领导和上级财务部门的指导下，遵守国家财经法纪和财务制度，组织全校财务管理与会计核算工作。</w:t>
      </w:r>
    </w:p>
    <w:p>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负责组织制订、完善学校内部财务会计规章制度，并监督各部门贯彻执行。</w:t>
      </w:r>
    </w:p>
    <w:p>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积极筹集资金，广开筹资渠道，保证学校各项收入足额收缴，各项拨款及其他资金及时到位。</w:t>
      </w:r>
    </w:p>
    <w:p>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负责组织编制学校各项财务收支计划、经费预决算，监督检查计划、预算的执行情况。</w:t>
      </w:r>
    </w:p>
    <w:p>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根据审核后的学校财务预算，负责合理安排财务支出和财务核算，保证学校各项工作顺利进行。</w:t>
      </w:r>
    </w:p>
    <w:p>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负责组织开展学校财产清查的具体工作和会计核算工作。</w:t>
      </w:r>
    </w:p>
    <w:p>
      <w:pPr>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负责组织开展财务分析，及时查找并改进财务工作的漏洞与不足，努力提高资金使用效益。</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9.</w:t>
      </w:r>
      <w:r>
        <w:rPr>
          <w:rFonts w:ascii="仿宋" w:hAnsi="仿宋" w:eastAsia="仿宋" w:cs="Times New Roman"/>
          <w:sz w:val="32"/>
          <w:szCs w:val="32"/>
        </w:rPr>
        <w:t>参与学校工作人员绩效考核</w:t>
      </w:r>
      <w:r>
        <w:rPr>
          <w:rFonts w:hint="eastAsia" w:ascii="仿宋" w:hAnsi="仿宋" w:eastAsia="仿宋" w:cs="Times New Roman"/>
          <w:sz w:val="32"/>
          <w:szCs w:val="32"/>
        </w:rPr>
        <w:t>、</w:t>
      </w:r>
      <w:r>
        <w:rPr>
          <w:rFonts w:ascii="仿宋" w:hAnsi="仿宋" w:eastAsia="仿宋" w:cs="Times New Roman"/>
          <w:sz w:val="32"/>
          <w:szCs w:val="32"/>
        </w:rPr>
        <w:t>教育教学质量考核</w:t>
      </w:r>
      <w:r>
        <w:rPr>
          <w:rFonts w:hint="eastAsia" w:ascii="仿宋" w:hAnsi="仿宋" w:eastAsia="仿宋" w:cs="Times New Roman"/>
          <w:sz w:val="32"/>
          <w:szCs w:val="32"/>
        </w:rPr>
        <w:t>、</w:t>
      </w:r>
      <w:r>
        <w:rPr>
          <w:rFonts w:ascii="仿宋" w:hAnsi="仿宋" w:eastAsia="仿宋" w:cs="Times New Roman"/>
          <w:sz w:val="32"/>
          <w:szCs w:val="32"/>
        </w:rPr>
        <w:t>课后服务考核岗位系数的调整、论证工作</w:t>
      </w:r>
      <w:r>
        <w:rPr>
          <w:rFonts w:hint="eastAsia" w:ascii="仿宋" w:hAnsi="仿宋" w:eastAsia="仿宋" w:cs="Times New Roman"/>
          <w:sz w:val="32"/>
          <w:szCs w:val="32"/>
        </w:rPr>
        <w:t>，协助教学管理部和办公室做好考核档案归档管理工作，组织发放相关待遇。</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10.负责学校教职工工资发放等一切福利待遇保障工作。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11.参与学校重要收支事项的会议研讨工作，提出财务制度要求范围内的合理实施建议和意见。</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12.</w:t>
      </w:r>
      <w:r>
        <w:rPr>
          <w:rFonts w:ascii="仿宋" w:hAnsi="仿宋" w:eastAsia="仿宋" w:cs="Times New Roman"/>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13.</w:t>
      </w:r>
      <w:r>
        <w:rPr>
          <w:rFonts w:ascii="仿宋" w:hAnsi="仿宋" w:eastAsia="仿宋" w:cs="Times New Roman"/>
          <w:sz w:val="32"/>
          <w:szCs w:val="32"/>
        </w:rPr>
        <w:t>积极完成校领导交办的其他工作。</w:t>
      </w:r>
    </w:p>
    <w:p>
      <w:pPr>
        <w:jc w:val="center"/>
        <w:rPr>
          <w:rFonts w:ascii="仿宋" w:hAnsi="仿宋" w:eastAsia="仿宋" w:cs="Times New Roman"/>
          <w:sz w:val="32"/>
          <w:szCs w:val="32"/>
        </w:rPr>
      </w:pPr>
      <w:r>
        <w:rPr>
          <w:rFonts w:hint="eastAsia" w:ascii="仿宋" w:hAnsi="仿宋" w:eastAsia="仿宋" w:cs="Times New Roman"/>
          <w:sz w:val="32"/>
          <w:szCs w:val="32"/>
        </w:rPr>
        <w:t>教导处</w:t>
      </w:r>
      <w:r>
        <w:rPr>
          <w:rFonts w:ascii="仿宋" w:hAnsi="仿宋" w:eastAsia="仿宋" w:cs="Times New Roman"/>
          <w:sz w:val="32"/>
          <w:szCs w:val="32"/>
        </w:rPr>
        <w:t>工作职责</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.健</w:t>
      </w:r>
      <w:r>
        <w:rPr>
          <w:rFonts w:ascii="仿宋" w:hAnsi="仿宋" w:eastAsia="仿宋" w:cs="Times New Roman"/>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协助校长制定教师进修规划并组织实施，努力发挥老教师的作用，加强对教学骨干和新生力量的培养。</w:t>
      </w:r>
    </w:p>
    <w:p>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注重培养青年教师，搞好青年教师的拜师结对工作和举行青年教师的教学大奖赛活动。</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7.</w:t>
      </w:r>
      <w:r>
        <w:rPr>
          <w:rFonts w:ascii="仿宋" w:hAnsi="仿宋" w:eastAsia="仿宋" w:cs="Times New Roman"/>
          <w:sz w:val="32"/>
          <w:szCs w:val="32"/>
        </w:rPr>
        <w:t>完成校长会议布置的其它工作。</w:t>
      </w:r>
    </w:p>
    <w:p>
      <w:pPr>
        <w:jc w:val="center"/>
        <w:rPr>
          <w:rFonts w:ascii="仿宋" w:hAnsi="仿宋" w:eastAsia="仿宋" w:cs="Times New Roman"/>
          <w:sz w:val="32"/>
          <w:szCs w:val="32"/>
        </w:rPr>
      </w:pPr>
      <w:r>
        <w:rPr>
          <w:rFonts w:hint="eastAsia" w:ascii="仿宋" w:hAnsi="仿宋" w:eastAsia="仿宋" w:cs="Times New Roman"/>
          <w:sz w:val="32"/>
          <w:szCs w:val="32"/>
        </w:rPr>
        <w:t>教研室</w:t>
      </w:r>
      <w:r>
        <w:rPr>
          <w:rFonts w:ascii="仿宋" w:hAnsi="仿宋" w:eastAsia="仿宋" w:cs="Times New Roman"/>
          <w:sz w:val="32"/>
          <w:szCs w:val="32"/>
        </w:rPr>
        <w:t>工作职责</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教研室</w:t>
      </w:r>
      <w:r>
        <w:rPr>
          <w:rFonts w:ascii="仿宋" w:hAnsi="仿宋" w:eastAsia="仿宋" w:cs="Times New Roman"/>
          <w:sz w:val="32"/>
          <w:szCs w:val="32"/>
        </w:rPr>
        <w:t>是学校负责教育教学研究工作的机构，为学校的教育教学及其他管理提供业务指导和信息服务，其主要职责：</w:t>
      </w:r>
    </w:p>
    <w:p>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负责校本课题的立项、审定、管理及评估，负责其它研究课题的申报、立项、督办及管理。</w:t>
      </w:r>
    </w:p>
    <w:p>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收集教育科研信息，组织教师学习研讨教育理论，负责教师继续教育培训的组织工作。</w:t>
      </w:r>
    </w:p>
    <w:p>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负责组织教师科研论文的撰写与评审，并向各级报刊及学术会议推荐。</w:t>
      </w:r>
    </w:p>
    <w:p>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负责组织学校领导及专家深入教学一线听课、评课，指导教师的教学。</w:t>
      </w:r>
    </w:p>
    <w:p>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负责组织学校期中期末考试的命题工作。</w:t>
      </w:r>
    </w:p>
    <w:p>
      <w:pPr>
        <w:ind w:firstLine="640" w:firstLineChars="200"/>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w:t>
      </w:r>
      <w:r>
        <w:rPr>
          <w:rFonts w:ascii="仿宋" w:hAnsi="仿宋" w:eastAsia="仿宋" w:cs="Times New Roman"/>
          <w:sz w:val="32"/>
          <w:szCs w:val="32"/>
        </w:rPr>
        <w:t>负责组织应聘教师的试教和评议工作。</w:t>
      </w:r>
    </w:p>
    <w:p>
      <w:pPr>
        <w:ind w:firstLine="640" w:firstLineChars="200"/>
        <w:rPr>
          <w:rFonts w:ascii="仿宋" w:hAnsi="仿宋" w:eastAsia="仿宋" w:cs="Times New Roman"/>
          <w:sz w:val="32"/>
          <w:szCs w:val="32"/>
        </w:rPr>
      </w:pPr>
      <w:r>
        <w:rPr>
          <w:rFonts w:ascii="仿宋" w:hAnsi="仿宋" w:eastAsia="仿宋" w:cs="Times New Roman"/>
          <w:sz w:val="32"/>
          <w:szCs w:val="32"/>
        </w:rPr>
        <w:t>9</w:t>
      </w:r>
      <w:r>
        <w:rPr>
          <w:rFonts w:hint="eastAsia" w:ascii="仿宋" w:hAnsi="仿宋" w:eastAsia="仿宋" w:cs="Times New Roman"/>
          <w:sz w:val="32"/>
          <w:szCs w:val="32"/>
        </w:rPr>
        <w:t>.</w:t>
      </w:r>
      <w:r>
        <w:rPr>
          <w:rFonts w:ascii="仿宋" w:hAnsi="仿宋" w:eastAsia="仿宋" w:cs="Times New Roman"/>
          <w:sz w:val="32"/>
          <w:szCs w:val="32"/>
        </w:rPr>
        <w:t>负责指导各教研组开展各种研究课、公开课、观摩课、示范课活动；负责国家、省、市、校各级赛课活动的组织及选送。</w:t>
      </w:r>
    </w:p>
    <w:p>
      <w:pPr>
        <w:ind w:firstLine="640" w:firstLineChars="200"/>
        <w:rPr>
          <w:rFonts w:ascii="仿宋" w:hAnsi="仿宋" w:eastAsia="仿宋" w:cs="Times New Roman"/>
          <w:sz w:val="32"/>
          <w:szCs w:val="32"/>
        </w:rPr>
      </w:pPr>
      <w:r>
        <w:rPr>
          <w:rFonts w:ascii="仿宋" w:hAnsi="仿宋" w:eastAsia="仿宋" w:cs="Times New Roman"/>
          <w:sz w:val="32"/>
          <w:szCs w:val="32"/>
        </w:rPr>
        <w:t>10</w:t>
      </w:r>
      <w:r>
        <w:rPr>
          <w:rFonts w:hint="eastAsia" w:ascii="仿宋" w:hAnsi="仿宋" w:eastAsia="仿宋" w:cs="Times New Roman"/>
          <w:sz w:val="32"/>
          <w:szCs w:val="32"/>
        </w:rPr>
        <w:t>.</w:t>
      </w:r>
      <w:r>
        <w:rPr>
          <w:rFonts w:ascii="仿宋" w:hAnsi="仿宋" w:eastAsia="仿宋" w:cs="Times New Roman"/>
          <w:sz w:val="32"/>
          <w:szCs w:val="32"/>
        </w:rPr>
        <w:t>负责组织教师参加各类学术、教研交流活动。</w:t>
      </w:r>
    </w:p>
    <w:p>
      <w:pPr>
        <w:ind w:firstLine="640" w:firstLineChars="200"/>
        <w:rPr>
          <w:rFonts w:ascii="仿宋" w:hAnsi="仿宋" w:eastAsia="仿宋" w:cs="Times New Roman"/>
          <w:sz w:val="32"/>
          <w:szCs w:val="32"/>
        </w:rPr>
      </w:pPr>
      <w:r>
        <w:rPr>
          <w:rFonts w:ascii="仿宋" w:hAnsi="仿宋" w:eastAsia="仿宋" w:cs="Times New Roman"/>
          <w:sz w:val="32"/>
          <w:szCs w:val="32"/>
        </w:rPr>
        <w:t>11</w:t>
      </w:r>
      <w:r>
        <w:rPr>
          <w:rFonts w:hint="eastAsia" w:ascii="仿宋" w:hAnsi="仿宋" w:eastAsia="仿宋" w:cs="Times New Roman"/>
          <w:sz w:val="32"/>
          <w:szCs w:val="32"/>
        </w:rPr>
        <w:t>.</w:t>
      </w:r>
      <w:r>
        <w:rPr>
          <w:rFonts w:ascii="仿宋" w:hAnsi="仿宋" w:eastAsia="仿宋" w:cs="Times New Roman"/>
          <w:sz w:val="32"/>
          <w:szCs w:val="32"/>
        </w:rPr>
        <w:t>负责学生课外兴趣活动小组的组建及活动开展的组织工作。加强各项学科竞赛活动的培训及组织工作。</w:t>
      </w:r>
    </w:p>
    <w:p>
      <w:pPr>
        <w:ind w:firstLine="640" w:firstLineChars="200"/>
        <w:rPr>
          <w:rFonts w:ascii="仿宋" w:hAnsi="仿宋" w:eastAsia="仿宋" w:cs="Times New Roman"/>
          <w:sz w:val="32"/>
          <w:szCs w:val="32"/>
        </w:rPr>
      </w:pPr>
      <w:r>
        <w:rPr>
          <w:rFonts w:ascii="仿宋" w:hAnsi="仿宋" w:eastAsia="仿宋" w:cs="Times New Roman"/>
          <w:sz w:val="32"/>
          <w:szCs w:val="32"/>
        </w:rPr>
        <w:t>12</w:t>
      </w:r>
      <w:r>
        <w:rPr>
          <w:rFonts w:hint="eastAsia" w:ascii="仿宋" w:hAnsi="仿宋" w:eastAsia="仿宋" w:cs="Times New Roman"/>
          <w:sz w:val="32"/>
          <w:szCs w:val="32"/>
        </w:rPr>
        <w:t>.</w:t>
      </w:r>
      <w:r>
        <w:rPr>
          <w:rFonts w:ascii="仿宋" w:hAnsi="仿宋" w:eastAsia="仿宋" w:cs="Times New Roman"/>
          <w:sz w:val="32"/>
          <w:szCs w:val="32"/>
        </w:rPr>
        <w:t>建立及保管教师的业务档案。</w:t>
      </w:r>
    </w:p>
    <w:p>
      <w:pPr>
        <w:ind w:firstLine="640" w:firstLineChars="200"/>
        <w:rPr>
          <w:rFonts w:ascii="仿宋" w:hAnsi="仿宋" w:eastAsia="仿宋" w:cs="Times New Roman"/>
          <w:sz w:val="32"/>
          <w:szCs w:val="32"/>
        </w:rPr>
      </w:pPr>
      <w:r>
        <w:rPr>
          <w:rFonts w:ascii="仿宋" w:hAnsi="仿宋" w:eastAsia="仿宋" w:cs="Times New Roman"/>
          <w:sz w:val="32"/>
          <w:szCs w:val="32"/>
        </w:rPr>
        <w:t>13</w:t>
      </w:r>
      <w:r>
        <w:rPr>
          <w:rFonts w:hint="eastAsia" w:ascii="仿宋" w:hAnsi="仿宋" w:eastAsia="仿宋" w:cs="Times New Roman"/>
          <w:sz w:val="32"/>
          <w:szCs w:val="32"/>
        </w:rPr>
        <w:t>.</w:t>
      </w:r>
      <w:r>
        <w:rPr>
          <w:rFonts w:ascii="仿宋" w:hAnsi="仿宋" w:eastAsia="仿宋" w:cs="Times New Roman"/>
          <w:sz w:val="32"/>
          <w:szCs w:val="32"/>
        </w:rPr>
        <w:t>会同教务处组织课堂教学研究和评价活动。</w:t>
      </w:r>
    </w:p>
    <w:p>
      <w:pPr>
        <w:jc w:val="center"/>
        <w:rPr>
          <w:rFonts w:ascii="仿宋" w:hAnsi="仿宋" w:eastAsia="仿宋" w:cs="Times New Roman"/>
          <w:sz w:val="32"/>
          <w:szCs w:val="32"/>
        </w:rPr>
      </w:pPr>
      <w:r>
        <w:rPr>
          <w:rFonts w:hint="eastAsia" w:ascii="仿宋" w:hAnsi="仿宋" w:eastAsia="仿宋" w:cs="Times New Roman"/>
          <w:sz w:val="32"/>
          <w:szCs w:val="32"/>
        </w:rPr>
        <w:t>德育处</w:t>
      </w:r>
      <w:r>
        <w:rPr>
          <w:rFonts w:ascii="仿宋" w:hAnsi="仿宋" w:eastAsia="仿宋" w:cs="Times New Roman"/>
          <w:sz w:val="32"/>
          <w:szCs w:val="32"/>
        </w:rPr>
        <w:t>工作职责</w:t>
      </w:r>
    </w:p>
    <w:p>
      <w:pPr>
        <w:ind w:firstLine="640" w:firstLineChars="200"/>
        <w:rPr>
          <w:rFonts w:ascii="仿宋" w:hAnsi="仿宋" w:eastAsia="仿宋" w:cs="Times New Roman"/>
          <w:sz w:val="32"/>
          <w:szCs w:val="32"/>
        </w:rPr>
      </w:pPr>
      <w:r>
        <w:rPr>
          <w:rFonts w:ascii="仿宋" w:hAnsi="仿宋" w:eastAsia="仿宋" w:cs="Times New Roman"/>
          <w:sz w:val="32"/>
          <w:szCs w:val="32"/>
        </w:rPr>
        <w:t>德育处是具体组织学校德育实施的职能部门，其常规工作及职责如下：</w:t>
      </w:r>
    </w:p>
    <w:p>
      <w:pPr>
        <w:ind w:firstLine="640" w:firstLineChars="200"/>
        <w:rPr>
          <w:rFonts w:ascii="仿宋" w:hAnsi="仿宋" w:eastAsia="仿宋" w:cs="Times New Roman"/>
          <w:sz w:val="32"/>
          <w:szCs w:val="32"/>
        </w:rPr>
      </w:pPr>
      <w:r>
        <w:rPr>
          <w:rFonts w:ascii="仿宋" w:hAnsi="仿宋" w:eastAsia="仿宋" w:cs="Times New Roman"/>
          <w:sz w:val="32"/>
          <w:szCs w:val="32"/>
        </w:rPr>
        <w:t>一、负责全校德育工作</w:t>
      </w:r>
    </w:p>
    <w:p>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在分管德育工作的校长领导下，组织全校德育工作，努力树立良好的校风和学风。</w:t>
      </w:r>
    </w:p>
    <w:p>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协助校长制定全校德育工作计划。</w:t>
      </w:r>
    </w:p>
    <w:p>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研究德育工作的要求、内容、方法，努力探索新时期德育工作规律，努力做好德育工作。</w:t>
      </w:r>
    </w:p>
    <w:p>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不断改进和完善德育管理制度，加强德育管理。</w:t>
      </w:r>
    </w:p>
    <w:p>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组织开展全校性的学生思想教育活动，加强对学生的思想品德教育和文明行为常规训练。</w:t>
      </w:r>
    </w:p>
    <w:p>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指导共青团、少先队、</w:t>
      </w:r>
      <w:r>
        <w:rPr>
          <w:rFonts w:hint="eastAsia" w:ascii="仿宋" w:hAnsi="仿宋" w:eastAsia="仿宋" w:cs="Times New Roman"/>
          <w:sz w:val="32"/>
          <w:szCs w:val="32"/>
        </w:rPr>
        <w:t>少代</w:t>
      </w:r>
      <w:r>
        <w:rPr>
          <w:rFonts w:ascii="仿宋" w:hAnsi="仿宋" w:eastAsia="仿宋" w:cs="Times New Roman"/>
          <w:sz w:val="32"/>
          <w:szCs w:val="32"/>
        </w:rPr>
        <w:t>会开展工作</w:t>
      </w:r>
      <w:r>
        <w:rPr>
          <w:rFonts w:hint="eastAsia" w:ascii="仿宋" w:hAnsi="仿宋" w:eastAsia="仿宋" w:cs="Times New Roman"/>
          <w:sz w:val="32"/>
          <w:szCs w:val="32"/>
        </w:rPr>
        <w:t>，</w:t>
      </w:r>
      <w:r>
        <w:rPr>
          <w:rFonts w:ascii="仿宋" w:hAnsi="仿宋" w:eastAsia="仿宋" w:cs="Times New Roman"/>
          <w:sz w:val="32"/>
          <w:szCs w:val="32"/>
        </w:rPr>
        <w:t>做好健康教育</w:t>
      </w:r>
      <w:r>
        <w:rPr>
          <w:rFonts w:hint="eastAsia" w:ascii="仿宋" w:hAnsi="仿宋" w:eastAsia="仿宋" w:cs="Times New Roman"/>
          <w:sz w:val="32"/>
          <w:szCs w:val="32"/>
        </w:rPr>
        <w:t>、</w:t>
      </w:r>
      <w:r>
        <w:rPr>
          <w:rFonts w:ascii="仿宋" w:hAnsi="仿宋" w:eastAsia="仿宋" w:cs="Times New Roman"/>
          <w:sz w:val="32"/>
          <w:szCs w:val="32"/>
        </w:rPr>
        <w:t>国防教育</w:t>
      </w:r>
      <w:r>
        <w:rPr>
          <w:rFonts w:hint="eastAsia" w:ascii="仿宋" w:hAnsi="仿宋" w:eastAsia="仿宋" w:cs="Times New Roman"/>
          <w:sz w:val="32"/>
          <w:szCs w:val="32"/>
        </w:rPr>
        <w:t>、</w:t>
      </w:r>
      <w:r>
        <w:rPr>
          <w:rFonts w:ascii="仿宋" w:hAnsi="仿宋" w:eastAsia="仿宋" w:cs="Times New Roman"/>
          <w:sz w:val="32"/>
          <w:szCs w:val="32"/>
        </w:rPr>
        <w:t>班级文化建设等工作。</w:t>
      </w:r>
    </w:p>
    <w:p>
      <w:pPr>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加强与教务处联系，作为共同教育学生的协调工作。</w:t>
      </w:r>
    </w:p>
    <w:p>
      <w:pPr>
        <w:ind w:firstLine="640" w:firstLineChars="200"/>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w:t>
      </w:r>
      <w:r>
        <w:rPr>
          <w:rFonts w:ascii="仿宋" w:hAnsi="仿宋" w:eastAsia="仿宋" w:cs="Times New Roman"/>
          <w:sz w:val="32"/>
          <w:szCs w:val="32"/>
        </w:rPr>
        <w:t>注意收集和交流德育工作信息。</w:t>
      </w:r>
    </w:p>
    <w:p>
      <w:pPr>
        <w:ind w:firstLine="640" w:firstLineChars="200"/>
        <w:rPr>
          <w:rFonts w:ascii="仿宋" w:hAnsi="仿宋" w:eastAsia="仿宋" w:cs="Times New Roman"/>
          <w:sz w:val="32"/>
          <w:szCs w:val="32"/>
        </w:rPr>
      </w:pPr>
      <w:r>
        <w:rPr>
          <w:rFonts w:ascii="仿宋" w:hAnsi="仿宋" w:eastAsia="仿宋" w:cs="Times New Roman"/>
          <w:sz w:val="32"/>
          <w:szCs w:val="32"/>
        </w:rPr>
        <w:t>9</w:t>
      </w:r>
      <w:r>
        <w:rPr>
          <w:rFonts w:hint="eastAsia" w:ascii="仿宋" w:hAnsi="仿宋" w:eastAsia="仿宋" w:cs="Times New Roman"/>
          <w:sz w:val="32"/>
          <w:szCs w:val="32"/>
        </w:rPr>
        <w:t>.</w:t>
      </w:r>
      <w:r>
        <w:rPr>
          <w:rFonts w:ascii="仿宋" w:hAnsi="仿宋" w:eastAsia="仿宋" w:cs="Times New Roman"/>
          <w:sz w:val="32"/>
          <w:szCs w:val="32"/>
        </w:rPr>
        <w:t>主持每周一的升旗仪式，对学生进行爱国主义教育</w:t>
      </w:r>
      <w:r>
        <w:rPr>
          <w:rFonts w:hint="eastAsia" w:ascii="仿宋" w:hAnsi="仿宋" w:eastAsia="仿宋" w:cs="Times New Roman"/>
          <w:sz w:val="32"/>
          <w:szCs w:val="32"/>
        </w:rPr>
        <w:t>、</w:t>
      </w:r>
      <w:r>
        <w:rPr>
          <w:rFonts w:ascii="仿宋" w:hAnsi="仿宋" w:eastAsia="仿宋" w:cs="Times New Roman"/>
          <w:sz w:val="32"/>
          <w:szCs w:val="32"/>
        </w:rPr>
        <w:t>行为习惯养成教育</w:t>
      </w:r>
      <w:r>
        <w:rPr>
          <w:rFonts w:hint="eastAsia" w:ascii="仿宋" w:hAnsi="仿宋" w:eastAsia="仿宋" w:cs="Times New Roman"/>
          <w:sz w:val="32"/>
          <w:szCs w:val="32"/>
        </w:rPr>
        <w:t>，指导中队辅导员完成</w:t>
      </w:r>
      <w:r>
        <w:rPr>
          <w:rFonts w:ascii="仿宋" w:hAnsi="仿宋" w:eastAsia="仿宋" w:cs="Times New Roman"/>
          <w:sz w:val="32"/>
          <w:szCs w:val="32"/>
        </w:rPr>
        <w:t>学生个性评价</w:t>
      </w:r>
      <w:r>
        <w:rPr>
          <w:rFonts w:hint="eastAsia" w:ascii="仿宋" w:hAnsi="仿宋" w:eastAsia="仿宋" w:cs="Times New Roman"/>
          <w:sz w:val="32"/>
          <w:szCs w:val="32"/>
        </w:rPr>
        <w:t>，</w:t>
      </w:r>
      <w:r>
        <w:rPr>
          <w:rFonts w:ascii="仿宋" w:hAnsi="仿宋" w:eastAsia="仿宋" w:cs="Times New Roman"/>
          <w:sz w:val="32"/>
          <w:szCs w:val="32"/>
        </w:rPr>
        <w:t>对各中队德育工作开展情况进行考核</w:t>
      </w:r>
      <w:r>
        <w:rPr>
          <w:rFonts w:hint="eastAsia" w:ascii="仿宋" w:hAnsi="仿宋" w:eastAsia="仿宋" w:cs="Times New Roman"/>
          <w:sz w:val="32"/>
          <w:szCs w:val="32"/>
        </w:rPr>
        <w:t>、</w:t>
      </w:r>
      <w:r>
        <w:rPr>
          <w:rFonts w:ascii="仿宋" w:hAnsi="仿宋" w:eastAsia="仿宋" w:cs="Times New Roman"/>
          <w:sz w:val="32"/>
          <w:szCs w:val="32"/>
        </w:rPr>
        <w:t>评价。</w:t>
      </w:r>
    </w:p>
    <w:p>
      <w:pPr>
        <w:ind w:firstLine="640" w:firstLineChars="200"/>
        <w:rPr>
          <w:rFonts w:ascii="仿宋" w:hAnsi="仿宋" w:eastAsia="仿宋" w:cs="Times New Roman"/>
          <w:sz w:val="32"/>
          <w:szCs w:val="32"/>
        </w:rPr>
      </w:pPr>
      <w:r>
        <w:rPr>
          <w:rFonts w:ascii="仿宋" w:hAnsi="仿宋" w:eastAsia="仿宋" w:cs="Times New Roman"/>
          <w:sz w:val="32"/>
          <w:szCs w:val="32"/>
        </w:rPr>
        <w:t>二、领导年级组长，安排年级组长、班主任工作</w:t>
      </w:r>
    </w:p>
    <w:p>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协助校长选定、安排年级组长、班主任。</w:t>
      </w:r>
    </w:p>
    <w:p>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指导年级组、班级制定工作计划并实施工作计划，检查、考评年级组、班级工作。</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协助年级组长、班主任处理年级、班级中的重大问题和偶发事件。</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做好青年班主任的培养工作。</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指导班主任探索学生思想品德考评的科学化方法。</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三、其它工作</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1.对我校德育工作实施情况进行研究。</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建立学生奖惩制度并严格执行。</w:t>
      </w:r>
    </w:p>
    <w:p>
      <w:pPr>
        <w:spacing w:line="580" w:lineRule="exact"/>
        <w:jc w:val="center"/>
        <w:rPr>
          <w:rFonts w:ascii="仿宋" w:hAnsi="仿宋" w:eastAsia="仿宋" w:cs="Times New Roman"/>
          <w:sz w:val="32"/>
          <w:szCs w:val="32"/>
        </w:rPr>
      </w:pPr>
      <w:r>
        <w:rPr>
          <w:rFonts w:ascii="仿宋" w:hAnsi="仿宋" w:eastAsia="仿宋" w:cs="Times New Roman"/>
          <w:sz w:val="32"/>
          <w:szCs w:val="32"/>
        </w:rPr>
        <w:t>安全办工作职责</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加强治安秩序管理，开展法制宣传教育，增强师生员工法制观念，预防和减少违法犯罪行为。</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负责制定治安保卫、安全检查防火等工作的规章制度，制度要害和重点部位的安全保卫措施，经常经常执行情况。</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w:t>
      </w:r>
      <w:r>
        <w:rPr>
          <w:rFonts w:ascii="仿宋" w:hAnsi="仿宋" w:eastAsia="仿宋" w:cs="Times New Roman"/>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9</w:t>
      </w:r>
      <w:r>
        <w:rPr>
          <w:rFonts w:hint="eastAsia" w:ascii="仿宋" w:hAnsi="仿宋" w:eastAsia="仿宋" w:cs="Times New Roman"/>
          <w:sz w:val="32"/>
          <w:szCs w:val="32"/>
        </w:rPr>
        <w:t>.</w:t>
      </w:r>
      <w:r>
        <w:rPr>
          <w:rFonts w:ascii="仿宋" w:hAnsi="仿宋" w:eastAsia="仿宋" w:cs="Times New Roman"/>
          <w:sz w:val="32"/>
          <w:szCs w:val="32"/>
        </w:rPr>
        <w:t>加强对门卫的领导与管理，建立值班制度，做好接待和来访登记工作。</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10</w:t>
      </w:r>
      <w:r>
        <w:rPr>
          <w:rFonts w:hint="eastAsia" w:ascii="仿宋" w:hAnsi="仿宋" w:eastAsia="仿宋" w:cs="Times New Roman"/>
          <w:sz w:val="32"/>
          <w:szCs w:val="32"/>
        </w:rPr>
        <w:t>.</w:t>
      </w:r>
      <w:r>
        <w:rPr>
          <w:rFonts w:ascii="仿宋" w:hAnsi="仿宋" w:eastAsia="仿宋" w:cs="Times New Roman"/>
          <w:sz w:val="32"/>
          <w:szCs w:val="32"/>
        </w:rPr>
        <w:t>负责办理校长会议和公安机关交办的其他工作。</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（三）人员情况</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遂宁市安居区</w:t>
      </w:r>
      <w:r>
        <w:rPr>
          <w:rFonts w:hint="default" w:ascii="仿宋" w:hAnsi="仿宋" w:eastAsia="仿宋" w:cs="Times New Roman"/>
          <w:sz w:val="32"/>
          <w:szCs w:val="32"/>
        </w:rPr>
        <w:t>白马镇平宁小学校</w:t>
      </w:r>
      <w:r>
        <w:rPr>
          <w:rFonts w:hint="eastAsia" w:ascii="仿宋" w:hAnsi="仿宋" w:eastAsia="仿宋" w:cs="Times New Roman"/>
          <w:sz w:val="32"/>
          <w:szCs w:val="32"/>
        </w:rPr>
        <w:t>年初在职教师</w:t>
      </w:r>
      <w:r>
        <w:rPr>
          <w:rFonts w:ascii="仿宋" w:hAnsi="仿宋" w:eastAsia="仿宋" w:cs="Times New Roman"/>
          <w:sz w:val="32"/>
          <w:szCs w:val="32"/>
        </w:rPr>
        <w:t>21人，</w:t>
      </w:r>
      <w:r>
        <w:rPr>
          <w:rFonts w:hint="eastAsia" w:ascii="仿宋" w:hAnsi="仿宋" w:eastAsia="仿宋" w:cs="Times New Roman"/>
          <w:sz w:val="32"/>
          <w:szCs w:val="32"/>
        </w:rPr>
        <w:t>年末在职教师</w:t>
      </w:r>
      <w:r>
        <w:rPr>
          <w:rFonts w:ascii="仿宋" w:hAnsi="仿宋" w:eastAsia="仿宋" w:cs="Times New Roman"/>
          <w:sz w:val="32"/>
          <w:szCs w:val="32"/>
        </w:rPr>
        <w:t>21人</w:t>
      </w:r>
      <w:r>
        <w:rPr>
          <w:rFonts w:hint="eastAsia" w:ascii="仿宋" w:hAnsi="仿宋" w:eastAsia="仿宋" w:cs="Times New Roman"/>
          <w:sz w:val="32"/>
          <w:szCs w:val="32"/>
        </w:rPr>
        <w:t>，调出</w:t>
      </w:r>
      <w:r>
        <w:rPr>
          <w:rFonts w:ascii="仿宋" w:hAnsi="仿宋" w:eastAsia="仿宋" w:cs="Times New Roman"/>
          <w:sz w:val="32"/>
          <w:szCs w:val="32"/>
        </w:rPr>
        <w:t>1</w:t>
      </w:r>
      <w:r>
        <w:rPr>
          <w:rFonts w:hint="eastAsia" w:ascii="仿宋" w:hAnsi="仿宋" w:eastAsia="仿宋" w:cs="Times New Roman"/>
          <w:sz w:val="32"/>
          <w:szCs w:val="32"/>
        </w:rPr>
        <w:t>人,调入</w:t>
      </w:r>
      <w:r>
        <w:rPr>
          <w:rFonts w:hint="default" w:ascii="仿宋" w:hAnsi="仿宋" w:eastAsia="仿宋" w:cs="Times New Roman"/>
          <w:sz w:val="32"/>
          <w:szCs w:val="32"/>
        </w:rPr>
        <w:t>1</w:t>
      </w:r>
      <w:r>
        <w:rPr>
          <w:rFonts w:hint="eastAsia" w:ascii="仿宋" w:hAnsi="仿宋" w:eastAsia="仿宋" w:cs="Times New Roman"/>
          <w:sz w:val="32"/>
          <w:szCs w:val="32"/>
        </w:rPr>
        <w:t>人年末教师</w:t>
      </w:r>
      <w:r>
        <w:rPr>
          <w:rFonts w:ascii="仿宋" w:hAnsi="仿宋" w:eastAsia="仿宋" w:cs="Times New Roman"/>
          <w:sz w:val="32"/>
          <w:szCs w:val="32"/>
        </w:rPr>
        <w:t>2</w:t>
      </w:r>
      <w:r>
        <w:rPr>
          <w:rFonts w:hint="default" w:ascii="仿宋" w:hAnsi="仿宋" w:eastAsia="仿宋" w:cs="Times New Roman"/>
          <w:sz w:val="32"/>
          <w:szCs w:val="32"/>
        </w:rPr>
        <w:t>1</w:t>
      </w:r>
      <w:r>
        <w:rPr>
          <w:rFonts w:hint="eastAsia" w:ascii="仿宋" w:hAnsi="仿宋" w:eastAsia="仿宋" w:cs="Times New Roman"/>
          <w:sz w:val="32"/>
          <w:szCs w:val="32"/>
        </w:rPr>
        <w:t>人</w:t>
      </w:r>
      <w:r>
        <w:rPr>
          <w:rFonts w:ascii="仿宋" w:hAnsi="仿宋" w:eastAsia="仿宋" w:cs="Times New Roman"/>
          <w:sz w:val="32"/>
          <w:szCs w:val="32"/>
        </w:rPr>
        <w:t>。</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二、部门财政资金收支情况</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（一）部门财政资金收入情况。</w:t>
      </w:r>
    </w:p>
    <w:p>
      <w:pPr>
        <w:spacing w:line="600" w:lineRule="exact"/>
        <w:ind w:firstLine="640" w:firstLineChars="200"/>
        <w:outlineLvl w:val="1"/>
        <w:rPr>
          <w:rFonts w:ascii="仿宋" w:hAnsi="仿宋" w:eastAsia="仿宋" w:cs="Times New Roman"/>
          <w:color w:val="000000"/>
          <w:sz w:val="32"/>
          <w:szCs w:val="32"/>
        </w:rPr>
      </w:pPr>
      <w:r>
        <w:rPr>
          <w:rFonts w:ascii="仿宋" w:hAnsi="仿宋" w:eastAsia="仿宋" w:cs="Times New Roman"/>
          <w:color w:val="000000"/>
          <w:sz w:val="32"/>
          <w:szCs w:val="32"/>
        </w:rPr>
        <w:t>202</w:t>
      </w:r>
      <w:r>
        <w:rPr>
          <w:rFonts w:hint="eastAsia" w:ascii="仿宋" w:hAnsi="仿宋" w:eastAsia="仿宋" w:cs="Times New Roman"/>
          <w:color w:val="000000"/>
          <w:sz w:val="32"/>
          <w:szCs w:val="32"/>
        </w:rPr>
        <w:t>3年本年收入合计</w:t>
      </w:r>
      <w:r>
        <w:rPr>
          <w:rFonts w:ascii="仿宋" w:hAnsi="仿宋" w:eastAsia="仿宋" w:cs="Times New Roman"/>
          <w:color w:val="000000"/>
          <w:sz w:val="32"/>
          <w:szCs w:val="32"/>
        </w:rPr>
        <w:t>843.69</w:t>
      </w:r>
      <w:r>
        <w:rPr>
          <w:rFonts w:hint="eastAsia" w:ascii="仿宋" w:hAnsi="仿宋" w:eastAsia="仿宋" w:cs="Times New Roman"/>
          <w:color w:val="000000"/>
          <w:sz w:val="32"/>
          <w:szCs w:val="32"/>
        </w:rPr>
        <w:t>万元，其中：一般公共预算财政拨款收入</w:t>
      </w:r>
      <w:r>
        <w:rPr>
          <w:rFonts w:ascii="仿宋" w:hAnsi="仿宋" w:eastAsia="仿宋" w:cs="Times New Roman"/>
          <w:color w:val="000000"/>
          <w:sz w:val="32"/>
          <w:szCs w:val="32"/>
        </w:rPr>
        <w:t>491.95</w:t>
      </w:r>
      <w:r>
        <w:rPr>
          <w:rFonts w:hint="eastAsia" w:ascii="仿宋" w:hAnsi="仿宋" w:eastAsia="仿宋" w:cs="Times New Roman"/>
          <w:color w:val="000000"/>
          <w:sz w:val="32"/>
          <w:szCs w:val="32"/>
        </w:rPr>
        <w:t>万元，占</w:t>
      </w:r>
      <w:r>
        <w:rPr>
          <w:rFonts w:ascii="仿宋" w:hAnsi="仿宋" w:eastAsia="仿宋" w:cs="Times New Roman"/>
          <w:color w:val="000000"/>
          <w:sz w:val="32"/>
          <w:szCs w:val="32"/>
        </w:rPr>
        <w:t>100%</w:t>
      </w:r>
      <w:r>
        <w:rPr>
          <w:rFonts w:hint="eastAsia" w:ascii="仿宋" w:hAnsi="仿宋" w:eastAsia="仿宋" w:cs="Times New Roman"/>
          <w:color w:val="000000"/>
          <w:sz w:val="32"/>
          <w:szCs w:val="32"/>
        </w:rPr>
        <w:t>；</w:t>
      </w:r>
    </w:p>
    <w:p>
      <w:pPr>
        <w:widowControl/>
        <w:numPr>
          <w:ilvl w:val="0"/>
          <w:numId w:val="6"/>
        </w:numPr>
        <w:adjustRightInd w:val="0"/>
        <w:snapToGrid w:val="0"/>
        <w:spacing w:line="560" w:lineRule="exact"/>
        <w:ind w:firstLine="640" w:firstLineChars="200"/>
        <w:contextualSpacing/>
        <w:jc w:val="left"/>
        <w:outlineLvl w:val="0"/>
        <w:rPr>
          <w:rFonts w:ascii="仿宋" w:hAnsi="仿宋" w:eastAsia="仿宋" w:cs="Times New Roman"/>
          <w:sz w:val="32"/>
          <w:szCs w:val="32"/>
        </w:rPr>
      </w:pPr>
      <w:r>
        <w:rPr>
          <w:rFonts w:hint="eastAsia" w:ascii="仿宋" w:hAnsi="仿宋" w:eastAsia="仿宋" w:cs="Times New Roman"/>
          <w:sz w:val="32"/>
          <w:szCs w:val="32"/>
        </w:rPr>
        <w:t>部门财政资金支出情况。</w:t>
      </w:r>
    </w:p>
    <w:p>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2023年度一般公共预算财政拨款支出491.95万元，主要用于以下方面:一般公共服务支出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%；教育支出</w:t>
      </w:r>
      <w:r>
        <w:rPr>
          <w:rFonts w:hint="eastAsia" w:ascii="仿宋" w:hAnsi="仿宋" w:eastAsia="仿宋" w:cs="Times New Roman"/>
          <w:sz w:val="32"/>
          <w:szCs w:val="32"/>
          <w:lang w:val="en-US" w:eastAsia="zh-CN"/>
        </w:rPr>
        <w:t>389.72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79.22</w:t>
      </w:r>
      <w:r>
        <w:rPr>
          <w:rFonts w:hint="eastAsia" w:ascii="仿宋" w:hAnsi="仿宋" w:eastAsia="仿宋" w:cs="Times New Roman"/>
          <w:sz w:val="32"/>
          <w:szCs w:val="32"/>
        </w:rPr>
        <w:t>%；科学技术支出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%；文化旅游体育与传媒支出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%；社会保障和就业支出</w:t>
      </w:r>
      <w:r>
        <w:rPr>
          <w:rFonts w:hint="eastAsia" w:ascii="仿宋" w:hAnsi="仿宋" w:eastAsia="仿宋" w:cs="Times New Roman"/>
          <w:sz w:val="32"/>
          <w:szCs w:val="32"/>
          <w:lang w:val="en-US" w:eastAsia="zh-CN"/>
        </w:rPr>
        <w:t>50.11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10.18</w:t>
      </w:r>
      <w:r>
        <w:rPr>
          <w:rFonts w:hint="eastAsia" w:ascii="仿宋" w:hAnsi="仿宋" w:eastAsia="仿宋" w:cs="Times New Roman"/>
          <w:sz w:val="32"/>
          <w:szCs w:val="32"/>
        </w:rPr>
        <w:t>%；卫生健康支出</w:t>
      </w:r>
      <w:r>
        <w:rPr>
          <w:rFonts w:hint="eastAsia" w:ascii="仿宋" w:hAnsi="仿宋" w:eastAsia="仿宋" w:cs="Times New Roman"/>
          <w:sz w:val="32"/>
          <w:szCs w:val="32"/>
          <w:lang w:val="en-US" w:eastAsia="zh-CN"/>
        </w:rPr>
        <w:t>16.72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3.4</w:t>
      </w:r>
      <w:r>
        <w:rPr>
          <w:rFonts w:hint="eastAsia" w:ascii="仿宋" w:hAnsi="仿宋" w:eastAsia="仿宋" w:cs="Times New Roman"/>
          <w:sz w:val="32"/>
          <w:szCs w:val="32"/>
        </w:rPr>
        <w:t>%；住房保障支出</w:t>
      </w:r>
      <w:r>
        <w:rPr>
          <w:rFonts w:hint="eastAsia" w:ascii="仿宋" w:hAnsi="仿宋" w:eastAsia="仿宋" w:cs="Times New Roman"/>
          <w:sz w:val="32"/>
          <w:szCs w:val="32"/>
          <w:lang w:val="en-US" w:eastAsia="zh-CN"/>
        </w:rPr>
        <w:t>35.4</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7.2</w:t>
      </w:r>
      <w:r>
        <w:rPr>
          <w:rFonts w:hint="eastAsia" w:ascii="仿宋" w:hAnsi="仿宋" w:eastAsia="仿宋" w:cs="Times New Roman"/>
          <w:sz w:val="32"/>
          <w:szCs w:val="32"/>
        </w:rPr>
        <w:t>%。</w:t>
      </w:r>
    </w:p>
    <w:p>
      <w:pPr>
        <w:widowControl/>
        <w:adjustRightInd w:val="0"/>
        <w:snapToGrid w:val="0"/>
        <w:spacing w:line="560" w:lineRule="exact"/>
        <w:ind w:firstLine="640" w:firstLineChars="200"/>
        <w:contextualSpacing/>
        <w:jc w:val="left"/>
        <w:outlineLvl w:val="0"/>
        <w:rPr>
          <w:rFonts w:ascii="仿宋" w:hAnsi="仿宋" w:eastAsia="仿宋" w:cs="Times New Roman"/>
          <w:sz w:val="32"/>
          <w:szCs w:val="32"/>
        </w:rPr>
      </w:pPr>
      <w:r>
        <w:rPr>
          <w:rFonts w:hint="eastAsia" w:ascii="仿宋" w:hAnsi="仿宋" w:eastAsia="仿宋" w:cs="Times New Roman"/>
          <w:sz w:val="32"/>
          <w:szCs w:val="32"/>
        </w:rPr>
        <w:t>三、部门整体预算绩效管理情况</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（一）部门预算管理。</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遂宁市安居区</w:t>
      </w:r>
      <w:r>
        <w:rPr>
          <w:rFonts w:hint="default" w:ascii="仿宋" w:hAnsi="仿宋" w:eastAsia="仿宋" w:cs="Times New Roman"/>
          <w:sz w:val="32"/>
          <w:szCs w:val="32"/>
        </w:rPr>
        <w:t>白马镇平宁小学校</w:t>
      </w:r>
      <w:r>
        <w:rPr>
          <w:rFonts w:hint="eastAsia" w:ascii="仿宋" w:hAnsi="仿宋" w:eastAsia="仿宋" w:cs="Times New Roman"/>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（二）结果应用情况。</w:t>
      </w:r>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cs="Times New Roman"/>
          <w:color w:val="FF0000"/>
          <w:sz w:val="44"/>
          <w:szCs w:val="44"/>
        </w:rPr>
      </w:pPr>
      <w:bookmarkStart w:id="42" w:name="_Toc15396618"/>
      <w:r>
        <w:rPr>
          <w:rFonts w:hint="eastAsia" w:ascii="Times New Roman" w:hAnsi="Times New Roman" w:cs="Times New Roman"/>
          <w:sz w:val="32"/>
          <w:szCs w:val="32"/>
        </w:rPr>
        <w:t>部门预算项目支出绩效自评表（2023年度）</w:t>
      </w:r>
    </w:p>
    <w:p>
      <w:pPr>
        <w:widowControl w:val="0"/>
        <w:spacing w:after="120" w:line="560" w:lineRule="exact"/>
        <w:ind w:left="0" w:leftChars="0" w:firstLine="640" w:firstLineChars="200"/>
        <w:jc w:val="both"/>
        <w:rPr>
          <w:rFonts w:ascii="仿宋_GB2312" w:hAnsi="Times New Roman" w:eastAsia="宋体" w:cs="Times New Roman"/>
          <w:kern w:val="2"/>
          <w:sz w:val="32"/>
          <w:szCs w:val="32"/>
          <w:lang w:val="en-US" w:eastAsia="zh-CN" w:bidi="ar-SA"/>
        </w:rPr>
      </w:pPr>
    </w:p>
    <w:tbl>
      <w:tblPr>
        <w:tblStyle w:val="14"/>
        <w:tblW w:w="89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560"/>
        <w:gridCol w:w="1228"/>
        <w:gridCol w:w="990"/>
        <w:gridCol w:w="1035"/>
        <w:gridCol w:w="240"/>
        <w:gridCol w:w="630"/>
        <w:gridCol w:w="810"/>
        <w:gridCol w:w="375"/>
        <w:gridCol w:w="180"/>
        <w:gridCol w:w="315"/>
        <w:gridCol w:w="210"/>
        <w:gridCol w:w="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9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51090421R000000042930-第一书记、驻村工作队补助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遂宁市安居区白马镇平宁小学校部门</w:t>
            </w:r>
          </w:p>
        </w:tc>
        <w:tc>
          <w:tcPr>
            <w:tcW w:w="6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i w:val="0"/>
                <w:iCs w:val="0"/>
                <w:color w:val="000000"/>
                <w:sz w:val="18"/>
                <w:szCs w:val="18"/>
                <w:u w:val="none"/>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黑体" w:eastAsia="黑体" w:cs="黑体"/>
                <w:i w:val="0"/>
                <w:iCs w:val="0"/>
                <w:color w:val="000000"/>
                <w:sz w:val="18"/>
                <w:szCs w:val="18"/>
                <w:u w:val="none"/>
              </w:rPr>
            </w:pPr>
            <w:r>
              <w:rPr>
                <w:rFonts w:ascii="宋体" w:hAnsi="宋体" w:cs="宋体"/>
                <w:color w:val="000000"/>
                <w:kern w:val="0"/>
                <w:sz w:val="18"/>
                <w:szCs w:val="18"/>
                <w:lang w:bidi="ar"/>
              </w:rPr>
              <w:t>严格执行相关政策，及时申报资</w:t>
            </w:r>
            <w:r>
              <w:rPr>
                <w:rFonts w:hint="eastAsia" w:ascii="宋体" w:hAnsi="宋体" w:cs="宋体"/>
                <w:color w:val="000000"/>
                <w:kern w:val="0"/>
                <w:sz w:val="18"/>
                <w:szCs w:val="18"/>
                <w:lang w:bidi="ar"/>
              </w:rPr>
              <w:t>金，</w:t>
            </w:r>
            <w:r>
              <w:rPr>
                <w:rFonts w:ascii="宋体" w:hAnsi="宋体" w:cs="宋体"/>
                <w:color w:val="000000"/>
                <w:kern w:val="0"/>
                <w:sz w:val="18"/>
                <w:szCs w:val="18"/>
                <w:lang w:bidi="ar"/>
              </w:rPr>
              <w:t>按时发放</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保障</w:t>
            </w:r>
            <w:r>
              <w:rPr>
                <w:rFonts w:hint="eastAsia" w:ascii="宋体" w:hAnsi="宋体" w:cs="宋体"/>
                <w:color w:val="000000"/>
                <w:kern w:val="0"/>
                <w:sz w:val="18"/>
                <w:szCs w:val="18"/>
                <w:lang w:bidi="ar"/>
              </w:rPr>
              <w:t>补助</w:t>
            </w:r>
            <w:r>
              <w:rPr>
                <w:rFonts w:ascii="宋体" w:hAnsi="宋体" w:cs="宋体"/>
                <w:color w:val="000000"/>
                <w:kern w:val="0"/>
                <w:sz w:val="18"/>
                <w:szCs w:val="18"/>
                <w:lang w:bidi="ar"/>
              </w:rPr>
              <w:t>及时发放</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足额 发放</w:t>
            </w:r>
            <w:r>
              <w:rPr>
                <w:rFonts w:hint="eastAsia" w:ascii="宋体" w:hAnsi="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bidi="ar"/>
              </w:rPr>
              <w:t>及时申报，保障补助及时、足额发放，预算编制科学合理，减少结余资金。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优，严格执行相关政策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按要求支付</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保</w:t>
            </w:r>
            <w:r>
              <w:rPr>
                <w:rFonts w:hint="eastAsia" w:ascii="宋体" w:hAnsi="宋体" w:cs="宋体"/>
                <w:color w:val="000000"/>
                <w:kern w:val="0"/>
                <w:sz w:val="18"/>
                <w:szCs w:val="18"/>
                <w:lang w:bidi="ar"/>
              </w:rPr>
              <w:t>障</w:t>
            </w:r>
            <w:r>
              <w:rPr>
                <w:rFonts w:ascii="宋体" w:hAnsi="宋体" w:cs="宋体"/>
                <w:color w:val="000000"/>
                <w:kern w:val="0"/>
                <w:sz w:val="18"/>
                <w:szCs w:val="18"/>
                <w:lang w:bidi="ar"/>
              </w:rPr>
              <w:t>补助及时</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足额发放</w:t>
            </w:r>
            <w:r>
              <w:rPr>
                <w:rFonts w:hint="eastAsia" w:ascii="宋体" w:hAnsi="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bidi="ar"/>
              </w:rPr>
              <w:t>驻村工作人员未及时来报账。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bidi="ar"/>
              </w:rPr>
              <w:t>报账后及时按需申报、及时</w:t>
            </w:r>
            <w:r>
              <w:rPr>
                <w:rFonts w:ascii="宋体" w:hAnsi="宋体" w:cs="宋体"/>
                <w:color w:val="000000"/>
                <w:kern w:val="0"/>
                <w:sz w:val="18"/>
                <w:szCs w:val="18"/>
                <w:lang w:bidi="ar"/>
              </w:rPr>
              <w:t>发放</w:t>
            </w:r>
            <w:r>
              <w:rPr>
                <w:rFonts w:hint="eastAsia" w:ascii="宋体" w:hAnsi="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项目负责人：唐进</w:t>
            </w:r>
          </w:p>
        </w:tc>
        <w:tc>
          <w:tcPr>
            <w:tcW w:w="34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9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遂宁市安居区白马镇平宁小学校部门</w:t>
            </w:r>
          </w:p>
        </w:tc>
        <w:tc>
          <w:tcPr>
            <w:tcW w:w="6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bidi="ar"/>
              </w:rPr>
              <w:t>保障了学校家庭经济困难学生正常入学，减轻其家庭经济负担。</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黑体" w:eastAsia="黑体" w:cs="黑体"/>
                <w:i w:val="0"/>
                <w:iCs w:val="0"/>
                <w:color w:val="000000"/>
                <w:sz w:val="18"/>
                <w:szCs w:val="18"/>
                <w:u w:val="none"/>
              </w:rPr>
            </w:pPr>
            <w:r>
              <w:rPr>
                <w:rFonts w:hint="eastAsia" w:ascii="宋体" w:hAnsi="宋体" w:cs="宋体"/>
                <w:color w:val="000000"/>
                <w:kern w:val="0"/>
                <w:sz w:val="18"/>
                <w:szCs w:val="18"/>
                <w:lang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val="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22"/>
                <w:szCs w:val="22"/>
                <w:lang w:bidi="ar"/>
              </w:rPr>
              <w:t xml:space="preserve">   </w:t>
            </w: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w:t>
            </w:r>
            <w:r>
              <w:rPr>
                <w:rFonts w:hint="eastAsia" w:ascii="宋体" w:hAnsi="宋体" w:cs="宋体"/>
                <w:color w:val="000000"/>
                <w:kern w:val="0"/>
                <w:sz w:val="18"/>
                <w:szCs w:val="18"/>
                <w:lang w:bidi="ar"/>
              </w:rPr>
              <w:t>行</w:t>
            </w:r>
            <w:r>
              <w:rPr>
                <w:rFonts w:ascii="宋体" w:hAnsi="宋体" w:cs="宋体"/>
                <w:color w:val="000000"/>
                <w:kern w:val="0"/>
                <w:sz w:val="18"/>
                <w:szCs w:val="18"/>
                <w:lang w:bidi="ar"/>
              </w:rPr>
              <w:t>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w:t>
            </w:r>
            <w:r>
              <w:rPr>
                <w:rFonts w:hint="eastAsia" w:ascii="宋体" w:hAnsi="宋体" w:cs="宋体"/>
                <w:color w:val="000000"/>
                <w:kern w:val="0"/>
                <w:sz w:val="18"/>
                <w:szCs w:val="18"/>
                <w:lang w:bidi="ar"/>
              </w:rPr>
              <w:t>支付，</w:t>
            </w:r>
            <w:r>
              <w:rPr>
                <w:rFonts w:hint="eastAsia" w:ascii="宋体" w:hAnsi="宋体" w:cs="宋体"/>
                <w:color w:val="000000"/>
                <w:kern w:val="0"/>
                <w:sz w:val="18"/>
                <w:szCs w:val="18"/>
                <w:lang w:val="zh-CN" w:bidi="ar"/>
              </w:rPr>
              <w:t>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val="zh-CN" w:bidi="ar"/>
              </w:rPr>
              <w:t>因留守儿童多，父母外出务工，爷爷奶奶对银行卡记录不熟习，对自己孩子享有的助学金额不清楚。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val="zh-CN" w:bidi="ar"/>
              </w:rPr>
              <w:t>进一步加强教育资助政策宣传及资助情况的反馈公示。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项目负责人：唐进</w:t>
            </w:r>
          </w:p>
        </w:tc>
        <w:tc>
          <w:tcPr>
            <w:tcW w:w="34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9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遂宁市安居区白马镇平宁小学校部门</w:t>
            </w:r>
          </w:p>
        </w:tc>
        <w:tc>
          <w:tcPr>
            <w:tcW w:w="6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rPr>
              <w:t>促进附设幼儿园健康发展，提高预算编制质量，严格执行预算，</w:t>
            </w:r>
            <w:r>
              <w:rPr>
                <w:rFonts w:ascii="宋体" w:hAnsi="宋体" w:cs="宋体"/>
                <w:color w:val="000000"/>
                <w:kern w:val="0"/>
                <w:sz w:val="18"/>
                <w:szCs w:val="18"/>
                <w:lang w:bidi="ar"/>
              </w:rPr>
              <w:t>减少结余资金</w:t>
            </w:r>
            <w:r>
              <w:rPr>
                <w:rFonts w:hint="eastAsia" w:ascii="宋体" w:hAnsi="宋体" w:cs="宋体"/>
                <w:color w:val="000000"/>
                <w:sz w:val="18"/>
                <w:szCs w:val="18"/>
              </w:rPr>
              <w:t>。</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黑体" w:eastAsia="黑体" w:cs="黑体"/>
                <w:i w:val="0"/>
                <w:iCs w:val="0"/>
                <w:color w:val="000000"/>
                <w:sz w:val="18"/>
                <w:szCs w:val="18"/>
                <w:u w:val="none"/>
              </w:rPr>
            </w:pPr>
            <w:r>
              <w:rPr>
                <w:rFonts w:hint="eastAsia" w:ascii="宋体" w:hAnsi="宋体" w:cs="宋体"/>
                <w:color w:val="000000"/>
                <w:sz w:val="18"/>
                <w:szCs w:val="18"/>
              </w:rPr>
              <w:t>严格执行预算，及时申请支付资金，促进附设幼儿园健康发展。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rPr>
              <w:t>及时申报经费，促进附设幼儿园健康发展。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附属幼儿园教学楼治漏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优，严格执行相关政策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按要求支付</w:t>
            </w:r>
            <w:r>
              <w:rPr>
                <w:rFonts w:hint="eastAsia" w:ascii="宋体" w:hAnsi="宋体" w:cs="宋体"/>
                <w:color w:val="000000"/>
                <w:kern w:val="0"/>
                <w:sz w:val="18"/>
                <w:szCs w:val="18"/>
                <w:lang w:bidi="ar"/>
              </w:rPr>
              <w:t>，促进附设幼儿园健康发展。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bidi="ar"/>
              </w:rPr>
              <w:t>建设进度与申报资金计划不一致。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bidi="ar"/>
              </w:rPr>
              <w:t>按需申报资金、及时</w:t>
            </w:r>
            <w:r>
              <w:rPr>
                <w:rFonts w:ascii="宋体" w:hAnsi="宋体" w:cs="宋体"/>
                <w:color w:val="000000"/>
                <w:kern w:val="0"/>
                <w:sz w:val="18"/>
                <w:szCs w:val="18"/>
                <w:lang w:bidi="ar"/>
              </w:rPr>
              <w:t>发放</w:t>
            </w:r>
            <w:r>
              <w:rPr>
                <w:rFonts w:hint="eastAsia" w:ascii="宋体" w:hAnsi="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项目负责人：唐进</w:t>
            </w:r>
          </w:p>
        </w:tc>
        <w:tc>
          <w:tcPr>
            <w:tcW w:w="34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9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51090423R000008024823-退休人员生活慰问补助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遂宁市安居区白马镇平宁小学校部门</w:t>
            </w:r>
          </w:p>
        </w:tc>
        <w:tc>
          <w:tcPr>
            <w:tcW w:w="6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i w:val="0"/>
                <w:iCs w:val="0"/>
                <w:color w:val="000000"/>
                <w:sz w:val="18"/>
                <w:szCs w:val="18"/>
                <w:u w:val="none"/>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黑体" w:eastAsia="黑体" w:cs="黑体"/>
                <w:i w:val="0"/>
                <w:iCs w:val="0"/>
                <w:color w:val="000000"/>
                <w:sz w:val="18"/>
                <w:szCs w:val="18"/>
                <w:u w:val="none"/>
              </w:rPr>
            </w:pPr>
            <w:r>
              <w:rPr>
                <w:rFonts w:ascii="宋体" w:hAnsi="宋体" w:cs="宋体"/>
                <w:color w:val="000000"/>
                <w:kern w:val="0"/>
                <w:sz w:val="18"/>
                <w:szCs w:val="18"/>
                <w:lang w:bidi="ar"/>
              </w:rPr>
              <w:t>严格执行相关政策，及时申报资</w:t>
            </w:r>
            <w:r>
              <w:rPr>
                <w:rFonts w:hint="eastAsia" w:ascii="宋体" w:hAnsi="宋体" w:cs="宋体"/>
                <w:color w:val="000000"/>
                <w:kern w:val="0"/>
                <w:sz w:val="18"/>
                <w:szCs w:val="18"/>
                <w:lang w:bidi="ar"/>
              </w:rPr>
              <w:t>金，慰问，</w:t>
            </w:r>
            <w:r>
              <w:rPr>
                <w:rFonts w:ascii="宋体" w:hAnsi="宋体" w:cs="宋体"/>
                <w:color w:val="000000"/>
                <w:kern w:val="0"/>
                <w:sz w:val="18"/>
                <w:szCs w:val="18"/>
                <w:lang w:bidi="ar"/>
              </w:rPr>
              <w:t>保障</w:t>
            </w:r>
            <w:r>
              <w:rPr>
                <w:rFonts w:hint="eastAsia" w:ascii="宋体" w:hAnsi="宋体" w:cs="宋体"/>
                <w:color w:val="000000"/>
                <w:kern w:val="0"/>
                <w:sz w:val="18"/>
                <w:szCs w:val="18"/>
                <w:lang w:bidi="ar"/>
              </w:rPr>
              <w:t>经费</w:t>
            </w:r>
            <w:r>
              <w:rPr>
                <w:rFonts w:ascii="宋体" w:hAnsi="宋体" w:cs="宋体"/>
                <w:color w:val="000000"/>
                <w:kern w:val="0"/>
                <w:sz w:val="18"/>
                <w:szCs w:val="18"/>
                <w:lang w:bidi="ar"/>
              </w:rPr>
              <w:t>及时发放</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足额发放</w:t>
            </w:r>
            <w:r>
              <w:rPr>
                <w:rFonts w:hint="eastAsia" w:ascii="宋体" w:hAnsi="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cs="宋体"/>
                <w:color w:val="000000"/>
                <w:kern w:val="0"/>
                <w:sz w:val="18"/>
                <w:szCs w:val="18"/>
                <w:lang w:bidi="ar"/>
              </w:rPr>
              <w:t>及时申报资</w:t>
            </w:r>
            <w:r>
              <w:rPr>
                <w:rFonts w:hint="eastAsia" w:ascii="宋体" w:hAnsi="宋体" w:cs="宋体"/>
                <w:color w:val="000000"/>
                <w:kern w:val="0"/>
                <w:sz w:val="18"/>
                <w:szCs w:val="18"/>
                <w:lang w:bidi="ar"/>
              </w:rPr>
              <w:t>金，慰问，</w:t>
            </w:r>
            <w:r>
              <w:rPr>
                <w:rFonts w:ascii="宋体" w:hAnsi="宋体" w:cs="宋体"/>
                <w:color w:val="000000"/>
                <w:kern w:val="0"/>
                <w:sz w:val="18"/>
                <w:szCs w:val="18"/>
                <w:lang w:bidi="ar"/>
              </w:rPr>
              <w:t>保障</w:t>
            </w:r>
            <w:r>
              <w:rPr>
                <w:rFonts w:hint="eastAsia" w:ascii="宋体" w:hAnsi="宋体" w:cs="宋体"/>
                <w:color w:val="000000"/>
                <w:kern w:val="0"/>
                <w:sz w:val="18"/>
                <w:szCs w:val="18"/>
                <w:lang w:bidi="ar"/>
              </w:rPr>
              <w:t>经费</w:t>
            </w:r>
            <w:r>
              <w:rPr>
                <w:rFonts w:ascii="宋体" w:hAnsi="宋体" w:cs="宋体"/>
                <w:color w:val="000000"/>
                <w:kern w:val="0"/>
                <w:sz w:val="18"/>
                <w:szCs w:val="18"/>
                <w:lang w:bidi="ar"/>
              </w:rPr>
              <w:t>及时发放</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足额发放</w:t>
            </w:r>
            <w:r>
              <w:rPr>
                <w:rFonts w:hint="eastAsia" w:ascii="宋体" w:hAnsi="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优，严格执行相关政策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按要求支付</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保</w:t>
            </w:r>
            <w:r>
              <w:rPr>
                <w:rFonts w:hint="eastAsia" w:ascii="宋体" w:hAnsi="宋体" w:cs="宋体"/>
                <w:color w:val="000000"/>
                <w:kern w:val="0"/>
                <w:sz w:val="18"/>
                <w:szCs w:val="18"/>
                <w:lang w:bidi="ar"/>
              </w:rPr>
              <w:t>障</w:t>
            </w:r>
            <w:r>
              <w:rPr>
                <w:rFonts w:ascii="宋体" w:hAnsi="宋体" w:cs="宋体"/>
                <w:color w:val="000000"/>
                <w:kern w:val="0"/>
                <w:sz w:val="18"/>
                <w:szCs w:val="18"/>
                <w:lang w:bidi="ar"/>
              </w:rPr>
              <w:t>退休人员</w:t>
            </w:r>
            <w:r>
              <w:rPr>
                <w:rFonts w:hint="eastAsia" w:ascii="宋体" w:hAnsi="宋体" w:cs="宋体"/>
                <w:color w:val="000000"/>
                <w:kern w:val="0"/>
                <w:sz w:val="18"/>
                <w:szCs w:val="18"/>
                <w:lang w:bidi="ar"/>
              </w:rPr>
              <w:t>慰问</w:t>
            </w:r>
            <w:r>
              <w:rPr>
                <w:rFonts w:ascii="宋体" w:hAnsi="宋体" w:cs="宋体"/>
                <w:color w:val="000000"/>
                <w:kern w:val="0"/>
                <w:sz w:val="18"/>
                <w:szCs w:val="18"/>
                <w:lang w:bidi="ar"/>
              </w:rPr>
              <w:t>及时</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足额发放</w:t>
            </w:r>
            <w:r>
              <w:rPr>
                <w:rFonts w:hint="eastAsia" w:ascii="宋体" w:hAnsi="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bidi="ar"/>
              </w:rPr>
              <w:t>有退休人员去世的，需要年终结算。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bidi="ar"/>
              </w:rPr>
              <w:t>按需申报、及时发放结算。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项目负责人：唐进</w:t>
            </w:r>
          </w:p>
        </w:tc>
        <w:tc>
          <w:tcPr>
            <w:tcW w:w="34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9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51090423R000008486429-辞退民师补助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遂宁市安居区白马镇平宁小学校部门</w:t>
            </w:r>
          </w:p>
        </w:tc>
        <w:tc>
          <w:tcPr>
            <w:tcW w:w="6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18"/>
                <w:szCs w:val="18"/>
                <w:u w:val="none"/>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3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黑体" w:eastAsia="黑体" w:cs="黑体"/>
                <w:i w:val="0"/>
                <w:iCs w:val="0"/>
                <w:color w:val="000000"/>
                <w:sz w:val="18"/>
                <w:szCs w:val="18"/>
                <w:u w:val="none"/>
              </w:rPr>
            </w:pPr>
            <w:r>
              <w:rPr>
                <w:rFonts w:ascii="宋体" w:hAnsi="宋体" w:cs="宋体"/>
                <w:color w:val="000000"/>
                <w:kern w:val="0"/>
                <w:sz w:val="18"/>
                <w:szCs w:val="18"/>
                <w:lang w:bidi="ar"/>
              </w:rPr>
              <w:t>严格执行相关政策，严格按</w:t>
            </w:r>
            <w:r>
              <w:rPr>
                <w:rFonts w:hint="eastAsia" w:ascii="宋体" w:hAnsi="宋体" w:cs="宋体"/>
                <w:color w:val="000000"/>
                <w:kern w:val="0"/>
                <w:sz w:val="18"/>
                <w:szCs w:val="18"/>
                <w:lang w:bidi="ar"/>
              </w:rPr>
              <w:t>需</w:t>
            </w:r>
            <w:r>
              <w:rPr>
                <w:rFonts w:ascii="宋体" w:hAnsi="宋体" w:cs="宋体"/>
                <w:color w:val="000000"/>
                <w:kern w:val="0"/>
                <w:sz w:val="18"/>
                <w:szCs w:val="18"/>
                <w:lang w:bidi="ar"/>
              </w:rPr>
              <w:t>申报预算资金，及时支付，保障补助支出</w:t>
            </w:r>
            <w:r>
              <w:rPr>
                <w:rFonts w:hint="eastAsia" w:ascii="宋体" w:hAnsi="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cs="宋体"/>
                <w:color w:val="000000"/>
                <w:kern w:val="0"/>
                <w:sz w:val="18"/>
                <w:szCs w:val="18"/>
                <w:lang w:bidi="ar"/>
              </w:rPr>
              <w:t>严格执行相关政策，</w:t>
            </w:r>
            <w:r>
              <w:rPr>
                <w:rFonts w:hint="eastAsia" w:ascii="宋体" w:hAnsi="宋体" w:cs="宋体"/>
                <w:color w:val="000000"/>
                <w:kern w:val="0"/>
                <w:sz w:val="18"/>
                <w:szCs w:val="18"/>
                <w:lang w:bidi="ar"/>
              </w:rPr>
              <w:t>按需</w:t>
            </w:r>
            <w:r>
              <w:rPr>
                <w:rFonts w:ascii="宋体" w:hAnsi="宋体" w:cs="宋体"/>
                <w:color w:val="000000"/>
                <w:kern w:val="0"/>
                <w:sz w:val="18"/>
                <w:szCs w:val="18"/>
                <w:lang w:bidi="ar"/>
              </w:rPr>
              <w:t>申报，及时发放</w:t>
            </w:r>
            <w:r>
              <w:rPr>
                <w:rFonts w:hint="eastAsia" w:ascii="宋体" w:hAnsi="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优，严格执行相关政策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按要求支付</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保</w:t>
            </w:r>
            <w:r>
              <w:rPr>
                <w:rFonts w:hint="eastAsia" w:ascii="宋体" w:hAnsi="宋体" w:cs="宋体"/>
                <w:color w:val="000000"/>
                <w:kern w:val="0"/>
                <w:sz w:val="18"/>
                <w:szCs w:val="18"/>
                <w:lang w:bidi="ar"/>
              </w:rPr>
              <w:t>障</w:t>
            </w:r>
            <w:r>
              <w:rPr>
                <w:rFonts w:ascii="宋体" w:hAnsi="宋体" w:cs="宋体"/>
                <w:color w:val="000000"/>
                <w:kern w:val="0"/>
                <w:sz w:val="18"/>
                <w:szCs w:val="18"/>
                <w:lang w:bidi="ar"/>
              </w:rPr>
              <w:t>生活补助及时</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足额发放</w:t>
            </w:r>
            <w:r>
              <w:rPr>
                <w:rFonts w:hint="eastAsia" w:ascii="宋体" w:hAnsi="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bidi="ar"/>
              </w:rPr>
              <w:t>部分辞退民师年龄过大，核定其生存状况有难度。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bidi="ar"/>
              </w:rPr>
              <w:t>及时按需申报、</w:t>
            </w:r>
            <w:r>
              <w:rPr>
                <w:rFonts w:ascii="宋体" w:hAnsi="宋体" w:cs="宋体"/>
                <w:color w:val="000000"/>
                <w:kern w:val="0"/>
                <w:sz w:val="18"/>
                <w:szCs w:val="18"/>
                <w:lang w:bidi="ar"/>
              </w:rPr>
              <w:t>足额发放</w:t>
            </w:r>
            <w:r>
              <w:rPr>
                <w:rFonts w:hint="eastAsia" w:ascii="宋体" w:hAnsi="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项目负责人：唐进</w:t>
            </w:r>
          </w:p>
        </w:tc>
        <w:tc>
          <w:tcPr>
            <w:tcW w:w="34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5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9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51090423T000009655849-区级名师工程建设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遂宁市安居区白马镇平宁小学校部门</w:t>
            </w:r>
          </w:p>
        </w:tc>
        <w:tc>
          <w:tcPr>
            <w:tcW w:w="6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遂宁市安居区白马镇平宁小学校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rPr>
              <w:t>促进教师成长，提高预算编制质量，严格执行预算，</w:t>
            </w:r>
            <w:r>
              <w:rPr>
                <w:rFonts w:ascii="宋体" w:hAnsi="宋体" w:cs="宋体"/>
                <w:color w:val="000000"/>
                <w:kern w:val="0"/>
                <w:sz w:val="18"/>
                <w:szCs w:val="18"/>
                <w:lang w:bidi="ar"/>
              </w:rPr>
              <w:t>减少结余资金</w:t>
            </w:r>
            <w:r>
              <w:rPr>
                <w:rFonts w:hint="eastAsia" w:ascii="宋体" w:hAnsi="宋体" w:cs="宋体"/>
                <w:color w:val="000000"/>
                <w:sz w:val="18"/>
                <w:szCs w:val="18"/>
              </w:rPr>
              <w:t>。</w:t>
            </w:r>
          </w:p>
        </w:tc>
        <w:tc>
          <w:tcPr>
            <w:tcW w:w="25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黑体" w:eastAsia="黑体" w:cs="黑体"/>
                <w:i w:val="0"/>
                <w:iCs w:val="0"/>
                <w:color w:val="000000"/>
                <w:sz w:val="18"/>
                <w:szCs w:val="18"/>
                <w:u w:val="none"/>
              </w:rPr>
            </w:pPr>
            <w:r>
              <w:rPr>
                <w:rFonts w:hint="eastAsia" w:ascii="宋体" w:hAnsi="宋体" w:cs="宋体"/>
                <w:color w:val="000000"/>
                <w:sz w:val="18"/>
                <w:szCs w:val="18"/>
              </w:rPr>
              <w:t>严格执行预算，及时申请支付资金，促进教师成长。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rPr>
              <w:t>及时申报经费，促进教师更快成长。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优，严格执行相关政策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按要求支付</w:t>
            </w:r>
            <w:r>
              <w:rPr>
                <w:rFonts w:hint="eastAsia" w:ascii="宋体" w:hAnsi="宋体" w:cs="宋体"/>
                <w:color w:val="000000"/>
                <w:kern w:val="0"/>
                <w:sz w:val="18"/>
                <w:szCs w:val="18"/>
                <w:lang w:bidi="ar"/>
              </w:rPr>
              <w:t>，</w:t>
            </w:r>
            <w:r>
              <w:rPr>
                <w:rFonts w:hint="eastAsia" w:ascii="宋体" w:hAnsi="宋体" w:cs="宋体"/>
                <w:color w:val="000000"/>
                <w:sz w:val="18"/>
                <w:szCs w:val="18"/>
              </w:rPr>
              <w:t>促进教师更快成长。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bidi="ar"/>
              </w:rPr>
              <w:t>计划资金申报不及时。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color w:val="000000"/>
                <w:kern w:val="0"/>
                <w:sz w:val="18"/>
                <w:szCs w:val="18"/>
                <w:lang w:bidi="ar"/>
              </w:rPr>
              <w:t>及时按需申报支付。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项目负责人：唐进</w:t>
            </w:r>
          </w:p>
        </w:tc>
        <w:tc>
          <w:tcPr>
            <w:tcW w:w="34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财务负责人：罗序强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val="0"/>
        <w:spacing w:before="93" w:beforeLines="30"/>
        <w:jc w:val="both"/>
        <w:rPr>
          <w:rFonts w:ascii="仿宋_GB2312" w:hAnsi="Calibri" w:eastAsia="仿宋_GB2312" w:cs="仿宋"/>
          <w:kern w:val="0"/>
          <w:sz w:val="32"/>
          <w:szCs w:val="32"/>
          <w:lang w:val="en-US" w:eastAsia="zh-CN" w:bidi="ar-SA"/>
        </w:rPr>
      </w:pPr>
    </w:p>
    <w:p>
      <w:pPr>
        <w:widowControl w:val="0"/>
        <w:spacing w:before="93" w:beforeLines="30"/>
        <w:jc w:val="both"/>
        <w:rPr>
          <w:rFonts w:ascii="仿宋_GB2312" w:hAnsi="Calibri" w:eastAsia="仿宋_GB2312" w:cs="仿宋"/>
          <w:kern w:val="0"/>
          <w:sz w:val="32"/>
          <w:szCs w:val="32"/>
          <w:lang w:val="en-US" w:eastAsia="zh-CN" w:bidi="ar-SA"/>
        </w:rPr>
      </w:pPr>
    </w:p>
    <w:p>
      <w:pPr>
        <w:widowControl w:val="0"/>
        <w:spacing w:before="93" w:beforeLines="30"/>
        <w:jc w:val="both"/>
        <w:rPr>
          <w:rFonts w:ascii="仿宋_GB2312" w:hAnsi="Calibri" w:eastAsia="仿宋_GB2312" w:cs="仿宋"/>
          <w:kern w:val="0"/>
          <w:sz w:val="32"/>
          <w:szCs w:val="32"/>
          <w:lang w:val="en-US" w:eastAsia="zh-CN" w:bidi="ar-SA"/>
        </w:rPr>
      </w:pPr>
    </w:p>
    <w:p>
      <w:pPr>
        <w:widowControl w:val="0"/>
        <w:spacing w:before="93" w:beforeLines="30"/>
        <w:jc w:val="both"/>
        <w:rPr>
          <w:rFonts w:ascii="仿宋_GB2312" w:hAnsi="Calibri" w:eastAsia="仿宋_GB2312" w:cs="仿宋"/>
          <w:kern w:val="0"/>
          <w:sz w:val="32"/>
          <w:szCs w:val="32"/>
          <w:lang w:val="en-US" w:eastAsia="zh-CN" w:bidi="ar-SA"/>
        </w:rPr>
      </w:pPr>
    </w:p>
    <w:p>
      <w:pPr>
        <w:widowControl w:val="0"/>
        <w:spacing w:before="93" w:beforeLines="30"/>
        <w:jc w:val="both"/>
        <w:rPr>
          <w:rFonts w:ascii="仿宋_GB2312" w:hAnsi="Calibri" w:eastAsia="仿宋_GB2312" w:cs="仿宋"/>
          <w:kern w:val="0"/>
          <w:sz w:val="32"/>
          <w:szCs w:val="32"/>
          <w:lang w:val="en-US" w:eastAsia="zh-CN" w:bidi="ar-SA"/>
        </w:rPr>
      </w:pPr>
    </w:p>
    <w:p>
      <w:pPr>
        <w:spacing w:line="600" w:lineRule="exact"/>
        <w:ind w:firstLine="2200" w:firstLineChars="500"/>
        <w:jc w:val="both"/>
        <w:outlineLvl w:val="0"/>
        <w:rPr>
          <w:rFonts w:hint="eastAsia" w:ascii="黑体" w:hAnsi="黑体" w:eastAsia="黑体" w:cs="Times New Roman"/>
          <w:b w:val="0"/>
        </w:rPr>
      </w:pPr>
      <w:r>
        <w:rPr>
          <w:rFonts w:hint="eastAsia" w:ascii="黑体" w:hAnsi="黑体" w:eastAsia="黑体" w:cs="Times New Roman"/>
          <w:sz w:val="44"/>
          <w:szCs w:val="44"/>
        </w:rPr>
        <w:t>第</w:t>
      </w:r>
      <w:r>
        <w:rPr>
          <w:rFonts w:hint="eastAsia" w:ascii="黑体" w:hAnsi="黑体" w:eastAsia="黑体" w:cs="Times New Roman"/>
          <w:b w:val="0"/>
          <w:bCs/>
          <w:kern w:val="44"/>
          <w:sz w:val="44"/>
          <w:szCs w:val="44"/>
        </w:rPr>
        <w:t>五部分 附表</w:t>
      </w:r>
      <w:bookmarkEnd w:id="40"/>
      <w:bookmarkEnd w:id="42"/>
      <w:bookmarkStart w:id="43" w:name="_Toc15396619"/>
    </w:p>
    <w:p>
      <w:pPr>
        <w:spacing w:line="600" w:lineRule="exact"/>
        <w:jc w:val="both"/>
        <w:outlineLvl w:val="0"/>
        <w:rPr>
          <w:rFonts w:hint="eastAsia" w:ascii="仿宋" w:hAnsi="仿宋" w:eastAsia="仿宋" w:cs="Times New Roman"/>
          <w:b w:val="0"/>
          <w:bCs w:val="0"/>
        </w:rPr>
      </w:pPr>
      <w:r>
        <w:rPr>
          <w:rFonts w:hint="eastAsia" w:ascii="仿宋" w:hAnsi="仿宋" w:eastAsia="仿宋" w:cs="Times New Roman"/>
          <w:b w:val="0"/>
          <w:sz w:val="32"/>
          <w:szCs w:val="40"/>
        </w:rPr>
        <w:t>一、</w:t>
      </w:r>
      <w:r>
        <w:rPr>
          <w:rFonts w:hint="eastAsia" w:ascii="仿宋" w:hAnsi="仿宋" w:eastAsia="仿宋" w:cs="Times New Roman"/>
          <w:b w:val="0"/>
        </w:rPr>
        <w:t>收</w:t>
      </w:r>
      <w:r>
        <w:rPr>
          <w:rFonts w:hint="eastAsia" w:ascii="仿宋" w:hAnsi="仿宋" w:eastAsia="仿宋" w:cs="Times New Roman"/>
          <w:b w:val="0"/>
          <w:bCs w:val="0"/>
          <w:sz w:val="32"/>
          <w:szCs w:val="32"/>
        </w:rPr>
        <w:t>入支出决算总表</w:t>
      </w:r>
      <w:bookmarkEnd w:id="43"/>
      <w:bookmarkStart w:id="44" w:name="_Toc15396620"/>
    </w:p>
    <w:p>
      <w:pPr>
        <w:spacing w:line="600" w:lineRule="exact"/>
        <w:jc w:val="both"/>
        <w:outlineLvl w:val="0"/>
        <w:rPr>
          <w:rFonts w:hint="eastAsia" w:ascii="仿宋" w:hAnsi="仿宋" w:eastAsia="仿宋" w:cs="Times New Roman"/>
          <w:b w:val="0"/>
          <w:bCs w:val="0"/>
        </w:rPr>
      </w:pPr>
      <w:r>
        <w:rPr>
          <w:rFonts w:hint="eastAsia" w:ascii="仿宋" w:hAnsi="仿宋" w:eastAsia="仿宋" w:cs="Times New Roman"/>
          <w:b w:val="0"/>
          <w:sz w:val="32"/>
          <w:szCs w:val="40"/>
        </w:rPr>
        <w:t>二、</w:t>
      </w:r>
      <w:r>
        <w:rPr>
          <w:rFonts w:hint="eastAsia" w:ascii="仿宋" w:hAnsi="仿宋" w:eastAsia="仿宋" w:cs="Times New Roman"/>
          <w:b w:val="0"/>
        </w:rPr>
        <w:t>收</w:t>
      </w:r>
      <w:r>
        <w:rPr>
          <w:rFonts w:hint="eastAsia" w:ascii="仿宋" w:hAnsi="仿宋" w:eastAsia="仿宋" w:cs="Times New Roman"/>
          <w:b w:val="0"/>
          <w:bCs w:val="0"/>
          <w:sz w:val="32"/>
          <w:szCs w:val="32"/>
        </w:rPr>
        <w:t>入决算表</w:t>
      </w:r>
      <w:bookmarkEnd w:id="44"/>
      <w:bookmarkStart w:id="45" w:name="_Toc15396621"/>
    </w:p>
    <w:p>
      <w:pPr>
        <w:spacing w:line="600" w:lineRule="exact"/>
        <w:jc w:val="both"/>
        <w:outlineLvl w:val="0"/>
        <w:rPr>
          <w:rFonts w:ascii="仿宋" w:hAnsi="仿宋" w:eastAsia="仿宋" w:cs="Times New Roman"/>
        </w:rPr>
      </w:pPr>
      <w:r>
        <w:rPr>
          <w:rFonts w:hint="eastAsia" w:ascii="仿宋" w:hAnsi="仿宋" w:eastAsia="仿宋" w:cs="Times New Roman"/>
          <w:b w:val="0"/>
          <w:bCs w:val="0"/>
          <w:sz w:val="32"/>
          <w:szCs w:val="32"/>
        </w:rPr>
        <w:t>三、</w:t>
      </w:r>
      <w:r>
        <w:rPr>
          <w:rFonts w:hint="eastAsia" w:ascii="仿宋" w:hAnsi="仿宋" w:eastAsia="仿宋" w:cs="Times New Roman"/>
          <w:b w:val="0"/>
        </w:rPr>
        <w:t>支</w:t>
      </w:r>
      <w:r>
        <w:rPr>
          <w:rFonts w:hint="eastAsia" w:ascii="仿宋" w:hAnsi="仿宋" w:eastAsia="仿宋" w:cs="Times New Roman"/>
          <w:b w:val="0"/>
          <w:bCs w:val="0"/>
          <w:sz w:val="32"/>
          <w:szCs w:val="32"/>
        </w:rPr>
        <w:t>出决算表</w:t>
      </w:r>
      <w:bookmarkEnd w:id="45"/>
    </w:p>
    <w:p>
      <w:pPr>
        <w:keepNext/>
        <w:keepLines/>
        <w:widowControl w:val="0"/>
        <w:spacing w:before="260" w:after="260" w:line="416" w:lineRule="auto"/>
        <w:jc w:val="both"/>
        <w:outlineLvl w:val="1"/>
        <w:rPr>
          <w:rFonts w:ascii="仿宋" w:hAnsi="仿宋" w:eastAsia="仿宋" w:cs="Times New Roman"/>
          <w:b w:val="0"/>
          <w:bCs/>
          <w:kern w:val="2"/>
          <w:sz w:val="32"/>
          <w:szCs w:val="32"/>
          <w:lang w:val="en-US" w:eastAsia="zh-CN" w:bidi="ar-SA"/>
        </w:rPr>
      </w:pPr>
      <w:bookmarkStart w:id="46" w:name="_Toc15396622"/>
      <w:r>
        <w:rPr>
          <w:rFonts w:hint="eastAsia" w:ascii="仿宋" w:hAnsi="仿宋" w:eastAsia="仿宋" w:cs="Times New Roman"/>
          <w:b w:val="0"/>
          <w:bCs w:val="0"/>
          <w:kern w:val="2"/>
          <w:sz w:val="32"/>
          <w:szCs w:val="32"/>
          <w:lang w:val="en-US" w:eastAsia="zh-CN" w:bidi="ar-SA"/>
        </w:rPr>
        <w:t>四、</w:t>
      </w:r>
      <w:r>
        <w:rPr>
          <w:rFonts w:hint="eastAsia" w:ascii="仿宋" w:hAnsi="仿宋" w:eastAsia="仿宋" w:cs="Times New Roman"/>
          <w:b w:val="0"/>
          <w:bCs/>
          <w:kern w:val="2"/>
          <w:sz w:val="32"/>
          <w:szCs w:val="32"/>
          <w:lang w:val="en-US" w:eastAsia="zh-CN" w:bidi="ar-SA"/>
        </w:rPr>
        <w:t>财</w:t>
      </w:r>
      <w:r>
        <w:rPr>
          <w:rFonts w:hint="eastAsia" w:ascii="仿宋" w:hAnsi="仿宋" w:eastAsia="仿宋" w:cs="Times New Roman"/>
          <w:b w:val="0"/>
          <w:bCs w:val="0"/>
          <w:kern w:val="2"/>
          <w:sz w:val="32"/>
          <w:szCs w:val="32"/>
          <w:lang w:val="en-US" w:eastAsia="zh-CN" w:bidi="ar-SA"/>
        </w:rPr>
        <w:t>政拨款收入支出决算总表</w:t>
      </w:r>
      <w:bookmarkEnd w:id="46"/>
    </w:p>
    <w:p>
      <w:pPr>
        <w:keepNext/>
        <w:keepLines/>
        <w:widowControl w:val="0"/>
        <w:spacing w:before="260" w:after="260" w:line="416" w:lineRule="auto"/>
        <w:jc w:val="both"/>
        <w:outlineLvl w:val="1"/>
        <w:rPr>
          <w:rFonts w:ascii="仿宋" w:hAnsi="仿宋" w:eastAsia="仿宋" w:cs="Times New Roman"/>
          <w:b w:val="0"/>
          <w:bCs w:val="0"/>
          <w:kern w:val="2"/>
          <w:sz w:val="32"/>
          <w:szCs w:val="32"/>
          <w:lang w:val="en-US" w:eastAsia="zh-CN" w:bidi="ar-SA"/>
        </w:rPr>
      </w:pPr>
      <w:bookmarkStart w:id="47" w:name="_Toc15396623"/>
      <w:r>
        <w:rPr>
          <w:rFonts w:hint="eastAsia" w:ascii="仿宋" w:hAnsi="仿宋" w:eastAsia="仿宋" w:cs="Times New Roman"/>
          <w:b w:val="0"/>
          <w:bCs w:val="0"/>
          <w:kern w:val="2"/>
          <w:sz w:val="32"/>
          <w:szCs w:val="32"/>
          <w:lang w:val="en-US" w:eastAsia="zh-CN" w:bidi="ar-SA"/>
        </w:rPr>
        <w:t>五、</w:t>
      </w:r>
      <w:r>
        <w:rPr>
          <w:rFonts w:hint="eastAsia" w:ascii="仿宋" w:hAnsi="仿宋" w:eastAsia="仿宋" w:cs="Times New Roman"/>
          <w:b w:val="0"/>
          <w:bCs/>
          <w:kern w:val="2"/>
          <w:sz w:val="32"/>
          <w:szCs w:val="32"/>
          <w:lang w:val="en-US" w:eastAsia="zh-CN" w:bidi="ar-SA"/>
        </w:rPr>
        <w:t>财</w:t>
      </w:r>
      <w:r>
        <w:rPr>
          <w:rFonts w:hint="eastAsia" w:ascii="仿宋" w:hAnsi="仿宋" w:eastAsia="仿宋" w:cs="Times New Roman"/>
          <w:b w:val="0"/>
          <w:bCs w:val="0"/>
          <w:kern w:val="2"/>
          <w:sz w:val="32"/>
          <w:szCs w:val="32"/>
          <w:lang w:val="en-US" w:eastAsia="zh-CN" w:bidi="ar-SA"/>
        </w:rPr>
        <w:t>政拨款支出决算明细表</w:t>
      </w:r>
      <w:bookmarkEnd w:id="47"/>
      <w:bookmarkStart w:id="48" w:name="_Toc15396624"/>
    </w:p>
    <w:p>
      <w:pPr>
        <w:keepNext/>
        <w:keepLines/>
        <w:widowControl w:val="0"/>
        <w:spacing w:before="260" w:after="260" w:line="416" w:lineRule="auto"/>
        <w:jc w:val="both"/>
        <w:outlineLvl w:val="1"/>
        <w:rPr>
          <w:rFonts w:ascii="仿宋" w:hAnsi="仿宋" w:eastAsia="仿宋" w:cs="Times New Roman"/>
          <w:b/>
          <w:bCs/>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六、</w:t>
      </w:r>
      <w:r>
        <w:rPr>
          <w:rFonts w:hint="eastAsia" w:ascii="仿宋" w:hAnsi="仿宋" w:eastAsia="仿宋" w:cs="Times New Roman"/>
          <w:b w:val="0"/>
          <w:bCs/>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般公共预算财政拨款支出决算表</w:t>
      </w:r>
      <w:bookmarkEnd w:id="48"/>
    </w:p>
    <w:p>
      <w:pPr>
        <w:keepNext/>
        <w:keepLines/>
        <w:widowControl w:val="0"/>
        <w:spacing w:before="260" w:after="260" w:line="416" w:lineRule="auto"/>
        <w:jc w:val="both"/>
        <w:outlineLvl w:val="1"/>
        <w:rPr>
          <w:rFonts w:ascii="仿宋" w:hAnsi="仿宋" w:eastAsia="仿宋" w:cs="Times New Roman"/>
          <w:b/>
          <w:bCs/>
          <w:kern w:val="2"/>
          <w:sz w:val="32"/>
          <w:szCs w:val="32"/>
          <w:lang w:val="en-US" w:eastAsia="zh-CN" w:bidi="ar-SA"/>
        </w:rPr>
      </w:pPr>
      <w:bookmarkStart w:id="49" w:name="_Toc15396625"/>
      <w:r>
        <w:rPr>
          <w:rFonts w:hint="eastAsia" w:ascii="仿宋" w:hAnsi="仿宋" w:eastAsia="仿宋" w:cs="Times New Roman"/>
          <w:b w:val="0"/>
          <w:bCs w:val="0"/>
          <w:kern w:val="2"/>
          <w:sz w:val="32"/>
          <w:szCs w:val="32"/>
          <w:lang w:val="en-US" w:eastAsia="zh-CN" w:bidi="ar-SA"/>
        </w:rPr>
        <w:t>七、</w:t>
      </w:r>
      <w:r>
        <w:rPr>
          <w:rFonts w:hint="eastAsia" w:ascii="仿宋" w:hAnsi="仿宋" w:eastAsia="仿宋" w:cs="Times New Roman"/>
          <w:b w:val="0"/>
          <w:bCs/>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般公共预算财政拨款支出决算明细表</w:t>
      </w:r>
      <w:bookmarkEnd w:id="49"/>
    </w:p>
    <w:p>
      <w:pPr>
        <w:keepNext/>
        <w:keepLines/>
        <w:widowControl w:val="0"/>
        <w:spacing w:before="260" w:after="260" w:line="416" w:lineRule="auto"/>
        <w:jc w:val="both"/>
        <w:outlineLvl w:val="1"/>
        <w:rPr>
          <w:rFonts w:ascii="仿宋" w:hAnsi="仿宋" w:eastAsia="仿宋" w:cs="Times New Roman"/>
          <w:b/>
          <w:bCs/>
          <w:kern w:val="2"/>
          <w:sz w:val="32"/>
          <w:szCs w:val="32"/>
          <w:lang w:val="en-US" w:eastAsia="zh-CN" w:bidi="ar-SA"/>
        </w:rPr>
      </w:pPr>
      <w:bookmarkStart w:id="50" w:name="_Toc15396626"/>
      <w:r>
        <w:rPr>
          <w:rFonts w:hint="eastAsia" w:ascii="仿宋" w:hAnsi="仿宋" w:eastAsia="仿宋" w:cs="Times New Roman"/>
          <w:b w:val="0"/>
          <w:bCs w:val="0"/>
          <w:kern w:val="2"/>
          <w:sz w:val="32"/>
          <w:szCs w:val="32"/>
          <w:lang w:val="en-US" w:eastAsia="zh-CN" w:bidi="ar-SA"/>
        </w:rPr>
        <w:t>八、</w:t>
      </w:r>
      <w:r>
        <w:rPr>
          <w:rFonts w:hint="eastAsia" w:ascii="仿宋" w:hAnsi="仿宋" w:eastAsia="仿宋" w:cs="Times New Roman"/>
          <w:b w:val="0"/>
          <w:bCs/>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般公共预算财政拨款基本支出决算表</w:t>
      </w:r>
      <w:bookmarkEnd w:id="50"/>
    </w:p>
    <w:p>
      <w:pPr>
        <w:keepNext/>
        <w:keepLines/>
        <w:widowControl w:val="0"/>
        <w:spacing w:before="260" w:after="260" w:line="416" w:lineRule="auto"/>
        <w:jc w:val="both"/>
        <w:outlineLvl w:val="1"/>
        <w:rPr>
          <w:rFonts w:ascii="仿宋" w:hAnsi="仿宋" w:eastAsia="仿宋" w:cs="Times New Roman"/>
          <w:b/>
          <w:bCs/>
          <w:kern w:val="2"/>
          <w:sz w:val="32"/>
          <w:szCs w:val="32"/>
          <w:lang w:val="en-US" w:eastAsia="zh-CN" w:bidi="ar-SA"/>
        </w:rPr>
      </w:pPr>
      <w:bookmarkStart w:id="51" w:name="_Toc15396627"/>
      <w:r>
        <w:rPr>
          <w:rFonts w:hint="eastAsia" w:ascii="仿宋" w:hAnsi="仿宋" w:eastAsia="仿宋" w:cs="Times New Roman"/>
          <w:b w:val="0"/>
          <w:bCs w:val="0"/>
          <w:kern w:val="2"/>
          <w:sz w:val="32"/>
          <w:szCs w:val="32"/>
          <w:lang w:val="en-US" w:eastAsia="zh-CN" w:bidi="ar-SA"/>
        </w:rPr>
        <w:t>九、</w:t>
      </w:r>
      <w:r>
        <w:rPr>
          <w:rFonts w:hint="eastAsia" w:ascii="仿宋" w:hAnsi="仿宋" w:eastAsia="仿宋" w:cs="Times New Roman"/>
          <w:b w:val="0"/>
          <w:bCs/>
          <w:kern w:val="2"/>
          <w:sz w:val="32"/>
          <w:szCs w:val="32"/>
          <w:lang w:val="en-US" w:eastAsia="zh-CN" w:bidi="ar-SA"/>
        </w:rPr>
        <w:t>一</w:t>
      </w:r>
      <w:r>
        <w:rPr>
          <w:rFonts w:hint="eastAsia" w:ascii="仿宋" w:hAnsi="仿宋" w:eastAsia="仿宋" w:cs="Times New Roman"/>
          <w:b w:val="0"/>
          <w:bCs w:val="0"/>
          <w:kern w:val="2"/>
          <w:sz w:val="32"/>
          <w:szCs w:val="32"/>
          <w:lang w:val="en-US" w:eastAsia="zh-CN" w:bidi="ar-SA"/>
        </w:rPr>
        <w:t>般公共预算财政拨款项目支出决算表</w:t>
      </w:r>
      <w:bookmarkEnd w:id="51"/>
    </w:p>
    <w:p>
      <w:pPr>
        <w:keepNext/>
        <w:keepLines/>
        <w:widowControl w:val="0"/>
        <w:spacing w:before="260" w:after="260" w:line="416" w:lineRule="auto"/>
        <w:jc w:val="both"/>
        <w:outlineLvl w:val="1"/>
        <w:rPr>
          <w:rFonts w:ascii="仿宋" w:hAnsi="仿宋" w:eastAsia="仿宋" w:cs="Times New Roman"/>
          <w:b/>
          <w:bCs/>
          <w:kern w:val="2"/>
          <w:sz w:val="32"/>
          <w:szCs w:val="32"/>
          <w:lang w:val="en-US" w:eastAsia="zh-CN" w:bidi="ar-SA"/>
        </w:rPr>
      </w:pPr>
      <w:bookmarkStart w:id="52" w:name="_Toc15396628"/>
      <w:r>
        <w:rPr>
          <w:rFonts w:hint="eastAsia" w:ascii="仿宋" w:hAnsi="仿宋" w:eastAsia="仿宋" w:cs="Times New Roman"/>
          <w:b w:val="0"/>
          <w:bCs w:val="0"/>
          <w:kern w:val="2"/>
          <w:sz w:val="32"/>
          <w:szCs w:val="32"/>
          <w:lang w:val="en-US" w:eastAsia="zh-CN" w:bidi="ar-SA"/>
        </w:rPr>
        <w:t>十、</w:t>
      </w:r>
      <w:bookmarkEnd w:id="52"/>
      <w:r>
        <w:rPr>
          <w:rFonts w:hint="eastAsia" w:ascii="仿宋" w:hAnsi="仿宋" w:eastAsia="仿宋" w:cs="Times New Roman"/>
          <w:b w:val="0"/>
          <w:bCs/>
          <w:kern w:val="2"/>
          <w:sz w:val="32"/>
          <w:szCs w:val="32"/>
          <w:lang w:val="en-US" w:eastAsia="zh-CN" w:bidi="ar-SA"/>
        </w:rPr>
        <w:t>政</w:t>
      </w:r>
      <w:r>
        <w:rPr>
          <w:rFonts w:hint="eastAsia" w:ascii="仿宋" w:hAnsi="仿宋" w:eastAsia="仿宋" w:cs="Times New Roman"/>
          <w:b w:val="0"/>
          <w:bCs w:val="0"/>
          <w:kern w:val="2"/>
          <w:sz w:val="32"/>
          <w:szCs w:val="32"/>
          <w:lang w:val="en-US" w:eastAsia="zh-CN" w:bidi="ar-SA"/>
        </w:rPr>
        <w:t>府性基金预算财政拨款收入支出决算表</w:t>
      </w:r>
    </w:p>
    <w:p>
      <w:pPr>
        <w:keepNext/>
        <w:keepLines/>
        <w:widowControl w:val="0"/>
        <w:spacing w:before="260" w:after="260" w:line="416" w:lineRule="auto"/>
        <w:jc w:val="both"/>
        <w:outlineLvl w:val="1"/>
        <w:rPr>
          <w:rFonts w:ascii="仿宋" w:hAnsi="仿宋" w:eastAsia="仿宋" w:cs="Times New Roman"/>
          <w:b/>
          <w:bCs/>
          <w:kern w:val="2"/>
          <w:sz w:val="32"/>
          <w:szCs w:val="32"/>
          <w:lang w:val="en-US" w:eastAsia="zh-CN" w:bidi="ar-SA"/>
        </w:rPr>
      </w:pPr>
      <w:bookmarkStart w:id="53" w:name="_Toc15396629"/>
      <w:r>
        <w:rPr>
          <w:rFonts w:hint="eastAsia" w:ascii="仿宋" w:hAnsi="仿宋" w:eastAsia="仿宋" w:cs="Times New Roman"/>
          <w:b w:val="0"/>
          <w:bCs w:val="0"/>
          <w:kern w:val="2"/>
          <w:sz w:val="32"/>
          <w:szCs w:val="32"/>
          <w:lang w:val="en-US" w:eastAsia="zh-CN" w:bidi="ar-SA"/>
        </w:rPr>
        <w:t>十一、</w:t>
      </w:r>
      <w:bookmarkEnd w:id="53"/>
      <w:r>
        <w:rPr>
          <w:rFonts w:hint="eastAsia" w:ascii="仿宋" w:hAnsi="仿宋" w:eastAsia="仿宋" w:cs="Times New Roman"/>
          <w:b w:val="0"/>
          <w:bCs/>
          <w:kern w:val="2"/>
          <w:sz w:val="32"/>
          <w:szCs w:val="32"/>
          <w:lang w:val="en-US" w:eastAsia="zh-CN" w:bidi="ar-SA"/>
        </w:rPr>
        <w:t>国</w:t>
      </w:r>
      <w:r>
        <w:rPr>
          <w:rFonts w:hint="eastAsia" w:ascii="仿宋" w:hAnsi="仿宋" w:eastAsia="仿宋" w:cs="Times New Roman"/>
          <w:b w:val="0"/>
          <w:bCs w:val="0"/>
          <w:kern w:val="2"/>
          <w:sz w:val="32"/>
          <w:szCs w:val="32"/>
          <w:lang w:val="en-US" w:eastAsia="zh-CN" w:bidi="ar-SA"/>
        </w:rPr>
        <w:t>有资本经营预算财政拨款收入支出决算表</w:t>
      </w:r>
    </w:p>
    <w:p>
      <w:pPr>
        <w:keepNext/>
        <w:keepLines/>
        <w:widowControl w:val="0"/>
        <w:spacing w:before="260" w:after="260" w:line="416" w:lineRule="auto"/>
        <w:jc w:val="both"/>
        <w:outlineLvl w:val="1"/>
        <w:rPr>
          <w:rFonts w:ascii="仿宋" w:hAnsi="仿宋" w:eastAsia="仿宋" w:cs="Times New Roman"/>
          <w:b/>
          <w:bCs/>
          <w:kern w:val="2"/>
          <w:sz w:val="32"/>
          <w:szCs w:val="32"/>
          <w:lang w:val="en-US" w:eastAsia="zh-CN" w:bidi="ar-SA"/>
        </w:rPr>
      </w:pPr>
      <w:bookmarkStart w:id="54" w:name="_Toc15396630"/>
      <w:r>
        <w:rPr>
          <w:rFonts w:hint="eastAsia" w:ascii="仿宋" w:hAnsi="仿宋" w:eastAsia="仿宋" w:cs="Times New Roman"/>
          <w:b w:val="0"/>
          <w:bCs w:val="0"/>
          <w:kern w:val="2"/>
          <w:sz w:val="32"/>
          <w:szCs w:val="32"/>
          <w:lang w:val="en-US" w:eastAsia="zh-CN" w:bidi="ar-SA"/>
        </w:rPr>
        <w:t>十二、</w:t>
      </w:r>
      <w:bookmarkEnd w:id="54"/>
      <w:r>
        <w:rPr>
          <w:rFonts w:hint="eastAsia" w:ascii="仿宋" w:hAnsi="仿宋" w:eastAsia="仿宋" w:cs="Times New Roman"/>
          <w:b w:val="0"/>
          <w:bCs w:val="0"/>
          <w:kern w:val="2"/>
          <w:sz w:val="32"/>
          <w:szCs w:val="32"/>
          <w:lang w:val="en-US" w:eastAsia="zh-CN" w:bidi="ar-SA"/>
        </w:rPr>
        <w:t>国有资本经营预算财政拨款支出决算表</w:t>
      </w:r>
    </w:p>
    <w:p>
      <w:pPr>
        <w:keepNext/>
        <w:keepLines/>
        <w:widowControl w:val="0"/>
        <w:spacing w:before="260" w:after="260" w:line="416" w:lineRule="auto"/>
        <w:jc w:val="both"/>
        <w:outlineLvl w:val="1"/>
        <w:rPr>
          <w:rFonts w:ascii="Cambria" w:hAnsi="Cambria" w:eastAsia="仿宋" w:cs="Times New Roman"/>
          <w:b/>
          <w:bCs/>
          <w:kern w:val="2"/>
          <w:sz w:val="32"/>
          <w:szCs w:val="32"/>
          <w:lang w:val="en-US" w:eastAsia="zh-CN" w:bidi="ar-SA"/>
        </w:rPr>
      </w:pPr>
      <w:bookmarkStart w:id="55" w:name="_Toc15396631"/>
      <w:r>
        <w:rPr>
          <w:rFonts w:hint="eastAsia" w:ascii="仿宋" w:hAnsi="仿宋" w:eastAsia="仿宋" w:cs="Times New Roman"/>
          <w:b w:val="0"/>
          <w:bCs w:val="0"/>
          <w:kern w:val="2"/>
          <w:sz w:val="32"/>
          <w:szCs w:val="32"/>
          <w:lang w:val="en-US" w:eastAsia="zh-CN" w:bidi="ar-SA"/>
        </w:rPr>
        <w:t>十三、</w:t>
      </w:r>
      <w:bookmarkEnd w:id="55"/>
      <w:r>
        <w:rPr>
          <w:rFonts w:hint="eastAsia" w:ascii="仿宋" w:hAnsi="仿宋" w:eastAsia="仿宋" w:cs="Times New Roman"/>
          <w:b w:val="0"/>
          <w:bCs w:val="0"/>
          <w:kern w:val="2"/>
          <w:sz w:val="32"/>
          <w:szCs w:val="32"/>
          <w:lang w:val="en-US" w:eastAsia="zh-CN" w:bidi="ar-SA"/>
        </w:rPr>
        <w:t>财政拨款“三公”经费支出决算表</w:t>
      </w:r>
    </w:p>
    <w:p>
      <w:bookmarkStart w:id="56" w:name="_GoBack"/>
      <w:bookmarkEnd w:id="56"/>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5T18:44:01Z" w:initials="A">
    <w:p w14:paraId="48230029">
      <w:pPr>
        <w:widowControl w:val="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公开时间以公开当天填列，目录内容注意字体格式，页码注意与正文核实是否匹配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3</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52E819"/>
    <w:multiLevelType w:val="singleLevel"/>
    <w:tmpl w:val="2D52E819"/>
    <w:lvl w:ilvl="0" w:tentative="0">
      <w:start w:val="1"/>
      <w:numFmt w:val="decimal"/>
      <w:lvlText w:val="%1."/>
      <w:lvlJc w:val="left"/>
      <w:pPr>
        <w:tabs>
          <w:tab w:val="left" w:pos="312"/>
        </w:tabs>
      </w:p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NlZDc2NGI1ZWY2ZGExZGJmNDFlNWZmMzE2NTY2N2U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3A62B5"/>
    <w:rsid w:val="0A2032A3"/>
    <w:rsid w:val="0B8A37D8"/>
    <w:rsid w:val="10C055FF"/>
    <w:rsid w:val="118107EC"/>
    <w:rsid w:val="11DD6519"/>
    <w:rsid w:val="142D7E3D"/>
    <w:rsid w:val="15480B2C"/>
    <w:rsid w:val="16BB723D"/>
    <w:rsid w:val="18015F3F"/>
    <w:rsid w:val="1BE74A3B"/>
    <w:rsid w:val="1BE8440E"/>
    <w:rsid w:val="1D155CEE"/>
    <w:rsid w:val="20F57F95"/>
    <w:rsid w:val="240371BF"/>
    <w:rsid w:val="24985564"/>
    <w:rsid w:val="25711CC6"/>
    <w:rsid w:val="25C741E6"/>
    <w:rsid w:val="27842671"/>
    <w:rsid w:val="29FD04D3"/>
    <w:rsid w:val="2ABE7A3E"/>
    <w:rsid w:val="2BD730F4"/>
    <w:rsid w:val="2CA234A8"/>
    <w:rsid w:val="2EFA178C"/>
    <w:rsid w:val="303E067E"/>
    <w:rsid w:val="30B46D73"/>
    <w:rsid w:val="319F7F4E"/>
    <w:rsid w:val="383D272C"/>
    <w:rsid w:val="39AE70AB"/>
    <w:rsid w:val="3A814E7E"/>
    <w:rsid w:val="3B8C1350"/>
    <w:rsid w:val="3C0C0783"/>
    <w:rsid w:val="3F9F3A96"/>
    <w:rsid w:val="467B6217"/>
    <w:rsid w:val="48BF60AB"/>
    <w:rsid w:val="493C27E9"/>
    <w:rsid w:val="496F39ED"/>
    <w:rsid w:val="49FF41D3"/>
    <w:rsid w:val="4BE068DB"/>
    <w:rsid w:val="4BF6002B"/>
    <w:rsid w:val="4ECE2238"/>
    <w:rsid w:val="51DB4B86"/>
    <w:rsid w:val="5306566E"/>
    <w:rsid w:val="55097EFD"/>
    <w:rsid w:val="55333C3E"/>
    <w:rsid w:val="644C37EF"/>
    <w:rsid w:val="64CA39A1"/>
    <w:rsid w:val="69630ADE"/>
    <w:rsid w:val="6C4A05C8"/>
    <w:rsid w:val="6D3B1A89"/>
    <w:rsid w:val="71BF4EC2"/>
    <w:rsid w:val="72734D90"/>
    <w:rsid w:val="72FF6E44"/>
    <w:rsid w:val="7412278C"/>
    <w:rsid w:val="78697A5D"/>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Autospacing="1" w:afterAutospacing="1"/>
    </w:pPr>
  </w:style>
  <w:style w:type="character" w:styleId="16">
    <w:name w:val="Strong"/>
    <w:basedOn w:val="15"/>
    <w:qFormat/>
    <w:uiPriority w:val="99"/>
    <w:rPr>
      <w:b/>
    </w:rPr>
  </w:style>
  <w:style w:type="character" w:styleId="17">
    <w:name w:val="FollowedHyperlink"/>
    <w:basedOn w:val="15"/>
    <w:semiHidden/>
    <w:unhideWhenUsed/>
    <w:qFormat/>
    <w:uiPriority w:val="99"/>
    <w:rPr>
      <w:color w:val="800080"/>
      <w:u w:val="single"/>
    </w:rPr>
  </w:style>
  <w:style w:type="character" w:styleId="18">
    <w:name w:val="Hyperlink"/>
    <w:basedOn w:val="15"/>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5"/>
    <w:link w:val="3"/>
    <w:qFormat/>
    <w:uiPriority w:val="9"/>
    <w:rPr>
      <w:rFonts w:ascii="Times New Roman" w:hAnsi="Times New Roman"/>
      <w:b/>
      <w:bCs/>
      <w:kern w:val="44"/>
      <w:sz w:val="44"/>
      <w:szCs w:val="44"/>
    </w:rPr>
  </w:style>
  <w:style w:type="character" w:customStyle="1" w:styleId="29">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5"/>
    <w:link w:val="8"/>
    <w:semiHidden/>
    <w:qFormat/>
    <w:uiPriority w:val="99"/>
    <w:rPr>
      <w:rFonts w:ascii="Times New Roman" w:hAnsi="Times New Roman"/>
      <w:kern w:val="2"/>
      <w:sz w:val="18"/>
      <w:szCs w:val="18"/>
    </w:rPr>
  </w:style>
  <w:style w:type="character" w:customStyle="1" w:styleId="32">
    <w:name w:val="标题 3 字符"/>
    <w:basedOn w:val="15"/>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6">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37">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8">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9">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0">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1">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2">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3">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4">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5">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6">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47">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48">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49">
    <w:name w:val="标题 1 Char"/>
    <w:link w:val="3"/>
    <w:qFormat/>
    <w:uiPriority w:val="0"/>
    <w:rPr>
      <w:rFonts w:ascii="Times New Roman" w:hAnsi="Times New Roman"/>
      <w:b/>
      <w:kern w:val="44"/>
      <w:sz w:val="44"/>
    </w:rPr>
  </w:style>
  <w:style w:type="character" w:customStyle="1" w:styleId="50">
    <w:name w:val="标题 2 Char"/>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ysClr val="windowText" lastClr="000000">
                    <a:lumMod val="65000"/>
                    <a:lumOff val="35000"/>
                  </a:sys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rgbClr val="4F81B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436.96</c:v>
                </c:pt>
                <c:pt idx="1">
                  <c:v>436.96</c:v>
                </c:pt>
              </c:numCache>
            </c:numRef>
          </c:val>
        </c:ser>
        <c:ser>
          <c:idx val="1"/>
          <c:order val="1"/>
          <c:tx>
            <c:strRef>
              <c:f>Sheet1!$C$1</c:f>
              <c:strCache>
                <c:ptCount val="1"/>
                <c:pt idx="0">
                  <c:v>2023</c:v>
                </c:pt>
              </c:strCache>
            </c:strRef>
          </c:tx>
          <c:spPr>
            <a:solidFill>
              <a:srgbClr val="C0504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491.95</c:v>
                </c:pt>
                <c:pt idx="1">
                  <c:v>491.95</c:v>
                </c:pt>
              </c:numCache>
            </c:numRef>
          </c:val>
        </c:ser>
        <c:dLbls>
          <c:showLegendKey val="0"/>
          <c:showVal val="0"/>
          <c:showCatName val="0"/>
          <c:showSerName val="0"/>
          <c:showPercent val="0"/>
          <c:showBubbleSize val="0"/>
        </c:dLbls>
        <c:gapWidth val="219"/>
        <c:overlap val="-27"/>
        <c:axId val="256806864"/>
        <c:axId val="379233192"/>
      </c:barChart>
      <c:catAx>
        <c:axId val="2568068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ysClr val="windowText" lastClr="000000">
                        <a:lumMod val="65000"/>
                        <a:lumOff val="35000"/>
                      </a:sys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79233192"/>
        <c:crosses val="autoZero"/>
        <c:auto val="1"/>
        <c:lblAlgn val="ctr"/>
        <c:lblOffset val="100"/>
        <c:noMultiLvlLbl val="0"/>
      </c:catAx>
      <c:valAx>
        <c:axId val="379233192"/>
        <c:scaling>
          <c:orientation val="minMax"/>
          <c:min val="0"/>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25680686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ysClr val="windowText" lastClr="000000">
                    <a:lumMod val="65000"/>
                    <a:lumOff val="35000"/>
                  </a:sys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Pt>
            <c:idx val="2"/>
            <c:bubble3D val="0"/>
            <c:spPr>
              <a:solidFill>
                <a:srgbClr val="9BBB59"/>
              </a:solidFill>
              <a:ln w="19050">
                <a:solidFill>
                  <a:sysClr val="window" lastClr="FFFFFF"/>
                </a:solidFill>
              </a:ln>
              <a:effectLst/>
            </c:spPr>
          </c:dPt>
          <c:dPt>
            <c:idx val="3"/>
            <c:bubble3D val="0"/>
            <c:spPr>
              <a:solidFill>
                <a:srgbClr val="8064A2"/>
              </a:solidFill>
              <a:ln w="19050">
                <a:solidFill>
                  <a:sysClr val="window" lastClr="FFFFFF"/>
                </a:solidFill>
              </a:ln>
              <a:effectLst/>
            </c:spPr>
          </c:dPt>
          <c:dPt>
            <c:idx val="4"/>
            <c:bubble3D val="0"/>
            <c:spPr>
              <a:solidFill>
                <a:srgbClr val="4BACC6"/>
              </a:solidFill>
              <a:ln w="19050">
                <a:solidFill>
                  <a:sysClr val="window" lastClr="FFFFFF"/>
                </a:solidFill>
              </a:ln>
              <a:effectLst/>
            </c:spPr>
          </c:dPt>
          <c:dPt>
            <c:idx val="5"/>
            <c:bubble3D val="0"/>
            <c:spPr>
              <a:solidFill>
                <a:srgbClr val="F79646"/>
              </a:solidFill>
              <a:ln w="19050">
                <a:solidFill>
                  <a:sysClr val="window" lastClr="FFFFFF"/>
                </a:solidFill>
              </a:ln>
              <a:effectLst/>
            </c:spPr>
          </c:dPt>
          <c:dPt>
            <c:idx val="6"/>
            <c:bubble3D val="0"/>
            <c:spPr>
              <a:solidFill>
                <a:srgbClr val="4F81BD">
                  <a:lumMod val="60000"/>
                </a:srgbClr>
              </a:solidFill>
              <a:ln w="19050">
                <a:solidFill>
                  <a:sysClr val="window" lastClr="FFFFFF"/>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附属单位上级收入</c:v>
                </c:pt>
                <c:pt idx="6">
                  <c:v>其他收入</c:v>
                </c:pt>
              </c:strCache>
            </c:strRef>
          </c:cat>
          <c:val>
            <c:numRef>
              <c:f>Sheet1!$B$2:$B$8</c:f>
              <c:numCache>
                <c:formatCode>General</c:formatCode>
                <c:ptCount val="7"/>
                <c:pt idx="0">
                  <c:v>491.95</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ysClr val="windowText" lastClr="000000">
                  <a:lumMod val="65000"/>
                  <a:lumOff val="35000"/>
                </a:sysClr>
              </a:solidFill>
              <a:latin typeface="+mn-lt"/>
              <a:ea typeface="+mn-ea"/>
              <a:cs typeface="+mn-cs"/>
            </a:defRPr>
          </a:pPr>
        </a:p>
      </c:tx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Pt>
            <c:idx val="2"/>
            <c:bubble3D val="0"/>
            <c:spPr>
              <a:solidFill>
                <a:srgbClr val="9BBB59"/>
              </a:solidFill>
              <a:ln w="19050">
                <a:solidFill>
                  <a:sysClr val="window" lastClr="FFFFFF"/>
                </a:solidFill>
              </a:ln>
              <a:effectLst/>
            </c:spPr>
          </c:dPt>
          <c:dPt>
            <c:idx val="3"/>
            <c:bubble3D val="0"/>
            <c:spPr>
              <a:solidFill>
                <a:srgbClr val="8064A2"/>
              </a:solidFill>
              <a:ln w="19050">
                <a:solidFill>
                  <a:sysClr val="window" lastClr="FFFFFF"/>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460.92</c:v>
                </c:pt>
                <c:pt idx="1">
                  <c:v>31.03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ysClr val="windowText" lastClr="000000">
                    <a:lumMod val="65000"/>
                    <a:lumOff val="35000"/>
                  </a:sys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0758006260534553"/>
          <c:y val="0.160990712074303"/>
          <c:w val="0.897712496990128"/>
          <c:h val="0.562930856553148"/>
        </c:manualLayout>
      </c:layout>
      <c:barChart>
        <c:barDir val="col"/>
        <c:grouping val="clustered"/>
        <c:varyColors val="0"/>
        <c:ser>
          <c:idx val="0"/>
          <c:order val="0"/>
          <c:tx>
            <c:strRef>
              <c:f>Sheet1!$B$1</c:f>
              <c:strCache>
                <c:ptCount val="1"/>
                <c:pt idx="0">
                  <c:v>2022</c:v>
                </c:pt>
              </c:strCache>
            </c:strRef>
          </c:tx>
          <c:spPr>
            <a:solidFill>
              <a:srgbClr val="4F81B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收入</c:v>
                </c:pt>
                <c:pt idx="1">
                  <c:v>支出</c:v>
                </c:pt>
              </c:strCache>
            </c:strRef>
          </c:cat>
          <c:val>
            <c:numRef>
              <c:f>Sheet1!$B$2:$B$4</c:f>
              <c:numCache>
                <c:formatCode>General</c:formatCode>
                <c:ptCount val="3"/>
                <c:pt idx="0">
                  <c:v>436.96</c:v>
                </c:pt>
                <c:pt idx="1">
                  <c:v>436.96</c:v>
                </c:pt>
              </c:numCache>
            </c:numRef>
          </c:val>
        </c:ser>
        <c:ser>
          <c:idx val="1"/>
          <c:order val="1"/>
          <c:tx>
            <c:strRef>
              <c:f>Sheet1!$C$1</c:f>
              <c:strCache>
                <c:ptCount val="1"/>
                <c:pt idx="0">
                  <c:v>2023</c:v>
                </c:pt>
              </c:strCache>
            </c:strRef>
          </c:tx>
          <c:spPr>
            <a:solidFill>
              <a:srgbClr val="C0504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Sheet1!$A$2:$A$4</c:f>
              <c:strCache>
                <c:ptCount val="3"/>
                <c:pt idx="0">
                  <c:v>收入</c:v>
                </c:pt>
                <c:pt idx="1">
                  <c:v>支出</c:v>
                </c:pt>
              </c:strCache>
            </c:strRef>
          </c:cat>
          <c:val>
            <c:numRef>
              <c:f>Sheet1!$C$2:$C$4</c:f>
              <c:numCache>
                <c:formatCode>General</c:formatCode>
                <c:ptCount val="3"/>
                <c:pt idx="0">
                  <c:v>491.95</c:v>
                </c:pt>
                <c:pt idx="1">
                  <c:v>491.95</c:v>
                </c:pt>
              </c:numCache>
            </c:numRef>
          </c:val>
        </c:ser>
        <c:dLbls>
          <c:showLegendKey val="0"/>
          <c:showVal val="0"/>
          <c:showCatName val="0"/>
          <c:showSerName val="0"/>
          <c:showPercent val="0"/>
          <c:showBubbleSize val="0"/>
        </c:dLbls>
        <c:gapWidth val="219"/>
        <c:overlap val="-27"/>
        <c:axId val="379235544"/>
        <c:axId val="379234368"/>
      </c:barChart>
      <c:catAx>
        <c:axId val="379235544"/>
        <c:scaling>
          <c:orientation val="minMax"/>
        </c:scaling>
        <c:delete val="0"/>
        <c:axPos val="b"/>
        <c:title>
          <c:tx>
            <c:rich>
              <a:bodyPr rot="0" spcFirstLastPara="1" vertOverflow="ellipsis" vert="horz" wrap="square" anchor="ctr" anchorCtr="1"/>
              <a:lstStyle/>
              <a:p>
                <a:pPr>
                  <a:defRPr lang="zh-CN" sz="1000" b="0" i="0" u="none" strike="noStrike" kern="1200" baseline="0">
                    <a:solidFill>
                      <a:sysClr val="windowText" lastClr="000000">
                        <a:lumMod val="65000"/>
                        <a:lumOff val="35000"/>
                      </a:sys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79234368"/>
        <c:crosses val="autoZero"/>
        <c:auto val="1"/>
        <c:lblAlgn val="ctr"/>
        <c:lblOffset val="100"/>
        <c:noMultiLvlLbl val="0"/>
      </c:catAx>
      <c:valAx>
        <c:axId val="379234368"/>
        <c:scaling>
          <c:orientation val="minMax"/>
          <c:min val="0"/>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79235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ysClr val="windowText" lastClr="000000">
                    <a:lumMod val="65000"/>
                    <a:lumOff val="35000"/>
                  </a:sys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manualLayout>
          <c:xMode val="edge"/>
          <c:yMode val="edge"/>
          <c:x val="0.126294245124007"/>
          <c:y val="0.00928792569659443"/>
        </c:manualLayout>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rgbClr val="4F81B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436.96</c:v>
                </c:pt>
                <c:pt idx="1">
                  <c:v>491.95</c:v>
                </c:pt>
              </c:numCache>
            </c:numRef>
          </c:val>
        </c:ser>
        <c:dLbls>
          <c:showLegendKey val="0"/>
          <c:showVal val="0"/>
          <c:showCatName val="0"/>
          <c:showSerName val="0"/>
          <c:showPercent val="0"/>
          <c:showBubbleSize val="0"/>
        </c:dLbls>
        <c:gapWidth val="219"/>
        <c:overlap val="-27"/>
        <c:axId val="379233584"/>
        <c:axId val="379235936"/>
      </c:barChart>
      <c:catAx>
        <c:axId val="379233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ysClr val="windowText" lastClr="000000">
                        <a:lumMod val="65000"/>
                        <a:lumOff val="35000"/>
                      </a:sys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79235936"/>
        <c:crosses val="autoZero"/>
        <c:auto val="1"/>
        <c:lblAlgn val="ctr"/>
        <c:lblOffset val="100"/>
        <c:noMultiLvlLbl val="0"/>
      </c:catAx>
      <c:valAx>
        <c:axId val="379235936"/>
        <c:scaling>
          <c:orientation val="minMax"/>
          <c:min val="0"/>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79233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ysClr val="windowText" lastClr="000000">
                    <a:lumMod val="65000"/>
                    <a:lumOff val="35000"/>
                  </a:sys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Pt>
            <c:idx val="2"/>
            <c:bubble3D val="0"/>
            <c:spPr>
              <a:solidFill>
                <a:srgbClr val="9BBB59"/>
              </a:solidFill>
              <a:ln w="19050">
                <a:solidFill>
                  <a:sysClr val="window" lastClr="FFFFFF"/>
                </a:solidFill>
              </a:ln>
              <a:effectLst/>
            </c:spPr>
          </c:dPt>
          <c:dPt>
            <c:idx val="3"/>
            <c:bubble3D val="0"/>
            <c:spPr>
              <a:solidFill>
                <a:srgbClr val="8064A2"/>
              </a:solidFill>
              <a:ln w="19050">
                <a:solidFill>
                  <a:sysClr val="window" lastClr="FFFFFF"/>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389.72</c:v>
                </c:pt>
                <c:pt idx="1">
                  <c:v>50.11</c:v>
                </c:pt>
                <c:pt idx="2">
                  <c:v>16.72</c:v>
                </c:pt>
                <c:pt idx="3">
                  <c:v>35.4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EB8C8-2F1A-46E9-8D74-49FDA450EFC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14018</Words>
  <Characters>15448</Characters>
  <Lines>84</Lines>
  <Paragraphs>23</Paragraphs>
  <TotalTime>0</TotalTime>
  <ScaleCrop>false</ScaleCrop>
  <LinksUpToDate>false</LinksUpToDate>
  <CharactersWithSpaces>15518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Lenovo</cp:lastModifiedBy>
  <cp:lastPrinted>2023-07-31T02:35:00Z</cp:lastPrinted>
  <dcterms:modified xsi:type="dcterms:W3CDTF">2024-08-29T08:33:27Z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48CF4AE90F8548AF9879E71663B1A448_12</vt:lpwstr>
  </property>
</Properties>
</file>