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51F84">
      <w:pPr>
        <w:spacing w:line="600" w:lineRule="exact"/>
        <w:jc w:val="left"/>
        <w:outlineLvl w:val="0"/>
        <w:rPr>
          <w:rFonts w:ascii="方正小标宋简体" w:hAnsi="宋体" w:eastAsia="方正小标宋简体"/>
          <w:szCs w:val="21"/>
        </w:rPr>
      </w:pPr>
      <w:bookmarkStart w:id="0" w:name="_Toc15306267"/>
    </w:p>
    <w:p w14:paraId="1F6F8443">
      <w:pPr>
        <w:pStyle w:val="6"/>
        <w:spacing w:before="93"/>
      </w:pPr>
    </w:p>
    <w:p w14:paraId="3F790ED2">
      <w:pPr>
        <w:spacing w:line="600" w:lineRule="exact"/>
        <w:jc w:val="center"/>
        <w:outlineLvl w:val="0"/>
        <w:rPr>
          <w:rFonts w:ascii="方正小标宋简体" w:hAnsi="宋体" w:eastAsia="方正小标宋简体"/>
          <w:sz w:val="72"/>
          <w:szCs w:val="72"/>
        </w:rPr>
      </w:pPr>
    </w:p>
    <w:p w14:paraId="7DA014B6">
      <w:pPr>
        <w:spacing w:line="600" w:lineRule="exact"/>
        <w:jc w:val="center"/>
        <w:outlineLvl w:val="0"/>
        <w:rPr>
          <w:rFonts w:ascii="方正小标宋简体" w:hAnsi="宋体" w:eastAsia="方正小标宋简体"/>
          <w:sz w:val="72"/>
          <w:szCs w:val="72"/>
        </w:rPr>
      </w:pPr>
    </w:p>
    <w:p w14:paraId="4B2A933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475"/>
      <w:bookmarkStart w:id="3" w:name="_Toc15377425"/>
      <w:bookmarkStart w:id="4" w:name="_Toc15378441"/>
      <w:bookmarkStart w:id="5"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Start w:id="74" w:name="_GoBack"/>
      <w:bookmarkEnd w:id="74"/>
    </w:p>
    <w:p w14:paraId="4C1F8C8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96598"/>
      <w:bookmarkStart w:id="9" w:name="_Toc15378442"/>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遂宁市安居</w:t>
      </w:r>
      <w:r>
        <w:rPr>
          <w:rFonts w:ascii="方正小标宋简体" w:hAnsi="方正小标宋简体" w:eastAsia="方正小标宋简体" w:cs="方正小标宋简体"/>
          <w:sz w:val="72"/>
          <w:szCs w:val="72"/>
        </w:rPr>
        <w:t>区西眉镇中心小学校</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52BCC74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369B09B">
      <w:pPr>
        <w:widowControl/>
        <w:jc w:val="center"/>
        <w:rPr>
          <w:rFonts w:ascii="黑体" w:hAnsi="黑体" w:eastAsia="黑体" w:cstheme="minorBidi"/>
          <w:sz w:val="28"/>
          <w:szCs w:val="28"/>
        </w:rPr>
      </w:pPr>
    </w:p>
    <w:p w14:paraId="0CF797F7">
      <w:pPr>
        <w:pStyle w:val="12"/>
      </w:pPr>
      <w:r>
        <w:rPr>
          <w:rFonts w:hint="eastAsia"/>
        </w:rPr>
        <w:t>公开时间：202</w:t>
      </w:r>
      <w:r>
        <w:t>4</w:t>
      </w:r>
      <w:r>
        <w:rPr>
          <w:rFonts w:hint="eastAsia"/>
        </w:rPr>
        <w:t>年</w:t>
      </w:r>
      <w:r>
        <w:t>8</w:t>
      </w:r>
      <w:r>
        <w:rPr>
          <w:rFonts w:hint="eastAsia"/>
        </w:rPr>
        <w:t>月</w:t>
      </w:r>
      <w:r>
        <w:t>28</w:t>
      </w:r>
      <w:r>
        <w:rPr>
          <w:rFonts w:hint="eastAsia"/>
        </w:rPr>
        <w:t>日</w:t>
      </w:r>
    </w:p>
    <w:p w14:paraId="053C6E3E"/>
    <w:p w14:paraId="6CDE03E1">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4</w:t>
      </w:r>
    </w:p>
    <w:p w14:paraId="7333CF3E">
      <w:pPr>
        <w:pStyle w:val="13"/>
        <w:adjustRightInd w:val="0"/>
        <w:snapToGrid w:val="0"/>
        <w:spacing w:line="440" w:lineRule="exact"/>
        <w:jc w:val="left"/>
        <w:rPr>
          <w:sz w:val="24"/>
        </w:rPr>
      </w:pPr>
      <w:r>
        <w:rPr>
          <w:rFonts w:hint="eastAsia"/>
          <w:sz w:val="24"/>
        </w:rPr>
        <w:t>一、主要职责</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4</w:t>
      </w:r>
    </w:p>
    <w:p w14:paraId="5F01D31A">
      <w:pPr>
        <w:pStyle w:val="13"/>
        <w:adjustRightInd w:val="0"/>
        <w:snapToGrid w:val="0"/>
        <w:spacing w:line="440" w:lineRule="exact"/>
        <w:jc w:val="left"/>
      </w:pPr>
      <w:r>
        <w:rPr>
          <w:rFonts w:hint="eastAsia"/>
          <w:sz w:val="24"/>
        </w:rPr>
        <w:t>二、机构设置</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4</w:t>
      </w:r>
    </w:p>
    <w:p w14:paraId="38817F11">
      <w:pPr>
        <w:pStyle w:val="12"/>
        <w:adjustRightInd w:val="0"/>
        <w:snapToGrid w:val="0"/>
        <w:spacing w:before="0" w:line="440" w:lineRule="exact"/>
        <w:jc w:val="left"/>
        <w:rPr>
          <w:sz w:val="24"/>
          <w:szCs w:val="24"/>
        </w:rPr>
      </w:pPr>
      <w:r>
        <w:rPr>
          <w:rFonts w:hint="eastAsia"/>
          <w:sz w:val="24"/>
        </w:rPr>
        <w:t>第二部分 2023年度单位决算情况说明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5</w:t>
      </w:r>
    </w:p>
    <w:p w14:paraId="350213BC">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5</w:t>
      </w:r>
    </w:p>
    <w:p w14:paraId="509F6A42">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5</w:t>
      </w:r>
    </w:p>
    <w:p w14:paraId="6DC981D1">
      <w:pPr>
        <w:pStyle w:val="13"/>
        <w:adjustRightInd w:val="0"/>
        <w:snapToGrid w:val="0"/>
        <w:spacing w:line="440" w:lineRule="exact"/>
        <w:jc w:val="left"/>
        <w:rPr>
          <w:sz w:val="24"/>
        </w:rPr>
      </w:pPr>
      <w:r>
        <w:rPr>
          <w:rFonts w:hint="eastAsia"/>
          <w:sz w:val="24"/>
        </w:rPr>
        <w:t>三、支出决算情况说明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6</w:t>
      </w:r>
    </w:p>
    <w:p w14:paraId="604A39B4">
      <w:pPr>
        <w:pStyle w:val="13"/>
        <w:adjustRightInd w:val="0"/>
        <w:snapToGrid w:val="0"/>
        <w:spacing w:line="440" w:lineRule="exact"/>
        <w:jc w:val="left"/>
        <w:rPr>
          <w:sz w:val="24"/>
        </w:rPr>
      </w:pPr>
      <w:r>
        <w:rPr>
          <w:rFonts w:hint="eastAsia"/>
          <w:sz w:val="24"/>
        </w:rPr>
        <w:t>四、财政拨款收入支出决算总体情况说明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sz w:val="24"/>
        </w:rPr>
        <w:t>7</w:t>
      </w:r>
    </w:p>
    <w:p w14:paraId="070C097F">
      <w:pPr>
        <w:pStyle w:val="13"/>
        <w:adjustRightInd w:val="0"/>
        <w:snapToGrid w:val="0"/>
        <w:spacing w:line="440" w:lineRule="exact"/>
        <w:jc w:val="left"/>
        <w:rPr>
          <w:sz w:val="24"/>
        </w:rPr>
      </w:pPr>
      <w:r>
        <w:rPr>
          <w:rFonts w:hint="eastAsia"/>
          <w:sz w:val="24"/>
        </w:rPr>
        <w:t>五、一般公共预算财政拨款支出决算情况说明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7</w:t>
      </w:r>
    </w:p>
    <w:p w14:paraId="79799EF6">
      <w:pPr>
        <w:pStyle w:val="13"/>
        <w:adjustRightInd w:val="0"/>
        <w:snapToGrid w:val="0"/>
        <w:spacing w:line="440" w:lineRule="exact"/>
        <w:jc w:val="left"/>
        <w:rPr>
          <w:sz w:val="24"/>
        </w:rPr>
      </w:pPr>
      <w:r>
        <w:rPr>
          <w:rFonts w:hint="eastAsia"/>
          <w:sz w:val="24"/>
        </w:rPr>
        <w:t>六、一般公共预算财政拨款基本支出决算情况说明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10</w:t>
      </w:r>
    </w:p>
    <w:p w14:paraId="6B84763E">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11</w:t>
      </w:r>
    </w:p>
    <w:p w14:paraId="47EEE0AA">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11</w:t>
      </w:r>
    </w:p>
    <w:p w14:paraId="1B4A741F">
      <w:pPr>
        <w:pStyle w:val="13"/>
        <w:adjustRightInd w:val="0"/>
        <w:snapToGrid w:val="0"/>
        <w:spacing w:line="440" w:lineRule="exact"/>
        <w:jc w:val="left"/>
        <w:rPr>
          <w:sz w:val="24"/>
        </w:rPr>
      </w:pPr>
      <w:r>
        <w:rPr>
          <w:rFonts w:hint="eastAsia"/>
          <w:sz w:val="24"/>
        </w:rPr>
        <w:t>九、国有资本经营预算支出决算情况说明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11</w:t>
      </w:r>
    </w:p>
    <w:p w14:paraId="73CB1991">
      <w:pPr>
        <w:pStyle w:val="13"/>
        <w:adjustRightInd w:val="0"/>
        <w:snapToGrid w:val="0"/>
        <w:spacing w:line="440" w:lineRule="exact"/>
        <w:jc w:val="left"/>
      </w:pPr>
      <w:r>
        <w:rPr>
          <w:rFonts w:hint="eastAsia"/>
          <w:sz w:val="24"/>
        </w:rPr>
        <w:t>十、其他重要事项的情况说明</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11</w:t>
      </w:r>
    </w:p>
    <w:p w14:paraId="33DCDEDC">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13</w:t>
      </w:r>
    </w:p>
    <w:p w14:paraId="7F86186E">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t xml:space="preserve"> </w:t>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16</w:t>
      </w:r>
    </w:p>
    <w:p w14:paraId="26CA8C7C">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rFonts w:hint="eastAsia"/>
          <w:sz w:val="24"/>
        </w:rPr>
        <w:sym w:font="Wingdings 2" w:char="F095"/>
      </w:r>
      <w:r>
        <w:rPr>
          <w:sz w:val="24"/>
        </w:rPr>
        <w:t xml:space="preserve"> </w:t>
      </w:r>
      <w:r>
        <w:rPr>
          <w:rFonts w:hint="eastAsia"/>
          <w:sz w:val="24"/>
        </w:rPr>
        <w:sym w:font="Wingdings 2" w:char="F095"/>
      </w:r>
      <w:r>
        <w:rPr>
          <w:rFonts w:hint="eastAsia"/>
          <w:sz w:val="24"/>
        </w:rPr>
        <w:sym w:font="Wingdings 2" w:char="F095"/>
      </w:r>
      <w:r>
        <w:rPr>
          <w:sz w:val="24"/>
        </w:rPr>
        <w:t>38</w:t>
      </w:r>
    </w:p>
    <w:p w14:paraId="355997D6">
      <w:pPr>
        <w:pStyle w:val="13"/>
        <w:adjustRightInd w:val="0"/>
        <w:snapToGrid w:val="0"/>
        <w:spacing w:line="440" w:lineRule="exact"/>
        <w:jc w:val="left"/>
        <w:rPr>
          <w:sz w:val="24"/>
        </w:rPr>
      </w:pPr>
      <w:r>
        <w:rPr>
          <w:rFonts w:hint="eastAsia"/>
          <w:sz w:val="24"/>
        </w:rPr>
        <w:t>一、收入支出决算总表</w:t>
      </w:r>
    </w:p>
    <w:p w14:paraId="62ED8657">
      <w:pPr>
        <w:pStyle w:val="13"/>
        <w:adjustRightInd w:val="0"/>
        <w:snapToGrid w:val="0"/>
        <w:spacing w:line="440" w:lineRule="exact"/>
        <w:jc w:val="left"/>
        <w:rPr>
          <w:sz w:val="24"/>
        </w:rPr>
      </w:pPr>
      <w:r>
        <w:rPr>
          <w:rFonts w:hint="eastAsia"/>
          <w:sz w:val="24"/>
        </w:rPr>
        <w:t>二、收入决算表</w:t>
      </w:r>
    </w:p>
    <w:p w14:paraId="7944F476">
      <w:pPr>
        <w:pStyle w:val="13"/>
        <w:adjustRightInd w:val="0"/>
        <w:snapToGrid w:val="0"/>
        <w:spacing w:line="440" w:lineRule="exact"/>
        <w:jc w:val="left"/>
        <w:rPr>
          <w:sz w:val="24"/>
        </w:rPr>
      </w:pPr>
      <w:r>
        <w:rPr>
          <w:rFonts w:hint="eastAsia"/>
          <w:sz w:val="24"/>
        </w:rPr>
        <w:t>三、支出决算表</w:t>
      </w:r>
    </w:p>
    <w:p w14:paraId="6009A97F">
      <w:pPr>
        <w:pStyle w:val="13"/>
        <w:adjustRightInd w:val="0"/>
        <w:snapToGrid w:val="0"/>
        <w:spacing w:line="440" w:lineRule="exact"/>
        <w:jc w:val="left"/>
        <w:rPr>
          <w:sz w:val="24"/>
        </w:rPr>
      </w:pPr>
      <w:r>
        <w:rPr>
          <w:rFonts w:hint="eastAsia"/>
          <w:sz w:val="24"/>
        </w:rPr>
        <w:t>四、财政拨款收入支出决算总表</w:t>
      </w:r>
    </w:p>
    <w:p w14:paraId="23DFD53C">
      <w:pPr>
        <w:pStyle w:val="13"/>
        <w:adjustRightInd w:val="0"/>
        <w:snapToGrid w:val="0"/>
        <w:spacing w:line="440" w:lineRule="exact"/>
        <w:jc w:val="left"/>
        <w:rPr>
          <w:sz w:val="24"/>
        </w:rPr>
      </w:pPr>
      <w:r>
        <w:rPr>
          <w:rFonts w:hint="eastAsia"/>
          <w:sz w:val="24"/>
        </w:rPr>
        <w:t>五、财政拨款支出决算明细表</w:t>
      </w:r>
    </w:p>
    <w:p w14:paraId="6A15EC11">
      <w:pPr>
        <w:pStyle w:val="13"/>
        <w:adjustRightInd w:val="0"/>
        <w:snapToGrid w:val="0"/>
        <w:spacing w:line="440" w:lineRule="exact"/>
        <w:jc w:val="left"/>
        <w:rPr>
          <w:sz w:val="24"/>
        </w:rPr>
      </w:pPr>
      <w:r>
        <w:rPr>
          <w:rFonts w:hint="eastAsia"/>
          <w:sz w:val="24"/>
        </w:rPr>
        <w:t>六、一般公共预算财政拨款支出决算表</w:t>
      </w:r>
    </w:p>
    <w:p w14:paraId="7BB8C0C5">
      <w:pPr>
        <w:pStyle w:val="13"/>
        <w:adjustRightInd w:val="0"/>
        <w:snapToGrid w:val="0"/>
        <w:spacing w:line="440" w:lineRule="exact"/>
        <w:jc w:val="left"/>
        <w:rPr>
          <w:sz w:val="24"/>
        </w:rPr>
      </w:pPr>
      <w:r>
        <w:rPr>
          <w:rFonts w:hint="eastAsia"/>
          <w:sz w:val="24"/>
        </w:rPr>
        <w:t>七、一般公共预算财政拨款支出决算明细表</w:t>
      </w:r>
    </w:p>
    <w:p w14:paraId="432DC1C9">
      <w:pPr>
        <w:pStyle w:val="13"/>
        <w:adjustRightInd w:val="0"/>
        <w:snapToGrid w:val="0"/>
        <w:spacing w:line="440" w:lineRule="exact"/>
        <w:jc w:val="left"/>
        <w:rPr>
          <w:sz w:val="24"/>
        </w:rPr>
      </w:pPr>
      <w:r>
        <w:rPr>
          <w:rFonts w:hint="eastAsia"/>
          <w:sz w:val="24"/>
        </w:rPr>
        <w:t>八、一般公共预算财政拨款基本支出决算明细表</w:t>
      </w:r>
    </w:p>
    <w:p w14:paraId="6C10668E">
      <w:pPr>
        <w:pStyle w:val="13"/>
        <w:adjustRightInd w:val="0"/>
        <w:snapToGrid w:val="0"/>
        <w:spacing w:line="440" w:lineRule="exact"/>
        <w:jc w:val="left"/>
        <w:rPr>
          <w:sz w:val="24"/>
        </w:rPr>
      </w:pPr>
      <w:r>
        <w:rPr>
          <w:rFonts w:hint="eastAsia"/>
          <w:sz w:val="24"/>
        </w:rPr>
        <w:t>九、一般公共预算财政拨款项目支出决算表</w:t>
      </w:r>
    </w:p>
    <w:p w14:paraId="40770946">
      <w:pPr>
        <w:pStyle w:val="13"/>
        <w:adjustRightInd w:val="0"/>
        <w:snapToGrid w:val="0"/>
        <w:spacing w:line="440" w:lineRule="exact"/>
        <w:jc w:val="left"/>
        <w:rPr>
          <w:sz w:val="24"/>
        </w:rPr>
      </w:pPr>
      <w:r>
        <w:rPr>
          <w:rFonts w:hint="eastAsia"/>
          <w:sz w:val="24"/>
        </w:rPr>
        <w:t>十、政府性基金预算财政拨款收入支出决算表</w:t>
      </w:r>
    </w:p>
    <w:p w14:paraId="7336CABC">
      <w:pPr>
        <w:pStyle w:val="13"/>
        <w:adjustRightInd w:val="0"/>
        <w:snapToGrid w:val="0"/>
        <w:spacing w:line="440" w:lineRule="exact"/>
        <w:jc w:val="left"/>
        <w:rPr>
          <w:sz w:val="24"/>
        </w:rPr>
      </w:pPr>
      <w:r>
        <w:rPr>
          <w:rFonts w:hint="eastAsia"/>
          <w:sz w:val="24"/>
        </w:rPr>
        <w:t>十一、国有资本经营预算财政拨款收入支出决算表</w:t>
      </w:r>
    </w:p>
    <w:p w14:paraId="5AE8AE40">
      <w:pPr>
        <w:pStyle w:val="13"/>
        <w:adjustRightInd w:val="0"/>
        <w:snapToGrid w:val="0"/>
        <w:spacing w:line="440" w:lineRule="exact"/>
        <w:jc w:val="left"/>
        <w:rPr>
          <w:sz w:val="24"/>
        </w:rPr>
      </w:pPr>
      <w:r>
        <w:rPr>
          <w:rFonts w:hint="eastAsia"/>
          <w:sz w:val="24"/>
        </w:rPr>
        <w:t>十二、国有资本经营预算财政拨款支出决算表</w:t>
      </w:r>
    </w:p>
    <w:p w14:paraId="72ABA34E">
      <w:pPr>
        <w:pStyle w:val="13"/>
        <w:adjustRightInd w:val="0"/>
        <w:snapToGrid w:val="0"/>
        <w:spacing w:line="440" w:lineRule="exact"/>
        <w:jc w:val="left"/>
        <w:rPr>
          <w:sz w:val="24"/>
        </w:rPr>
      </w:pPr>
      <w:r>
        <w:rPr>
          <w:rFonts w:hint="eastAsia"/>
          <w:sz w:val="24"/>
        </w:rPr>
        <w:t>十三、财政拨款“三公”经费支出决算表</w:t>
      </w:r>
    </w:p>
    <w:p w14:paraId="7A8AE2B8">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BBE5A79">
      <w:pPr>
        <w:pStyle w:val="3"/>
        <w:jc w:val="center"/>
        <w:rPr>
          <w:rStyle w:val="19"/>
          <w:rFonts w:ascii="黑体" w:hAnsi="黑体" w:eastAsia="黑体"/>
          <w:b/>
          <w:bCs w:val="0"/>
        </w:rPr>
      </w:pPr>
      <w:r>
        <w:rPr>
          <w:rFonts w:hint="eastAsia" w:ascii="黑体" w:hAnsi="黑体" w:eastAsia="黑体"/>
          <w:b w:val="0"/>
        </w:rPr>
        <w:t>第一部分 单位</w:t>
      </w:r>
      <w:r>
        <w:rPr>
          <w:rStyle w:val="19"/>
          <w:rFonts w:hint="eastAsia" w:ascii="黑体" w:hAnsi="黑体" w:eastAsia="黑体"/>
          <w:b w:val="0"/>
          <w:bCs w:val="0"/>
        </w:rPr>
        <w:t>概况</w:t>
      </w:r>
      <w:bookmarkEnd w:id="12"/>
      <w:bookmarkEnd w:id="13"/>
    </w:p>
    <w:p w14:paraId="69C614D1">
      <w:pPr>
        <w:widowControl/>
        <w:jc w:val="left"/>
        <w:rPr>
          <w:rFonts w:ascii="黑体" w:eastAsia="黑体"/>
          <w:sz w:val="32"/>
          <w:szCs w:val="32"/>
        </w:rPr>
      </w:pPr>
    </w:p>
    <w:p w14:paraId="3AB0B53F">
      <w:pPr>
        <w:spacing w:line="576" w:lineRule="exact"/>
        <w:rPr>
          <w:rStyle w:val="20"/>
          <w:rFonts w:ascii="黑体" w:hAnsi="黑体" w:eastAsia="黑体"/>
        </w:rPr>
      </w:pPr>
      <w:bookmarkStart w:id="14" w:name="_Toc15377197"/>
      <w:bookmarkStart w:id="15" w:name="_Toc15396600"/>
      <w:r>
        <w:rPr>
          <w:rStyle w:val="20"/>
          <w:rFonts w:hint="eastAsia" w:ascii="黑体" w:hAnsi="黑体" w:eastAsia="黑体"/>
        </w:rPr>
        <w:t>一、主要职责</w:t>
      </w:r>
    </w:p>
    <w:p w14:paraId="3E687B73">
      <w:pPr>
        <w:spacing w:line="576" w:lineRule="exact"/>
        <w:ind w:firstLine="640" w:firstLineChars="200"/>
        <w:rPr>
          <w:rFonts w:ascii="仿宋" w:hAnsi="仿宋" w:eastAsia="仿宋"/>
          <w:sz w:val="32"/>
          <w:szCs w:val="32"/>
        </w:rPr>
      </w:pPr>
      <w:r>
        <w:rPr>
          <w:rFonts w:ascii="仿宋" w:hAnsi="仿宋" w:eastAsia="仿宋"/>
          <w:sz w:val="32"/>
          <w:szCs w:val="32"/>
        </w:rPr>
        <w:t>1、研究拟定全校教育发展战略法，贯彻执行党和国家的教育方针、政策、法规。</w:t>
      </w:r>
    </w:p>
    <w:p w14:paraId="393690C3">
      <w:pPr>
        <w:spacing w:line="576" w:lineRule="exact"/>
        <w:ind w:firstLine="640" w:firstLineChars="200"/>
        <w:rPr>
          <w:rFonts w:ascii="仿宋" w:hAnsi="仿宋" w:eastAsia="仿宋"/>
          <w:sz w:val="32"/>
          <w:szCs w:val="32"/>
        </w:rPr>
      </w:pPr>
      <w:r>
        <w:rPr>
          <w:rFonts w:ascii="仿宋" w:hAnsi="仿宋" w:eastAsia="仿宋"/>
          <w:sz w:val="32"/>
          <w:szCs w:val="32"/>
        </w:rPr>
        <w:t>2、研究拟定学校发展规划和年度计划，组织实施教育体制和办学体制改革。</w:t>
      </w:r>
    </w:p>
    <w:p w14:paraId="24499FD8">
      <w:pPr>
        <w:spacing w:line="576" w:lineRule="exact"/>
        <w:ind w:firstLine="640" w:firstLineChars="200"/>
        <w:rPr>
          <w:rFonts w:ascii="仿宋" w:hAnsi="仿宋" w:eastAsia="仿宋"/>
          <w:sz w:val="32"/>
          <w:szCs w:val="32"/>
        </w:rPr>
      </w:pPr>
      <w:r>
        <w:rPr>
          <w:rFonts w:ascii="仿宋" w:hAnsi="仿宋" w:eastAsia="仿宋"/>
          <w:sz w:val="32"/>
          <w:szCs w:val="32"/>
        </w:rPr>
        <w:t>3、管理和指导学校基础教育工作；确保普及九年义务教育工作成果。</w:t>
      </w:r>
    </w:p>
    <w:p w14:paraId="58F8AFB8">
      <w:pPr>
        <w:spacing w:line="576" w:lineRule="exact"/>
        <w:ind w:firstLine="640" w:firstLineChars="200"/>
        <w:rPr>
          <w:rFonts w:ascii="仿宋" w:hAnsi="仿宋" w:eastAsia="仿宋"/>
          <w:sz w:val="32"/>
          <w:szCs w:val="32"/>
        </w:rPr>
      </w:pPr>
      <w:r>
        <w:rPr>
          <w:rFonts w:ascii="仿宋" w:hAnsi="仿宋" w:eastAsia="仿宋"/>
          <w:sz w:val="32"/>
          <w:szCs w:val="32"/>
        </w:rPr>
        <w:t>4、管理学校教育经费；管理学校教育经费，执行财务管理制度。</w:t>
      </w:r>
    </w:p>
    <w:p w14:paraId="777CA31D">
      <w:pPr>
        <w:spacing w:line="576" w:lineRule="exact"/>
        <w:ind w:firstLine="640" w:firstLineChars="200"/>
        <w:rPr>
          <w:rStyle w:val="20"/>
          <w:rFonts w:ascii="仿宋" w:hAnsi="仿宋" w:eastAsia="仿宋"/>
          <w:b w:val="0"/>
          <w:bCs w:val="0"/>
        </w:rPr>
      </w:pPr>
      <w:r>
        <w:rPr>
          <w:rFonts w:ascii="仿宋" w:hAnsi="仿宋" w:eastAsia="仿宋"/>
          <w:sz w:val="32"/>
          <w:szCs w:val="32"/>
        </w:rPr>
        <w:t>5、负责和指导学校教职工的思想政治工作，规划学校品德教育、体育卫生教育、艺术教育和国防教育工作；负责做好社会治安综合治理及安全保卫工作。</w:t>
      </w:r>
    </w:p>
    <w:p w14:paraId="3EB0854F">
      <w:pPr>
        <w:spacing w:line="576" w:lineRule="exact"/>
        <w:rPr>
          <w:rStyle w:val="20"/>
          <w:rFonts w:ascii="黑体" w:hAnsi="黑体" w:eastAsia="黑体"/>
          <w:b w:val="0"/>
        </w:rPr>
      </w:pPr>
      <w:r>
        <w:rPr>
          <w:rStyle w:val="20"/>
          <w:rFonts w:hint="eastAsia" w:ascii="黑体" w:hAnsi="黑体" w:eastAsia="黑体"/>
          <w:b w:val="0"/>
        </w:rPr>
        <w:t>二、机构设置</w:t>
      </w:r>
    </w:p>
    <w:p w14:paraId="5BB8EA42">
      <w:pPr>
        <w:ind w:firstLine="602" w:firstLineChars="200"/>
        <w:rPr>
          <w:rFonts w:ascii="仿宋_GB2312" w:eastAsia="仿宋_GB2312"/>
          <w:kern w:val="0"/>
          <w:sz w:val="30"/>
        </w:rPr>
      </w:pPr>
      <w:r>
        <w:rPr>
          <w:rFonts w:hint="eastAsia" w:ascii="仿宋_GB2312" w:eastAsia="仿宋_GB2312"/>
          <w:b/>
          <w:kern w:val="0"/>
          <w:sz w:val="30"/>
        </w:rPr>
        <w:t>校长室：</w:t>
      </w:r>
      <w:r>
        <w:rPr>
          <w:rFonts w:ascii="仿宋" w:hAnsi="仿宋" w:eastAsia="仿宋"/>
          <w:sz w:val="32"/>
          <w:szCs w:val="32"/>
        </w:rPr>
        <w:t>李建军</w:t>
      </w:r>
      <w:r>
        <w:rPr>
          <w:rFonts w:hint="eastAsia" w:ascii="仿宋" w:hAnsi="仿宋" w:eastAsia="仿宋"/>
          <w:sz w:val="32"/>
          <w:szCs w:val="32"/>
        </w:rPr>
        <w:t>（校长）</w:t>
      </w:r>
      <w:r>
        <w:rPr>
          <w:rFonts w:ascii="仿宋" w:hAnsi="仿宋" w:eastAsia="仿宋"/>
          <w:sz w:val="32"/>
          <w:szCs w:val="32"/>
        </w:rPr>
        <w:t>：主持学校全面工作。</w:t>
      </w:r>
    </w:p>
    <w:p w14:paraId="623C12E4">
      <w:pPr>
        <w:pStyle w:val="6"/>
        <w:spacing w:before="93"/>
        <w:ind w:firstLine="602" w:firstLineChars="200"/>
        <w:rPr>
          <w:rFonts w:ascii="仿宋" w:hAnsi="仿宋" w:eastAsia="仿宋"/>
          <w:kern w:val="2"/>
          <w:sz w:val="32"/>
          <w:szCs w:val="32"/>
        </w:rPr>
      </w:pPr>
      <w:r>
        <w:rPr>
          <w:rFonts w:hint="eastAsia"/>
          <w:b/>
        </w:rPr>
        <w:t>教务</w:t>
      </w:r>
      <w:r>
        <w:rPr>
          <w:b/>
        </w:rPr>
        <w:t>处</w:t>
      </w:r>
      <w:r>
        <w:t>：</w:t>
      </w:r>
      <w:r>
        <w:rPr>
          <w:rFonts w:ascii="仿宋" w:hAnsi="仿宋" w:eastAsia="仿宋"/>
          <w:kern w:val="2"/>
          <w:sz w:val="32"/>
          <w:szCs w:val="32"/>
        </w:rPr>
        <w:t>唐刚（</w:t>
      </w:r>
      <w:r>
        <w:rPr>
          <w:rFonts w:hint="eastAsia" w:ascii="仿宋" w:hAnsi="仿宋" w:eastAsia="仿宋"/>
          <w:kern w:val="2"/>
          <w:sz w:val="32"/>
          <w:szCs w:val="32"/>
        </w:rPr>
        <w:t>副</w:t>
      </w:r>
      <w:r>
        <w:rPr>
          <w:rFonts w:ascii="仿宋" w:hAnsi="仿宋" w:eastAsia="仿宋"/>
          <w:kern w:val="2"/>
          <w:sz w:val="32"/>
          <w:szCs w:val="32"/>
        </w:rPr>
        <w:t>校长）</w:t>
      </w:r>
      <w:r>
        <w:rPr>
          <w:rFonts w:hint="eastAsia" w:ascii="仿宋" w:hAnsi="仿宋" w:eastAsia="仿宋"/>
          <w:kern w:val="2"/>
          <w:sz w:val="32"/>
          <w:szCs w:val="32"/>
        </w:rPr>
        <w:t>杨艳</w:t>
      </w:r>
      <w:r>
        <w:rPr>
          <w:rFonts w:ascii="仿宋" w:hAnsi="仿宋" w:eastAsia="仿宋"/>
          <w:kern w:val="2"/>
          <w:sz w:val="32"/>
          <w:szCs w:val="32"/>
        </w:rPr>
        <w:t>翎（</w:t>
      </w:r>
      <w:r>
        <w:rPr>
          <w:rFonts w:hint="eastAsia" w:ascii="仿宋" w:hAnsi="仿宋" w:eastAsia="仿宋"/>
          <w:kern w:val="2"/>
          <w:sz w:val="32"/>
          <w:szCs w:val="32"/>
        </w:rPr>
        <w:t>主任</w:t>
      </w:r>
      <w:r>
        <w:rPr>
          <w:rFonts w:ascii="仿宋" w:hAnsi="仿宋" w:eastAsia="仿宋"/>
          <w:kern w:val="2"/>
          <w:sz w:val="32"/>
          <w:szCs w:val="32"/>
        </w:rPr>
        <w:t>）</w:t>
      </w:r>
      <w:r>
        <w:rPr>
          <w:rFonts w:hint="eastAsia" w:ascii="仿宋" w:hAnsi="仿宋" w:eastAsia="仿宋"/>
          <w:kern w:val="2"/>
          <w:sz w:val="32"/>
          <w:szCs w:val="32"/>
        </w:rPr>
        <w:t>廖</w:t>
      </w:r>
      <w:r>
        <w:rPr>
          <w:rFonts w:ascii="仿宋" w:hAnsi="仿宋" w:eastAsia="仿宋"/>
          <w:kern w:val="2"/>
          <w:sz w:val="32"/>
          <w:szCs w:val="32"/>
        </w:rPr>
        <w:t>红（</w:t>
      </w:r>
      <w:r>
        <w:rPr>
          <w:rFonts w:hint="eastAsia" w:ascii="仿宋" w:hAnsi="仿宋" w:eastAsia="仿宋"/>
          <w:kern w:val="2"/>
          <w:sz w:val="32"/>
          <w:szCs w:val="32"/>
        </w:rPr>
        <w:t>主任</w:t>
      </w:r>
      <w:r>
        <w:rPr>
          <w:rFonts w:ascii="仿宋" w:hAnsi="仿宋" w:eastAsia="仿宋"/>
          <w:kern w:val="2"/>
          <w:sz w:val="32"/>
          <w:szCs w:val="32"/>
        </w:rPr>
        <w:t>）</w:t>
      </w:r>
      <w:r>
        <w:rPr>
          <w:rFonts w:hint="eastAsia" w:ascii="仿宋" w:hAnsi="仿宋" w:eastAsia="仿宋"/>
          <w:kern w:val="2"/>
          <w:sz w:val="32"/>
          <w:szCs w:val="32"/>
        </w:rPr>
        <w:t>主要</w:t>
      </w:r>
      <w:r>
        <w:rPr>
          <w:rFonts w:ascii="仿宋" w:hAnsi="仿宋" w:eastAsia="仿宋"/>
          <w:kern w:val="2"/>
          <w:sz w:val="32"/>
          <w:szCs w:val="32"/>
        </w:rPr>
        <w:t>工作;</w:t>
      </w:r>
      <w:r>
        <w:rPr>
          <w:rFonts w:hint="eastAsia" w:ascii="仿宋" w:hAnsi="仿宋" w:eastAsia="仿宋"/>
          <w:kern w:val="2"/>
          <w:sz w:val="32"/>
          <w:szCs w:val="32"/>
        </w:rPr>
        <w:t>教学</w:t>
      </w:r>
      <w:r>
        <w:rPr>
          <w:rFonts w:ascii="仿宋" w:hAnsi="仿宋" w:eastAsia="仿宋"/>
          <w:kern w:val="2"/>
          <w:sz w:val="32"/>
          <w:szCs w:val="32"/>
        </w:rPr>
        <w:t>管理、教研</w:t>
      </w:r>
      <w:r>
        <w:rPr>
          <w:rFonts w:hint="eastAsia" w:ascii="仿宋" w:hAnsi="仿宋" w:eastAsia="仿宋"/>
          <w:kern w:val="2"/>
          <w:sz w:val="32"/>
          <w:szCs w:val="32"/>
        </w:rPr>
        <w:t>、</w:t>
      </w:r>
      <w:r>
        <w:rPr>
          <w:rFonts w:ascii="仿宋" w:hAnsi="仿宋" w:eastAsia="仿宋"/>
          <w:kern w:val="2"/>
          <w:sz w:val="32"/>
          <w:szCs w:val="32"/>
        </w:rPr>
        <w:t>学</w:t>
      </w:r>
      <w:r>
        <w:rPr>
          <w:rFonts w:hint="eastAsia" w:ascii="仿宋" w:hAnsi="仿宋" w:eastAsia="仿宋"/>
          <w:kern w:val="2"/>
          <w:sz w:val="32"/>
          <w:szCs w:val="32"/>
        </w:rPr>
        <w:t>籍</w:t>
      </w:r>
      <w:r>
        <w:rPr>
          <w:rFonts w:ascii="仿宋" w:hAnsi="仿宋" w:eastAsia="仿宋"/>
          <w:kern w:val="2"/>
          <w:sz w:val="32"/>
          <w:szCs w:val="32"/>
        </w:rPr>
        <w:t>管理</w:t>
      </w:r>
      <w:r>
        <w:rPr>
          <w:rFonts w:hint="eastAsia" w:ascii="仿宋" w:hAnsi="仿宋" w:eastAsia="仿宋"/>
          <w:kern w:val="2"/>
          <w:sz w:val="32"/>
          <w:szCs w:val="32"/>
        </w:rPr>
        <w:t>、</w:t>
      </w:r>
      <w:r>
        <w:rPr>
          <w:rFonts w:ascii="仿宋" w:hAnsi="仿宋" w:eastAsia="仿宋"/>
          <w:kern w:val="2"/>
          <w:sz w:val="32"/>
          <w:szCs w:val="32"/>
        </w:rPr>
        <w:t>资助</w:t>
      </w:r>
      <w:r>
        <w:rPr>
          <w:rFonts w:hint="eastAsia" w:ascii="仿宋" w:hAnsi="仿宋" w:eastAsia="仿宋"/>
          <w:kern w:val="2"/>
          <w:sz w:val="32"/>
          <w:szCs w:val="32"/>
        </w:rPr>
        <w:t>。</w:t>
      </w:r>
    </w:p>
    <w:p w14:paraId="1C2EEDB2">
      <w:pPr>
        <w:pStyle w:val="6"/>
        <w:spacing w:before="93"/>
        <w:ind w:firstLine="602" w:firstLineChars="200"/>
        <w:rPr>
          <w:rFonts w:ascii="仿宋" w:hAnsi="仿宋" w:eastAsia="仿宋"/>
          <w:kern w:val="2"/>
          <w:sz w:val="32"/>
          <w:szCs w:val="32"/>
        </w:rPr>
      </w:pPr>
      <w:r>
        <w:rPr>
          <w:rFonts w:hint="eastAsia"/>
          <w:b/>
        </w:rPr>
        <w:t>德育</w:t>
      </w:r>
      <w:r>
        <w:rPr>
          <w:b/>
        </w:rPr>
        <w:t>处</w:t>
      </w:r>
      <w:r>
        <w:t>：</w:t>
      </w:r>
      <w:r>
        <w:rPr>
          <w:rFonts w:ascii="仿宋" w:hAnsi="仿宋" w:eastAsia="仿宋"/>
          <w:kern w:val="2"/>
          <w:sz w:val="32"/>
          <w:szCs w:val="32"/>
        </w:rPr>
        <w:t>夏明（</w:t>
      </w:r>
      <w:r>
        <w:rPr>
          <w:rFonts w:hint="eastAsia" w:ascii="仿宋" w:hAnsi="仿宋" w:eastAsia="仿宋"/>
          <w:kern w:val="2"/>
          <w:sz w:val="32"/>
          <w:szCs w:val="32"/>
        </w:rPr>
        <w:t>副校长</w:t>
      </w:r>
      <w:r>
        <w:rPr>
          <w:rFonts w:ascii="仿宋" w:hAnsi="仿宋" w:eastAsia="仿宋"/>
          <w:kern w:val="2"/>
          <w:sz w:val="32"/>
          <w:szCs w:val="32"/>
        </w:rPr>
        <w:t>）</w:t>
      </w:r>
      <w:r>
        <w:rPr>
          <w:rFonts w:hint="eastAsia" w:ascii="仿宋" w:hAnsi="仿宋" w:eastAsia="仿宋"/>
          <w:kern w:val="2"/>
          <w:sz w:val="32"/>
          <w:szCs w:val="32"/>
        </w:rPr>
        <w:t>、</w:t>
      </w:r>
      <w:r>
        <w:rPr>
          <w:rFonts w:ascii="仿宋" w:hAnsi="仿宋" w:eastAsia="仿宋"/>
          <w:kern w:val="2"/>
          <w:sz w:val="32"/>
          <w:szCs w:val="32"/>
        </w:rPr>
        <w:t>丁小勇（</w:t>
      </w:r>
      <w:r>
        <w:rPr>
          <w:rFonts w:hint="eastAsia" w:ascii="仿宋" w:hAnsi="仿宋" w:eastAsia="仿宋"/>
          <w:kern w:val="2"/>
          <w:sz w:val="32"/>
          <w:szCs w:val="32"/>
        </w:rPr>
        <w:t>副</w:t>
      </w:r>
      <w:r>
        <w:rPr>
          <w:rFonts w:ascii="仿宋" w:hAnsi="仿宋" w:eastAsia="仿宋"/>
          <w:kern w:val="2"/>
          <w:sz w:val="32"/>
          <w:szCs w:val="32"/>
        </w:rPr>
        <w:t>校长）</w:t>
      </w:r>
      <w:r>
        <w:rPr>
          <w:rFonts w:hint="eastAsia" w:ascii="仿宋" w:hAnsi="仿宋" w:eastAsia="仿宋"/>
          <w:kern w:val="2"/>
          <w:sz w:val="32"/>
          <w:szCs w:val="32"/>
        </w:rPr>
        <w:t>、邓</w:t>
      </w:r>
      <w:r>
        <w:rPr>
          <w:rFonts w:ascii="仿宋" w:hAnsi="仿宋" w:eastAsia="仿宋"/>
          <w:kern w:val="2"/>
          <w:sz w:val="32"/>
          <w:szCs w:val="32"/>
        </w:rPr>
        <w:t>艳（</w:t>
      </w:r>
      <w:r>
        <w:rPr>
          <w:rFonts w:hint="eastAsia" w:ascii="仿宋" w:hAnsi="仿宋" w:eastAsia="仿宋"/>
          <w:kern w:val="2"/>
          <w:sz w:val="32"/>
          <w:szCs w:val="32"/>
        </w:rPr>
        <w:t>主任</w:t>
      </w:r>
      <w:r>
        <w:rPr>
          <w:rFonts w:ascii="仿宋" w:hAnsi="仿宋" w:eastAsia="仿宋"/>
          <w:kern w:val="2"/>
          <w:sz w:val="32"/>
          <w:szCs w:val="32"/>
        </w:rPr>
        <w:t>）</w:t>
      </w:r>
    </w:p>
    <w:p w14:paraId="7D5FF9CC">
      <w:pPr>
        <w:pStyle w:val="6"/>
        <w:spacing w:before="93"/>
        <w:ind w:firstLine="640" w:firstLineChars="200"/>
        <w:rPr>
          <w:rFonts w:ascii="仿宋" w:hAnsi="仿宋" w:eastAsia="仿宋"/>
          <w:kern w:val="2"/>
          <w:sz w:val="32"/>
          <w:szCs w:val="32"/>
        </w:rPr>
      </w:pPr>
      <w:r>
        <w:rPr>
          <w:rFonts w:hint="eastAsia" w:ascii="仿宋" w:hAnsi="仿宋" w:eastAsia="仿宋"/>
          <w:kern w:val="2"/>
          <w:sz w:val="32"/>
          <w:szCs w:val="32"/>
        </w:rPr>
        <w:t>主要工作</w:t>
      </w:r>
      <w:r>
        <w:rPr>
          <w:rFonts w:ascii="仿宋" w:hAnsi="仿宋" w:eastAsia="仿宋"/>
          <w:kern w:val="2"/>
          <w:sz w:val="32"/>
          <w:szCs w:val="32"/>
        </w:rPr>
        <w:t>：教育、安全、</w:t>
      </w:r>
      <w:r>
        <w:rPr>
          <w:rFonts w:hint="eastAsia" w:ascii="仿宋" w:hAnsi="仿宋" w:eastAsia="仿宋"/>
          <w:kern w:val="2"/>
          <w:sz w:val="32"/>
          <w:szCs w:val="32"/>
        </w:rPr>
        <w:t>艺体</w:t>
      </w:r>
      <w:r>
        <w:rPr>
          <w:rFonts w:ascii="仿宋" w:hAnsi="仿宋" w:eastAsia="仿宋"/>
          <w:kern w:val="2"/>
          <w:sz w:val="32"/>
          <w:szCs w:val="32"/>
        </w:rPr>
        <w:t>、</w:t>
      </w:r>
      <w:r>
        <w:rPr>
          <w:rFonts w:hint="eastAsia" w:ascii="仿宋" w:hAnsi="仿宋" w:eastAsia="仿宋"/>
          <w:kern w:val="2"/>
          <w:sz w:val="32"/>
          <w:szCs w:val="32"/>
        </w:rPr>
        <w:t>学生</w:t>
      </w:r>
      <w:r>
        <w:rPr>
          <w:rFonts w:ascii="仿宋" w:hAnsi="仿宋" w:eastAsia="仿宋"/>
          <w:kern w:val="2"/>
          <w:sz w:val="32"/>
          <w:szCs w:val="32"/>
        </w:rPr>
        <w:t>常规教育</w:t>
      </w:r>
      <w:r>
        <w:rPr>
          <w:rFonts w:hint="eastAsia" w:ascii="仿宋" w:hAnsi="仿宋" w:eastAsia="仿宋"/>
          <w:kern w:val="2"/>
          <w:sz w:val="32"/>
          <w:szCs w:val="32"/>
        </w:rPr>
        <w:t>、</w:t>
      </w:r>
      <w:r>
        <w:rPr>
          <w:rFonts w:ascii="仿宋" w:hAnsi="仿宋" w:eastAsia="仿宋"/>
          <w:kern w:val="2"/>
          <w:sz w:val="32"/>
          <w:szCs w:val="32"/>
        </w:rPr>
        <w:t>业绩评估等工作</w:t>
      </w:r>
      <w:r>
        <w:rPr>
          <w:rFonts w:hint="eastAsia" w:ascii="仿宋" w:hAnsi="仿宋" w:eastAsia="仿宋"/>
          <w:kern w:val="2"/>
          <w:sz w:val="32"/>
          <w:szCs w:val="32"/>
        </w:rPr>
        <w:t>。</w:t>
      </w:r>
    </w:p>
    <w:p w14:paraId="3714A71A">
      <w:pPr>
        <w:pStyle w:val="6"/>
        <w:spacing w:before="93"/>
        <w:ind w:firstLine="602" w:firstLineChars="200"/>
        <w:rPr>
          <w:rFonts w:ascii="仿宋" w:hAnsi="仿宋" w:eastAsia="仿宋"/>
          <w:kern w:val="2"/>
          <w:sz w:val="32"/>
          <w:szCs w:val="32"/>
        </w:rPr>
      </w:pPr>
      <w:r>
        <w:rPr>
          <w:rFonts w:hint="eastAsia"/>
          <w:b/>
        </w:rPr>
        <w:t>工会</w:t>
      </w:r>
      <w:r>
        <w:rPr>
          <w:b/>
        </w:rPr>
        <w:t>室</w:t>
      </w:r>
      <w:r>
        <w:t>：</w:t>
      </w:r>
      <w:r>
        <w:rPr>
          <w:rFonts w:hint="eastAsia" w:ascii="仿宋" w:hAnsi="仿宋" w:eastAsia="仿宋"/>
          <w:kern w:val="2"/>
          <w:sz w:val="32"/>
          <w:szCs w:val="32"/>
        </w:rPr>
        <w:t>陈国建（工会主席）主要工作：工会活动、党建工作</w:t>
      </w:r>
    </w:p>
    <w:p w14:paraId="4DFF552E">
      <w:pPr>
        <w:pStyle w:val="6"/>
        <w:spacing w:before="93"/>
        <w:ind w:firstLine="602" w:firstLineChars="200"/>
        <w:rPr>
          <w:rFonts w:ascii="仿宋" w:hAnsi="仿宋" w:eastAsia="仿宋"/>
          <w:kern w:val="2"/>
          <w:sz w:val="32"/>
          <w:szCs w:val="32"/>
        </w:rPr>
      </w:pPr>
      <w:r>
        <w:rPr>
          <w:rFonts w:hint="eastAsia"/>
          <w:b/>
        </w:rPr>
        <w:t>后勤</w:t>
      </w:r>
      <w:r>
        <w:rPr>
          <w:b/>
        </w:rPr>
        <w:t>处</w:t>
      </w:r>
      <w:r>
        <w:t>：</w:t>
      </w:r>
      <w:r>
        <w:rPr>
          <w:rFonts w:hint="eastAsia" w:ascii="仿宋" w:hAnsi="仿宋" w:eastAsia="仿宋"/>
          <w:kern w:val="2"/>
          <w:sz w:val="32"/>
          <w:szCs w:val="32"/>
        </w:rPr>
        <w:t>周世伟（主任）刘明（会计）、赵长春（出纳）</w:t>
      </w:r>
    </w:p>
    <w:p w14:paraId="56128E76">
      <w:pPr>
        <w:pStyle w:val="6"/>
        <w:spacing w:before="93"/>
        <w:ind w:firstLine="640" w:firstLineChars="200"/>
        <w:rPr>
          <w:rFonts w:ascii="仿宋" w:hAnsi="仿宋" w:eastAsia="仿宋"/>
          <w:kern w:val="2"/>
          <w:sz w:val="32"/>
          <w:szCs w:val="32"/>
        </w:rPr>
      </w:pPr>
      <w:r>
        <w:rPr>
          <w:rFonts w:hint="eastAsia" w:ascii="仿宋" w:hAnsi="仿宋" w:eastAsia="仿宋"/>
          <w:kern w:val="2"/>
          <w:sz w:val="32"/>
          <w:szCs w:val="32"/>
        </w:rPr>
        <w:t>主要工作：财产、财务、食堂等工作。</w:t>
      </w:r>
    </w:p>
    <w:p w14:paraId="309AB5BB">
      <w:pPr>
        <w:pStyle w:val="3"/>
        <w:ind w:right="440"/>
        <w:jc w:val="center"/>
        <w:rPr>
          <w:rFonts w:ascii="黑体" w:hAnsi="黑体" w:eastAsia="黑体"/>
          <w:b w:val="0"/>
        </w:rPr>
      </w:pPr>
      <w:r>
        <w:rPr>
          <w:rFonts w:hint="eastAsia" w:ascii="黑体" w:hAnsi="黑体" w:eastAsia="黑体"/>
          <w:b w:val="0"/>
        </w:rPr>
        <w:t>第二部分 2023年度</w:t>
      </w:r>
      <w:r>
        <w:rPr>
          <w:rStyle w:val="19"/>
          <w:rFonts w:hint="eastAsia" w:ascii="黑体" w:hAnsi="黑体" w:eastAsia="黑体"/>
          <w:b/>
          <w:bCs w:val="0"/>
        </w:rPr>
        <w:t>单位决算情况说明</w:t>
      </w:r>
    </w:p>
    <w:p w14:paraId="79932951">
      <w:pPr>
        <w:pStyle w:val="30"/>
        <w:numPr>
          <w:ilvl w:val="0"/>
          <w:numId w:val="1"/>
        </w:numPr>
        <w:spacing w:line="600" w:lineRule="exact"/>
        <w:ind w:left="1287" w:firstLineChars="0"/>
        <w:outlineLvl w:val="1"/>
        <w:rPr>
          <w:rStyle w:val="20"/>
          <w:rFonts w:ascii="黑体" w:hAnsi="黑体" w:eastAsia="黑体"/>
          <w:b w:val="0"/>
        </w:rPr>
      </w:pPr>
      <w:bookmarkStart w:id="16" w:name="_Toc15377205"/>
      <w:bookmarkStart w:id="17" w:name="_Toc15396603"/>
      <w:r>
        <w:rPr>
          <w:rFonts w:hint="eastAsia" w:ascii="黑体" w:hAnsi="黑体" w:eastAsia="黑体"/>
          <w:sz w:val="32"/>
          <w:szCs w:val="32"/>
        </w:rPr>
        <w:t>收</w:t>
      </w:r>
      <w:r>
        <w:rPr>
          <w:rStyle w:val="20"/>
          <w:rFonts w:hint="eastAsia" w:ascii="黑体" w:hAnsi="黑体" w:eastAsia="黑体"/>
        </w:rPr>
        <w:t>入支出决算总体情况说明</w:t>
      </w:r>
      <w:bookmarkEnd w:id="16"/>
      <w:bookmarkEnd w:id="17"/>
    </w:p>
    <w:p w14:paraId="4332E4E6">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2023年度收、支总计均为2224.52万元。与2022年度相比，收、支总计各增加6.38万元，增长0. 2876%。主要变动原因是调资。</w:t>
      </w:r>
    </w:p>
    <w:p w14:paraId="177EF3C1">
      <w:pPr>
        <w:pStyle w:val="2"/>
      </w:pPr>
      <w:r>
        <w:rPr>
          <w:rFonts w:ascii="仿宋" w:hAnsi="仿宋" w:eastAsia="仿宋"/>
          <w:color w:val="000000"/>
          <w:sz w:val="32"/>
          <w:szCs w:val="32"/>
        </w:rPr>
        <w:drawing>
          <wp:inline distT="0" distB="0" distL="0" distR="0">
            <wp:extent cx="5274310" cy="288036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1BCDF7">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（图1：收、支决算总计变动情况图）（柱状图）</w:t>
      </w:r>
    </w:p>
    <w:p w14:paraId="7D93C563">
      <w:pPr>
        <w:spacing w:line="600" w:lineRule="exact"/>
        <w:ind w:firstLine="640" w:firstLineChars="200"/>
        <w:jc w:val="left"/>
        <w:rPr>
          <w:rFonts w:ascii="仿宋" w:hAnsi="仿宋" w:eastAsia="仿宋"/>
          <w:sz w:val="32"/>
          <w:szCs w:val="32"/>
        </w:rPr>
      </w:pPr>
    </w:p>
    <w:p w14:paraId="144212B3">
      <w:pPr>
        <w:pStyle w:val="30"/>
        <w:numPr>
          <w:ilvl w:val="0"/>
          <w:numId w:val="1"/>
        </w:numPr>
        <w:spacing w:line="600" w:lineRule="exact"/>
        <w:ind w:left="1287" w:firstLineChars="0"/>
        <w:outlineLvl w:val="1"/>
        <w:rPr>
          <w:rStyle w:val="20"/>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20"/>
          <w:rFonts w:hint="eastAsia" w:ascii="黑体" w:hAnsi="黑体" w:eastAsia="黑体"/>
        </w:rPr>
        <w:t>入决算情况说明</w:t>
      </w:r>
      <w:bookmarkEnd w:id="18"/>
      <w:bookmarkEnd w:id="19"/>
    </w:p>
    <w:p w14:paraId="2D453C18">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本年收入合计2224.52万元，其中：一般公共预算财政拨款收入2224.52万元，占100%；政府性基金预算财政拨款收入0万元，占0%；国有资本经营预算财政拨款收入0万元，占0%；上级补助收入0万元，占0%；事业收入0万元，占0%；经营收入0万元，占0%；附属单位上缴收入0万元，占0%；其他收入0万元，占0%。</w:t>
      </w:r>
    </w:p>
    <w:p w14:paraId="7DBBEA1F">
      <w:pPr>
        <w:spacing w:line="600" w:lineRule="exact"/>
        <w:outlineLvl w:val="1"/>
        <w:rPr>
          <w:rFonts w:ascii="仿宋" w:hAnsi="仿宋" w:eastAsia="仿宋"/>
          <w:sz w:val="32"/>
          <w:szCs w:val="32"/>
        </w:rPr>
      </w:pPr>
    </w:p>
    <w:p w14:paraId="2F928BF6">
      <w:pPr>
        <w:pStyle w:val="2"/>
      </w:pPr>
      <w:r>
        <w:rPr>
          <w:rFonts w:hint="eastAsia"/>
        </w:rP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52634B">
      <w:pPr>
        <w:spacing w:line="600" w:lineRule="exact"/>
        <w:rPr>
          <w:rFonts w:ascii="仿宋" w:hAnsi="仿宋" w:eastAsia="仿宋"/>
          <w:sz w:val="32"/>
          <w:szCs w:val="32"/>
        </w:rPr>
      </w:pPr>
      <w:r>
        <w:rPr>
          <w:rFonts w:hint="eastAsia" w:ascii="仿宋" w:hAnsi="仿宋" w:eastAsia="仿宋"/>
          <w:sz w:val="32"/>
          <w:szCs w:val="32"/>
        </w:rPr>
        <w:t>（图2：收入决算结构图）（饼状图）</w:t>
      </w:r>
    </w:p>
    <w:p w14:paraId="2709CADE">
      <w:pPr>
        <w:pStyle w:val="30"/>
        <w:numPr>
          <w:ilvl w:val="0"/>
          <w:numId w:val="1"/>
        </w:numPr>
        <w:spacing w:line="600" w:lineRule="exact"/>
        <w:ind w:left="1287" w:firstLineChars="0"/>
        <w:outlineLvl w:val="1"/>
        <w:rPr>
          <w:rStyle w:val="20"/>
          <w:rFonts w:ascii="黑体" w:hAnsi="黑体" w:eastAsia="黑体"/>
          <w:b w:val="0"/>
        </w:rPr>
      </w:pPr>
      <w:bookmarkStart w:id="20" w:name="_Toc15396605"/>
      <w:bookmarkStart w:id="21" w:name="_Toc15377207"/>
      <w:r>
        <w:rPr>
          <w:rFonts w:hint="eastAsia" w:ascii="黑体" w:hAnsi="黑体" w:eastAsia="黑体"/>
          <w:sz w:val="32"/>
          <w:szCs w:val="32"/>
        </w:rPr>
        <w:t>支</w:t>
      </w:r>
      <w:r>
        <w:rPr>
          <w:rStyle w:val="20"/>
          <w:rFonts w:hint="eastAsia" w:ascii="黑体" w:hAnsi="黑体" w:eastAsia="黑体"/>
        </w:rPr>
        <w:t>出决算情况说明</w:t>
      </w:r>
      <w:bookmarkEnd w:id="20"/>
      <w:bookmarkEnd w:id="21"/>
    </w:p>
    <w:p w14:paraId="3AFA1197">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2023年度本年支出合计2224.52万元，其中：基本支出1826.61万元，占82.11%；项目支出397.91万元，占17.88%；上缴上级支出0万元，占0%；经营支出0万元，占0%；对附属单位补助支出0万元，占0%。</w:t>
      </w:r>
    </w:p>
    <w:p w14:paraId="533C7082">
      <w:pPr>
        <w:pStyle w:val="2"/>
        <w:rPr>
          <w:rFonts w:ascii="仿宋" w:hAnsi="仿宋" w:eastAsia="仿宋"/>
          <w:sz w:val="32"/>
          <w:szCs w:val="32"/>
        </w:rPr>
      </w:pPr>
      <w:r>
        <w:rPr>
          <w:rFonts w:hint="eastAsia"/>
        </w:rPr>
        <w:drawing>
          <wp:inline distT="0" distB="0" distL="0" distR="0">
            <wp:extent cx="5274310" cy="3076575"/>
            <wp:effectExtent l="5080" t="4445" r="1651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F4A71">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（图3：支出决算结构图）（饼状图）</w:t>
      </w:r>
    </w:p>
    <w:p w14:paraId="7EC0E145">
      <w:pPr>
        <w:spacing w:line="600" w:lineRule="exact"/>
        <w:ind w:firstLine="640" w:firstLineChars="200"/>
        <w:jc w:val="left"/>
        <w:rPr>
          <w:rFonts w:ascii="仿宋" w:hAnsi="仿宋" w:eastAsia="仿宋"/>
          <w:sz w:val="32"/>
          <w:szCs w:val="32"/>
        </w:rPr>
      </w:pPr>
    </w:p>
    <w:p w14:paraId="549D6D96">
      <w:pPr>
        <w:spacing w:line="600" w:lineRule="exact"/>
        <w:ind w:firstLine="640" w:firstLineChars="200"/>
        <w:outlineLvl w:val="1"/>
        <w:rPr>
          <w:rStyle w:val="20"/>
          <w:rFonts w:ascii="黑体" w:hAnsi="黑体" w:eastAsia="黑体"/>
          <w:b w:val="0"/>
        </w:rPr>
      </w:pPr>
      <w:bookmarkStart w:id="22" w:name="_Toc15396606"/>
      <w:bookmarkStart w:id="23" w:name="_Toc15377208"/>
      <w:r>
        <w:rPr>
          <w:rFonts w:hint="eastAsia" w:ascii="黑体" w:hAnsi="黑体" w:eastAsia="黑体"/>
          <w:sz w:val="32"/>
          <w:szCs w:val="32"/>
        </w:rPr>
        <w:t>四、财</w:t>
      </w:r>
      <w:r>
        <w:rPr>
          <w:rStyle w:val="20"/>
          <w:rFonts w:hint="eastAsia" w:ascii="黑体" w:hAnsi="黑体" w:eastAsia="黑体"/>
        </w:rPr>
        <w:t>政拨款收入支出决算总体情况说明</w:t>
      </w:r>
      <w:bookmarkEnd w:id="22"/>
      <w:bookmarkEnd w:id="23"/>
    </w:p>
    <w:p w14:paraId="4CF03EBA">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2023年度财政拨款收、支总计均为2224.52万元。与2022年度相比，财政拨款收、支总计各增加6.38万元，增长0.2876%。主要变动原因是调资</w:t>
      </w:r>
    </w:p>
    <w:p w14:paraId="19D0657F">
      <w:pPr>
        <w:pStyle w:val="2"/>
      </w:pPr>
      <w:r>
        <w:rPr>
          <w:rFonts w:ascii="仿宋" w:hAnsi="仿宋" w:eastAsia="仿宋"/>
          <w:color w:val="000000"/>
          <w:sz w:val="32"/>
          <w:szCs w:val="32"/>
        </w:rPr>
        <w:drawing>
          <wp:inline distT="0" distB="0" distL="0" distR="0">
            <wp:extent cx="4800600" cy="24098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7D9B4B">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7D0A34E0">
      <w:pPr>
        <w:spacing w:line="600" w:lineRule="exact"/>
        <w:ind w:firstLine="640" w:firstLineChars="200"/>
        <w:outlineLvl w:val="1"/>
        <w:rPr>
          <w:rStyle w:val="20"/>
          <w:rFonts w:ascii="黑体" w:hAnsi="黑体" w:eastAsia="黑体"/>
          <w:b w:val="0"/>
        </w:rPr>
      </w:pPr>
      <w:bookmarkStart w:id="24" w:name="_Toc15396607"/>
      <w:bookmarkStart w:id="25" w:name="_Toc15377209"/>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rPr>
        <w:t>般公共预算财政拨款支出决算情况说明</w:t>
      </w:r>
      <w:bookmarkEnd w:id="24"/>
      <w:bookmarkEnd w:id="25"/>
    </w:p>
    <w:p w14:paraId="056447B8">
      <w:pPr>
        <w:spacing w:line="600" w:lineRule="exact"/>
        <w:ind w:firstLine="643"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14:paraId="6684DB91">
      <w:pPr>
        <w:spacing w:line="600" w:lineRule="exact"/>
        <w:rPr>
          <w:rFonts w:ascii="仿宋" w:hAnsi="仿宋" w:eastAsia="仿宋"/>
          <w:sz w:val="32"/>
          <w:szCs w:val="32"/>
        </w:rPr>
      </w:pPr>
      <w:r>
        <w:rPr>
          <w:rFonts w:hint="eastAsia" w:ascii="仿宋" w:hAnsi="仿宋" w:eastAsia="仿宋"/>
          <w:sz w:val="32"/>
          <w:szCs w:val="32"/>
        </w:rPr>
        <w:t>2023年度一般公共预算财政拨款支出2224.52万元，占本年支出合计的100%。与2022年度相比，一般公共预算财政拨款支出增加6.38万元，增长0.2876%。主要变动原因是调资</w:t>
      </w:r>
    </w:p>
    <w:p w14:paraId="06DDF9A7">
      <w:pPr>
        <w:pStyle w:val="2"/>
        <w:rPr>
          <w:rFonts w:ascii="仿宋" w:hAnsi="仿宋" w:eastAsia="仿宋"/>
          <w:sz w:val="32"/>
          <w:szCs w:val="32"/>
        </w:rPr>
      </w:pPr>
      <w:r>
        <w:rPr>
          <w:rFonts w:ascii="仿宋" w:hAnsi="仿宋" w:eastAsia="仿宋"/>
          <w:color w:val="000000"/>
          <w:sz w:val="32"/>
          <w:szCs w:val="32"/>
        </w:rPr>
        <w:drawing>
          <wp:inline distT="0" distB="0" distL="0" distR="0">
            <wp:extent cx="5095875" cy="234315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2E8121">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7004339">
      <w:pPr>
        <w:spacing w:line="600" w:lineRule="exact"/>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14:paraId="6CF444D1">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2224.52万元，主要用于以下方面:一般公共服务支出0万元，占0%；教育支出1815.81万元，占81.62%；科学技术支出0万元，占0%；文化旅游体育与传媒支出0万元，占0%；社会保障和就业支出201.68万元，占9.06%；卫生健康支出67.53万元，占3.03%；住房保障支出139.49万元，占6.27%。</w:t>
      </w:r>
    </w:p>
    <w:p w14:paraId="1E31C661">
      <w:pPr>
        <w:pStyle w:val="2"/>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14605</wp:posOffset>
            </wp:positionH>
            <wp:positionV relativeFrom="paragraph">
              <wp:posOffset>356870</wp:posOffset>
            </wp:positionV>
            <wp:extent cx="5274310" cy="3076575"/>
            <wp:effectExtent l="5080" t="4445" r="16510"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（图6：一般公共预算财政拨款支出决算结构）（饼状图）</w:t>
      </w:r>
      <w:bookmarkStart w:id="28" w:name="_Toc15377212"/>
    </w:p>
    <w:p w14:paraId="7D18E460">
      <w:pPr>
        <w:pStyle w:val="2"/>
        <w:rPr>
          <w:rFonts w:ascii="仿宋" w:hAnsi="仿宋" w:eastAsia="仿宋"/>
          <w:sz w:val="32"/>
          <w:szCs w:val="32"/>
        </w:rPr>
      </w:pPr>
      <w:r>
        <w:rPr>
          <w:rFonts w:hint="eastAsia" w:ascii="仿宋" w:hAnsi="仿宋" w:eastAsia="仿宋"/>
          <w:sz w:val="32"/>
          <w:szCs w:val="32"/>
        </w:rPr>
        <w:t>（三）一般公共预算财政拨款支出决算具体情况</w:t>
      </w:r>
      <w:bookmarkEnd w:id="28"/>
    </w:p>
    <w:p w14:paraId="1F3D0B63">
      <w:pPr>
        <w:spacing w:line="600" w:lineRule="exact"/>
        <w:ind w:firstLine="640" w:firstLineChars="200"/>
        <w:rPr>
          <w:rFonts w:ascii="仿宋" w:hAnsi="仿宋" w:eastAsia="仿宋"/>
          <w:sz w:val="32"/>
          <w:szCs w:val="32"/>
        </w:rPr>
      </w:pPr>
      <w:bookmarkStart w:id="29" w:name="_Toc15377213"/>
      <w:bookmarkStart w:id="30" w:name="_Toc15377444"/>
      <w:bookmarkStart w:id="31" w:name="_Toc15378460"/>
      <w:r>
        <w:rPr>
          <w:rFonts w:hint="eastAsia" w:ascii="仿宋" w:hAnsi="仿宋" w:eastAsia="仿宋"/>
          <w:sz w:val="32"/>
          <w:szCs w:val="32"/>
        </w:rPr>
        <w:t>2023年度一般公共预算支出决算数为2224.52，完成预算100%。其中：</w:t>
      </w:r>
      <w:bookmarkEnd w:id="29"/>
      <w:bookmarkEnd w:id="30"/>
      <w:bookmarkEnd w:id="31"/>
    </w:p>
    <w:p w14:paraId="6533739E">
      <w:pPr>
        <w:spacing w:line="600" w:lineRule="exact"/>
        <w:rPr>
          <w:rFonts w:ascii="仿宋" w:hAnsi="仿宋" w:eastAsia="仿宋"/>
          <w:sz w:val="32"/>
          <w:szCs w:val="32"/>
        </w:rPr>
      </w:pPr>
      <w:r>
        <w:rPr>
          <w:rFonts w:hint="eastAsia" w:ascii="仿宋" w:hAnsi="仿宋" w:eastAsia="仿宋"/>
          <w:sz w:val="32"/>
          <w:szCs w:val="32"/>
        </w:rPr>
        <w:t>1.教育（205类）普通教育（02款）: 支出决算为1815.81万元，完成预算100%。决算数与预算数持平。</w:t>
      </w:r>
    </w:p>
    <w:p w14:paraId="2FCBABD0">
      <w:pPr>
        <w:spacing w:line="600" w:lineRule="exact"/>
        <w:rPr>
          <w:rFonts w:ascii="仿宋" w:hAnsi="仿宋" w:eastAsia="仿宋"/>
          <w:sz w:val="32"/>
          <w:szCs w:val="32"/>
        </w:rPr>
      </w:pPr>
      <w:r>
        <w:rPr>
          <w:rFonts w:hint="eastAsia" w:ascii="仿宋" w:hAnsi="仿宋" w:eastAsia="仿宋"/>
          <w:sz w:val="32"/>
          <w:szCs w:val="32"/>
        </w:rPr>
        <w:t>2.社会保障和就业（208类）行政事业单位养老支出: 支出决算为201.68万元，完成预算100%，决算数与预算数持平。</w:t>
      </w:r>
    </w:p>
    <w:p w14:paraId="5C81D540">
      <w:pPr>
        <w:spacing w:line="600" w:lineRule="exact"/>
        <w:rPr>
          <w:rFonts w:ascii="仿宋" w:hAnsi="仿宋" w:eastAsia="仿宋"/>
          <w:sz w:val="32"/>
          <w:szCs w:val="32"/>
        </w:rPr>
      </w:pPr>
      <w:r>
        <w:rPr>
          <w:rFonts w:hint="eastAsia" w:ascii="仿宋" w:hAnsi="仿宋" w:eastAsia="仿宋"/>
          <w:sz w:val="32"/>
          <w:szCs w:val="32"/>
        </w:rPr>
        <w:t>3.卫生健康（210类）行政事业单位医疗（11款）事业单位医疗（02项）:支出决算为67.53万元，完成预算100%，决算数与预算数持平。</w:t>
      </w:r>
    </w:p>
    <w:p w14:paraId="55332E64">
      <w:pPr>
        <w:spacing w:line="600" w:lineRule="exact"/>
        <w:rPr>
          <w:rFonts w:ascii="仿宋" w:hAnsi="仿宋" w:eastAsia="仿宋"/>
          <w:sz w:val="32"/>
          <w:szCs w:val="32"/>
        </w:rPr>
      </w:pPr>
      <w:r>
        <w:rPr>
          <w:rFonts w:hint="eastAsia" w:ascii="仿宋" w:hAnsi="仿宋" w:eastAsia="仿宋"/>
          <w:sz w:val="32"/>
          <w:szCs w:val="32"/>
        </w:rPr>
        <w:t>4.住房保障支出（221类）住房改革支出（02款）住房公积金（01项）支出决算为139.49万元，完成预算100%，决算数与预算数持平。</w:t>
      </w:r>
    </w:p>
    <w:p w14:paraId="6572759C">
      <w:pPr>
        <w:tabs>
          <w:tab w:val="right" w:pos="8306"/>
        </w:tabs>
        <w:spacing w:line="600" w:lineRule="exact"/>
        <w:ind w:firstLine="640" w:firstLineChars="200"/>
        <w:outlineLvl w:val="1"/>
        <w:rPr>
          <w:rStyle w:val="20"/>
        </w:rPr>
      </w:pPr>
      <w:bookmarkStart w:id="32" w:name="_Toc15377214"/>
      <w:bookmarkStart w:id="3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rPr>
        <w:t>般公共预算财政拨款基本支出决算情况说明</w:t>
      </w:r>
      <w:bookmarkEnd w:id="32"/>
      <w:bookmarkEnd w:id="33"/>
      <w:r>
        <w:rPr>
          <w:rStyle w:val="20"/>
          <w:rFonts w:ascii="黑体" w:hAnsi="黑体" w:eastAsia="黑体"/>
        </w:rPr>
        <w:tab/>
      </w:r>
    </w:p>
    <w:p w14:paraId="29C54CB0">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2023年度一般公共预算财政拨款基本支出1826.61万元，其中：</w:t>
      </w:r>
    </w:p>
    <w:p w14:paraId="3CB45FB9">
      <w:pPr>
        <w:spacing w:line="600" w:lineRule="exact"/>
        <w:ind w:firstLine="640" w:firstLineChars="200"/>
        <w:rPr>
          <w:rFonts w:ascii="仿宋" w:hAnsi="仿宋" w:eastAsia="仿宋"/>
          <w:sz w:val="32"/>
          <w:szCs w:val="32"/>
        </w:rPr>
      </w:pPr>
      <w:r>
        <w:rPr>
          <w:rFonts w:hint="eastAsia" w:ascii="仿宋" w:hAnsi="仿宋" w:eastAsia="仿宋"/>
          <w:sz w:val="32"/>
          <w:szCs w:val="32"/>
        </w:rPr>
        <w:t>人员经费1779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8A668E4">
      <w:pPr>
        <w:spacing w:line="600" w:lineRule="exact"/>
        <w:ind w:firstLine="640" w:firstLineChars="200"/>
        <w:rPr>
          <w:rFonts w:ascii="仿宋" w:hAnsi="仿宋" w:eastAsia="仿宋"/>
          <w:sz w:val="32"/>
          <w:szCs w:val="32"/>
        </w:rPr>
      </w:pPr>
      <w:r>
        <w:rPr>
          <w:rFonts w:hint="eastAsia" w:ascii="仿宋" w:hAnsi="仿宋" w:eastAsia="仿宋"/>
          <w:sz w:val="32"/>
          <w:szCs w:val="32"/>
        </w:rPr>
        <w:t>　　公用经费47.6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5295663">
      <w:pPr>
        <w:spacing w:line="600" w:lineRule="exact"/>
        <w:rPr>
          <w:rFonts w:ascii="仿宋" w:hAnsi="仿宋" w:eastAsia="仿宋"/>
          <w:sz w:val="32"/>
          <w:szCs w:val="32"/>
        </w:rPr>
      </w:pPr>
    </w:p>
    <w:p w14:paraId="31674B6C">
      <w:pPr>
        <w:spacing w:line="600" w:lineRule="exact"/>
        <w:rPr>
          <w:rFonts w:ascii="仿宋" w:hAnsi="仿宋" w:eastAsia="仿宋"/>
          <w:sz w:val="32"/>
          <w:szCs w:val="32"/>
        </w:rPr>
      </w:pPr>
    </w:p>
    <w:p w14:paraId="754ECBC0">
      <w:pPr>
        <w:spacing w:line="600" w:lineRule="exact"/>
        <w:rPr>
          <w:rFonts w:ascii="仿宋" w:hAnsi="仿宋" w:eastAsia="仿宋"/>
          <w:sz w:val="32"/>
          <w:szCs w:val="32"/>
        </w:rPr>
      </w:pPr>
    </w:p>
    <w:p w14:paraId="6B588E5C">
      <w:pPr>
        <w:pStyle w:val="2"/>
      </w:pPr>
    </w:p>
    <w:p w14:paraId="60DE5863">
      <w:pPr>
        <w:spacing w:line="600" w:lineRule="exact"/>
        <w:ind w:firstLine="640"/>
        <w:outlineLvl w:val="1"/>
        <w:rPr>
          <w:rFonts w:ascii="黑体" w:eastAsia="黑体"/>
          <w:sz w:val="32"/>
          <w:szCs w:val="32"/>
        </w:rPr>
      </w:pPr>
      <w:bookmarkStart w:id="34" w:name="_Toc15396609"/>
      <w:bookmarkStart w:id="35" w:name="_Toc15377215"/>
    </w:p>
    <w:p w14:paraId="254D3A52">
      <w:pPr>
        <w:spacing w:line="600" w:lineRule="exact"/>
        <w:ind w:firstLine="640"/>
        <w:outlineLvl w:val="1"/>
        <w:rPr>
          <w:rStyle w:val="20"/>
          <w:rFonts w:ascii="黑体" w:hAnsi="黑体" w:eastAsia="黑体"/>
          <w:b w:val="0"/>
        </w:rPr>
      </w:pPr>
      <w:r>
        <w:rPr>
          <w:rFonts w:hint="eastAsia" w:ascii="黑体" w:eastAsia="黑体"/>
          <w:sz w:val="32"/>
          <w:szCs w:val="32"/>
        </w:rPr>
        <w:t>七、</w:t>
      </w:r>
      <w:r>
        <w:rPr>
          <w:rStyle w:val="20"/>
          <w:rFonts w:hint="eastAsia" w:ascii="黑体" w:hAnsi="黑体" w:eastAsia="黑体"/>
        </w:rPr>
        <w:t>财政拨款“三公”经费支出决算情况说明</w:t>
      </w:r>
      <w:bookmarkEnd w:id="34"/>
      <w:bookmarkEnd w:id="35"/>
    </w:p>
    <w:p w14:paraId="23A891F3">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2E7BB867">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2023年度“三公”经费财政拨款支出决算为0万元，完成预算0%。</w:t>
      </w:r>
    </w:p>
    <w:p w14:paraId="4204C8FF">
      <w:pPr>
        <w:spacing w:line="600" w:lineRule="exact"/>
        <w:ind w:firstLine="643" w:firstLineChars="20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14:paraId="56AD0071">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2023年度“三公”经费财政拨款支出决算中，因公出国（境）费支出决算0万元，占0%；</w:t>
      </w:r>
    </w:p>
    <w:p w14:paraId="6A58A593">
      <w:pPr>
        <w:numPr>
          <w:ilvl w:val="0"/>
          <w:numId w:val="2"/>
        </w:numPr>
        <w:spacing w:line="600" w:lineRule="exact"/>
        <w:ind w:firstLine="640"/>
        <w:rPr>
          <w:rStyle w:val="17"/>
          <w:rFonts w:ascii="仿宋" w:hAnsi="仿宋" w:eastAsia="仿宋"/>
          <w:bCs/>
          <w:sz w:val="32"/>
          <w:szCs w:val="32"/>
        </w:rPr>
      </w:pP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ascii="仿宋" w:hAnsi="仿宋" w:eastAsia="仿宋"/>
          <w:bCs/>
          <w:sz w:val="32"/>
          <w:szCs w:val="32"/>
        </w:rPr>
        <w:t>%</w:t>
      </w:r>
      <w:r>
        <w:rPr>
          <w:rStyle w:val="17"/>
          <w:rFonts w:hint="eastAsia" w:ascii="仿宋" w:hAnsi="仿宋" w:eastAsia="仿宋"/>
          <w:bCs/>
          <w:sz w:val="32"/>
          <w:szCs w:val="32"/>
        </w:rPr>
        <w:t>。</w:t>
      </w:r>
    </w:p>
    <w:p w14:paraId="53E2AD8E">
      <w:pPr>
        <w:numPr>
          <w:ilvl w:val="0"/>
          <w:numId w:val="2"/>
        </w:numPr>
        <w:spacing w:line="600" w:lineRule="exact"/>
        <w:ind w:firstLine="640"/>
        <w:rPr>
          <w:rFonts w:ascii="仿宋_GB2312" w:eastAsia="仿宋_GB2312"/>
          <w:b/>
          <w:sz w:val="32"/>
          <w:szCs w:val="32"/>
        </w:rPr>
      </w:pPr>
      <w:r>
        <w:rPr>
          <w:rFonts w:hint="eastAsia" w:ascii="仿宋_GB2312" w:eastAsia="仿宋_GB2312"/>
          <w:b/>
          <w:sz w:val="32"/>
          <w:szCs w:val="32"/>
        </w:rPr>
        <w:t>开支内容包括：…（团组名称、出访地点、取得成效）等。</w:t>
      </w:r>
    </w:p>
    <w:p w14:paraId="131B984C">
      <w:pPr>
        <w:spacing w:line="600" w:lineRule="exact"/>
        <w:ind w:left="640"/>
      </w:pPr>
      <w:r>
        <w:rPr>
          <w:rFonts w:hint="eastAsia" w:ascii="仿宋_GB2312" w:eastAsia="仿宋_GB2312"/>
          <w:b/>
          <w:sz w:val="32"/>
          <w:szCs w:val="32"/>
        </w:rPr>
        <w:t>3.公务用车购置及运行维护费支出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ascii="仿宋" w:hAnsi="仿宋" w:eastAsia="仿宋"/>
          <w:bCs/>
          <w:sz w:val="32"/>
          <w:szCs w:val="32"/>
        </w:rPr>
        <w:t>%</w:t>
      </w:r>
      <w:r>
        <w:rPr>
          <w:rStyle w:val="17"/>
          <w:rFonts w:hint="eastAsia" w:ascii="仿宋" w:hAnsi="仿宋" w:eastAsia="仿宋"/>
          <w:bCs/>
          <w:sz w:val="32"/>
          <w:szCs w:val="32"/>
        </w:rPr>
        <w:t>。</w:t>
      </w:r>
    </w:p>
    <w:p w14:paraId="4F18DF7B">
      <w:pPr>
        <w:spacing w:line="600" w:lineRule="exact"/>
        <w:ind w:firstLine="640"/>
        <w:rPr>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r>
        <w:rPr>
          <w:rFonts w:hint="eastAsia"/>
          <w:sz w:val="32"/>
          <w:szCs w:val="32"/>
        </w:rPr>
        <w:t>主要用于…（具体工作）等所需的公务用车燃料费、维修费、过路过桥费、保险费等支出。</w:t>
      </w:r>
    </w:p>
    <w:p w14:paraId="03C260CD">
      <w:pPr>
        <w:numPr>
          <w:ilvl w:val="0"/>
          <w:numId w:val="2"/>
        </w:numPr>
        <w:spacing w:line="600" w:lineRule="exact"/>
        <w:ind w:firstLine="640"/>
        <w:rPr>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7"/>
          <w:rFonts w:hint="eastAsia" w:ascii="仿宋" w:hAnsi="仿宋" w:eastAsia="仿宋"/>
          <w:bCs/>
          <w:sz w:val="32"/>
          <w:szCs w:val="32"/>
        </w:rPr>
        <w:t>完成预算</w:t>
      </w:r>
      <w:r>
        <w:rPr>
          <w:sz w:val="32"/>
          <w:szCs w:val="32"/>
        </w:rPr>
        <w:t>0%</w:t>
      </w:r>
      <w:r>
        <w:rPr>
          <w:rStyle w:val="17"/>
          <w:rFonts w:hint="eastAsia" w:ascii="仿宋" w:hAnsi="仿宋" w:eastAsia="仿宋"/>
          <w:bCs/>
          <w:sz w:val="32"/>
          <w:szCs w:val="32"/>
        </w:rPr>
        <w:t>。</w:t>
      </w:r>
      <w:r>
        <w:rPr>
          <w:rFonts w:hint="eastAsia"/>
          <w:sz w:val="32"/>
          <w:szCs w:val="32"/>
        </w:rPr>
        <w:t>公务接待费支出决算比2022年度增加/减少0万元。</w:t>
      </w:r>
    </w:p>
    <w:p w14:paraId="35CFE01F">
      <w:pPr>
        <w:numPr>
          <w:ilvl w:val="0"/>
          <w:numId w:val="2"/>
        </w:numPr>
        <w:spacing w:line="600" w:lineRule="exact"/>
        <w:ind w:firstLine="640"/>
        <w:rPr>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sz w:val="32"/>
          <w:szCs w:val="32"/>
        </w:rPr>
        <w:t>万元，主要用于……(执行公务、开展业务活动开支的交通费、住宿费、用餐费等)。国内公务接待0批次，0人次（不包括陪同人员），共计支出0万元。</w:t>
      </w:r>
    </w:p>
    <w:p w14:paraId="22BB7C2B">
      <w:pPr>
        <w:spacing w:line="600" w:lineRule="exact"/>
        <w:ind w:firstLine="643" w:firstLineChars="200"/>
        <w:rPr>
          <w:sz w:val="32"/>
          <w:szCs w:val="32"/>
        </w:rPr>
      </w:pPr>
      <w:r>
        <w:rPr>
          <w:rFonts w:hint="eastAsia" w:ascii="仿宋" w:hAnsi="仿宋" w:eastAsia="仿宋"/>
          <w:b/>
          <w:sz w:val="32"/>
          <w:szCs w:val="32"/>
        </w:rPr>
        <w:t>外事接待支出</w:t>
      </w:r>
      <w:r>
        <w:rPr>
          <w:rFonts w:hint="eastAsia"/>
          <w:sz w:val="32"/>
          <w:szCs w:val="32"/>
        </w:rPr>
        <w:t>0万元。</w:t>
      </w:r>
    </w:p>
    <w:p w14:paraId="200CAA13">
      <w:pPr>
        <w:spacing w:line="600" w:lineRule="exact"/>
        <w:ind w:firstLine="640" w:firstLineChars="200"/>
        <w:rPr>
          <w:sz w:val="32"/>
          <w:szCs w:val="32"/>
        </w:rPr>
      </w:pPr>
      <w:r>
        <w:rPr>
          <w:rFonts w:hint="eastAsia"/>
          <w:sz w:val="32"/>
          <w:szCs w:val="32"/>
        </w:rPr>
        <w:t>外事接待0批次，0人次（不包括陪同人员），共计支出0万元。</w:t>
      </w:r>
    </w:p>
    <w:p w14:paraId="63BFCEEC">
      <w:pPr>
        <w:spacing w:line="600" w:lineRule="exact"/>
        <w:ind w:firstLine="640"/>
        <w:outlineLvl w:val="1"/>
        <w:rPr>
          <w:rFonts w:ascii="黑体" w:eastAsia="黑体"/>
          <w:sz w:val="32"/>
          <w:szCs w:val="32"/>
        </w:rPr>
      </w:pPr>
      <w:bookmarkStart w:id="38" w:name="_Toc15396610"/>
      <w:bookmarkStart w:id="39" w:name="_Toc15377218"/>
    </w:p>
    <w:p w14:paraId="48753766">
      <w:pPr>
        <w:spacing w:line="600" w:lineRule="exact"/>
        <w:ind w:firstLine="640"/>
        <w:outlineLvl w:val="1"/>
        <w:rPr>
          <w:rStyle w:val="20"/>
          <w:rFonts w:ascii="黑体" w:hAnsi="黑体" w:eastAsia="黑体"/>
        </w:rPr>
      </w:pPr>
      <w:r>
        <w:rPr>
          <w:rFonts w:hint="eastAsia" w:ascii="黑体" w:eastAsia="黑体"/>
          <w:sz w:val="32"/>
          <w:szCs w:val="32"/>
        </w:rPr>
        <w:t>八、</w:t>
      </w:r>
      <w:r>
        <w:rPr>
          <w:rStyle w:val="20"/>
          <w:rFonts w:hint="eastAsia" w:ascii="黑体" w:hAnsi="黑体" w:eastAsia="黑体"/>
        </w:rPr>
        <w:t>政府性基金预算支出决算情况说明</w:t>
      </w:r>
      <w:bookmarkEnd w:id="38"/>
      <w:bookmarkEnd w:id="39"/>
    </w:p>
    <w:p w14:paraId="1C71CC6A">
      <w:pPr>
        <w:spacing w:line="600" w:lineRule="exact"/>
        <w:ind w:firstLine="640" w:firstLineChars="200"/>
        <w:rPr>
          <w:sz w:val="32"/>
          <w:szCs w:val="32"/>
        </w:rPr>
      </w:pPr>
      <w:r>
        <w:rPr>
          <w:rFonts w:hint="eastAsia"/>
          <w:sz w:val="32"/>
          <w:szCs w:val="32"/>
        </w:rPr>
        <w:t>2023年度政府性基金预算财政拨款支出0万元。</w:t>
      </w:r>
    </w:p>
    <w:p w14:paraId="6A2AF57A">
      <w:pPr>
        <w:spacing w:line="600" w:lineRule="exact"/>
        <w:ind w:firstLine="640" w:firstLineChars="200"/>
        <w:rPr>
          <w:sz w:val="32"/>
          <w:szCs w:val="32"/>
        </w:rPr>
      </w:pPr>
    </w:p>
    <w:p w14:paraId="1B7E7A06">
      <w:pPr>
        <w:numPr>
          <w:ilvl w:val="0"/>
          <w:numId w:val="3"/>
        </w:numPr>
        <w:spacing w:line="600" w:lineRule="exact"/>
        <w:ind w:firstLine="640"/>
        <w:outlineLvl w:val="1"/>
        <w:rPr>
          <w:rStyle w:val="20"/>
          <w:rFonts w:ascii="黑体" w:hAnsi="黑体" w:eastAsia="黑体"/>
          <w:b w:val="0"/>
        </w:rPr>
      </w:pPr>
      <w:bookmarkStart w:id="40" w:name="_Toc15396611"/>
      <w:bookmarkStart w:id="41" w:name="_Toc15377219"/>
      <w:r>
        <w:rPr>
          <w:rStyle w:val="20"/>
          <w:rFonts w:hint="eastAsia" w:ascii="黑体" w:hAnsi="黑体" w:eastAsia="黑体"/>
        </w:rPr>
        <w:t>国有资本经营预算支出决算情况说明</w:t>
      </w:r>
      <w:bookmarkEnd w:id="40"/>
      <w:bookmarkEnd w:id="41"/>
    </w:p>
    <w:p w14:paraId="092A5558">
      <w:pPr>
        <w:spacing w:line="600" w:lineRule="exact"/>
        <w:ind w:firstLine="640" w:firstLineChars="200"/>
        <w:rPr>
          <w:sz w:val="32"/>
          <w:szCs w:val="32"/>
        </w:rPr>
      </w:pPr>
      <w:r>
        <w:rPr>
          <w:rFonts w:hint="eastAsia"/>
          <w:sz w:val="32"/>
          <w:szCs w:val="32"/>
        </w:rPr>
        <w:t>2023年度国有资本经营预算财政拨款支出0万元。</w:t>
      </w:r>
    </w:p>
    <w:p w14:paraId="38C3E359">
      <w:pPr>
        <w:spacing w:line="580" w:lineRule="exact"/>
        <w:jc w:val="center"/>
        <w:rPr>
          <w:rFonts w:ascii="方正小标宋简体" w:hAnsi="方正小标宋简体" w:eastAsia="方正小标宋简体" w:cs="方正小标宋简体"/>
          <w:sz w:val="44"/>
          <w:szCs w:val="44"/>
        </w:rPr>
      </w:pPr>
    </w:p>
    <w:p w14:paraId="11507F2B">
      <w:pPr>
        <w:numPr>
          <w:ilvl w:val="0"/>
          <w:numId w:val="3"/>
        </w:numPr>
        <w:spacing w:line="600" w:lineRule="exact"/>
        <w:ind w:firstLine="640"/>
        <w:outlineLvl w:val="1"/>
        <w:rPr>
          <w:rStyle w:val="20"/>
          <w:rFonts w:ascii="黑体" w:hAnsi="黑体" w:eastAsia="黑体"/>
          <w:b w:val="0"/>
        </w:rPr>
      </w:pPr>
      <w:bookmarkStart w:id="42" w:name="_Toc15396612"/>
      <w:bookmarkStart w:id="43" w:name="_Toc15377221"/>
      <w:r>
        <w:rPr>
          <w:rStyle w:val="20"/>
          <w:rFonts w:hint="eastAsia" w:ascii="黑体" w:hAnsi="黑体" w:eastAsia="黑体"/>
        </w:rPr>
        <w:t>其他重要事项的情况说明</w:t>
      </w:r>
      <w:bookmarkEnd w:id="42"/>
      <w:bookmarkEnd w:id="43"/>
    </w:p>
    <w:p w14:paraId="075841A8">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21F91F88">
      <w:pPr>
        <w:spacing w:line="600" w:lineRule="exact"/>
        <w:ind w:firstLine="640" w:firstLineChars="200"/>
        <w:rPr>
          <w:sz w:val="32"/>
          <w:szCs w:val="32"/>
        </w:rPr>
      </w:pPr>
      <w:r>
        <w:rPr>
          <w:rFonts w:hint="eastAsia"/>
          <w:sz w:val="32"/>
          <w:szCs w:val="32"/>
        </w:rPr>
        <w:t>2023年度，遂宁市安居区西眉镇中心小学校机关运行经费支出0万元。</w:t>
      </w:r>
    </w:p>
    <w:p w14:paraId="69B8FD7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559DEA89">
      <w:pPr>
        <w:spacing w:line="600" w:lineRule="exact"/>
        <w:ind w:firstLine="640" w:firstLineChars="200"/>
        <w:rPr>
          <w:sz w:val="32"/>
          <w:szCs w:val="32"/>
        </w:rPr>
      </w:pPr>
      <w:r>
        <w:rPr>
          <w:rFonts w:hint="eastAsia"/>
          <w:sz w:val="32"/>
          <w:szCs w:val="32"/>
        </w:rPr>
        <w:t>2023年度，遂宁市安居区西眉镇中心小学校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14:paraId="255A852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14:paraId="5CF795AE">
      <w:pPr>
        <w:spacing w:line="600" w:lineRule="exact"/>
        <w:ind w:firstLine="640" w:firstLineChars="200"/>
        <w:rPr>
          <w:sz w:val="32"/>
          <w:szCs w:val="32"/>
        </w:rPr>
      </w:pPr>
      <w:r>
        <w:rPr>
          <w:rFonts w:hint="eastAsia"/>
          <w:sz w:val="32"/>
          <w:szCs w:val="32"/>
        </w:rPr>
        <w:t>截至2023年12月31日，遂宁市安居区西眉镇中心小学校共有车辆0辆，其中：主要领导干部用车辆、机要通信用车辆、应急保障用车辆、其他用车辆，其他用车主要是用于……。单价100万元以上设备（不含车辆）0台（套）。</w:t>
      </w:r>
    </w:p>
    <w:p w14:paraId="2752837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79CD2EB">
      <w:pPr>
        <w:spacing w:line="600" w:lineRule="exact"/>
        <w:ind w:firstLine="640" w:firstLineChars="200"/>
        <w:rPr>
          <w:sz w:val="32"/>
          <w:szCs w:val="32"/>
        </w:rPr>
      </w:pPr>
      <w:r>
        <w:rPr>
          <w:rFonts w:hint="eastAsia"/>
          <w:sz w:val="32"/>
          <w:szCs w:val="32"/>
        </w:rPr>
        <w:t>根据预算绩效管理要求，本部门在2023年度预算编制阶段，组织对建修、均衡发展</w:t>
      </w:r>
      <w:r>
        <w:rPr>
          <w:sz w:val="32"/>
          <w:szCs w:val="32"/>
        </w:rPr>
        <w:t>资金</w:t>
      </w:r>
      <w:r>
        <w:rPr>
          <w:rFonts w:hint="eastAsia"/>
          <w:sz w:val="32"/>
          <w:szCs w:val="32"/>
        </w:rPr>
        <w:t>、课后服务等12个项目开展了预算事前绩效评估，对12个项目编制了绩效目标，预算执行过程中，选取12个项目开展绩效监控。</w:t>
      </w:r>
    </w:p>
    <w:p w14:paraId="39E287B3">
      <w:pPr>
        <w:spacing w:line="600" w:lineRule="exact"/>
        <w:ind w:firstLine="640" w:firstLineChars="200"/>
        <w:rPr>
          <w:sz w:val="32"/>
          <w:szCs w:val="32"/>
        </w:rPr>
      </w:pPr>
      <w:r>
        <w:rPr>
          <w:rFonts w:hint="eastAsia"/>
          <w:sz w:val="32"/>
          <w:szCs w:val="32"/>
        </w:rPr>
        <w:t>组织对2023年度一般公共预算、政府性基金预算、国有资本经营预算、社会保险基金预算以及资本资产、债券资金等全面开展绩效自评，形成西眉小学部门整体绩效自评报告，建修、均衡发展</w:t>
      </w:r>
      <w:r>
        <w:rPr>
          <w:sz w:val="32"/>
          <w:szCs w:val="32"/>
        </w:rPr>
        <w:t>资金</w:t>
      </w:r>
      <w:r>
        <w:rPr>
          <w:rFonts w:hint="eastAsia"/>
          <w:sz w:val="32"/>
          <w:szCs w:val="32"/>
        </w:rPr>
        <w:t>、课后服务等专项预算项目绩效自评报告，其中，西眉小学部门整体（含部门预算项目）绩效自评得分为100分，绩效</w:t>
      </w:r>
      <w:r>
        <w:rPr>
          <w:rFonts w:hint="eastAsia"/>
          <w:sz w:val="32"/>
          <w:szCs w:val="32"/>
          <w:lang w:eastAsia="zh-CN"/>
        </w:rPr>
        <w:t>自评总述</w:t>
      </w:r>
      <w:r>
        <w:rPr>
          <w:rFonts w:hint="eastAsia"/>
          <w:sz w:val="32"/>
          <w:szCs w:val="32"/>
        </w:rPr>
        <w:t>：顺利完成目标；西眉小学专项预算项目绩效自评得分为100分，绩效</w:t>
      </w:r>
      <w:r>
        <w:rPr>
          <w:rFonts w:hint="eastAsia"/>
          <w:sz w:val="32"/>
          <w:szCs w:val="32"/>
          <w:lang w:eastAsia="zh-CN"/>
        </w:rPr>
        <w:t>自评总述</w:t>
      </w:r>
      <w:r>
        <w:rPr>
          <w:rFonts w:hint="eastAsia"/>
          <w:sz w:val="32"/>
          <w:szCs w:val="32"/>
        </w:rPr>
        <w:t>：顺利完成目标。绩效自评报告详见附件。</w:t>
      </w:r>
    </w:p>
    <w:p w14:paraId="4F9EABC6">
      <w:pPr>
        <w:spacing w:line="600" w:lineRule="exact"/>
        <w:ind w:firstLine="640" w:firstLineChars="200"/>
        <w:rPr>
          <w:sz w:val="32"/>
          <w:szCs w:val="32"/>
        </w:rPr>
      </w:pPr>
    </w:p>
    <w:bookmarkEnd w:id="14"/>
    <w:bookmarkEnd w:id="15"/>
    <w:p w14:paraId="0B096DB0">
      <w:pPr>
        <w:spacing w:line="600" w:lineRule="exact"/>
        <w:ind w:firstLine="640" w:firstLineChars="200"/>
        <w:rPr>
          <w:sz w:val="32"/>
          <w:szCs w:val="32"/>
        </w:rPr>
      </w:pPr>
      <w:r>
        <w:rPr>
          <w:rFonts w:hint="eastAsia"/>
          <w:sz w:val="32"/>
          <w:szCs w:val="32"/>
        </w:rPr>
        <w:br w:type="page"/>
      </w:r>
    </w:p>
    <w:p w14:paraId="0E51E15F">
      <w:pPr>
        <w:spacing w:line="600" w:lineRule="exact"/>
        <w:jc w:val="center"/>
        <w:outlineLvl w:val="0"/>
        <w:rPr>
          <w:rFonts w:ascii="黑体" w:hAnsi="黑体" w:eastAsia="黑体"/>
          <w:sz w:val="44"/>
          <w:szCs w:val="44"/>
        </w:rPr>
      </w:pPr>
      <w:bookmarkStart w:id="47" w:name="_Toc15377204"/>
      <w:bookmarkStart w:id="48" w:name="_Toc15396602"/>
      <w:r>
        <w:rPr>
          <w:rFonts w:hint="eastAsia" w:ascii="黑体" w:hAnsi="黑体" w:eastAsia="黑体"/>
          <w:sz w:val="44"/>
          <w:szCs w:val="44"/>
        </w:rPr>
        <w:t>第二部分 2023年度单位决算情况说明</w:t>
      </w:r>
      <w:bookmarkEnd w:id="47"/>
      <w:bookmarkEnd w:id="48"/>
    </w:p>
    <w:p w14:paraId="1C2AD046">
      <w:pPr>
        <w:spacing w:line="600" w:lineRule="exact"/>
        <w:jc w:val="center"/>
        <w:outlineLvl w:val="0"/>
        <w:rPr>
          <w:rFonts w:ascii="黑体" w:hAnsi="黑体" w:eastAsia="黑体"/>
          <w:sz w:val="44"/>
          <w:szCs w:val="44"/>
        </w:rPr>
      </w:pPr>
    </w:p>
    <w:p w14:paraId="0E0DA878">
      <w:pPr>
        <w:spacing w:line="600" w:lineRule="exact"/>
        <w:jc w:val="center"/>
        <w:outlineLvl w:val="0"/>
        <w:rPr>
          <w:rFonts w:ascii="黑体" w:hAnsi="黑体" w:eastAsia="黑体"/>
          <w:sz w:val="44"/>
          <w:szCs w:val="44"/>
        </w:rPr>
      </w:pPr>
      <w:bookmarkStart w:id="49" w:name="_Toc15377225"/>
      <w:bookmarkStart w:id="50" w:name="_Toc15396613"/>
      <w:r>
        <w:rPr>
          <w:rFonts w:hint="eastAsia" w:ascii="黑体" w:hAnsi="黑体" w:eastAsia="黑体"/>
          <w:sz w:val="44"/>
          <w:szCs w:val="44"/>
        </w:rPr>
        <w:t>名词解释</w:t>
      </w:r>
      <w:bookmarkEnd w:id="49"/>
      <w:bookmarkEnd w:id="50"/>
    </w:p>
    <w:p w14:paraId="7F3FF7A1">
      <w:pPr>
        <w:spacing w:line="600" w:lineRule="exact"/>
        <w:ind w:firstLine="640" w:firstLineChars="200"/>
        <w:rPr>
          <w:sz w:val="32"/>
          <w:szCs w:val="32"/>
        </w:rPr>
      </w:pPr>
    </w:p>
    <w:p w14:paraId="4A2A7F75">
      <w:pPr>
        <w:spacing w:line="600" w:lineRule="exact"/>
        <w:ind w:firstLine="640" w:firstLineChars="200"/>
        <w:rPr>
          <w:sz w:val="32"/>
          <w:szCs w:val="32"/>
        </w:rPr>
      </w:pPr>
      <w:r>
        <w:rPr>
          <w:rFonts w:hint="eastAsia"/>
          <w:sz w:val="32"/>
          <w:szCs w:val="32"/>
        </w:rPr>
        <w:t>1.财政拨款收入：指单位从同级财政部门取得的财政预算资金。</w:t>
      </w:r>
    </w:p>
    <w:p w14:paraId="1150D4EB">
      <w:pPr>
        <w:spacing w:line="600" w:lineRule="exact"/>
        <w:ind w:firstLine="640" w:firstLineChars="200"/>
        <w:rPr>
          <w:sz w:val="32"/>
          <w:szCs w:val="32"/>
        </w:rPr>
      </w:pPr>
      <w:r>
        <w:rPr>
          <w:rFonts w:hint="eastAsia"/>
          <w:sz w:val="32"/>
          <w:szCs w:val="32"/>
        </w:rPr>
        <w:t>2.事业收入：指事业单位开展专业业务活动及辅助活动取得的收入。如高中学费收入、学前教育保教费收入等。</w:t>
      </w:r>
    </w:p>
    <w:p w14:paraId="2FCFA973">
      <w:pPr>
        <w:spacing w:line="600" w:lineRule="exact"/>
        <w:ind w:firstLine="640" w:firstLineChars="200"/>
        <w:rPr>
          <w:sz w:val="32"/>
          <w:szCs w:val="32"/>
        </w:rPr>
      </w:pPr>
      <w:r>
        <w:rPr>
          <w:rFonts w:hint="eastAsia"/>
          <w:sz w:val="32"/>
          <w:szCs w:val="32"/>
        </w:rPr>
        <w:t>3.其他收入：指单位取得的除上述收入以外的各项收入。主要是利息收入、捐赠收入等。</w:t>
      </w:r>
    </w:p>
    <w:p w14:paraId="308F4CA9">
      <w:pPr>
        <w:spacing w:line="600" w:lineRule="exact"/>
        <w:ind w:firstLine="640" w:firstLineChars="200"/>
        <w:rPr>
          <w:sz w:val="32"/>
          <w:szCs w:val="32"/>
        </w:rPr>
      </w:pPr>
      <w:r>
        <w:rPr>
          <w:rFonts w:hint="eastAsia"/>
          <w:sz w:val="32"/>
          <w:szCs w:val="32"/>
        </w:rPr>
        <w:t>4.年初结转和结余：指以前年度尚未完成、结转到本年按有关规定继续使用的资金。</w:t>
      </w:r>
    </w:p>
    <w:p w14:paraId="2CC8940A">
      <w:pPr>
        <w:spacing w:line="600" w:lineRule="exact"/>
        <w:ind w:firstLine="640" w:firstLineChars="200"/>
        <w:rPr>
          <w:sz w:val="32"/>
          <w:szCs w:val="32"/>
        </w:rPr>
      </w:pPr>
      <w:r>
        <w:rPr>
          <w:rFonts w:hint="eastAsia"/>
          <w:sz w:val="32"/>
          <w:szCs w:val="32"/>
        </w:rPr>
        <w:t>5、年末结转和结余：指单位按有关规定结转到下年或以后年度继续使用的资金。</w:t>
      </w:r>
    </w:p>
    <w:p w14:paraId="571B92D9">
      <w:pPr>
        <w:spacing w:line="600" w:lineRule="exact"/>
        <w:ind w:firstLine="640" w:firstLineChars="200"/>
        <w:rPr>
          <w:sz w:val="32"/>
          <w:szCs w:val="32"/>
        </w:rPr>
      </w:pPr>
      <w:r>
        <w:rPr>
          <w:rFonts w:hint="eastAsia"/>
          <w:sz w:val="32"/>
          <w:szCs w:val="32"/>
        </w:rPr>
        <w:t>6.教育（205类）普通教育（02款）学前教育（01项）: 反映各部门举办的学前教育支出。</w:t>
      </w:r>
    </w:p>
    <w:p w14:paraId="090BCC5E">
      <w:pPr>
        <w:spacing w:line="600" w:lineRule="exact"/>
        <w:ind w:firstLine="640" w:firstLineChars="200"/>
        <w:rPr>
          <w:sz w:val="32"/>
          <w:szCs w:val="32"/>
        </w:rPr>
      </w:pPr>
      <w:r>
        <w:rPr>
          <w:rFonts w:hint="eastAsia"/>
          <w:sz w:val="32"/>
          <w:szCs w:val="32"/>
        </w:rPr>
        <w:t>7.教育（205类）普通教育（02款）初中教育（03项）: 反映各部门举办的初中教育支出。政府各部门对社会中介组织等举办的初中教育的资助，如各类捐赠、补贴等，也在本科目中反映。</w:t>
      </w:r>
    </w:p>
    <w:p w14:paraId="0931563A">
      <w:pPr>
        <w:spacing w:line="600" w:lineRule="exact"/>
        <w:ind w:firstLine="640" w:firstLineChars="200"/>
        <w:rPr>
          <w:rFonts w:ascii="仿宋_GB2312" w:hAnsi="Calibri" w:eastAsia="仿宋_GB2312" w:cs="仿宋"/>
          <w:kern w:val="0"/>
          <w:sz w:val="32"/>
          <w:szCs w:val="32"/>
        </w:rPr>
      </w:pPr>
      <w:r>
        <w:rPr>
          <w:rFonts w:hint="eastAsia"/>
          <w:sz w:val="32"/>
          <w:szCs w:val="32"/>
        </w:rPr>
        <w:t>8.教育（205类）普通教育（02款）其他普通教育支出（99项）: 反映除上述项目以外其它用于普通教育方面的支</w:t>
      </w:r>
      <w:r>
        <w:rPr>
          <w:rFonts w:hint="eastAsia" w:ascii="仿宋_GB2312" w:hAnsi="Calibri" w:eastAsia="仿宋_GB2312" w:cs="仿宋"/>
          <w:kern w:val="0"/>
          <w:sz w:val="32"/>
          <w:szCs w:val="32"/>
        </w:rPr>
        <w:t>出。</w:t>
      </w:r>
    </w:p>
    <w:p w14:paraId="45C186FF">
      <w:pPr>
        <w:ind w:firstLine="640" w:firstLineChars="200"/>
        <w:rPr>
          <w:rFonts w:ascii="仿宋_GB2312" w:hAnsi="Calibri" w:eastAsia="仿宋_GB2312" w:cs="仿宋"/>
          <w:kern w:val="0"/>
          <w:sz w:val="32"/>
          <w:szCs w:val="32"/>
        </w:rPr>
      </w:pPr>
    </w:p>
    <w:p w14:paraId="223E8839">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9.教育（205类）教育费附加安排的支出（09款）农村中小学校舍建设（01项）: 反映教育附加安排用于农村中小学校舍新建、改建、修缮和维护的支出。</w:t>
      </w:r>
    </w:p>
    <w:p w14:paraId="34121A1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0</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14:paraId="3521200B">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11.教育（205类）其他教育支出（99款）其他教育支出（99项）: 反映除上述项目以外其它教育方面的支出。</w:t>
      </w:r>
    </w:p>
    <w:p w14:paraId="71D0AB0E">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2</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14:paraId="5FD6E1F5">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13.社会保障和就业（208类）抚恤（08款）死亡抚恤（01项）: 反映按规定用于烈士和牺牲、病故人员家属的一次性和定期抚恤金以及丧葬补助费。</w:t>
      </w:r>
    </w:p>
    <w:p w14:paraId="03B7BD1A">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4</w:t>
      </w:r>
      <w:r>
        <w:rPr>
          <w:rFonts w:hint="eastAsia" w:ascii="仿宋_GB2312" w:hAnsi="Calibri" w:eastAsia="仿宋_GB2312" w:cs="仿宋"/>
          <w:kern w:val="0"/>
          <w:sz w:val="32"/>
          <w:szCs w:val="32"/>
        </w:rPr>
        <w:t>.社会保障和就业（208类）其他社会保障和就业支出（99款）其他社会保障和就业支出（01项）: 反映上述项目以外</w:t>
      </w:r>
      <w:r>
        <w:rPr>
          <w:rFonts w:hint="eastAsia" w:ascii="仿宋_GB2312" w:hAnsi="Calibri" w:eastAsia="仿宋_GB2312" w:cs="仿宋"/>
          <w:kern w:val="0"/>
          <w:sz w:val="32"/>
          <w:szCs w:val="32"/>
          <w:lang w:eastAsia="zh-CN"/>
        </w:rPr>
        <w:t>其他用于</w:t>
      </w:r>
      <w:r>
        <w:rPr>
          <w:rFonts w:hint="eastAsia" w:ascii="仿宋_GB2312" w:hAnsi="Calibri" w:eastAsia="仿宋_GB2312" w:cs="仿宋"/>
          <w:kern w:val="0"/>
          <w:sz w:val="32"/>
          <w:szCs w:val="32"/>
        </w:rPr>
        <w:t>社会保障和就业方面的支出。</w:t>
      </w:r>
    </w:p>
    <w:p w14:paraId="3BFCD2ED">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15.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14:paraId="20AEB91A">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6</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14:paraId="2025278C">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7</w:t>
      </w:r>
      <w:r>
        <w:rPr>
          <w:rFonts w:hint="eastAsia" w:ascii="仿宋_GB2312" w:hAnsi="Calibri" w:eastAsia="仿宋_GB2312" w:cs="仿宋"/>
          <w:kern w:val="0"/>
          <w:sz w:val="32"/>
          <w:szCs w:val="32"/>
        </w:rPr>
        <w:t>.基本支出：指为保障机构正常运转、完成日常工作任务而发生的人员支出和公用支出。</w:t>
      </w:r>
    </w:p>
    <w:p w14:paraId="21954570">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8</w:t>
      </w:r>
      <w:r>
        <w:rPr>
          <w:rFonts w:hint="eastAsia" w:ascii="仿宋_GB2312" w:hAnsi="Calibri" w:eastAsia="仿宋_GB2312" w:cs="仿宋"/>
          <w:kern w:val="0"/>
          <w:sz w:val="32"/>
          <w:szCs w:val="32"/>
        </w:rPr>
        <w:t>.项目支出：指在基本支出之外为完成特定行政任务和事业发展目标所发生的支出。</w:t>
      </w:r>
    </w:p>
    <w:p w14:paraId="1096E321">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19.工资福利：反映单位开支的在职职工和编制外长期聘用人员的各类劳动报酬，以及为上述人员缴纳的各项社会保险费等。</w:t>
      </w:r>
    </w:p>
    <w:p w14:paraId="06E1C4B0">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20.商品和服务：反映单位购买商品和服务的支出，不包括用于购置固定资产、战略性和应急性物资储备等资本支出。</w:t>
      </w:r>
    </w:p>
    <w:p w14:paraId="72C26051">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21.对个人和家庭的补助：反映政府用于</w:t>
      </w:r>
      <w:r>
        <w:rPr>
          <w:rFonts w:hint="eastAsia" w:ascii="仿宋_GB2312" w:hAnsi="Calibri" w:eastAsia="仿宋_GB2312" w:cs="仿宋"/>
          <w:kern w:val="0"/>
          <w:sz w:val="32"/>
          <w:szCs w:val="32"/>
          <w:lang w:eastAsia="zh-CN"/>
        </w:rPr>
        <w:t>对个人和家庭</w:t>
      </w:r>
      <w:r>
        <w:rPr>
          <w:rFonts w:hint="eastAsia" w:ascii="仿宋_GB2312" w:hAnsi="Calibri" w:eastAsia="仿宋_GB2312" w:cs="仿宋"/>
          <w:kern w:val="0"/>
          <w:sz w:val="32"/>
          <w:szCs w:val="32"/>
        </w:rPr>
        <w:t>的补助支出。</w:t>
      </w:r>
    </w:p>
    <w:p w14:paraId="4CA7CD33">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22.资本性支出：反映各单位安排的资本性支出。切块由发展改革部门安排的基本建设支出不在此科目反映。</w:t>
      </w:r>
    </w:p>
    <w:p w14:paraId="702FBF80">
      <w:pPr>
        <w:ind w:firstLine="640" w:firstLineChars="200"/>
        <w:rPr>
          <w:rFonts w:ascii="仿宋_GB2312" w:hAnsi="Calibri" w:eastAsia="仿宋_GB2312" w:cs="仿宋"/>
          <w:kern w:val="0"/>
          <w:sz w:val="32"/>
          <w:szCs w:val="32"/>
        </w:rPr>
      </w:pPr>
    </w:p>
    <w:p w14:paraId="6BDD5E56">
      <w:pPr>
        <w:ind w:firstLine="643" w:firstLineChars="200"/>
        <w:rPr>
          <w:sz w:val="32"/>
          <w:szCs w:val="32"/>
        </w:rPr>
      </w:pPr>
      <w:r>
        <w:rPr>
          <w:rFonts w:hint="eastAsia" w:ascii="仿宋" w:hAnsi="仿宋" w:eastAsia="仿宋"/>
          <w:b/>
          <w:sz w:val="32"/>
          <w:szCs w:val="32"/>
        </w:rPr>
        <w:t>（名词解释部分请根据各单位实际列支情况罗列，并根据本单位职责职能增减名词解释内容。）</w:t>
      </w:r>
    </w:p>
    <w:p w14:paraId="73CC8148">
      <w:pPr>
        <w:spacing w:line="600" w:lineRule="exact"/>
        <w:ind w:firstLine="640" w:firstLineChars="200"/>
        <w:jc w:val="center"/>
        <w:rPr>
          <w:rStyle w:val="19"/>
          <w:rFonts w:ascii="黑体" w:hAnsi="黑体" w:eastAsia="黑体"/>
          <w:b w:val="0"/>
        </w:rPr>
      </w:pPr>
      <w:bookmarkStart w:id="51" w:name="_Toc15377226"/>
      <w:r>
        <w:rPr>
          <w:rFonts w:hint="eastAsia"/>
          <w:sz w:val="32"/>
          <w:szCs w:val="32"/>
        </w:rPr>
        <w:br w:type="page"/>
      </w:r>
      <w:r>
        <w:rPr>
          <w:rFonts w:hint="eastAsia" w:ascii="黑体" w:hAnsi="黑体" w:eastAsia="黑体"/>
          <w:sz w:val="44"/>
          <w:szCs w:val="44"/>
        </w:rPr>
        <w:t>第</w:t>
      </w:r>
      <w:r>
        <w:rPr>
          <w:rStyle w:val="19"/>
          <w:rFonts w:hint="eastAsia" w:ascii="黑体" w:hAnsi="黑体" w:eastAsia="黑体"/>
        </w:rPr>
        <w:t>四部分 附件</w:t>
      </w:r>
    </w:p>
    <w:p w14:paraId="63E0D87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45D6B514">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072705FD">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15B8EB87">
      <w:pPr>
        <w:spacing w:line="600" w:lineRule="exact"/>
        <w:ind w:firstLine="640" w:firstLineChars="200"/>
        <w:rPr>
          <w:sz w:val="32"/>
          <w:szCs w:val="32"/>
        </w:rPr>
      </w:pPr>
      <w:r>
        <w:rPr>
          <w:rFonts w:hint="eastAsia"/>
          <w:sz w:val="32"/>
          <w:szCs w:val="32"/>
        </w:rPr>
        <w:t>一、部门（单位）概况</w:t>
      </w:r>
    </w:p>
    <w:p w14:paraId="144D9EAD">
      <w:pPr>
        <w:spacing w:line="600" w:lineRule="exact"/>
        <w:ind w:firstLine="640" w:firstLineChars="200"/>
        <w:rPr>
          <w:sz w:val="32"/>
          <w:szCs w:val="32"/>
        </w:rPr>
      </w:pPr>
      <w:r>
        <w:rPr>
          <w:rFonts w:hint="eastAsia"/>
          <w:sz w:val="32"/>
          <w:szCs w:val="32"/>
        </w:rPr>
        <w:t>（一）机构组成</w:t>
      </w:r>
    </w:p>
    <w:p w14:paraId="46B00C66">
      <w:pPr>
        <w:spacing w:line="600" w:lineRule="exact"/>
        <w:ind w:firstLine="640" w:firstLineChars="200"/>
        <w:rPr>
          <w:sz w:val="32"/>
          <w:szCs w:val="32"/>
        </w:rPr>
      </w:pPr>
      <w:r>
        <w:rPr>
          <w:rFonts w:hint="eastAsia"/>
          <w:sz w:val="32"/>
          <w:szCs w:val="32"/>
        </w:rPr>
        <w:t>1．行政办公室</w:t>
      </w:r>
    </w:p>
    <w:p w14:paraId="44787DA1">
      <w:pPr>
        <w:spacing w:line="600" w:lineRule="exact"/>
        <w:ind w:firstLine="640" w:firstLineChars="200"/>
        <w:rPr>
          <w:sz w:val="32"/>
          <w:szCs w:val="32"/>
        </w:rPr>
      </w:pPr>
      <w:r>
        <w:rPr>
          <w:rFonts w:hint="eastAsia"/>
          <w:sz w:val="32"/>
          <w:szCs w:val="32"/>
        </w:rPr>
        <w:t>2．财务室</w:t>
      </w:r>
    </w:p>
    <w:p w14:paraId="491130F4">
      <w:pPr>
        <w:spacing w:line="600" w:lineRule="exact"/>
        <w:ind w:firstLine="640" w:firstLineChars="200"/>
        <w:rPr>
          <w:sz w:val="32"/>
          <w:szCs w:val="32"/>
        </w:rPr>
      </w:pPr>
      <w:r>
        <w:rPr>
          <w:rFonts w:hint="eastAsia"/>
          <w:sz w:val="32"/>
          <w:szCs w:val="32"/>
        </w:rPr>
        <w:t>3．教导处</w:t>
      </w:r>
    </w:p>
    <w:p w14:paraId="2C77B4CF">
      <w:pPr>
        <w:spacing w:line="600" w:lineRule="exact"/>
        <w:ind w:firstLine="640" w:firstLineChars="200"/>
        <w:rPr>
          <w:sz w:val="32"/>
          <w:szCs w:val="32"/>
        </w:rPr>
      </w:pPr>
      <w:r>
        <w:rPr>
          <w:rFonts w:hint="eastAsia"/>
          <w:sz w:val="32"/>
          <w:szCs w:val="32"/>
        </w:rPr>
        <w:t>4．教研室</w:t>
      </w:r>
    </w:p>
    <w:p w14:paraId="462E9F59">
      <w:pPr>
        <w:spacing w:line="600" w:lineRule="exact"/>
        <w:ind w:firstLine="640" w:firstLineChars="200"/>
        <w:rPr>
          <w:sz w:val="32"/>
          <w:szCs w:val="32"/>
        </w:rPr>
      </w:pPr>
      <w:r>
        <w:rPr>
          <w:rFonts w:hint="eastAsia"/>
          <w:sz w:val="32"/>
          <w:szCs w:val="32"/>
        </w:rPr>
        <w:t>5．德育处</w:t>
      </w:r>
    </w:p>
    <w:p w14:paraId="196AF96E">
      <w:pPr>
        <w:spacing w:line="600" w:lineRule="exact"/>
        <w:ind w:firstLine="640" w:firstLineChars="200"/>
        <w:rPr>
          <w:sz w:val="32"/>
          <w:szCs w:val="32"/>
        </w:rPr>
      </w:pPr>
      <w:r>
        <w:rPr>
          <w:rFonts w:hint="eastAsia"/>
          <w:sz w:val="32"/>
          <w:szCs w:val="32"/>
        </w:rPr>
        <w:t>6．安卫办</w:t>
      </w:r>
    </w:p>
    <w:p w14:paraId="22005680">
      <w:pPr>
        <w:spacing w:line="600" w:lineRule="exact"/>
        <w:ind w:firstLine="640" w:firstLineChars="200"/>
        <w:rPr>
          <w:sz w:val="32"/>
          <w:szCs w:val="32"/>
        </w:rPr>
      </w:pPr>
      <w:r>
        <w:rPr>
          <w:rFonts w:hint="eastAsia"/>
          <w:sz w:val="32"/>
          <w:szCs w:val="32"/>
        </w:rPr>
        <w:t>遂宁市安居区西眉镇中心小学设有6个内设部门。</w:t>
      </w:r>
    </w:p>
    <w:p w14:paraId="56A57A99">
      <w:pPr>
        <w:spacing w:line="600" w:lineRule="exact"/>
        <w:ind w:firstLine="640" w:firstLineChars="200"/>
        <w:rPr>
          <w:sz w:val="32"/>
          <w:szCs w:val="32"/>
        </w:rPr>
      </w:pPr>
      <w:r>
        <w:rPr>
          <w:rFonts w:hint="eastAsia"/>
          <w:sz w:val="32"/>
          <w:szCs w:val="32"/>
        </w:rPr>
        <w:t>（二）机构职能</w:t>
      </w:r>
    </w:p>
    <w:p w14:paraId="06E2CB18">
      <w:pPr>
        <w:jc w:val="center"/>
        <w:rPr>
          <w:rFonts w:ascii="仿宋" w:hAnsi="仿宋" w:eastAsia="仿宋"/>
          <w:b/>
          <w:sz w:val="32"/>
          <w:szCs w:val="32"/>
        </w:rPr>
      </w:pPr>
      <w:r>
        <w:rPr>
          <w:rFonts w:hint="eastAsia"/>
          <w:sz w:val="32"/>
          <w:szCs w:val="32"/>
        </w:rPr>
        <w:t>行政办公室工作职责</w:t>
      </w:r>
    </w:p>
    <w:p w14:paraId="33672D5D">
      <w:pPr>
        <w:spacing w:line="600" w:lineRule="exact"/>
        <w:ind w:firstLine="640" w:firstLineChars="200"/>
        <w:rPr>
          <w:sz w:val="32"/>
          <w:szCs w:val="32"/>
        </w:rPr>
      </w:pPr>
      <w:r>
        <w:rPr>
          <w:rFonts w:hint="eastAsia"/>
          <w:sz w:val="32"/>
          <w:szCs w:val="32"/>
        </w:rPr>
        <w:t>行政办公室是在校长的直接领导下做好学校日常工作的部门，协助校长制订、贯彻和落实学校改革方案、工作计划；经常检查执行情况，严格执行催办制度。其职责是：</w:t>
      </w:r>
    </w:p>
    <w:p w14:paraId="0E91B8E1">
      <w:pPr>
        <w:spacing w:line="600" w:lineRule="exact"/>
        <w:ind w:firstLine="640" w:firstLineChars="200"/>
        <w:rPr>
          <w:sz w:val="32"/>
          <w:szCs w:val="32"/>
        </w:rPr>
      </w:pPr>
      <w:r>
        <w:rPr>
          <w:rFonts w:hint="eastAsia"/>
          <w:sz w:val="32"/>
          <w:szCs w:val="32"/>
        </w:rPr>
        <w:t>1.负责掌管校印、校领导印章；做好学校介绍信的管理和使用。</w:t>
      </w:r>
    </w:p>
    <w:p w14:paraId="6B15A3A1">
      <w:pPr>
        <w:spacing w:line="600" w:lineRule="exact"/>
        <w:ind w:firstLine="640" w:firstLineChars="200"/>
        <w:rPr>
          <w:sz w:val="32"/>
          <w:szCs w:val="32"/>
        </w:rPr>
      </w:pPr>
      <w:r>
        <w:rPr>
          <w:rFonts w:hint="eastAsia"/>
          <w:sz w:val="32"/>
          <w:szCs w:val="32"/>
        </w:rPr>
        <w:t>2.负责召集学校行政会议，教工大会；督促、检查、执行会议决议。做好校内会议，特别是临时性会议的准备工作。负责学校各种会议的记录工作。</w:t>
      </w:r>
    </w:p>
    <w:p w14:paraId="7090836F">
      <w:pPr>
        <w:spacing w:line="600" w:lineRule="exact"/>
        <w:ind w:firstLine="640" w:firstLineChars="200"/>
        <w:rPr>
          <w:sz w:val="32"/>
          <w:szCs w:val="32"/>
        </w:rPr>
      </w:pPr>
      <w:r>
        <w:rPr>
          <w:rFonts w:hint="eastAsia"/>
          <w:sz w:val="32"/>
          <w:szCs w:val="32"/>
        </w:rPr>
        <w:t>3.协助校领导搞好与各有关单位的联络工作。协调各处室、年级的关系，保证学校各处室工作协调运转。</w:t>
      </w:r>
    </w:p>
    <w:p w14:paraId="299E28D7">
      <w:pPr>
        <w:spacing w:line="600" w:lineRule="exact"/>
        <w:ind w:firstLine="640" w:firstLineChars="200"/>
        <w:rPr>
          <w:sz w:val="32"/>
          <w:szCs w:val="32"/>
        </w:rPr>
      </w:pPr>
      <w:r>
        <w:rPr>
          <w:rFonts w:hint="eastAsia"/>
          <w:sz w:val="32"/>
          <w:szCs w:val="32"/>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14:paraId="3D0C1E0C">
      <w:pPr>
        <w:spacing w:line="600" w:lineRule="exact"/>
        <w:ind w:firstLine="640" w:firstLineChars="200"/>
        <w:rPr>
          <w:sz w:val="32"/>
          <w:szCs w:val="32"/>
        </w:rPr>
      </w:pPr>
      <w:r>
        <w:rPr>
          <w:rFonts w:hint="eastAsia"/>
          <w:sz w:val="32"/>
          <w:szCs w:val="32"/>
        </w:rPr>
        <w:t>5.负责学校教师档案、年度考核、职称评聘、转正、晋级增资、调进调出、离退休等工作。收集各级先进工作者的推选及评审等工作。做好阶段性迎检工作、上级考核、教师评价与考核工作。</w:t>
      </w:r>
    </w:p>
    <w:p w14:paraId="534A7D9E">
      <w:pPr>
        <w:spacing w:line="600" w:lineRule="exact"/>
        <w:ind w:firstLine="640" w:firstLineChars="200"/>
        <w:rPr>
          <w:sz w:val="32"/>
          <w:szCs w:val="32"/>
        </w:rPr>
      </w:pPr>
      <w:r>
        <w:rPr>
          <w:rFonts w:hint="eastAsia"/>
          <w:sz w:val="32"/>
          <w:szCs w:val="32"/>
        </w:rPr>
        <w:t>6.对全校的文书档案进行管理，负责全校文书档案和各种专门档案的收集、整理、保管和提供利用工作，做好各级文件的收发和保管、保密工作。</w:t>
      </w:r>
    </w:p>
    <w:p w14:paraId="320FA08F">
      <w:pPr>
        <w:spacing w:line="600" w:lineRule="exact"/>
        <w:ind w:firstLine="640" w:firstLineChars="200"/>
        <w:rPr>
          <w:sz w:val="32"/>
          <w:szCs w:val="32"/>
        </w:rPr>
      </w:pPr>
      <w:r>
        <w:rPr>
          <w:rFonts w:hint="eastAsia"/>
          <w:sz w:val="32"/>
          <w:szCs w:val="32"/>
        </w:rPr>
        <w:t>7.负责学校统计工作，确保重要数据准确、真实、有效。</w:t>
      </w:r>
    </w:p>
    <w:p w14:paraId="438EAB82">
      <w:pPr>
        <w:spacing w:line="600" w:lineRule="exact"/>
        <w:ind w:firstLine="640" w:firstLineChars="200"/>
        <w:rPr>
          <w:sz w:val="32"/>
          <w:szCs w:val="32"/>
        </w:rPr>
      </w:pPr>
      <w:r>
        <w:rPr>
          <w:rFonts w:hint="eastAsia"/>
          <w:sz w:val="32"/>
          <w:szCs w:val="32"/>
        </w:rPr>
        <w:t>8.负责学生学籍管理，协助教务室做好教务考务管理工作。</w:t>
      </w:r>
    </w:p>
    <w:p w14:paraId="5169B13A">
      <w:pPr>
        <w:spacing w:line="600" w:lineRule="exact"/>
        <w:ind w:firstLine="640" w:firstLineChars="200"/>
        <w:rPr>
          <w:sz w:val="32"/>
          <w:szCs w:val="32"/>
        </w:rPr>
      </w:pPr>
      <w:r>
        <w:rPr>
          <w:rFonts w:hint="eastAsia"/>
          <w:sz w:val="32"/>
          <w:szCs w:val="32"/>
        </w:rPr>
        <w:t>9.负责招生工作，妥善保管招生资料。具体工作如下：</w:t>
      </w:r>
    </w:p>
    <w:p w14:paraId="139BA674">
      <w:pPr>
        <w:spacing w:line="600" w:lineRule="exact"/>
        <w:ind w:firstLine="640" w:firstLineChars="200"/>
        <w:rPr>
          <w:sz w:val="32"/>
          <w:szCs w:val="32"/>
        </w:rPr>
      </w:pPr>
      <w:r>
        <w:rPr>
          <w:rFonts w:hint="eastAsia"/>
          <w:sz w:val="32"/>
          <w:szCs w:val="32"/>
        </w:rPr>
        <w:t>①执行教育部和省教育厅有关招生工作的政策和法规，落实省、市招生委员会相关工作方案和实施细则。</w:t>
      </w:r>
    </w:p>
    <w:p w14:paraId="602B7B3A">
      <w:pPr>
        <w:spacing w:line="600" w:lineRule="exact"/>
        <w:ind w:firstLine="640" w:firstLineChars="200"/>
        <w:rPr>
          <w:sz w:val="32"/>
          <w:szCs w:val="32"/>
        </w:rPr>
      </w:pPr>
      <w:r>
        <w:rPr>
          <w:rFonts w:hint="eastAsia"/>
          <w:sz w:val="32"/>
          <w:szCs w:val="32"/>
        </w:rPr>
        <w:t>②深入研究学校招生工作规律和特点，制定切实可行的学校招生工作规程和年度工作计划。在充分调研论证的基础上，为学校制定年度招生计划提供工作预案。</w:t>
      </w:r>
    </w:p>
    <w:p w14:paraId="32DF343F">
      <w:pPr>
        <w:spacing w:line="600" w:lineRule="exact"/>
        <w:ind w:firstLine="640" w:firstLineChars="200"/>
        <w:rPr>
          <w:sz w:val="32"/>
          <w:szCs w:val="32"/>
        </w:rPr>
      </w:pPr>
      <w:r>
        <w:rPr>
          <w:rFonts w:hint="eastAsia"/>
          <w:sz w:val="32"/>
          <w:szCs w:val="32"/>
        </w:rPr>
        <w:t>③具体负责学校招生组织网络的构建，并负责实施相关人员的岗前培训等。</w:t>
      </w:r>
    </w:p>
    <w:p w14:paraId="5E85AECA">
      <w:pPr>
        <w:spacing w:line="600" w:lineRule="exact"/>
        <w:ind w:firstLine="640" w:firstLineChars="200"/>
        <w:rPr>
          <w:sz w:val="32"/>
          <w:szCs w:val="32"/>
        </w:rPr>
      </w:pPr>
      <w:r>
        <w:rPr>
          <w:rFonts w:hint="eastAsia"/>
          <w:sz w:val="32"/>
          <w:szCs w:val="32"/>
        </w:rPr>
        <w:t>④充分利用现代媒体，拓展招生宣传渠道，负责编印、寄发相关宣传材料，举办招生宣传专题活动。</w:t>
      </w:r>
    </w:p>
    <w:p w14:paraId="1C0B0729">
      <w:pPr>
        <w:spacing w:line="600" w:lineRule="exact"/>
        <w:ind w:firstLine="640" w:firstLineChars="200"/>
        <w:rPr>
          <w:sz w:val="32"/>
          <w:szCs w:val="32"/>
        </w:rPr>
      </w:pPr>
      <w:r>
        <w:rPr>
          <w:rFonts w:hint="eastAsia"/>
          <w:sz w:val="32"/>
          <w:szCs w:val="32"/>
        </w:rPr>
        <w:t>⑤做好日常接待和招生咨询工作，采取积极有效的方式，为学生、家长及基层学校提供高效优质的招生服务。</w:t>
      </w:r>
    </w:p>
    <w:p w14:paraId="5B00CF32">
      <w:pPr>
        <w:spacing w:line="600" w:lineRule="exact"/>
        <w:ind w:firstLine="640" w:firstLineChars="200"/>
        <w:rPr>
          <w:sz w:val="32"/>
          <w:szCs w:val="32"/>
        </w:rPr>
      </w:pPr>
      <w:r>
        <w:rPr>
          <w:rFonts w:hint="eastAsia"/>
          <w:sz w:val="32"/>
          <w:szCs w:val="32"/>
        </w:rPr>
        <w:t>⑥具体负责新生的资格审查、报名注册和分类造册等工作，协助教务处做好新生入学进班工作。</w:t>
      </w:r>
    </w:p>
    <w:p w14:paraId="037D1681">
      <w:pPr>
        <w:spacing w:line="600" w:lineRule="exact"/>
        <w:ind w:firstLine="640" w:firstLineChars="200"/>
        <w:rPr>
          <w:sz w:val="32"/>
          <w:szCs w:val="32"/>
        </w:rPr>
      </w:pPr>
      <w:r>
        <w:rPr>
          <w:rFonts w:hint="eastAsia"/>
          <w:sz w:val="32"/>
          <w:szCs w:val="32"/>
        </w:rPr>
        <w:t>10.负责学校资产管理、绿化管理、校园网络建设及管理等，做好如下后勤保障工作：</w:t>
      </w:r>
    </w:p>
    <w:p w14:paraId="3E3DD8A1">
      <w:pPr>
        <w:spacing w:line="600" w:lineRule="exact"/>
        <w:ind w:firstLine="640" w:firstLineChars="200"/>
        <w:rPr>
          <w:sz w:val="32"/>
          <w:szCs w:val="32"/>
        </w:rPr>
      </w:pPr>
      <w:r>
        <w:rPr>
          <w:rFonts w:hint="eastAsia"/>
          <w:sz w:val="32"/>
          <w:szCs w:val="32"/>
        </w:rPr>
        <w:t>①根据学校教育、教学需要，做好提供各种教学设备和办公用品等服务性工作；积极参与学校现代化教学设施设备的建设工作；负责学校网络建设运行工作。</w:t>
      </w:r>
    </w:p>
    <w:p w14:paraId="652E109C">
      <w:pPr>
        <w:spacing w:line="600" w:lineRule="exact"/>
        <w:ind w:firstLine="640" w:firstLineChars="200"/>
        <w:rPr>
          <w:sz w:val="32"/>
          <w:szCs w:val="32"/>
        </w:rPr>
      </w:pPr>
      <w:r>
        <w:rPr>
          <w:rFonts w:hint="eastAsia"/>
          <w:sz w:val="32"/>
          <w:szCs w:val="32"/>
        </w:rPr>
        <w:t>②做好供水、供电、卫生医疗工作，努力创造良好的生活环境，方便师生生活；定期进行卫生检查，预防事故发生，不断提高服务质量。</w:t>
      </w:r>
    </w:p>
    <w:p w14:paraId="12235C19">
      <w:pPr>
        <w:spacing w:line="600" w:lineRule="exact"/>
        <w:ind w:firstLine="640" w:firstLineChars="200"/>
        <w:rPr>
          <w:sz w:val="32"/>
          <w:szCs w:val="32"/>
        </w:rPr>
      </w:pPr>
      <w:r>
        <w:rPr>
          <w:rFonts w:hint="eastAsia"/>
          <w:sz w:val="32"/>
          <w:szCs w:val="32"/>
        </w:rPr>
        <w:t>③负责校舍、校园的建设和管理，做好学校功能室建设、运用和管理工作。协助学校领导制订并实施校园整体建设规划，做好校舍维修以及校园净化、绿化和美化等工作。</w:t>
      </w:r>
    </w:p>
    <w:p w14:paraId="1131053A">
      <w:pPr>
        <w:spacing w:line="600" w:lineRule="exact"/>
        <w:ind w:firstLine="640" w:firstLineChars="200"/>
        <w:rPr>
          <w:sz w:val="32"/>
          <w:szCs w:val="32"/>
        </w:rPr>
      </w:pPr>
      <w:r>
        <w:rPr>
          <w:rFonts w:hint="eastAsia"/>
          <w:sz w:val="32"/>
          <w:szCs w:val="32"/>
        </w:rPr>
        <w:t>④加强学校固定资产管理工作，建立健全固定资产账目，严格执行国家有关财产物资管理制度。</w:t>
      </w:r>
    </w:p>
    <w:p w14:paraId="582D36A5">
      <w:pPr>
        <w:spacing w:line="600" w:lineRule="exact"/>
        <w:ind w:firstLine="640" w:firstLineChars="200"/>
        <w:rPr>
          <w:sz w:val="32"/>
          <w:szCs w:val="32"/>
        </w:rPr>
      </w:pPr>
      <w:r>
        <w:rPr>
          <w:rFonts w:hint="eastAsia"/>
          <w:sz w:val="32"/>
          <w:szCs w:val="32"/>
        </w:rPr>
        <w:t>财务室工作职责</w:t>
      </w:r>
    </w:p>
    <w:p w14:paraId="1E4F565F">
      <w:pPr>
        <w:spacing w:line="600" w:lineRule="exact"/>
        <w:ind w:firstLine="640" w:firstLineChars="200"/>
        <w:rPr>
          <w:sz w:val="32"/>
          <w:szCs w:val="32"/>
        </w:rPr>
      </w:pPr>
      <w:r>
        <w:rPr>
          <w:rFonts w:hint="eastAsia"/>
          <w:sz w:val="32"/>
          <w:szCs w:val="32"/>
        </w:rPr>
        <w:t>1.在校长的领导和上级财务部门的指导下，遵守国家财经法纪和财务制度，组织全校财务管理与会计核算工作。</w:t>
      </w:r>
    </w:p>
    <w:p w14:paraId="5BF78B72">
      <w:pPr>
        <w:spacing w:line="600" w:lineRule="exact"/>
        <w:ind w:firstLine="640" w:firstLineChars="200"/>
        <w:rPr>
          <w:sz w:val="32"/>
          <w:szCs w:val="32"/>
        </w:rPr>
      </w:pPr>
      <w:r>
        <w:rPr>
          <w:rFonts w:hint="eastAsia"/>
          <w:sz w:val="32"/>
          <w:szCs w:val="32"/>
        </w:rPr>
        <w:t>2.负责组织制订、完善学校内部财务会计规章制度，并监督各部门贯彻执行。</w:t>
      </w:r>
    </w:p>
    <w:p w14:paraId="5B654400">
      <w:pPr>
        <w:spacing w:line="600" w:lineRule="exact"/>
        <w:ind w:firstLine="640" w:firstLineChars="200"/>
        <w:rPr>
          <w:sz w:val="32"/>
          <w:szCs w:val="32"/>
        </w:rPr>
      </w:pPr>
      <w:r>
        <w:rPr>
          <w:rFonts w:hint="eastAsia"/>
          <w:sz w:val="32"/>
          <w:szCs w:val="32"/>
        </w:rPr>
        <w:t>3.积极筹集资金，广开筹资渠道，保证学校各项收入足额收缴，各项拨款及其他资金及时到位。</w:t>
      </w:r>
    </w:p>
    <w:p w14:paraId="44DBFAAB">
      <w:pPr>
        <w:spacing w:line="600" w:lineRule="exact"/>
        <w:ind w:firstLine="640" w:firstLineChars="200"/>
        <w:rPr>
          <w:sz w:val="32"/>
          <w:szCs w:val="32"/>
        </w:rPr>
      </w:pPr>
      <w:r>
        <w:rPr>
          <w:rFonts w:hint="eastAsia"/>
          <w:sz w:val="32"/>
          <w:szCs w:val="32"/>
        </w:rPr>
        <w:t>4.负责组织编制学校各项财务收支计划、经费预决算，监督检查计划、预算的执行情况。</w:t>
      </w:r>
    </w:p>
    <w:p w14:paraId="106728BB">
      <w:pPr>
        <w:spacing w:line="600" w:lineRule="exact"/>
        <w:ind w:firstLine="640" w:firstLineChars="200"/>
        <w:rPr>
          <w:sz w:val="32"/>
          <w:szCs w:val="32"/>
        </w:rPr>
      </w:pPr>
      <w:r>
        <w:rPr>
          <w:rFonts w:hint="eastAsia"/>
          <w:sz w:val="32"/>
          <w:szCs w:val="32"/>
        </w:rPr>
        <w:t>5.根据审核后的学校财务预算，负责合理安排财务支出和财务核算，保证学校各项工作顺利进行。</w:t>
      </w:r>
    </w:p>
    <w:p w14:paraId="440F7A8F">
      <w:pPr>
        <w:spacing w:line="600" w:lineRule="exact"/>
        <w:ind w:firstLine="640" w:firstLineChars="200"/>
        <w:rPr>
          <w:sz w:val="32"/>
          <w:szCs w:val="32"/>
        </w:rPr>
      </w:pPr>
      <w:r>
        <w:rPr>
          <w:rFonts w:hint="eastAsia"/>
          <w:sz w:val="32"/>
          <w:szCs w:val="32"/>
        </w:rPr>
        <w:t>6.负责组织开展学校财产清查的具体工作和会计核算工作。</w:t>
      </w:r>
    </w:p>
    <w:p w14:paraId="07A9FD1B">
      <w:pPr>
        <w:spacing w:line="600" w:lineRule="exact"/>
        <w:ind w:firstLine="640" w:firstLineChars="200"/>
        <w:rPr>
          <w:sz w:val="32"/>
          <w:szCs w:val="32"/>
        </w:rPr>
      </w:pPr>
      <w:r>
        <w:rPr>
          <w:rFonts w:hint="eastAsia"/>
          <w:sz w:val="32"/>
          <w:szCs w:val="32"/>
        </w:rPr>
        <w:t>7.负责组织开展财务分析，及时查找并改进财务工作的漏洞与不足，努力提高资金使用效益。</w:t>
      </w:r>
    </w:p>
    <w:p w14:paraId="284F13FE">
      <w:pPr>
        <w:spacing w:line="600" w:lineRule="exact"/>
        <w:ind w:firstLine="640" w:firstLineChars="200"/>
        <w:rPr>
          <w:sz w:val="32"/>
          <w:szCs w:val="32"/>
        </w:rPr>
      </w:pPr>
      <w:r>
        <w:rPr>
          <w:rFonts w:hint="eastAsia"/>
          <w:sz w:val="32"/>
          <w:szCs w:val="32"/>
        </w:rPr>
        <w:t>8.负责学校日常收支具体业务工作，组织收入，合理支出，做好相关收支票据审核工作，保障学校一切工作正常运行。</w:t>
      </w:r>
    </w:p>
    <w:p w14:paraId="41806AC5">
      <w:pPr>
        <w:spacing w:line="600" w:lineRule="exact"/>
        <w:ind w:firstLine="640" w:firstLineChars="200"/>
        <w:rPr>
          <w:sz w:val="32"/>
          <w:szCs w:val="32"/>
        </w:rPr>
      </w:pPr>
      <w:r>
        <w:rPr>
          <w:rFonts w:hint="eastAsia"/>
          <w:sz w:val="32"/>
          <w:szCs w:val="32"/>
        </w:rPr>
        <w:t>9.参与学校工作人员绩效考核、教育教学质量考核、课后服务考核岗位系数的调整、论证工作，协助教学管理部和办公室做好考核档案归档管理工作，组织发放相关待遇。</w:t>
      </w:r>
    </w:p>
    <w:p w14:paraId="029C4667">
      <w:pPr>
        <w:spacing w:line="600" w:lineRule="exact"/>
        <w:ind w:firstLine="640" w:firstLineChars="200"/>
        <w:rPr>
          <w:sz w:val="32"/>
          <w:szCs w:val="32"/>
        </w:rPr>
      </w:pPr>
      <w:r>
        <w:rPr>
          <w:rFonts w:hint="eastAsia"/>
          <w:sz w:val="32"/>
          <w:szCs w:val="32"/>
        </w:rPr>
        <w:t>10.负责学校教职工工资发放等一切福利待遇保障工作。</w:t>
      </w:r>
    </w:p>
    <w:p w14:paraId="1D64141A">
      <w:pPr>
        <w:spacing w:line="600" w:lineRule="exact"/>
        <w:ind w:firstLine="640" w:firstLineChars="200"/>
        <w:rPr>
          <w:sz w:val="32"/>
          <w:szCs w:val="32"/>
        </w:rPr>
      </w:pPr>
      <w:r>
        <w:rPr>
          <w:rFonts w:hint="eastAsia"/>
          <w:sz w:val="32"/>
          <w:szCs w:val="32"/>
        </w:rPr>
        <w:t>11.参与学校重要收支事项的会议研讨工作，提出财务制度要求范围内的合理实施建议和意见。</w:t>
      </w:r>
    </w:p>
    <w:p w14:paraId="6DA84303">
      <w:pPr>
        <w:spacing w:line="600" w:lineRule="exact"/>
        <w:ind w:firstLine="640" w:firstLineChars="200"/>
        <w:rPr>
          <w:sz w:val="32"/>
          <w:szCs w:val="32"/>
        </w:rPr>
      </w:pPr>
      <w:r>
        <w:rPr>
          <w:rFonts w:hint="eastAsia"/>
          <w:sz w:val="32"/>
          <w:szCs w:val="32"/>
        </w:rPr>
        <w:t>12.负责组织会计人员进行政治学习与业务学习，检查协调各岗位的工作，不断提高财务人员的业务水平与服务质量。</w:t>
      </w:r>
    </w:p>
    <w:p w14:paraId="66D8ADCE">
      <w:pPr>
        <w:spacing w:line="600" w:lineRule="exact"/>
        <w:ind w:firstLine="640" w:firstLineChars="200"/>
        <w:rPr>
          <w:sz w:val="32"/>
          <w:szCs w:val="32"/>
        </w:rPr>
      </w:pPr>
      <w:r>
        <w:rPr>
          <w:rFonts w:hint="eastAsia"/>
          <w:sz w:val="32"/>
          <w:szCs w:val="32"/>
        </w:rPr>
        <w:t>13.积极完成校领导交办的其他工作。</w:t>
      </w:r>
    </w:p>
    <w:p w14:paraId="373934C9">
      <w:pPr>
        <w:spacing w:line="600" w:lineRule="exact"/>
        <w:ind w:firstLine="640" w:firstLineChars="200"/>
        <w:rPr>
          <w:sz w:val="32"/>
          <w:szCs w:val="32"/>
        </w:rPr>
      </w:pPr>
      <w:r>
        <w:rPr>
          <w:rFonts w:hint="eastAsia"/>
          <w:sz w:val="32"/>
          <w:szCs w:val="32"/>
        </w:rPr>
        <w:t>教导处工作职责</w:t>
      </w:r>
    </w:p>
    <w:p w14:paraId="6AA1938E">
      <w:pPr>
        <w:spacing w:line="600" w:lineRule="exact"/>
        <w:ind w:firstLine="640" w:firstLineChars="200"/>
        <w:rPr>
          <w:sz w:val="32"/>
          <w:szCs w:val="32"/>
        </w:rPr>
      </w:pPr>
      <w:r>
        <w:rPr>
          <w:rFonts w:hint="eastAsia"/>
          <w:sz w:val="32"/>
          <w:szCs w:val="32"/>
        </w:rPr>
        <w:t>1.认真完成上级及校长下达的各项工作任务；根据学校工作计划制定教务工作计划并组织实施；提出各学科教学、教辅人员工作安排方案，经校长办公会议审定后具体组织落实。</w:t>
      </w:r>
    </w:p>
    <w:p w14:paraId="4347DE9A">
      <w:pPr>
        <w:spacing w:line="600" w:lineRule="exact"/>
        <w:ind w:firstLine="640" w:firstLineChars="200"/>
        <w:rPr>
          <w:sz w:val="32"/>
          <w:szCs w:val="32"/>
        </w:rPr>
      </w:pPr>
      <w:r>
        <w:rPr>
          <w:rFonts w:hint="eastAsia"/>
          <w:sz w:val="32"/>
          <w:szCs w:val="32"/>
        </w:rPr>
        <w:t>2.健全教师业务档案、学生档案，教务、考务、考勤、成绩统计等管理工作；编班、排课、调课、安排代课，编制课程表、作息时间表以及其他教学用表；积累教学资料，并整理归档；对教务处工作人员进行考核评估。</w:t>
      </w:r>
    </w:p>
    <w:p w14:paraId="688DE21D">
      <w:pPr>
        <w:spacing w:line="600" w:lineRule="exact"/>
        <w:ind w:firstLine="640" w:firstLineChars="200"/>
        <w:rPr>
          <w:sz w:val="32"/>
          <w:szCs w:val="32"/>
        </w:rPr>
      </w:pPr>
      <w:r>
        <w:rPr>
          <w:rFonts w:hint="eastAsia"/>
          <w:sz w:val="32"/>
          <w:szCs w:val="32"/>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01CDEF5A">
      <w:pPr>
        <w:spacing w:line="600" w:lineRule="exact"/>
        <w:ind w:firstLine="640" w:firstLineChars="200"/>
        <w:rPr>
          <w:sz w:val="32"/>
          <w:szCs w:val="32"/>
        </w:rPr>
      </w:pPr>
      <w:r>
        <w:rPr>
          <w:rFonts w:hint="eastAsia"/>
          <w:sz w:val="32"/>
          <w:szCs w:val="32"/>
        </w:rPr>
        <w:t>4.做好学生课外活动和学科竞赛活动的指导、组织和检查工作；组织落实各级教育行政部门举行的各类学科竞赛。</w:t>
      </w:r>
    </w:p>
    <w:p w14:paraId="5218ACB9">
      <w:pPr>
        <w:spacing w:line="600" w:lineRule="exact"/>
        <w:ind w:firstLine="640" w:firstLineChars="200"/>
        <w:rPr>
          <w:sz w:val="32"/>
          <w:szCs w:val="32"/>
        </w:rPr>
      </w:pPr>
      <w:r>
        <w:rPr>
          <w:rFonts w:hint="eastAsia"/>
          <w:sz w:val="32"/>
          <w:szCs w:val="32"/>
        </w:rPr>
        <w:t>5.协助校长制定教师进修规划并组织实施，努力发挥老教师的作用，加强对教学骨干和新生力量的培养。</w:t>
      </w:r>
    </w:p>
    <w:p w14:paraId="4AB8C7B2">
      <w:pPr>
        <w:spacing w:line="600" w:lineRule="exact"/>
        <w:ind w:firstLine="640" w:firstLineChars="200"/>
        <w:rPr>
          <w:sz w:val="32"/>
          <w:szCs w:val="32"/>
        </w:rPr>
      </w:pPr>
      <w:r>
        <w:rPr>
          <w:rFonts w:hint="eastAsia"/>
          <w:sz w:val="32"/>
          <w:szCs w:val="32"/>
        </w:rPr>
        <w:t>6.注重培养青年教师，搞好青年教师的拜师结对工作和举行青年教师的教学大奖赛活动。</w:t>
      </w:r>
    </w:p>
    <w:p w14:paraId="11F70B34">
      <w:pPr>
        <w:spacing w:line="600" w:lineRule="exact"/>
        <w:ind w:firstLine="640" w:firstLineChars="200"/>
        <w:rPr>
          <w:sz w:val="32"/>
          <w:szCs w:val="32"/>
        </w:rPr>
      </w:pPr>
      <w:r>
        <w:rPr>
          <w:rFonts w:hint="eastAsia"/>
          <w:sz w:val="32"/>
          <w:szCs w:val="32"/>
        </w:rPr>
        <w:t>7.完成校长会议布置的其它工作。</w:t>
      </w:r>
    </w:p>
    <w:p w14:paraId="330D2059">
      <w:pPr>
        <w:spacing w:line="600" w:lineRule="exact"/>
        <w:ind w:firstLine="640" w:firstLineChars="200"/>
        <w:rPr>
          <w:sz w:val="32"/>
          <w:szCs w:val="32"/>
        </w:rPr>
      </w:pPr>
      <w:r>
        <w:rPr>
          <w:rFonts w:hint="eastAsia"/>
          <w:sz w:val="32"/>
          <w:szCs w:val="32"/>
        </w:rPr>
        <w:t>教研室工作职责</w:t>
      </w:r>
    </w:p>
    <w:p w14:paraId="2AB901A4">
      <w:pPr>
        <w:spacing w:line="600" w:lineRule="exact"/>
        <w:ind w:firstLine="640" w:firstLineChars="200"/>
        <w:rPr>
          <w:sz w:val="32"/>
          <w:szCs w:val="32"/>
        </w:rPr>
      </w:pPr>
      <w:r>
        <w:rPr>
          <w:rFonts w:hint="eastAsia"/>
          <w:sz w:val="32"/>
          <w:szCs w:val="32"/>
        </w:rPr>
        <w:t>教研室是学校负责教育教学研究工作的机构，为学校的教育教学及其他管理提供业务指导和信息服务，其主要职责：</w:t>
      </w:r>
    </w:p>
    <w:p w14:paraId="4EC58547">
      <w:pPr>
        <w:spacing w:line="600" w:lineRule="exact"/>
        <w:ind w:firstLine="640" w:firstLineChars="200"/>
        <w:rPr>
          <w:sz w:val="32"/>
          <w:szCs w:val="32"/>
        </w:rPr>
      </w:pPr>
      <w:r>
        <w:rPr>
          <w:rFonts w:hint="eastAsia"/>
          <w:sz w:val="32"/>
          <w:szCs w:val="32"/>
        </w:rPr>
        <w:t>1.制定明确的教研工作计划，探索教学特色和教学方法，不断提高教师业务水平和整体素质；对各学科教研组提出教研目标，进行业务指导与评估验收。</w:t>
      </w:r>
    </w:p>
    <w:p w14:paraId="768223B3">
      <w:pPr>
        <w:spacing w:line="600" w:lineRule="exact"/>
        <w:ind w:firstLine="640" w:firstLineChars="200"/>
        <w:rPr>
          <w:sz w:val="32"/>
          <w:szCs w:val="32"/>
        </w:rPr>
      </w:pPr>
      <w:r>
        <w:rPr>
          <w:rFonts w:hint="eastAsia"/>
          <w:sz w:val="32"/>
          <w:szCs w:val="32"/>
        </w:rPr>
        <w:t>2.负责校本课题的立项、审定、管理及评估，负责其它研究课题的申报、立项、督办及管理。</w:t>
      </w:r>
    </w:p>
    <w:p w14:paraId="07FB00A9">
      <w:pPr>
        <w:spacing w:line="600" w:lineRule="exact"/>
        <w:ind w:firstLine="640" w:firstLineChars="200"/>
        <w:rPr>
          <w:sz w:val="32"/>
          <w:szCs w:val="32"/>
        </w:rPr>
      </w:pPr>
      <w:r>
        <w:rPr>
          <w:rFonts w:hint="eastAsia"/>
          <w:sz w:val="32"/>
          <w:szCs w:val="32"/>
        </w:rPr>
        <w:t>3.收集教育科研信息，组织教师学习研讨教育理论，负责教师继续教育培训的组织工作。</w:t>
      </w:r>
    </w:p>
    <w:p w14:paraId="6A915DF8">
      <w:pPr>
        <w:spacing w:line="600" w:lineRule="exact"/>
        <w:ind w:firstLine="640" w:firstLineChars="200"/>
        <w:rPr>
          <w:sz w:val="32"/>
          <w:szCs w:val="32"/>
        </w:rPr>
      </w:pPr>
      <w:r>
        <w:rPr>
          <w:rFonts w:hint="eastAsia"/>
          <w:sz w:val="32"/>
          <w:szCs w:val="32"/>
        </w:rPr>
        <w:t>4.负责组织教师科研论文的撰写与评审，并向各级报刊及学术会议推荐。</w:t>
      </w:r>
    </w:p>
    <w:p w14:paraId="48E0CCE6">
      <w:pPr>
        <w:spacing w:line="600" w:lineRule="exact"/>
        <w:ind w:firstLine="640" w:firstLineChars="200"/>
        <w:rPr>
          <w:sz w:val="32"/>
          <w:szCs w:val="32"/>
        </w:rPr>
      </w:pPr>
      <w:r>
        <w:rPr>
          <w:rFonts w:hint="eastAsia"/>
          <w:sz w:val="32"/>
          <w:szCs w:val="32"/>
        </w:rPr>
        <w:t>5.负责组织学校领导及专家深入教学一线听课、评课，指导教师的教学。</w:t>
      </w:r>
    </w:p>
    <w:p w14:paraId="474346A5">
      <w:pPr>
        <w:spacing w:line="600" w:lineRule="exact"/>
        <w:ind w:firstLine="640" w:firstLineChars="200"/>
        <w:rPr>
          <w:sz w:val="32"/>
          <w:szCs w:val="32"/>
        </w:rPr>
      </w:pPr>
      <w:r>
        <w:rPr>
          <w:rFonts w:hint="eastAsia"/>
          <w:sz w:val="32"/>
          <w:szCs w:val="32"/>
        </w:rPr>
        <w:t>6.负责领导教研组长及教研员。指导教研组、备课组进行教材教法的研究，开展教研活动并对其工作进行督导、检查和指导。</w:t>
      </w:r>
    </w:p>
    <w:p w14:paraId="692CB7A5">
      <w:pPr>
        <w:spacing w:line="600" w:lineRule="exact"/>
        <w:ind w:firstLine="640" w:firstLineChars="200"/>
        <w:rPr>
          <w:sz w:val="32"/>
          <w:szCs w:val="32"/>
        </w:rPr>
      </w:pPr>
      <w:r>
        <w:rPr>
          <w:rFonts w:hint="eastAsia"/>
          <w:sz w:val="32"/>
          <w:szCs w:val="32"/>
        </w:rPr>
        <w:t>7.负责组织学校期中期末考试的命题工作。</w:t>
      </w:r>
    </w:p>
    <w:p w14:paraId="19AF79D4">
      <w:pPr>
        <w:spacing w:line="600" w:lineRule="exact"/>
        <w:ind w:firstLine="640" w:firstLineChars="200"/>
        <w:rPr>
          <w:sz w:val="32"/>
          <w:szCs w:val="32"/>
        </w:rPr>
      </w:pPr>
      <w:r>
        <w:rPr>
          <w:rFonts w:hint="eastAsia"/>
          <w:sz w:val="32"/>
          <w:szCs w:val="32"/>
        </w:rPr>
        <w:t>8.负责组织应聘教师的试教和评议工作。</w:t>
      </w:r>
    </w:p>
    <w:p w14:paraId="530532E9">
      <w:pPr>
        <w:spacing w:line="600" w:lineRule="exact"/>
        <w:ind w:firstLine="640" w:firstLineChars="200"/>
        <w:rPr>
          <w:sz w:val="32"/>
          <w:szCs w:val="32"/>
        </w:rPr>
      </w:pPr>
      <w:r>
        <w:rPr>
          <w:rFonts w:hint="eastAsia"/>
          <w:sz w:val="32"/>
          <w:szCs w:val="32"/>
        </w:rPr>
        <w:t>9.负责指导各教研组开展各种研究课、公开课、观摩课、示范课活动；负责国家、省、市、校各级赛课活动的组织及选送。</w:t>
      </w:r>
    </w:p>
    <w:p w14:paraId="010CD090">
      <w:pPr>
        <w:spacing w:line="600" w:lineRule="exact"/>
        <w:ind w:firstLine="640" w:firstLineChars="200"/>
        <w:rPr>
          <w:sz w:val="32"/>
          <w:szCs w:val="32"/>
        </w:rPr>
      </w:pPr>
      <w:r>
        <w:rPr>
          <w:rFonts w:hint="eastAsia"/>
          <w:sz w:val="32"/>
          <w:szCs w:val="32"/>
        </w:rPr>
        <w:t>10.负责组织教师参加各类学术、教研交流活动。</w:t>
      </w:r>
    </w:p>
    <w:p w14:paraId="776C09FD">
      <w:pPr>
        <w:spacing w:line="600" w:lineRule="exact"/>
        <w:ind w:firstLine="640" w:firstLineChars="200"/>
        <w:rPr>
          <w:sz w:val="32"/>
          <w:szCs w:val="32"/>
        </w:rPr>
      </w:pPr>
      <w:r>
        <w:rPr>
          <w:rFonts w:hint="eastAsia"/>
          <w:sz w:val="32"/>
          <w:szCs w:val="32"/>
        </w:rPr>
        <w:t>11.负责学生课外兴趣活动小组的组建及活动开展的组织工作。加强各项学科竞赛活动的培训及组织工作。</w:t>
      </w:r>
    </w:p>
    <w:p w14:paraId="05E4AB4F">
      <w:pPr>
        <w:spacing w:line="600" w:lineRule="exact"/>
        <w:ind w:firstLine="640" w:firstLineChars="200"/>
        <w:rPr>
          <w:sz w:val="32"/>
          <w:szCs w:val="32"/>
        </w:rPr>
      </w:pPr>
      <w:r>
        <w:rPr>
          <w:rFonts w:hint="eastAsia"/>
          <w:sz w:val="32"/>
          <w:szCs w:val="32"/>
        </w:rPr>
        <w:t>12.建立及保管教师的业务档案。</w:t>
      </w:r>
    </w:p>
    <w:p w14:paraId="2A10879B">
      <w:pPr>
        <w:spacing w:line="600" w:lineRule="exact"/>
        <w:ind w:firstLine="640" w:firstLineChars="200"/>
        <w:rPr>
          <w:sz w:val="32"/>
          <w:szCs w:val="32"/>
        </w:rPr>
      </w:pPr>
      <w:r>
        <w:rPr>
          <w:rFonts w:hint="eastAsia"/>
          <w:sz w:val="32"/>
          <w:szCs w:val="32"/>
        </w:rPr>
        <w:t>13.会同教务处组织课堂教学研究和评价活动。</w:t>
      </w:r>
    </w:p>
    <w:p w14:paraId="74A21D1F">
      <w:pPr>
        <w:spacing w:line="600" w:lineRule="exact"/>
        <w:ind w:firstLine="640" w:firstLineChars="200"/>
        <w:rPr>
          <w:sz w:val="32"/>
          <w:szCs w:val="32"/>
        </w:rPr>
      </w:pPr>
      <w:r>
        <w:rPr>
          <w:rFonts w:hint="eastAsia"/>
          <w:sz w:val="32"/>
          <w:szCs w:val="32"/>
        </w:rPr>
        <w:t>德育处工作职责</w:t>
      </w:r>
    </w:p>
    <w:p w14:paraId="48E49494">
      <w:pPr>
        <w:spacing w:line="600" w:lineRule="exact"/>
        <w:ind w:firstLine="640" w:firstLineChars="200"/>
        <w:rPr>
          <w:sz w:val="32"/>
          <w:szCs w:val="32"/>
        </w:rPr>
      </w:pPr>
      <w:r>
        <w:rPr>
          <w:rFonts w:hint="eastAsia"/>
          <w:sz w:val="32"/>
          <w:szCs w:val="32"/>
        </w:rPr>
        <w:t>德育处是具体组织学校德育实施的职能部门，其常规工作及职责如下：</w:t>
      </w:r>
    </w:p>
    <w:p w14:paraId="396AEAE4">
      <w:pPr>
        <w:spacing w:line="600" w:lineRule="exact"/>
        <w:ind w:firstLine="640" w:firstLineChars="200"/>
        <w:rPr>
          <w:sz w:val="32"/>
          <w:szCs w:val="32"/>
        </w:rPr>
      </w:pPr>
      <w:r>
        <w:rPr>
          <w:rFonts w:hint="eastAsia"/>
          <w:sz w:val="32"/>
          <w:szCs w:val="32"/>
        </w:rPr>
        <w:t>一、负责全校德育工作</w:t>
      </w:r>
    </w:p>
    <w:p w14:paraId="46D5EE5D">
      <w:pPr>
        <w:spacing w:line="600" w:lineRule="exact"/>
        <w:ind w:firstLine="640" w:firstLineChars="200"/>
        <w:rPr>
          <w:sz w:val="32"/>
          <w:szCs w:val="32"/>
        </w:rPr>
      </w:pPr>
      <w:r>
        <w:rPr>
          <w:rFonts w:hint="eastAsia"/>
          <w:sz w:val="32"/>
          <w:szCs w:val="32"/>
        </w:rPr>
        <w:t>1.在分管德育工作的校长领导下，组织全校德育工作，努力树立良好的校风和学风。</w:t>
      </w:r>
    </w:p>
    <w:p w14:paraId="1A672984">
      <w:pPr>
        <w:spacing w:line="600" w:lineRule="exact"/>
        <w:ind w:firstLine="640" w:firstLineChars="200"/>
        <w:rPr>
          <w:sz w:val="32"/>
          <w:szCs w:val="32"/>
        </w:rPr>
      </w:pPr>
      <w:r>
        <w:rPr>
          <w:rFonts w:hint="eastAsia"/>
          <w:sz w:val="32"/>
          <w:szCs w:val="32"/>
        </w:rPr>
        <w:t>2.协助校长制定全校德育工作计划。</w:t>
      </w:r>
    </w:p>
    <w:p w14:paraId="666C4389">
      <w:pPr>
        <w:spacing w:line="600" w:lineRule="exact"/>
        <w:ind w:firstLine="640" w:firstLineChars="200"/>
        <w:rPr>
          <w:sz w:val="32"/>
          <w:szCs w:val="32"/>
        </w:rPr>
      </w:pPr>
      <w:r>
        <w:rPr>
          <w:rFonts w:hint="eastAsia"/>
          <w:sz w:val="32"/>
          <w:szCs w:val="32"/>
        </w:rPr>
        <w:t>3.研究德育工作的要求、内容、方法，努力探索新时期德育工作规律，努力做好德育工作。</w:t>
      </w:r>
    </w:p>
    <w:p w14:paraId="6F409D6D">
      <w:pPr>
        <w:spacing w:line="600" w:lineRule="exact"/>
        <w:ind w:firstLine="640" w:firstLineChars="200"/>
        <w:rPr>
          <w:sz w:val="32"/>
          <w:szCs w:val="32"/>
        </w:rPr>
      </w:pPr>
      <w:r>
        <w:rPr>
          <w:rFonts w:hint="eastAsia"/>
          <w:sz w:val="32"/>
          <w:szCs w:val="32"/>
        </w:rPr>
        <w:t>4.不断改进和完善德育管理制度，加强德育管理。</w:t>
      </w:r>
    </w:p>
    <w:p w14:paraId="7AFCF856">
      <w:pPr>
        <w:spacing w:line="600" w:lineRule="exact"/>
        <w:ind w:firstLine="640" w:firstLineChars="200"/>
        <w:rPr>
          <w:sz w:val="32"/>
          <w:szCs w:val="32"/>
        </w:rPr>
      </w:pPr>
      <w:r>
        <w:rPr>
          <w:rFonts w:hint="eastAsia"/>
          <w:sz w:val="32"/>
          <w:szCs w:val="32"/>
        </w:rPr>
        <w:t>5.组织开展全校性的学生思想教育活动，加强对学生的思想品德教育和文明行为常规训练。</w:t>
      </w:r>
    </w:p>
    <w:p w14:paraId="4DE6277D">
      <w:pPr>
        <w:spacing w:line="600" w:lineRule="exact"/>
        <w:ind w:firstLine="640" w:firstLineChars="200"/>
        <w:rPr>
          <w:sz w:val="32"/>
          <w:szCs w:val="32"/>
        </w:rPr>
      </w:pPr>
      <w:r>
        <w:rPr>
          <w:rFonts w:hint="eastAsia"/>
          <w:sz w:val="32"/>
          <w:szCs w:val="32"/>
        </w:rPr>
        <w:t>6.指导共青团、少先队、少代会开展工作，做好健康教育、国防教育、班级文化建设等工作。</w:t>
      </w:r>
    </w:p>
    <w:p w14:paraId="434C26F9">
      <w:pPr>
        <w:spacing w:line="600" w:lineRule="exact"/>
        <w:ind w:firstLine="640" w:firstLineChars="200"/>
        <w:rPr>
          <w:sz w:val="32"/>
          <w:szCs w:val="32"/>
        </w:rPr>
      </w:pPr>
      <w:r>
        <w:rPr>
          <w:rFonts w:hint="eastAsia"/>
          <w:sz w:val="32"/>
          <w:szCs w:val="32"/>
        </w:rPr>
        <w:t>7.加强与教务处联系，作为共同教育学生的协调工作。</w:t>
      </w:r>
    </w:p>
    <w:p w14:paraId="2D641B76">
      <w:pPr>
        <w:spacing w:line="600" w:lineRule="exact"/>
        <w:ind w:firstLine="640" w:firstLineChars="200"/>
        <w:rPr>
          <w:sz w:val="32"/>
          <w:szCs w:val="32"/>
        </w:rPr>
      </w:pPr>
      <w:r>
        <w:rPr>
          <w:rFonts w:hint="eastAsia"/>
          <w:sz w:val="32"/>
          <w:szCs w:val="32"/>
        </w:rPr>
        <w:t>8.注意收集和交流德育工作信息。</w:t>
      </w:r>
    </w:p>
    <w:p w14:paraId="7AEFF192">
      <w:pPr>
        <w:spacing w:line="600" w:lineRule="exact"/>
        <w:ind w:firstLine="640" w:firstLineChars="200"/>
        <w:rPr>
          <w:sz w:val="32"/>
          <w:szCs w:val="32"/>
        </w:rPr>
      </w:pPr>
      <w:r>
        <w:rPr>
          <w:rFonts w:hint="eastAsia"/>
          <w:sz w:val="32"/>
          <w:szCs w:val="32"/>
        </w:rPr>
        <w:t>9.主持每周一的升旗仪式，对学生进行爱国主义教育、行为习惯养成教育，指导中队辅导员完成学生个性评价，对各中队德育工作开展情况进行考核、评价。</w:t>
      </w:r>
    </w:p>
    <w:p w14:paraId="56515F25">
      <w:pPr>
        <w:spacing w:line="600" w:lineRule="exact"/>
        <w:ind w:firstLine="640" w:firstLineChars="200"/>
        <w:rPr>
          <w:sz w:val="32"/>
          <w:szCs w:val="32"/>
        </w:rPr>
      </w:pPr>
      <w:r>
        <w:rPr>
          <w:rFonts w:hint="eastAsia"/>
          <w:sz w:val="32"/>
          <w:szCs w:val="32"/>
        </w:rPr>
        <w:t>二、领导年级组长，安排年级组长、班主任工作</w:t>
      </w:r>
    </w:p>
    <w:p w14:paraId="2D11EA92">
      <w:pPr>
        <w:spacing w:line="600" w:lineRule="exact"/>
        <w:ind w:firstLine="640" w:firstLineChars="200"/>
        <w:rPr>
          <w:sz w:val="32"/>
          <w:szCs w:val="32"/>
        </w:rPr>
      </w:pPr>
      <w:r>
        <w:rPr>
          <w:rFonts w:hint="eastAsia"/>
          <w:sz w:val="32"/>
          <w:szCs w:val="32"/>
        </w:rPr>
        <w:t>1.协助校长选定、安排年级组长、班主任。</w:t>
      </w:r>
    </w:p>
    <w:p w14:paraId="49BF60E2">
      <w:pPr>
        <w:spacing w:line="600" w:lineRule="exact"/>
        <w:ind w:firstLine="640" w:firstLineChars="200"/>
        <w:rPr>
          <w:sz w:val="32"/>
          <w:szCs w:val="32"/>
        </w:rPr>
      </w:pPr>
      <w:r>
        <w:rPr>
          <w:rFonts w:hint="eastAsia"/>
          <w:sz w:val="32"/>
          <w:szCs w:val="32"/>
        </w:rPr>
        <w:t>2.指导年级组、班级制定工作计划并实施工作计划，检查、考评年级组、班级工作。</w:t>
      </w:r>
    </w:p>
    <w:p w14:paraId="78E36064">
      <w:pPr>
        <w:spacing w:line="600" w:lineRule="exact"/>
        <w:ind w:firstLine="640" w:firstLineChars="200"/>
        <w:rPr>
          <w:sz w:val="32"/>
          <w:szCs w:val="32"/>
        </w:rPr>
      </w:pPr>
      <w:r>
        <w:rPr>
          <w:rFonts w:hint="eastAsia"/>
          <w:sz w:val="32"/>
          <w:szCs w:val="32"/>
        </w:rPr>
        <w:t>3.协助校长和班主任召开家长会、定期举办家长学校、办好家庭教育讲座，努力把学校、家庭、社会教育结合起来。</w:t>
      </w:r>
    </w:p>
    <w:p w14:paraId="36B2F097">
      <w:pPr>
        <w:spacing w:line="600" w:lineRule="exact"/>
        <w:ind w:firstLine="640" w:firstLineChars="200"/>
        <w:rPr>
          <w:sz w:val="32"/>
          <w:szCs w:val="32"/>
        </w:rPr>
      </w:pPr>
      <w:r>
        <w:rPr>
          <w:rFonts w:hint="eastAsia"/>
          <w:sz w:val="32"/>
          <w:szCs w:val="32"/>
        </w:rPr>
        <w:t>4.召开年级组长、班主任工作会议，组织学习、总结、交流班主任工作经验。努力提高班主任工作水平。</w:t>
      </w:r>
    </w:p>
    <w:p w14:paraId="68DDF11C">
      <w:pPr>
        <w:spacing w:line="600" w:lineRule="exact"/>
        <w:ind w:firstLine="640" w:firstLineChars="200"/>
        <w:rPr>
          <w:sz w:val="32"/>
          <w:szCs w:val="32"/>
        </w:rPr>
      </w:pPr>
      <w:r>
        <w:rPr>
          <w:rFonts w:hint="eastAsia"/>
          <w:sz w:val="32"/>
          <w:szCs w:val="32"/>
        </w:rPr>
        <w:t>5.协助年级组长、班主任处理年级、班级中的重大问题和偶发事件。</w:t>
      </w:r>
    </w:p>
    <w:p w14:paraId="60CFA1DF">
      <w:pPr>
        <w:spacing w:line="600" w:lineRule="exact"/>
        <w:ind w:firstLine="640" w:firstLineChars="200"/>
        <w:rPr>
          <w:sz w:val="32"/>
          <w:szCs w:val="32"/>
        </w:rPr>
      </w:pPr>
      <w:r>
        <w:rPr>
          <w:rFonts w:hint="eastAsia"/>
          <w:sz w:val="32"/>
          <w:szCs w:val="32"/>
        </w:rPr>
        <w:t>6.做好青年班主任的培养工作。</w:t>
      </w:r>
    </w:p>
    <w:p w14:paraId="24CD5F95">
      <w:pPr>
        <w:spacing w:line="600" w:lineRule="exact"/>
        <w:ind w:firstLine="640" w:firstLineChars="200"/>
        <w:rPr>
          <w:sz w:val="32"/>
          <w:szCs w:val="32"/>
        </w:rPr>
      </w:pPr>
      <w:r>
        <w:rPr>
          <w:rFonts w:hint="eastAsia"/>
          <w:sz w:val="32"/>
          <w:szCs w:val="32"/>
        </w:rPr>
        <w:t>7.指导班主任探索学生思想品德考评的科学化方法。</w:t>
      </w:r>
    </w:p>
    <w:p w14:paraId="411DEFA0">
      <w:pPr>
        <w:spacing w:line="600" w:lineRule="exact"/>
        <w:ind w:firstLine="640" w:firstLineChars="200"/>
        <w:rPr>
          <w:sz w:val="32"/>
          <w:szCs w:val="32"/>
        </w:rPr>
      </w:pPr>
      <w:r>
        <w:rPr>
          <w:rFonts w:hint="eastAsia"/>
          <w:sz w:val="32"/>
          <w:szCs w:val="32"/>
        </w:rPr>
        <w:t>三、其它工作</w:t>
      </w:r>
    </w:p>
    <w:p w14:paraId="017B9758">
      <w:pPr>
        <w:spacing w:line="600" w:lineRule="exact"/>
        <w:ind w:firstLine="640" w:firstLineChars="200"/>
        <w:rPr>
          <w:sz w:val="32"/>
          <w:szCs w:val="32"/>
        </w:rPr>
      </w:pPr>
      <w:r>
        <w:rPr>
          <w:rFonts w:hint="eastAsia"/>
          <w:sz w:val="32"/>
          <w:szCs w:val="32"/>
        </w:rPr>
        <w:t>1.对我校德育工作实施情况进行研究。</w:t>
      </w:r>
    </w:p>
    <w:p w14:paraId="0C493233">
      <w:pPr>
        <w:spacing w:line="600" w:lineRule="exact"/>
        <w:ind w:firstLine="640" w:firstLineChars="200"/>
        <w:rPr>
          <w:sz w:val="32"/>
          <w:szCs w:val="32"/>
        </w:rPr>
      </w:pPr>
      <w:r>
        <w:rPr>
          <w:rFonts w:hint="eastAsia"/>
          <w:sz w:val="32"/>
          <w:szCs w:val="32"/>
        </w:rPr>
        <w:t>2.建立学生奖惩制度并严格执行。</w:t>
      </w:r>
    </w:p>
    <w:p w14:paraId="32E5704B">
      <w:pPr>
        <w:spacing w:line="600" w:lineRule="exact"/>
        <w:ind w:firstLine="640" w:firstLineChars="200"/>
        <w:rPr>
          <w:sz w:val="32"/>
          <w:szCs w:val="32"/>
        </w:rPr>
      </w:pPr>
      <w:r>
        <w:rPr>
          <w:rFonts w:hint="eastAsia"/>
          <w:sz w:val="32"/>
          <w:szCs w:val="32"/>
        </w:rPr>
        <w:t>安卫办工作职责</w:t>
      </w:r>
    </w:p>
    <w:p w14:paraId="7BE72D80">
      <w:pPr>
        <w:spacing w:line="600" w:lineRule="exact"/>
        <w:ind w:firstLine="640" w:firstLineChars="200"/>
        <w:rPr>
          <w:sz w:val="32"/>
          <w:szCs w:val="32"/>
        </w:rPr>
      </w:pPr>
      <w:r>
        <w:rPr>
          <w:rFonts w:hint="eastAsia"/>
          <w:sz w:val="32"/>
          <w:szCs w:val="32"/>
        </w:rPr>
        <w:t>1.贯彻“预防为主、确保重点、维护稳定、保障安全”的方针，保持校园良好的教育、教学和生活秩序。</w:t>
      </w:r>
    </w:p>
    <w:p w14:paraId="116C7636">
      <w:pPr>
        <w:spacing w:line="600" w:lineRule="exact"/>
        <w:ind w:firstLine="640" w:firstLineChars="200"/>
        <w:rPr>
          <w:sz w:val="32"/>
          <w:szCs w:val="32"/>
        </w:rPr>
      </w:pPr>
      <w:r>
        <w:rPr>
          <w:rFonts w:hint="eastAsia"/>
          <w:sz w:val="32"/>
          <w:szCs w:val="32"/>
        </w:rPr>
        <w:t>2.负责全校的安全防火工作，建立消防制度、健全消防组织、定期进行业务训练，管理消防设备，开展防火宣传，进行防火检查，对火灾隐患提出整改意见。</w:t>
      </w:r>
    </w:p>
    <w:p w14:paraId="50B0C131">
      <w:pPr>
        <w:spacing w:line="600" w:lineRule="exact"/>
        <w:ind w:firstLine="640" w:firstLineChars="200"/>
        <w:rPr>
          <w:sz w:val="32"/>
          <w:szCs w:val="32"/>
        </w:rPr>
      </w:pPr>
      <w:r>
        <w:rPr>
          <w:rFonts w:hint="eastAsia"/>
          <w:sz w:val="32"/>
          <w:szCs w:val="32"/>
        </w:rPr>
        <w:t>3.加大门卫管理力度，严禁一切机动车辆、外来三轮车、摩托车、电动车等进入校园，预防发生交通事故，对外来人员实行严格登记制度。</w:t>
      </w:r>
    </w:p>
    <w:p w14:paraId="40E0E5B6">
      <w:pPr>
        <w:spacing w:line="600" w:lineRule="exact"/>
        <w:ind w:firstLine="640" w:firstLineChars="200"/>
        <w:rPr>
          <w:sz w:val="32"/>
          <w:szCs w:val="32"/>
        </w:rPr>
      </w:pPr>
      <w:r>
        <w:rPr>
          <w:rFonts w:hint="eastAsia"/>
          <w:sz w:val="32"/>
          <w:szCs w:val="32"/>
        </w:rPr>
        <w:t>4.加强治安秩序管理，开展</w:t>
      </w:r>
      <w:r>
        <w:rPr>
          <w:rFonts w:hint="eastAsia"/>
          <w:sz w:val="32"/>
          <w:szCs w:val="32"/>
          <w:lang w:eastAsia="zh-CN"/>
        </w:rPr>
        <w:t>法治</w:t>
      </w:r>
      <w:r>
        <w:rPr>
          <w:rFonts w:hint="eastAsia"/>
          <w:sz w:val="32"/>
          <w:szCs w:val="32"/>
        </w:rPr>
        <w:t>宣传教育，增强师生员工</w:t>
      </w:r>
      <w:r>
        <w:rPr>
          <w:rFonts w:hint="eastAsia"/>
          <w:sz w:val="32"/>
          <w:szCs w:val="32"/>
          <w:lang w:eastAsia="zh-CN"/>
        </w:rPr>
        <w:t>法治</w:t>
      </w:r>
      <w:r>
        <w:rPr>
          <w:rFonts w:hint="eastAsia"/>
          <w:sz w:val="32"/>
          <w:szCs w:val="32"/>
        </w:rPr>
        <w:t>观念，预防和减少违法犯罪行为。</w:t>
      </w:r>
    </w:p>
    <w:p w14:paraId="2EE88810">
      <w:pPr>
        <w:spacing w:line="600" w:lineRule="exact"/>
        <w:ind w:firstLine="640" w:firstLineChars="200"/>
        <w:rPr>
          <w:sz w:val="32"/>
          <w:szCs w:val="32"/>
        </w:rPr>
      </w:pPr>
      <w:r>
        <w:rPr>
          <w:rFonts w:hint="eastAsia"/>
          <w:sz w:val="32"/>
          <w:szCs w:val="32"/>
        </w:rPr>
        <w:t>5.负责制定治安保卫、安全检查防火等工作的规章制度，制度要害和重点部位的安全保卫措施，经常经常执行情况。</w:t>
      </w:r>
    </w:p>
    <w:p w14:paraId="2B7C595F">
      <w:pPr>
        <w:spacing w:line="600" w:lineRule="exact"/>
        <w:ind w:firstLine="640" w:firstLineChars="200"/>
        <w:rPr>
          <w:sz w:val="32"/>
          <w:szCs w:val="32"/>
        </w:rPr>
      </w:pPr>
      <w:r>
        <w:rPr>
          <w:rFonts w:hint="eastAsia"/>
          <w:sz w:val="32"/>
          <w:szCs w:val="32"/>
        </w:rPr>
        <w:t>6.负责落实安全保卫责任制和安全技术防范措施，做好防止盗窃、火灾、破坏和其他治安灾害事故的工作。</w:t>
      </w:r>
    </w:p>
    <w:p w14:paraId="3F9776BF">
      <w:pPr>
        <w:spacing w:line="600" w:lineRule="exact"/>
        <w:ind w:firstLine="640" w:firstLineChars="200"/>
        <w:rPr>
          <w:sz w:val="32"/>
          <w:szCs w:val="32"/>
        </w:rPr>
      </w:pPr>
      <w:r>
        <w:rPr>
          <w:rFonts w:hint="eastAsia"/>
          <w:sz w:val="32"/>
          <w:szCs w:val="32"/>
        </w:rPr>
        <w:t>7.协助有关处室，做好学校重大活动的安全保卫工作，会同有关单位加强重点要害部门的保卫，确保重点要害部门的安全。</w:t>
      </w:r>
    </w:p>
    <w:p w14:paraId="08AABACC">
      <w:pPr>
        <w:spacing w:line="600" w:lineRule="exact"/>
        <w:ind w:firstLine="640" w:firstLineChars="200"/>
        <w:rPr>
          <w:sz w:val="32"/>
          <w:szCs w:val="32"/>
        </w:rPr>
      </w:pPr>
      <w:r>
        <w:rPr>
          <w:rFonts w:hint="eastAsia"/>
          <w:sz w:val="32"/>
          <w:szCs w:val="32"/>
        </w:rPr>
        <w:t>8.岗位值班人员，要坚守工作岗位，不得擅离职守，当班时间严禁饮酒，不做与值班工作无关的事情。</w:t>
      </w:r>
    </w:p>
    <w:p w14:paraId="18C0CA68">
      <w:pPr>
        <w:spacing w:line="600" w:lineRule="exact"/>
        <w:ind w:firstLine="640" w:firstLineChars="200"/>
        <w:rPr>
          <w:sz w:val="32"/>
          <w:szCs w:val="32"/>
        </w:rPr>
      </w:pPr>
      <w:r>
        <w:rPr>
          <w:rFonts w:hint="eastAsia"/>
          <w:sz w:val="32"/>
          <w:szCs w:val="32"/>
        </w:rPr>
        <w:t>9.加强对门卫的领导与管理，建立值班制度，做好接待和来访登记工作。</w:t>
      </w:r>
    </w:p>
    <w:p w14:paraId="3E89F6B0">
      <w:pPr>
        <w:spacing w:line="600" w:lineRule="exact"/>
        <w:ind w:firstLine="640" w:firstLineChars="200"/>
        <w:rPr>
          <w:sz w:val="32"/>
          <w:szCs w:val="32"/>
        </w:rPr>
      </w:pPr>
      <w:r>
        <w:rPr>
          <w:rFonts w:hint="eastAsia"/>
          <w:sz w:val="32"/>
          <w:szCs w:val="32"/>
        </w:rPr>
        <w:t>10.负责办理校长会议和公安机关交办的其他工作。</w:t>
      </w:r>
    </w:p>
    <w:p w14:paraId="14A5DCC8">
      <w:pPr>
        <w:spacing w:line="600" w:lineRule="exact"/>
        <w:ind w:firstLine="640" w:firstLineChars="200"/>
        <w:rPr>
          <w:sz w:val="32"/>
          <w:szCs w:val="32"/>
        </w:rPr>
      </w:pPr>
      <w:r>
        <w:rPr>
          <w:rFonts w:hint="eastAsia"/>
          <w:sz w:val="32"/>
          <w:szCs w:val="32"/>
        </w:rPr>
        <w:t>（三）人员情况</w:t>
      </w:r>
    </w:p>
    <w:p w14:paraId="541EADAA">
      <w:pPr>
        <w:spacing w:line="600" w:lineRule="exact"/>
        <w:ind w:firstLine="640" w:firstLineChars="200"/>
        <w:rPr>
          <w:sz w:val="32"/>
          <w:szCs w:val="32"/>
        </w:rPr>
      </w:pPr>
      <w:r>
        <w:rPr>
          <w:rFonts w:hint="eastAsia"/>
          <w:sz w:val="32"/>
          <w:szCs w:val="32"/>
        </w:rPr>
        <w:t>遂宁市</w:t>
      </w:r>
      <w:r>
        <w:rPr>
          <w:rFonts w:hint="eastAsia"/>
          <w:sz w:val="32"/>
          <w:szCs w:val="32"/>
          <w:lang w:eastAsia="zh-CN"/>
        </w:rPr>
        <w:t>安居区西眉镇中心</w:t>
      </w:r>
      <w:r>
        <w:rPr>
          <w:rFonts w:hint="eastAsia"/>
          <w:sz w:val="32"/>
          <w:szCs w:val="32"/>
        </w:rPr>
        <w:t>小学校年初在职教师104人，年末在职教师101人，调出3人。</w:t>
      </w:r>
    </w:p>
    <w:p w14:paraId="59A2F05A">
      <w:pPr>
        <w:spacing w:line="600" w:lineRule="exact"/>
        <w:ind w:firstLine="640" w:firstLineChars="200"/>
        <w:rPr>
          <w:sz w:val="32"/>
          <w:szCs w:val="32"/>
        </w:rPr>
      </w:pPr>
      <w:r>
        <w:rPr>
          <w:rFonts w:hint="eastAsia"/>
          <w:sz w:val="32"/>
          <w:szCs w:val="32"/>
        </w:rPr>
        <w:t>二、部门财政资金收支情况</w:t>
      </w:r>
    </w:p>
    <w:p w14:paraId="61E3537B">
      <w:pPr>
        <w:spacing w:line="600" w:lineRule="exact"/>
        <w:ind w:firstLine="640" w:firstLineChars="200"/>
        <w:rPr>
          <w:sz w:val="32"/>
          <w:szCs w:val="32"/>
        </w:rPr>
      </w:pPr>
      <w:r>
        <w:rPr>
          <w:rFonts w:hint="eastAsia"/>
          <w:sz w:val="32"/>
          <w:szCs w:val="32"/>
        </w:rPr>
        <w:t>（一）部门财政资金收入情况。</w:t>
      </w:r>
    </w:p>
    <w:p w14:paraId="398EC3B3">
      <w:pPr>
        <w:spacing w:line="600" w:lineRule="exact"/>
        <w:ind w:firstLine="640" w:firstLineChars="200"/>
        <w:rPr>
          <w:sz w:val="32"/>
          <w:szCs w:val="32"/>
        </w:rPr>
      </w:pPr>
      <w:r>
        <w:rPr>
          <w:rFonts w:hint="eastAsia"/>
          <w:sz w:val="32"/>
          <w:szCs w:val="32"/>
        </w:rPr>
        <w:t>2023年本年收入合计2224.52万元，其中：一般公共预算财政拨款收入2224.52万元，占100%。</w:t>
      </w:r>
    </w:p>
    <w:p w14:paraId="20B34B78">
      <w:pPr>
        <w:spacing w:line="600" w:lineRule="exact"/>
        <w:ind w:firstLine="640" w:firstLineChars="200"/>
        <w:rPr>
          <w:sz w:val="32"/>
          <w:szCs w:val="32"/>
        </w:rPr>
      </w:pPr>
      <w:r>
        <w:rPr>
          <w:rFonts w:hint="eastAsia"/>
          <w:sz w:val="32"/>
          <w:szCs w:val="32"/>
        </w:rPr>
        <w:t>部门财政资金支出情况。</w:t>
      </w:r>
    </w:p>
    <w:p w14:paraId="7ED0917D">
      <w:pPr>
        <w:spacing w:line="600" w:lineRule="exact"/>
        <w:ind w:firstLine="640" w:firstLineChars="200"/>
        <w:rPr>
          <w:sz w:val="32"/>
          <w:szCs w:val="32"/>
        </w:rPr>
      </w:pPr>
      <w:r>
        <w:rPr>
          <w:rFonts w:hint="eastAsia"/>
          <w:sz w:val="32"/>
          <w:szCs w:val="32"/>
        </w:rPr>
        <w:t>2023年度一般公共预算财政拨款支出2224.52万元，主要用于以下方面:教育支出1815.81万元，占81.62%；社会保障和就业支出201.68万元，占9.06%；卫生健康支出67.53万元，占3.03%；住房保障支出139.49万元，占6.27%；…。</w:t>
      </w:r>
    </w:p>
    <w:p w14:paraId="5FE855CA">
      <w:pPr>
        <w:spacing w:line="600" w:lineRule="exact"/>
        <w:ind w:firstLine="640" w:firstLineChars="200"/>
        <w:rPr>
          <w:sz w:val="32"/>
          <w:szCs w:val="32"/>
        </w:rPr>
      </w:pPr>
      <w:r>
        <w:rPr>
          <w:rFonts w:hint="eastAsia"/>
          <w:sz w:val="32"/>
          <w:szCs w:val="32"/>
        </w:rPr>
        <w:t>三、部门整体预算绩效管理情况</w:t>
      </w:r>
    </w:p>
    <w:p w14:paraId="4F17EA52">
      <w:pPr>
        <w:spacing w:line="600" w:lineRule="exact"/>
        <w:ind w:firstLine="640" w:firstLineChars="200"/>
        <w:rPr>
          <w:sz w:val="32"/>
          <w:szCs w:val="32"/>
        </w:rPr>
      </w:pPr>
      <w:r>
        <w:rPr>
          <w:rFonts w:hint="eastAsia"/>
          <w:sz w:val="32"/>
          <w:szCs w:val="32"/>
        </w:rPr>
        <w:t>（一）部门预算管理。</w:t>
      </w:r>
    </w:p>
    <w:p w14:paraId="110EBC93">
      <w:pPr>
        <w:spacing w:line="600" w:lineRule="exact"/>
        <w:ind w:firstLine="640" w:firstLineChars="200"/>
        <w:rPr>
          <w:sz w:val="32"/>
          <w:szCs w:val="32"/>
        </w:rPr>
      </w:pPr>
      <w:r>
        <w:rPr>
          <w:rFonts w:hint="eastAsia"/>
          <w:sz w:val="32"/>
          <w:szCs w:val="32"/>
        </w:rPr>
        <w:t>遂宁市安居区西眉镇</w:t>
      </w:r>
      <w:r>
        <w:rPr>
          <w:sz w:val="32"/>
          <w:szCs w:val="32"/>
        </w:rPr>
        <w:t>中心小学校</w:t>
      </w:r>
      <w:r>
        <w:rPr>
          <w:rFonts w:hint="eastAsia"/>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3AA9C431">
      <w:pPr>
        <w:spacing w:line="600" w:lineRule="exact"/>
        <w:ind w:firstLine="640" w:firstLineChars="200"/>
        <w:rPr>
          <w:sz w:val="32"/>
          <w:szCs w:val="32"/>
        </w:rPr>
      </w:pPr>
      <w:r>
        <w:rPr>
          <w:rFonts w:hint="eastAsia"/>
          <w:sz w:val="32"/>
          <w:szCs w:val="32"/>
        </w:rPr>
        <w:t>（二）结果应用情况。</w:t>
      </w:r>
    </w:p>
    <w:p w14:paraId="18991147">
      <w:pPr>
        <w:spacing w:line="600" w:lineRule="exact"/>
        <w:ind w:firstLine="640" w:firstLineChars="200"/>
        <w:rPr>
          <w:sz w:val="32"/>
          <w:szCs w:val="32"/>
        </w:rPr>
      </w:pPr>
    </w:p>
    <w:p w14:paraId="3A4F60F7">
      <w:pPr>
        <w:spacing w:line="600" w:lineRule="exact"/>
        <w:ind w:firstLine="640" w:firstLineChars="200"/>
        <w:rPr>
          <w:sz w:val="32"/>
          <w:szCs w:val="32"/>
        </w:rPr>
      </w:pPr>
    </w:p>
    <w:p w14:paraId="2D17436C">
      <w:pPr>
        <w:spacing w:line="600" w:lineRule="exact"/>
        <w:ind w:firstLine="640" w:firstLineChars="200"/>
        <w:rPr>
          <w:sz w:val="32"/>
          <w:szCs w:val="32"/>
        </w:rPr>
      </w:pPr>
    </w:p>
    <w:p w14:paraId="29F44F73">
      <w:pPr>
        <w:spacing w:line="600" w:lineRule="exact"/>
        <w:ind w:firstLine="640" w:firstLineChars="200"/>
        <w:rPr>
          <w:sz w:val="32"/>
          <w:szCs w:val="32"/>
        </w:rPr>
      </w:pPr>
    </w:p>
    <w:p w14:paraId="2771584B">
      <w:pPr>
        <w:spacing w:line="600" w:lineRule="exact"/>
        <w:ind w:firstLine="640" w:firstLineChars="200"/>
        <w:rPr>
          <w:sz w:val="32"/>
          <w:szCs w:val="32"/>
        </w:rPr>
      </w:pPr>
      <w:bookmarkStart w:id="52" w:name="_Toc15396618"/>
    </w:p>
    <w:p w14:paraId="1A89E5B0">
      <w:pPr>
        <w:spacing w:line="600" w:lineRule="exact"/>
        <w:ind w:firstLine="640" w:firstLineChars="200"/>
        <w:rPr>
          <w:sz w:val="32"/>
          <w:szCs w:val="32"/>
        </w:rPr>
      </w:pPr>
    </w:p>
    <w:p w14:paraId="452383BB">
      <w:pPr>
        <w:spacing w:line="600" w:lineRule="exact"/>
        <w:ind w:firstLine="640" w:firstLineChars="200"/>
        <w:rPr>
          <w:sz w:val="32"/>
          <w:szCs w:val="32"/>
        </w:rPr>
      </w:pPr>
    </w:p>
    <w:p w14:paraId="5FEEB1FD">
      <w:pPr>
        <w:spacing w:line="600" w:lineRule="exact"/>
        <w:ind w:firstLine="640" w:firstLineChars="200"/>
        <w:rPr>
          <w:sz w:val="32"/>
          <w:szCs w:val="32"/>
        </w:rPr>
      </w:pPr>
    </w:p>
    <w:p w14:paraId="35766C69">
      <w:pPr>
        <w:spacing w:line="600" w:lineRule="exact"/>
        <w:ind w:firstLine="640" w:firstLineChars="200"/>
        <w:rPr>
          <w:sz w:val="32"/>
          <w:szCs w:val="32"/>
        </w:rPr>
      </w:pPr>
    </w:p>
    <w:p w14:paraId="4A2F280A">
      <w:pPr>
        <w:widowControl/>
        <w:textAlignment w:val="center"/>
        <w:rPr>
          <w:rFonts w:ascii="黑体" w:hAnsi="宋体" w:eastAsia="黑体" w:cs="黑体"/>
          <w:b/>
          <w:bCs/>
          <w:color w:val="000000"/>
          <w:kern w:val="0"/>
          <w:sz w:val="30"/>
          <w:szCs w:val="30"/>
          <w:lang w:bidi="ar"/>
        </w:rPr>
      </w:pPr>
    </w:p>
    <w:tbl>
      <w:tblPr>
        <w:tblStyle w:val="15"/>
        <w:tblW w:w="10089" w:type="dxa"/>
        <w:jc w:val="center"/>
        <w:tblLayout w:type="fixed"/>
        <w:tblCellMar>
          <w:top w:w="0" w:type="dxa"/>
          <w:left w:w="108" w:type="dxa"/>
          <w:bottom w:w="0" w:type="dxa"/>
          <w:right w:w="108" w:type="dxa"/>
        </w:tblCellMar>
      </w:tblPr>
      <w:tblGrid>
        <w:gridCol w:w="938"/>
        <w:gridCol w:w="1203"/>
        <w:gridCol w:w="1075"/>
        <w:gridCol w:w="1342"/>
        <w:gridCol w:w="386"/>
        <w:gridCol w:w="972"/>
        <w:gridCol w:w="17"/>
        <w:gridCol w:w="500"/>
        <w:gridCol w:w="550"/>
        <w:gridCol w:w="387"/>
        <w:gridCol w:w="23"/>
        <w:gridCol w:w="28"/>
        <w:gridCol w:w="56"/>
        <w:gridCol w:w="503"/>
        <w:gridCol w:w="238"/>
        <w:gridCol w:w="95"/>
        <w:gridCol w:w="1742"/>
        <w:gridCol w:w="34"/>
      </w:tblGrid>
      <w:tr w14:paraId="27B1A0F5">
        <w:tblPrEx>
          <w:tblCellMar>
            <w:top w:w="0" w:type="dxa"/>
            <w:left w:w="108" w:type="dxa"/>
            <w:bottom w:w="0" w:type="dxa"/>
            <w:right w:w="108" w:type="dxa"/>
          </w:tblCellMar>
        </w:tblPrEx>
        <w:trPr>
          <w:trHeight w:val="595" w:hRule="atLeast"/>
          <w:jc w:val="center"/>
        </w:trPr>
        <w:tc>
          <w:tcPr>
            <w:tcW w:w="100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EA18D79">
            <w:pPr>
              <w:widowControl/>
              <w:spacing w:line="240" w:lineRule="exact"/>
              <w:jc w:val="center"/>
              <w:textAlignment w:val="center"/>
              <w:rPr>
                <w:rFonts w:ascii="黑体" w:hAnsi="宋体" w:eastAsia="黑体" w:cs="黑体"/>
                <w:b/>
                <w:bCs/>
                <w:color w:val="000000"/>
                <w:sz w:val="30"/>
                <w:szCs w:val="30"/>
              </w:rPr>
            </w:pPr>
            <w:bookmarkStart w:id="53" w:name="OLE_LINK12"/>
            <w:bookmarkStart w:id="54" w:name="OLE_LINK13"/>
            <w:r>
              <w:rPr>
                <w:rFonts w:hint="eastAsia" w:ascii="黑体" w:hAnsi="宋体" w:eastAsia="黑体" w:cs="黑体"/>
                <w:b/>
                <w:bCs/>
                <w:color w:val="000000"/>
                <w:kern w:val="0"/>
                <w:sz w:val="30"/>
                <w:szCs w:val="30"/>
                <w:lang w:bidi="ar"/>
              </w:rPr>
              <w:t>部门预算项目支出绩效自评表（2024年度）</w:t>
            </w:r>
          </w:p>
        </w:tc>
      </w:tr>
      <w:tr w14:paraId="3694270D">
        <w:tblPrEx>
          <w:tblCellMar>
            <w:top w:w="0" w:type="dxa"/>
            <w:left w:w="108" w:type="dxa"/>
            <w:bottom w:w="0" w:type="dxa"/>
            <w:right w:w="108" w:type="dxa"/>
          </w:tblCellMar>
        </w:tblPrEx>
        <w:trPr>
          <w:trHeight w:val="595"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247E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16BF5A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51090422T000006742154-义务教育均衡发展资金</w:t>
            </w:r>
          </w:p>
        </w:tc>
      </w:tr>
      <w:tr w14:paraId="18E7D8EC">
        <w:tblPrEx>
          <w:tblCellMar>
            <w:top w:w="0" w:type="dxa"/>
            <w:left w:w="108" w:type="dxa"/>
            <w:bottom w:w="0" w:type="dxa"/>
            <w:right w:w="108" w:type="dxa"/>
          </w:tblCellMar>
        </w:tblPrEx>
        <w:trPr>
          <w:trHeight w:val="595"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16C9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61AF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遂宁市安居区西眉镇中心小学校部门</w:t>
            </w:r>
          </w:p>
        </w:tc>
        <w:tc>
          <w:tcPr>
            <w:tcW w:w="500" w:type="dxa"/>
            <w:tcBorders>
              <w:top w:val="nil"/>
              <w:left w:val="nil"/>
              <w:bottom w:val="nil"/>
              <w:right w:val="nil"/>
            </w:tcBorders>
            <w:shd w:val="clear" w:color="auto" w:fill="auto"/>
            <w:vAlign w:val="center"/>
          </w:tcPr>
          <w:p w14:paraId="26313436">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85954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w:t>
            </w:r>
          </w:p>
        </w:tc>
      </w:tr>
      <w:tr w14:paraId="5380E353">
        <w:tblPrEx>
          <w:tblCellMar>
            <w:top w:w="0" w:type="dxa"/>
            <w:left w:w="108" w:type="dxa"/>
            <w:bottom w:w="0" w:type="dxa"/>
            <w:right w:w="108" w:type="dxa"/>
          </w:tblCellMar>
        </w:tblPrEx>
        <w:trPr>
          <w:trHeight w:val="59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A031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634A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6EBC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F199E2">
            <w:pPr>
              <w:widowControl/>
              <w:spacing w:line="24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7E44A08">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1D99">
            <w:pPr>
              <w:spacing w:line="240" w:lineRule="exact"/>
              <w:rPr>
                <w:rFonts w:ascii="宋体" w:hAnsi="宋体" w:cs="宋体"/>
                <w:color w:val="000000"/>
                <w:sz w:val="18"/>
                <w:szCs w:val="18"/>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AD5F">
            <w:pPr>
              <w:spacing w:line="240" w:lineRule="exact"/>
              <w:rPr>
                <w:rFonts w:ascii="宋体" w:hAnsi="宋体" w:cs="宋体"/>
                <w:color w:val="000000"/>
                <w:sz w:val="18"/>
                <w:szCs w:val="18"/>
              </w:rPr>
            </w:pP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D31A0">
            <w:pPr>
              <w:spacing w:line="240" w:lineRule="exact"/>
              <w:rPr>
                <w:rFonts w:ascii="宋体" w:hAnsi="宋体" w:cs="宋体"/>
                <w:color w:val="000000"/>
                <w:sz w:val="18"/>
                <w:szCs w:val="18"/>
              </w:rPr>
            </w:pP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57B2A4">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按规定</w:t>
            </w:r>
            <w:r>
              <w:rPr>
                <w:rFonts w:ascii="黑体" w:hAnsi="黑体" w:eastAsia="黑体" w:cs="黑体"/>
                <w:color w:val="000000"/>
                <w:kern w:val="0"/>
                <w:sz w:val="18"/>
                <w:szCs w:val="18"/>
                <w:lang w:bidi="ar"/>
              </w:rPr>
              <w:t>要求顺利完成</w:t>
            </w:r>
          </w:p>
        </w:tc>
      </w:tr>
      <w:tr w14:paraId="5BEAE0A3">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9263">
            <w:pPr>
              <w:spacing w:line="240" w:lineRule="exact"/>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D79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9AA909">
            <w:pPr>
              <w:spacing w:line="240" w:lineRule="exact"/>
              <w:rPr>
                <w:rFonts w:ascii="宋体" w:hAnsi="宋体" w:cs="宋体"/>
                <w:color w:val="000000"/>
                <w:sz w:val="18"/>
                <w:szCs w:val="18"/>
              </w:rPr>
            </w:pPr>
            <w:r>
              <w:rPr>
                <w:rFonts w:hint="eastAsia" w:ascii="黑体" w:hAnsi="黑体" w:eastAsia="黑体" w:cs="黑体"/>
                <w:color w:val="000000"/>
                <w:kern w:val="0"/>
                <w:sz w:val="18"/>
                <w:szCs w:val="18"/>
                <w:lang w:bidi="ar"/>
              </w:rPr>
              <w:t>按规定</w:t>
            </w:r>
            <w:r>
              <w:rPr>
                <w:rFonts w:ascii="黑体" w:hAnsi="黑体" w:eastAsia="黑体" w:cs="黑体"/>
                <w:color w:val="000000"/>
                <w:kern w:val="0"/>
                <w:sz w:val="18"/>
                <w:szCs w:val="18"/>
                <w:lang w:bidi="ar"/>
              </w:rPr>
              <w:t>要求顺利完成</w:t>
            </w:r>
          </w:p>
        </w:tc>
      </w:tr>
      <w:tr w14:paraId="04278AE9">
        <w:tblPrEx>
          <w:tblCellMar>
            <w:top w:w="0" w:type="dxa"/>
            <w:left w:w="108" w:type="dxa"/>
            <w:bottom w:w="0" w:type="dxa"/>
            <w:right w:w="108" w:type="dxa"/>
          </w:tblCellMar>
        </w:tblPrEx>
        <w:trPr>
          <w:trHeight w:val="59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77F2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3B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69F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F2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4357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03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FCB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5886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4CF8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4127B460">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B1FE">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1C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B9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62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450.00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4DBA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250.00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375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55.56%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29C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06F8F">
            <w:pPr>
              <w:spacing w:line="24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10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ACDD">
            <w:pPr>
              <w:widowControl/>
              <w:spacing w:line="24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745769A9">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C3A76">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5E9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91E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1D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450.00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1725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250.00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AF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55.56%</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F05E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78DBC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801F">
            <w:pPr>
              <w:spacing w:line="240" w:lineRule="exact"/>
              <w:rPr>
                <w:rFonts w:ascii="黑体" w:hAnsi="黑体" w:eastAsia="黑体" w:cs="黑体"/>
                <w:i/>
                <w:iCs/>
                <w:color w:val="000000"/>
                <w:sz w:val="18"/>
                <w:szCs w:val="18"/>
              </w:rPr>
            </w:pPr>
          </w:p>
        </w:tc>
      </w:tr>
      <w:tr w14:paraId="5C915FA6">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1C6E">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A55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E8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4D8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CA5A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543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DDB3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BACD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8902">
            <w:pPr>
              <w:spacing w:line="240" w:lineRule="exact"/>
              <w:rPr>
                <w:rFonts w:ascii="黑体" w:hAnsi="黑体" w:eastAsia="黑体" w:cs="黑体"/>
                <w:i/>
                <w:iCs/>
                <w:color w:val="000000"/>
                <w:sz w:val="18"/>
                <w:szCs w:val="18"/>
              </w:rPr>
            </w:pPr>
          </w:p>
        </w:tc>
      </w:tr>
      <w:tr w14:paraId="53D44FB8">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7F60">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C4F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C62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C76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CFB4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63C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B59E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D5D7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E881">
            <w:pPr>
              <w:spacing w:line="240" w:lineRule="exact"/>
              <w:rPr>
                <w:rFonts w:ascii="黑体" w:hAnsi="黑体" w:eastAsia="黑体" w:cs="黑体"/>
                <w:i/>
                <w:iCs/>
                <w:color w:val="000000"/>
                <w:sz w:val="18"/>
                <w:szCs w:val="18"/>
              </w:rPr>
            </w:pPr>
          </w:p>
        </w:tc>
      </w:tr>
      <w:tr w14:paraId="4825F656">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16B2">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2BE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1EF3">
            <w:pPr>
              <w:spacing w:line="240" w:lineRule="exact"/>
              <w:jc w:val="center"/>
              <w:rPr>
                <w:rFonts w:ascii="微软雅黑" w:hAnsi="微软雅黑" w:eastAsia="微软雅黑" w:cs="微软雅黑"/>
                <w:i/>
                <w:iCs/>
                <w:color w:val="000000"/>
                <w:sz w:val="16"/>
                <w:szCs w:val="16"/>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F7A0">
            <w:pPr>
              <w:spacing w:line="240" w:lineRule="exact"/>
              <w:jc w:val="center"/>
              <w:rPr>
                <w:rFonts w:ascii="微软雅黑" w:hAnsi="微软雅黑" w:eastAsia="微软雅黑" w:cs="微软雅黑"/>
                <w:i/>
                <w:iCs/>
                <w:color w:val="000000"/>
                <w:sz w:val="16"/>
                <w:szCs w:val="16"/>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1F49C">
            <w:pPr>
              <w:spacing w:line="240" w:lineRule="exact"/>
              <w:jc w:val="center"/>
              <w:rPr>
                <w:rFonts w:ascii="微软雅黑" w:hAnsi="微软雅黑" w:eastAsia="微软雅黑" w:cs="微软雅黑"/>
                <w:i/>
                <w:iCs/>
                <w:color w:val="000000"/>
                <w:sz w:val="16"/>
                <w:szCs w:val="16"/>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7BA1">
            <w:pPr>
              <w:spacing w:line="240" w:lineRule="exact"/>
              <w:jc w:val="center"/>
              <w:rPr>
                <w:rFonts w:ascii="微软雅黑" w:hAnsi="微软雅黑" w:eastAsia="微软雅黑" w:cs="微软雅黑"/>
                <w:i/>
                <w:iCs/>
                <w:color w:val="000000"/>
                <w:sz w:val="16"/>
                <w:szCs w:val="16"/>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F554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FCCA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EA93">
            <w:pPr>
              <w:spacing w:line="240" w:lineRule="exact"/>
              <w:rPr>
                <w:rFonts w:ascii="黑体" w:hAnsi="黑体" w:eastAsia="黑体" w:cs="黑体"/>
                <w:i/>
                <w:iCs/>
                <w:color w:val="000000"/>
                <w:sz w:val="18"/>
                <w:szCs w:val="18"/>
              </w:rPr>
            </w:pPr>
          </w:p>
        </w:tc>
      </w:tr>
      <w:tr w14:paraId="1AD22A6D">
        <w:tblPrEx>
          <w:tblCellMar>
            <w:top w:w="0" w:type="dxa"/>
            <w:left w:w="108" w:type="dxa"/>
            <w:bottom w:w="0" w:type="dxa"/>
            <w:right w:w="108" w:type="dxa"/>
          </w:tblCellMar>
        </w:tblPrEx>
        <w:trPr>
          <w:trHeight w:val="59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5722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864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482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C17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BD5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91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5514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4E0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DCD1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E6AB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A45C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51DE5D8C">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D7FC">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2064">
            <w:pPr>
              <w:spacing w:line="240" w:lineRule="exact"/>
              <w:jc w:val="center"/>
              <w:rPr>
                <w:rFonts w:ascii="宋体" w:hAnsi="宋体" w:cs="宋体"/>
                <w:color w:val="000000"/>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980">
            <w:pPr>
              <w:spacing w:line="240" w:lineRule="exact"/>
              <w:jc w:val="center"/>
              <w:rPr>
                <w:rFonts w:ascii="宋体" w:hAnsi="宋体" w:cs="宋体"/>
                <w:color w:val="000000"/>
                <w:sz w:val="18"/>
                <w:szCs w:val="1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E174">
            <w:pPr>
              <w:spacing w:line="240" w:lineRule="exact"/>
              <w:jc w:val="center"/>
              <w:rPr>
                <w:rFonts w:ascii="宋体" w:hAnsi="宋体" w:cs="宋体"/>
                <w:color w:val="000000"/>
                <w:sz w:val="18"/>
                <w:szCs w:val="18"/>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13F5">
            <w:pPr>
              <w:spacing w:line="240" w:lineRule="exact"/>
              <w:jc w:val="center"/>
              <w:rPr>
                <w:rFonts w:ascii="宋体" w:hAnsi="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2C8F">
            <w:pPr>
              <w:spacing w:line="240" w:lineRule="exact"/>
              <w:jc w:val="center"/>
              <w:rPr>
                <w:rFonts w:ascii="宋体" w:hAnsi="宋体" w:cs="宋体"/>
                <w:color w:val="000000"/>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5DD10">
            <w:pPr>
              <w:spacing w:line="240" w:lineRule="exact"/>
              <w:jc w:val="center"/>
              <w:rPr>
                <w:rFonts w:ascii="宋体" w:hAnsi="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FD8D">
            <w:pPr>
              <w:spacing w:line="240" w:lineRule="exact"/>
              <w:jc w:val="center"/>
              <w:rPr>
                <w:rFonts w:ascii="微软雅黑" w:hAnsi="微软雅黑" w:eastAsia="微软雅黑" w:cs="微软雅黑"/>
                <w:i/>
                <w:iCs/>
                <w:color w:val="000000"/>
                <w:sz w:val="16"/>
                <w:szCs w:val="16"/>
              </w:rPr>
            </w:pP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1219">
            <w:pPr>
              <w:spacing w:line="240" w:lineRule="exact"/>
              <w:jc w:val="center"/>
              <w:rPr>
                <w:rFonts w:ascii="宋体" w:hAnsi="宋体" w:cs="宋体"/>
                <w:color w:val="000000"/>
                <w:sz w:val="18"/>
                <w:szCs w:val="18"/>
              </w:rPr>
            </w:pP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E76BA">
            <w:pPr>
              <w:spacing w:line="240" w:lineRule="exact"/>
              <w:jc w:val="center"/>
              <w:rPr>
                <w:rFonts w:ascii="宋体" w:hAnsi="宋体" w:cs="宋体"/>
                <w:color w:val="000000"/>
                <w:sz w:val="18"/>
                <w:szCs w:val="18"/>
              </w:rPr>
            </w:pP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1D24EA">
            <w:pPr>
              <w:spacing w:line="240" w:lineRule="exact"/>
              <w:jc w:val="center"/>
              <w:rPr>
                <w:rFonts w:ascii="微软雅黑" w:hAnsi="微软雅黑" w:eastAsia="微软雅黑" w:cs="微软雅黑"/>
                <w:i/>
                <w:iCs/>
                <w:color w:val="000000"/>
                <w:sz w:val="16"/>
                <w:szCs w:val="16"/>
              </w:rPr>
            </w:pPr>
          </w:p>
        </w:tc>
      </w:tr>
      <w:tr w14:paraId="37774B97">
        <w:tblPrEx>
          <w:tblCellMar>
            <w:top w:w="0" w:type="dxa"/>
            <w:left w:w="108" w:type="dxa"/>
            <w:bottom w:w="0" w:type="dxa"/>
            <w:right w:w="108" w:type="dxa"/>
          </w:tblCellMar>
        </w:tblPrEx>
        <w:trPr>
          <w:trHeight w:val="595" w:hRule="atLeast"/>
          <w:jc w:val="center"/>
        </w:trPr>
        <w:tc>
          <w:tcPr>
            <w:tcW w:w="64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D9797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3C26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A386E">
            <w:pPr>
              <w:spacing w:line="240" w:lineRule="exact"/>
              <w:rPr>
                <w:rFonts w:ascii="宋体" w:hAnsi="宋体" w:cs="宋体"/>
                <w:color w:val="000000"/>
                <w:sz w:val="18"/>
                <w:szCs w:val="18"/>
              </w:rPr>
            </w:pPr>
            <w:r>
              <w:rPr>
                <w:rFonts w:hint="eastAsia" w:ascii="宋体" w:hAnsi="宋体" w:cs="宋体"/>
                <w:color w:val="000000"/>
                <w:sz w:val="18"/>
                <w:szCs w:val="18"/>
              </w:rPr>
              <w:t>100</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724DB">
            <w:pPr>
              <w:spacing w:line="240" w:lineRule="exact"/>
              <w:rPr>
                <w:rFonts w:ascii="宋体" w:hAnsi="宋体" w:cs="宋体"/>
                <w:color w:val="000000"/>
                <w:sz w:val="18"/>
                <w:szCs w:val="18"/>
              </w:rPr>
            </w:pPr>
          </w:p>
        </w:tc>
      </w:tr>
      <w:tr w14:paraId="10EE023A">
        <w:tblPrEx>
          <w:tblCellMar>
            <w:top w:w="0" w:type="dxa"/>
            <w:left w:w="108" w:type="dxa"/>
            <w:bottom w:w="0" w:type="dxa"/>
            <w:right w:w="108" w:type="dxa"/>
          </w:tblCellMar>
        </w:tblPrEx>
        <w:trPr>
          <w:trHeight w:val="59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F03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9D03E36">
            <w:pPr>
              <w:widowControl/>
              <w:spacing w:line="240" w:lineRule="exact"/>
              <w:jc w:val="left"/>
              <w:textAlignment w:val="center"/>
              <w:rPr>
                <w:rFonts w:ascii="微软雅黑" w:hAnsi="微软雅黑" w:eastAsia="微软雅黑" w:cs="微软雅黑"/>
                <w:i/>
                <w:iCs/>
                <w:color w:val="000000"/>
                <w:sz w:val="16"/>
                <w:szCs w:val="16"/>
              </w:rPr>
            </w:pPr>
            <w:r>
              <w:rPr>
                <w:rFonts w:hint="eastAsia" w:ascii="黑体" w:hAnsi="黑体" w:eastAsia="黑体" w:cs="黑体"/>
                <w:color w:val="000000"/>
                <w:kern w:val="0"/>
                <w:sz w:val="18"/>
                <w:szCs w:val="18"/>
                <w:lang w:bidi="ar"/>
              </w:rPr>
              <w:t>按规定</w:t>
            </w:r>
            <w:r>
              <w:rPr>
                <w:rFonts w:ascii="黑体" w:hAnsi="黑体" w:eastAsia="黑体" w:cs="黑体"/>
                <w:color w:val="000000"/>
                <w:kern w:val="0"/>
                <w:sz w:val="18"/>
                <w:szCs w:val="18"/>
                <w:lang w:bidi="ar"/>
              </w:rPr>
              <w:t>要求顺利完成</w:t>
            </w:r>
          </w:p>
        </w:tc>
      </w:tr>
      <w:tr w14:paraId="1AB997DD">
        <w:tblPrEx>
          <w:tblCellMar>
            <w:top w:w="0" w:type="dxa"/>
            <w:left w:w="108" w:type="dxa"/>
            <w:bottom w:w="0" w:type="dxa"/>
            <w:right w:w="108" w:type="dxa"/>
          </w:tblCellMar>
        </w:tblPrEx>
        <w:trPr>
          <w:trHeight w:val="59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C13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D8865DF">
            <w:pPr>
              <w:widowControl/>
              <w:spacing w:line="240" w:lineRule="exact"/>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D270755">
        <w:tblPrEx>
          <w:tblCellMar>
            <w:top w:w="0" w:type="dxa"/>
            <w:left w:w="108" w:type="dxa"/>
            <w:bottom w:w="0" w:type="dxa"/>
            <w:right w:w="108" w:type="dxa"/>
          </w:tblCellMar>
        </w:tblPrEx>
        <w:trPr>
          <w:trHeight w:val="59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A7C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680D173">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针对项目自评中发现的问题，提出下一步改进完善的意见及有关政策性建议。（200字以内）</w:t>
            </w:r>
          </w:p>
        </w:tc>
      </w:tr>
      <w:tr w14:paraId="3CDBD248">
        <w:tblPrEx>
          <w:tblCellMar>
            <w:top w:w="0" w:type="dxa"/>
            <w:left w:w="108" w:type="dxa"/>
            <w:bottom w:w="0" w:type="dxa"/>
            <w:right w:w="108" w:type="dxa"/>
          </w:tblCellMar>
        </w:tblPrEx>
        <w:trPr>
          <w:trHeight w:val="595" w:hRule="atLeast"/>
          <w:jc w:val="center"/>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CA5E2">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项目负责人：唐钢</w:t>
            </w:r>
          </w:p>
        </w:tc>
        <w:tc>
          <w:tcPr>
            <w:tcW w:w="51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F9201A">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财务负责人：刘明</w:t>
            </w:r>
          </w:p>
        </w:tc>
      </w:tr>
      <w:bookmarkEnd w:id="53"/>
      <w:bookmarkEnd w:id="54"/>
      <w:tr w14:paraId="59782533">
        <w:tblPrEx>
          <w:tblCellMar>
            <w:top w:w="0" w:type="dxa"/>
            <w:left w:w="108" w:type="dxa"/>
            <w:bottom w:w="0" w:type="dxa"/>
            <w:right w:w="108" w:type="dxa"/>
          </w:tblCellMar>
        </w:tblPrEx>
        <w:trPr>
          <w:trHeight w:val="595" w:hRule="atLeast"/>
          <w:jc w:val="center"/>
        </w:trPr>
        <w:tc>
          <w:tcPr>
            <w:tcW w:w="10089" w:type="dxa"/>
            <w:gridSpan w:val="18"/>
            <w:tcBorders>
              <w:top w:val="nil"/>
              <w:left w:val="single" w:color="000000" w:sz="4" w:space="0"/>
              <w:bottom w:val="single" w:color="000000" w:sz="4" w:space="0"/>
              <w:right w:val="single" w:color="000000" w:sz="4" w:space="0"/>
            </w:tcBorders>
            <w:shd w:val="clear" w:color="auto" w:fill="auto"/>
            <w:vAlign w:val="center"/>
          </w:tcPr>
          <w:p w14:paraId="15187EF8">
            <w:pPr>
              <w:widowControl/>
              <w:spacing w:line="240" w:lineRule="exact"/>
              <w:jc w:val="center"/>
              <w:textAlignment w:val="center"/>
              <w:rPr>
                <w:rFonts w:ascii="黑体" w:hAnsi="宋体" w:eastAsia="黑体" w:cs="黑体"/>
                <w:b/>
                <w:bCs/>
                <w:color w:val="000000"/>
                <w:sz w:val="30"/>
                <w:szCs w:val="30"/>
              </w:rPr>
            </w:pPr>
            <w:bookmarkStart w:id="55" w:name="_Hlk175734354"/>
            <w:bookmarkStart w:id="56" w:name="OLE_LINK7"/>
            <w:r>
              <w:rPr>
                <w:rFonts w:hint="eastAsia" w:ascii="黑体" w:hAnsi="宋体" w:eastAsia="黑体" w:cs="黑体"/>
                <w:b/>
                <w:bCs/>
                <w:color w:val="000000"/>
                <w:kern w:val="0"/>
                <w:sz w:val="30"/>
                <w:szCs w:val="30"/>
                <w:lang w:bidi="ar"/>
              </w:rPr>
              <w:t>部门预算项目支出绩效自评表（2024年度）</w:t>
            </w:r>
          </w:p>
        </w:tc>
      </w:tr>
      <w:tr w14:paraId="11395155">
        <w:tblPrEx>
          <w:tblCellMar>
            <w:top w:w="0" w:type="dxa"/>
            <w:left w:w="108" w:type="dxa"/>
            <w:bottom w:w="0" w:type="dxa"/>
            <w:right w:w="108" w:type="dxa"/>
          </w:tblCellMar>
        </w:tblPrEx>
        <w:trPr>
          <w:trHeight w:val="595"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AD14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B1EC68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51090422T000007203223-校舍维修</w:t>
            </w:r>
          </w:p>
        </w:tc>
      </w:tr>
      <w:tr w14:paraId="1360E2E7">
        <w:tblPrEx>
          <w:tblCellMar>
            <w:top w:w="0" w:type="dxa"/>
            <w:left w:w="108" w:type="dxa"/>
            <w:bottom w:w="0" w:type="dxa"/>
            <w:right w:w="108" w:type="dxa"/>
          </w:tblCellMar>
        </w:tblPrEx>
        <w:trPr>
          <w:trHeight w:val="595"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E9AA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6EAC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遂宁市安居区西眉镇中心小学校部门</w:t>
            </w:r>
          </w:p>
        </w:tc>
        <w:tc>
          <w:tcPr>
            <w:tcW w:w="500" w:type="dxa"/>
            <w:tcBorders>
              <w:top w:val="nil"/>
              <w:left w:val="nil"/>
              <w:bottom w:val="nil"/>
              <w:right w:val="nil"/>
            </w:tcBorders>
            <w:shd w:val="clear" w:color="auto" w:fill="auto"/>
            <w:vAlign w:val="center"/>
          </w:tcPr>
          <w:p w14:paraId="7914E375">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D385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w:t>
            </w:r>
          </w:p>
        </w:tc>
      </w:tr>
      <w:tr w14:paraId="17B499A3">
        <w:tblPrEx>
          <w:tblCellMar>
            <w:top w:w="0" w:type="dxa"/>
            <w:left w:w="108" w:type="dxa"/>
            <w:bottom w:w="0" w:type="dxa"/>
            <w:right w:w="108" w:type="dxa"/>
          </w:tblCellMar>
        </w:tblPrEx>
        <w:trPr>
          <w:trHeight w:val="59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648F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FB79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1A00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9FF016">
            <w:pPr>
              <w:widowControl/>
              <w:spacing w:line="24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2C09F14">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5FC9">
            <w:pPr>
              <w:spacing w:line="240" w:lineRule="exact"/>
              <w:rPr>
                <w:rFonts w:ascii="宋体" w:hAnsi="宋体" w:cs="宋体"/>
                <w:color w:val="000000"/>
                <w:sz w:val="18"/>
                <w:szCs w:val="18"/>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1A1A">
            <w:pPr>
              <w:spacing w:line="240" w:lineRule="exact"/>
              <w:rPr>
                <w:rFonts w:ascii="宋体" w:hAnsi="宋体" w:cs="宋体"/>
                <w:color w:val="000000"/>
                <w:sz w:val="18"/>
                <w:szCs w:val="18"/>
              </w:rPr>
            </w:pP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32FA2">
            <w:pPr>
              <w:spacing w:line="240" w:lineRule="exact"/>
              <w:rPr>
                <w:rFonts w:ascii="宋体" w:hAnsi="宋体" w:cs="宋体"/>
                <w:color w:val="000000"/>
                <w:sz w:val="18"/>
                <w:szCs w:val="18"/>
              </w:rPr>
            </w:pP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685CFC">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顺利完成</w:t>
            </w:r>
            <w:r>
              <w:rPr>
                <w:rFonts w:ascii="黑体" w:hAnsi="黑体" w:eastAsia="黑体" w:cs="黑体"/>
                <w:color w:val="000000"/>
                <w:kern w:val="0"/>
                <w:sz w:val="18"/>
                <w:szCs w:val="18"/>
                <w:lang w:bidi="ar"/>
              </w:rPr>
              <w:t>目标</w:t>
            </w:r>
            <w:r>
              <w:rPr>
                <w:rFonts w:hint="eastAsia" w:ascii="黑体" w:hAnsi="黑体" w:eastAsia="黑体" w:cs="黑体"/>
                <w:color w:val="000000"/>
                <w:kern w:val="0"/>
                <w:sz w:val="18"/>
                <w:szCs w:val="18"/>
                <w:lang w:bidi="ar"/>
              </w:rPr>
              <w:t>任务</w:t>
            </w:r>
          </w:p>
        </w:tc>
      </w:tr>
      <w:bookmarkEnd w:id="55"/>
      <w:bookmarkEnd w:id="56"/>
      <w:tr w14:paraId="1483587D">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C020">
            <w:pPr>
              <w:spacing w:line="240" w:lineRule="exact"/>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4D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E4ACDEF">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顺利完成</w:t>
            </w:r>
            <w:r>
              <w:rPr>
                <w:rFonts w:ascii="黑体" w:hAnsi="黑体" w:eastAsia="黑体" w:cs="黑体"/>
                <w:color w:val="000000"/>
                <w:kern w:val="0"/>
                <w:sz w:val="18"/>
                <w:szCs w:val="18"/>
                <w:lang w:bidi="ar"/>
              </w:rPr>
              <w:t>目标</w:t>
            </w:r>
            <w:r>
              <w:rPr>
                <w:rFonts w:hint="eastAsia" w:ascii="黑体" w:hAnsi="黑体" w:eastAsia="黑体" w:cs="黑体"/>
                <w:color w:val="000000"/>
                <w:kern w:val="0"/>
                <w:sz w:val="18"/>
                <w:szCs w:val="18"/>
                <w:lang w:bidi="ar"/>
              </w:rPr>
              <w:t>任务</w:t>
            </w:r>
          </w:p>
        </w:tc>
      </w:tr>
      <w:tr w14:paraId="24C78904">
        <w:tblPrEx>
          <w:tblCellMar>
            <w:top w:w="0" w:type="dxa"/>
            <w:left w:w="108" w:type="dxa"/>
            <w:bottom w:w="0" w:type="dxa"/>
            <w:right w:w="108" w:type="dxa"/>
          </w:tblCellMar>
        </w:tblPrEx>
        <w:trPr>
          <w:trHeight w:val="59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607D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06D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4BF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06D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0122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318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FDB2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767C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D24C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557D9613">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4DD7">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61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DA4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0.52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1A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32.52</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32F6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C6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F3B4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7E15B">
            <w:pPr>
              <w:spacing w:line="24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10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321E5">
            <w:pPr>
              <w:widowControl/>
              <w:spacing w:line="24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632C6A32">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6662">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B6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BED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0.52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EA7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32.52</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CEB7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68C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E9DC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C801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D003">
            <w:pPr>
              <w:spacing w:line="240" w:lineRule="exact"/>
              <w:rPr>
                <w:rFonts w:ascii="黑体" w:hAnsi="黑体" w:eastAsia="黑体" w:cs="黑体"/>
                <w:i/>
                <w:iCs/>
                <w:color w:val="000000"/>
                <w:sz w:val="18"/>
                <w:szCs w:val="18"/>
              </w:rPr>
            </w:pPr>
          </w:p>
        </w:tc>
      </w:tr>
      <w:tr w14:paraId="09CCDCEC">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9A36">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83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1FE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E35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BF57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65C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069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8464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A2F6">
            <w:pPr>
              <w:spacing w:line="240" w:lineRule="exact"/>
              <w:rPr>
                <w:rFonts w:ascii="黑体" w:hAnsi="黑体" w:eastAsia="黑体" w:cs="黑体"/>
                <w:i/>
                <w:iCs/>
                <w:color w:val="000000"/>
                <w:sz w:val="18"/>
                <w:szCs w:val="18"/>
              </w:rPr>
            </w:pPr>
          </w:p>
        </w:tc>
      </w:tr>
      <w:tr w14:paraId="06D7C000">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D776">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BD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737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C4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04A4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059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F1D0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4162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ED0C">
            <w:pPr>
              <w:spacing w:line="240" w:lineRule="exact"/>
              <w:rPr>
                <w:rFonts w:ascii="黑体" w:hAnsi="黑体" w:eastAsia="黑体" w:cs="黑体"/>
                <w:i/>
                <w:iCs/>
                <w:color w:val="000000"/>
                <w:sz w:val="18"/>
                <w:szCs w:val="18"/>
              </w:rPr>
            </w:pPr>
          </w:p>
        </w:tc>
      </w:tr>
      <w:tr w14:paraId="7582E231">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E9BE">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3F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D092">
            <w:pPr>
              <w:spacing w:line="240" w:lineRule="exact"/>
              <w:jc w:val="center"/>
              <w:rPr>
                <w:rFonts w:ascii="微软雅黑" w:hAnsi="微软雅黑" w:eastAsia="微软雅黑" w:cs="微软雅黑"/>
                <w:i/>
                <w:iCs/>
                <w:color w:val="000000"/>
                <w:sz w:val="16"/>
                <w:szCs w:val="16"/>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2A2A">
            <w:pPr>
              <w:spacing w:line="240" w:lineRule="exact"/>
              <w:jc w:val="center"/>
              <w:rPr>
                <w:rFonts w:ascii="微软雅黑" w:hAnsi="微软雅黑" w:eastAsia="微软雅黑" w:cs="微软雅黑"/>
                <w:i/>
                <w:iCs/>
                <w:color w:val="000000"/>
                <w:sz w:val="16"/>
                <w:szCs w:val="16"/>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01574">
            <w:pPr>
              <w:spacing w:line="240" w:lineRule="exact"/>
              <w:jc w:val="center"/>
              <w:rPr>
                <w:rFonts w:ascii="微软雅黑" w:hAnsi="微软雅黑" w:eastAsia="微软雅黑" w:cs="微软雅黑"/>
                <w:i/>
                <w:iCs/>
                <w:color w:val="000000"/>
                <w:sz w:val="16"/>
                <w:szCs w:val="16"/>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6D8">
            <w:pPr>
              <w:spacing w:line="240" w:lineRule="exact"/>
              <w:jc w:val="center"/>
              <w:rPr>
                <w:rFonts w:ascii="微软雅黑" w:hAnsi="微软雅黑" w:eastAsia="微软雅黑" w:cs="微软雅黑"/>
                <w:i/>
                <w:iCs/>
                <w:color w:val="000000"/>
                <w:sz w:val="16"/>
                <w:szCs w:val="16"/>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5E29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D1EE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207D">
            <w:pPr>
              <w:spacing w:line="240" w:lineRule="exact"/>
              <w:rPr>
                <w:rFonts w:ascii="黑体" w:hAnsi="黑体" w:eastAsia="黑体" w:cs="黑体"/>
                <w:i/>
                <w:iCs/>
                <w:color w:val="000000"/>
                <w:sz w:val="18"/>
                <w:szCs w:val="18"/>
              </w:rPr>
            </w:pPr>
          </w:p>
        </w:tc>
      </w:tr>
      <w:tr w14:paraId="5492093D">
        <w:tblPrEx>
          <w:tblCellMar>
            <w:top w:w="0" w:type="dxa"/>
            <w:left w:w="108" w:type="dxa"/>
            <w:bottom w:w="0" w:type="dxa"/>
            <w:right w:w="108" w:type="dxa"/>
          </w:tblCellMar>
        </w:tblPrEx>
        <w:trPr>
          <w:trHeight w:val="59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ACAA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8BB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CF2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ED8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CF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A4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E50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C1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5568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CBB3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7B68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59695D1">
        <w:tblPrEx>
          <w:tblCellMar>
            <w:top w:w="0" w:type="dxa"/>
            <w:left w:w="108" w:type="dxa"/>
            <w:bottom w:w="0" w:type="dxa"/>
            <w:right w:w="108" w:type="dxa"/>
          </w:tblCellMar>
        </w:tblPrEx>
        <w:trPr>
          <w:trHeight w:val="59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1FE8">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A17">
            <w:pPr>
              <w:spacing w:line="240" w:lineRule="exact"/>
              <w:jc w:val="center"/>
              <w:rPr>
                <w:rFonts w:ascii="宋体" w:hAnsi="宋体" w:cs="宋体"/>
                <w:color w:val="000000"/>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DA77">
            <w:pPr>
              <w:spacing w:line="240" w:lineRule="exact"/>
              <w:jc w:val="center"/>
              <w:rPr>
                <w:rFonts w:ascii="宋体" w:hAnsi="宋体" w:cs="宋体"/>
                <w:color w:val="000000"/>
                <w:sz w:val="18"/>
                <w:szCs w:val="1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F3D6">
            <w:pPr>
              <w:spacing w:line="240" w:lineRule="exact"/>
              <w:jc w:val="center"/>
              <w:rPr>
                <w:rFonts w:ascii="宋体" w:hAnsi="宋体" w:cs="宋体"/>
                <w:color w:val="000000"/>
                <w:sz w:val="18"/>
                <w:szCs w:val="18"/>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4B46">
            <w:pPr>
              <w:spacing w:line="240" w:lineRule="exact"/>
              <w:jc w:val="center"/>
              <w:rPr>
                <w:rFonts w:ascii="宋体" w:hAnsi="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8928">
            <w:pPr>
              <w:spacing w:line="240" w:lineRule="exact"/>
              <w:jc w:val="center"/>
              <w:rPr>
                <w:rFonts w:ascii="宋体" w:hAnsi="宋体" w:cs="宋体"/>
                <w:color w:val="000000"/>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8261D">
            <w:pPr>
              <w:spacing w:line="240" w:lineRule="exact"/>
              <w:jc w:val="center"/>
              <w:rPr>
                <w:rFonts w:ascii="宋体" w:hAnsi="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FA6A">
            <w:pPr>
              <w:spacing w:line="240" w:lineRule="exact"/>
              <w:jc w:val="center"/>
              <w:rPr>
                <w:rFonts w:ascii="微软雅黑" w:hAnsi="微软雅黑" w:eastAsia="微软雅黑" w:cs="微软雅黑"/>
                <w:i/>
                <w:iCs/>
                <w:color w:val="000000"/>
                <w:sz w:val="16"/>
                <w:szCs w:val="16"/>
              </w:rPr>
            </w:pP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CC46">
            <w:pPr>
              <w:spacing w:line="240" w:lineRule="exact"/>
              <w:jc w:val="center"/>
              <w:rPr>
                <w:rFonts w:ascii="宋体" w:hAnsi="宋体" w:cs="宋体"/>
                <w:color w:val="000000"/>
                <w:sz w:val="18"/>
                <w:szCs w:val="18"/>
              </w:rPr>
            </w:pP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0386B">
            <w:pPr>
              <w:spacing w:line="240" w:lineRule="exact"/>
              <w:jc w:val="center"/>
              <w:rPr>
                <w:rFonts w:ascii="宋体" w:hAnsi="宋体" w:cs="宋体"/>
                <w:color w:val="000000"/>
                <w:sz w:val="18"/>
                <w:szCs w:val="18"/>
              </w:rPr>
            </w:pP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358DA">
            <w:pPr>
              <w:spacing w:line="240" w:lineRule="exact"/>
              <w:jc w:val="center"/>
              <w:rPr>
                <w:rFonts w:ascii="微软雅黑" w:hAnsi="微软雅黑" w:eastAsia="微软雅黑" w:cs="微软雅黑"/>
                <w:i/>
                <w:iCs/>
                <w:color w:val="000000"/>
                <w:sz w:val="16"/>
                <w:szCs w:val="16"/>
              </w:rPr>
            </w:pPr>
          </w:p>
        </w:tc>
      </w:tr>
      <w:tr w14:paraId="687F586D">
        <w:tblPrEx>
          <w:tblCellMar>
            <w:top w:w="0" w:type="dxa"/>
            <w:left w:w="108" w:type="dxa"/>
            <w:bottom w:w="0" w:type="dxa"/>
            <w:right w:w="108" w:type="dxa"/>
          </w:tblCellMar>
        </w:tblPrEx>
        <w:trPr>
          <w:trHeight w:val="595" w:hRule="atLeast"/>
          <w:jc w:val="center"/>
        </w:trPr>
        <w:tc>
          <w:tcPr>
            <w:tcW w:w="64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5F26F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BC93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5B6FE">
            <w:pPr>
              <w:spacing w:line="240" w:lineRule="exact"/>
              <w:rPr>
                <w:rFonts w:ascii="宋体" w:hAnsi="宋体" w:cs="宋体"/>
                <w:color w:val="000000"/>
                <w:sz w:val="18"/>
                <w:szCs w:val="18"/>
              </w:rPr>
            </w:pPr>
            <w:r>
              <w:rPr>
                <w:rFonts w:hint="eastAsia" w:ascii="宋体" w:hAnsi="宋体" w:cs="宋体"/>
                <w:color w:val="000000"/>
                <w:sz w:val="18"/>
                <w:szCs w:val="18"/>
              </w:rPr>
              <w:t>100</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23EAA">
            <w:pPr>
              <w:spacing w:line="240" w:lineRule="exact"/>
              <w:rPr>
                <w:rFonts w:ascii="宋体" w:hAnsi="宋体" w:cs="宋体"/>
                <w:color w:val="000000"/>
                <w:sz w:val="18"/>
                <w:szCs w:val="18"/>
              </w:rPr>
            </w:pPr>
          </w:p>
        </w:tc>
      </w:tr>
      <w:tr w14:paraId="4B56B1B8">
        <w:tblPrEx>
          <w:tblCellMar>
            <w:top w:w="0" w:type="dxa"/>
            <w:left w:w="108" w:type="dxa"/>
            <w:bottom w:w="0" w:type="dxa"/>
            <w:right w:w="108" w:type="dxa"/>
          </w:tblCellMar>
        </w:tblPrEx>
        <w:trPr>
          <w:trHeight w:val="59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71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C0927AF">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结合自评情况，说明项目自评总分，说明项目实施取得的成效或成果。（200字以内）</w:t>
            </w:r>
          </w:p>
        </w:tc>
      </w:tr>
      <w:tr w14:paraId="2C4C20B6">
        <w:tblPrEx>
          <w:tblCellMar>
            <w:top w:w="0" w:type="dxa"/>
            <w:left w:w="108" w:type="dxa"/>
            <w:bottom w:w="0" w:type="dxa"/>
            <w:right w:w="108" w:type="dxa"/>
          </w:tblCellMar>
        </w:tblPrEx>
        <w:trPr>
          <w:trHeight w:val="59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3C2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DBC1900">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结合自评情况，分析存在的问题及原因。（200字以内）</w:t>
            </w:r>
          </w:p>
        </w:tc>
      </w:tr>
      <w:tr w14:paraId="65A581EF">
        <w:tblPrEx>
          <w:tblCellMar>
            <w:top w:w="0" w:type="dxa"/>
            <w:left w:w="108" w:type="dxa"/>
            <w:bottom w:w="0" w:type="dxa"/>
            <w:right w:w="108" w:type="dxa"/>
          </w:tblCellMar>
        </w:tblPrEx>
        <w:trPr>
          <w:trHeight w:val="59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E80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087AA4">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针对项目自评中发现的问题，提出下一步改进完善的意见及有关政策性建议。（200字以内）</w:t>
            </w:r>
          </w:p>
        </w:tc>
      </w:tr>
      <w:tr w14:paraId="068A1FBF">
        <w:tblPrEx>
          <w:tblCellMar>
            <w:top w:w="0" w:type="dxa"/>
            <w:left w:w="108" w:type="dxa"/>
            <w:bottom w:w="0" w:type="dxa"/>
            <w:right w:w="108" w:type="dxa"/>
          </w:tblCellMar>
        </w:tblPrEx>
        <w:trPr>
          <w:trHeight w:val="595" w:hRule="atLeast"/>
          <w:jc w:val="center"/>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B6AE3">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项目负责人：赵长春</w:t>
            </w:r>
          </w:p>
        </w:tc>
        <w:tc>
          <w:tcPr>
            <w:tcW w:w="51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DAEE1F">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财务负责人：刘明</w:t>
            </w:r>
          </w:p>
        </w:tc>
      </w:tr>
      <w:tr w14:paraId="4BBEDAC7">
        <w:tblPrEx>
          <w:tblCellMar>
            <w:top w:w="0" w:type="dxa"/>
            <w:left w:w="108" w:type="dxa"/>
            <w:bottom w:w="0" w:type="dxa"/>
            <w:right w:w="108" w:type="dxa"/>
          </w:tblCellMar>
        </w:tblPrEx>
        <w:trPr>
          <w:trHeight w:val="567" w:hRule="atLeast"/>
          <w:jc w:val="center"/>
        </w:trPr>
        <w:tc>
          <w:tcPr>
            <w:tcW w:w="100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5C0256A">
            <w:pPr>
              <w:widowControl/>
              <w:spacing w:line="24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15AD9B5E">
        <w:tblPrEx>
          <w:tblCellMar>
            <w:top w:w="0" w:type="dxa"/>
            <w:left w:w="108" w:type="dxa"/>
            <w:bottom w:w="0" w:type="dxa"/>
            <w:right w:w="108" w:type="dxa"/>
          </w:tblCellMar>
        </w:tblPrEx>
        <w:trPr>
          <w:trHeight w:val="567"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2BC3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87E960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51090423T000008612092-义务教育课后服务支出</w:t>
            </w:r>
          </w:p>
        </w:tc>
      </w:tr>
      <w:tr w14:paraId="663958C6">
        <w:tblPrEx>
          <w:tblCellMar>
            <w:top w:w="0" w:type="dxa"/>
            <w:left w:w="108" w:type="dxa"/>
            <w:bottom w:w="0" w:type="dxa"/>
            <w:right w:w="108" w:type="dxa"/>
          </w:tblCellMar>
        </w:tblPrEx>
        <w:trPr>
          <w:trHeight w:val="567"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334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AAAD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遂宁市安居区西眉镇中心小学校部门</w:t>
            </w:r>
          </w:p>
        </w:tc>
        <w:tc>
          <w:tcPr>
            <w:tcW w:w="500" w:type="dxa"/>
            <w:tcBorders>
              <w:top w:val="nil"/>
              <w:left w:val="nil"/>
              <w:bottom w:val="nil"/>
              <w:right w:val="nil"/>
            </w:tcBorders>
            <w:shd w:val="clear" w:color="auto" w:fill="auto"/>
            <w:vAlign w:val="center"/>
          </w:tcPr>
          <w:p w14:paraId="68697FCA">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3A798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w:t>
            </w:r>
          </w:p>
        </w:tc>
      </w:tr>
      <w:tr w14:paraId="1E98EF02">
        <w:tblPrEx>
          <w:tblCellMar>
            <w:top w:w="0" w:type="dxa"/>
            <w:left w:w="108" w:type="dxa"/>
            <w:bottom w:w="0" w:type="dxa"/>
            <w:right w:w="108" w:type="dxa"/>
          </w:tblCellMar>
        </w:tblPrEx>
        <w:trPr>
          <w:trHeight w:val="567"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BC6D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6CA9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4E263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E4A979">
            <w:pPr>
              <w:widowControl/>
              <w:spacing w:line="24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8C173DD">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321E">
            <w:pPr>
              <w:spacing w:line="240" w:lineRule="exact"/>
              <w:rPr>
                <w:rFonts w:ascii="宋体" w:hAnsi="宋体" w:cs="宋体"/>
                <w:color w:val="000000"/>
                <w:sz w:val="18"/>
                <w:szCs w:val="18"/>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F091">
            <w:pPr>
              <w:spacing w:line="240" w:lineRule="exact"/>
              <w:rPr>
                <w:rFonts w:ascii="宋体" w:hAnsi="宋体" w:cs="宋体"/>
                <w:color w:val="000000"/>
                <w:sz w:val="18"/>
                <w:szCs w:val="18"/>
              </w:rPr>
            </w:pP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AF5E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达到育人目标</w:t>
            </w: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F3D5DC">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4A753BA1">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D405">
            <w:pPr>
              <w:spacing w:line="240" w:lineRule="exact"/>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2BC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185D13">
            <w:pPr>
              <w:spacing w:line="240" w:lineRule="exact"/>
              <w:rPr>
                <w:rFonts w:ascii="宋体" w:hAnsi="宋体" w:cs="宋体"/>
                <w:color w:val="000000"/>
                <w:sz w:val="18"/>
                <w:szCs w:val="18"/>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5BB107AF">
        <w:tblPrEx>
          <w:tblCellMar>
            <w:top w:w="0" w:type="dxa"/>
            <w:left w:w="108" w:type="dxa"/>
            <w:bottom w:w="0" w:type="dxa"/>
            <w:right w:w="108" w:type="dxa"/>
          </w:tblCellMar>
        </w:tblPrEx>
        <w:trPr>
          <w:trHeight w:val="567"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C301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82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36E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D45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CDD2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007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B3B8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D6A7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E459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F11A97F">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A8C3">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82C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7DC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156.00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05A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156.00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D04B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96.49</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0D1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61.85%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6ACA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1BDDF">
            <w:pPr>
              <w:spacing w:line="24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10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ACCC">
            <w:pPr>
              <w:widowControl/>
              <w:spacing w:line="24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6509BA1F">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AC9C">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D43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4AF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F72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3E9B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541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37FE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1B71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F8A5">
            <w:pPr>
              <w:spacing w:line="240" w:lineRule="exact"/>
              <w:rPr>
                <w:rFonts w:ascii="黑体" w:hAnsi="黑体" w:eastAsia="黑体" w:cs="黑体"/>
                <w:i/>
                <w:iCs/>
                <w:color w:val="000000"/>
                <w:sz w:val="18"/>
                <w:szCs w:val="18"/>
              </w:rPr>
            </w:pPr>
          </w:p>
        </w:tc>
      </w:tr>
      <w:tr w14:paraId="1878C476">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8962">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C9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4E2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347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D6DA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E41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6CFA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966F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6731">
            <w:pPr>
              <w:spacing w:line="240" w:lineRule="exact"/>
              <w:rPr>
                <w:rFonts w:ascii="黑体" w:hAnsi="黑体" w:eastAsia="黑体" w:cs="黑体"/>
                <w:i/>
                <w:iCs/>
                <w:color w:val="000000"/>
                <w:sz w:val="18"/>
                <w:szCs w:val="18"/>
              </w:rPr>
            </w:pPr>
          </w:p>
        </w:tc>
      </w:tr>
      <w:tr w14:paraId="78964B90">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6AC0">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AB5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F5E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156.00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974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156.00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D671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96.49</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D4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61.85%</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4273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E27B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59BC">
            <w:pPr>
              <w:spacing w:line="240" w:lineRule="exact"/>
              <w:rPr>
                <w:rFonts w:ascii="黑体" w:hAnsi="黑体" w:eastAsia="黑体" w:cs="黑体"/>
                <w:i/>
                <w:iCs/>
                <w:color w:val="000000"/>
                <w:sz w:val="18"/>
                <w:szCs w:val="18"/>
              </w:rPr>
            </w:pPr>
          </w:p>
        </w:tc>
      </w:tr>
      <w:tr w14:paraId="792CD0A3">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6F97">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E2C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60C5">
            <w:pPr>
              <w:spacing w:line="240" w:lineRule="exact"/>
              <w:jc w:val="center"/>
              <w:rPr>
                <w:rFonts w:ascii="微软雅黑" w:hAnsi="微软雅黑" w:eastAsia="微软雅黑" w:cs="微软雅黑"/>
                <w:i/>
                <w:iCs/>
                <w:color w:val="000000"/>
                <w:sz w:val="16"/>
                <w:szCs w:val="16"/>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633">
            <w:pPr>
              <w:spacing w:line="240" w:lineRule="exact"/>
              <w:jc w:val="center"/>
              <w:rPr>
                <w:rFonts w:ascii="微软雅黑" w:hAnsi="微软雅黑" w:eastAsia="微软雅黑" w:cs="微软雅黑"/>
                <w:i/>
                <w:iCs/>
                <w:color w:val="000000"/>
                <w:sz w:val="16"/>
                <w:szCs w:val="16"/>
              </w:rPr>
            </w:pP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ECEAC">
            <w:pPr>
              <w:spacing w:line="240" w:lineRule="exact"/>
              <w:jc w:val="center"/>
              <w:rPr>
                <w:rFonts w:ascii="微软雅黑" w:hAnsi="微软雅黑" w:eastAsia="微软雅黑" w:cs="微软雅黑"/>
                <w:i/>
                <w:iCs/>
                <w:color w:val="000000"/>
                <w:sz w:val="16"/>
                <w:szCs w:val="16"/>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97BB">
            <w:pPr>
              <w:spacing w:line="240" w:lineRule="exact"/>
              <w:jc w:val="center"/>
              <w:rPr>
                <w:rFonts w:ascii="微软雅黑" w:hAnsi="微软雅黑" w:eastAsia="微软雅黑" w:cs="微软雅黑"/>
                <w:i/>
                <w:iCs/>
                <w:color w:val="000000"/>
                <w:sz w:val="16"/>
                <w:szCs w:val="16"/>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ED4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ECF3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21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7429">
            <w:pPr>
              <w:spacing w:line="240" w:lineRule="exact"/>
              <w:rPr>
                <w:rFonts w:ascii="黑体" w:hAnsi="黑体" w:eastAsia="黑体" w:cs="黑体"/>
                <w:i/>
                <w:iCs/>
                <w:color w:val="000000"/>
                <w:sz w:val="18"/>
                <w:szCs w:val="18"/>
              </w:rPr>
            </w:pPr>
          </w:p>
        </w:tc>
      </w:tr>
      <w:tr w14:paraId="0B5AC2C2">
        <w:tblPrEx>
          <w:tblCellMar>
            <w:top w:w="0" w:type="dxa"/>
            <w:left w:w="108" w:type="dxa"/>
            <w:bottom w:w="0" w:type="dxa"/>
            <w:right w:w="108" w:type="dxa"/>
          </w:tblCellMar>
        </w:tblPrEx>
        <w:trPr>
          <w:trHeight w:val="567"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2A65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68E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B30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008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E0F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E90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557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D1C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DF5B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7846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3F11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DF3180A">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C26A">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81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74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420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71E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BF5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F01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E03">
            <w:pPr>
              <w:spacing w:line="240" w:lineRule="exact"/>
              <w:jc w:val="center"/>
              <w:rPr>
                <w:rFonts w:ascii="微软雅黑" w:hAnsi="微软雅黑" w:eastAsia="微软雅黑" w:cs="微软雅黑"/>
                <w:i/>
                <w:iCs/>
                <w:color w:val="000000"/>
                <w:sz w:val="16"/>
                <w:szCs w:val="16"/>
              </w:rPr>
            </w:pP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EE34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50</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3019B">
            <w:pPr>
              <w:spacing w:line="240" w:lineRule="exact"/>
              <w:jc w:val="center"/>
              <w:rPr>
                <w:rFonts w:ascii="宋体" w:hAnsi="宋体" w:cs="宋体"/>
                <w:color w:val="000000"/>
                <w:sz w:val="18"/>
                <w:szCs w:val="18"/>
              </w:rPr>
            </w:pPr>
            <w:r>
              <w:rPr>
                <w:rFonts w:hint="eastAsia" w:ascii="宋体" w:hAnsi="宋体" w:cs="宋体"/>
                <w:color w:val="000000"/>
                <w:sz w:val="18"/>
                <w:szCs w:val="18"/>
              </w:rPr>
              <w:t>50</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43C1C">
            <w:pPr>
              <w:spacing w:line="240" w:lineRule="exact"/>
              <w:jc w:val="center"/>
              <w:rPr>
                <w:rFonts w:ascii="微软雅黑" w:hAnsi="微软雅黑" w:eastAsia="微软雅黑" w:cs="微软雅黑"/>
                <w:i/>
                <w:iCs/>
                <w:color w:val="000000"/>
                <w:sz w:val="16"/>
                <w:szCs w:val="16"/>
              </w:rPr>
            </w:pPr>
          </w:p>
        </w:tc>
      </w:tr>
      <w:tr w14:paraId="0625FC6B">
        <w:tblPrEx>
          <w:tblCellMar>
            <w:top w:w="0" w:type="dxa"/>
            <w:left w:w="108" w:type="dxa"/>
            <w:bottom w:w="0" w:type="dxa"/>
            <w:right w:w="108" w:type="dxa"/>
          </w:tblCellMar>
        </w:tblPrEx>
        <w:trPr>
          <w:trHeight w:val="567"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B9AC">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12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C63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3F2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是</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A6E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9CD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50</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8008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F12">
            <w:pPr>
              <w:spacing w:line="240" w:lineRule="exact"/>
              <w:jc w:val="center"/>
              <w:rPr>
                <w:rFonts w:ascii="微软雅黑" w:hAnsi="微软雅黑" w:eastAsia="微软雅黑" w:cs="微软雅黑"/>
                <w:i/>
                <w:iCs/>
                <w:color w:val="000000"/>
                <w:sz w:val="16"/>
                <w:szCs w:val="16"/>
              </w:rPr>
            </w:pP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D456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FC572">
            <w:pPr>
              <w:spacing w:line="240" w:lineRule="exact"/>
              <w:jc w:val="center"/>
              <w:rPr>
                <w:rFonts w:ascii="宋体" w:hAnsi="宋体" w:cs="宋体"/>
                <w:color w:val="000000"/>
                <w:sz w:val="18"/>
                <w:szCs w:val="18"/>
              </w:rPr>
            </w:pPr>
            <w:r>
              <w:rPr>
                <w:rFonts w:hint="eastAsia" w:ascii="宋体" w:hAnsi="宋体" w:cs="宋体"/>
                <w:color w:val="000000"/>
                <w:sz w:val="18"/>
                <w:szCs w:val="18"/>
              </w:rPr>
              <w:t>40</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B846F">
            <w:pPr>
              <w:spacing w:line="240" w:lineRule="exact"/>
              <w:jc w:val="center"/>
              <w:rPr>
                <w:rFonts w:ascii="微软雅黑" w:hAnsi="微软雅黑" w:eastAsia="微软雅黑" w:cs="微软雅黑"/>
                <w:i/>
                <w:iCs/>
                <w:color w:val="000000"/>
                <w:sz w:val="16"/>
                <w:szCs w:val="16"/>
              </w:rPr>
            </w:pPr>
          </w:p>
        </w:tc>
      </w:tr>
      <w:tr w14:paraId="0AA06474">
        <w:tblPrEx>
          <w:tblCellMar>
            <w:top w:w="0" w:type="dxa"/>
            <w:left w:w="108" w:type="dxa"/>
            <w:bottom w:w="0" w:type="dxa"/>
            <w:right w:w="108" w:type="dxa"/>
          </w:tblCellMar>
        </w:tblPrEx>
        <w:trPr>
          <w:trHeight w:val="567" w:hRule="atLeast"/>
          <w:jc w:val="center"/>
        </w:trPr>
        <w:tc>
          <w:tcPr>
            <w:tcW w:w="64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8656E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7D67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CBBC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100</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DA921">
            <w:pPr>
              <w:spacing w:line="240" w:lineRule="exact"/>
              <w:jc w:val="center"/>
              <w:rPr>
                <w:rFonts w:ascii="宋体" w:hAnsi="宋体" w:cs="宋体"/>
                <w:color w:val="000000"/>
                <w:sz w:val="18"/>
                <w:szCs w:val="18"/>
              </w:rPr>
            </w:pPr>
          </w:p>
        </w:tc>
      </w:tr>
      <w:tr w14:paraId="29E27BE4">
        <w:tblPrEx>
          <w:tblCellMar>
            <w:top w:w="0" w:type="dxa"/>
            <w:left w:w="108" w:type="dxa"/>
            <w:bottom w:w="0" w:type="dxa"/>
            <w:right w:w="10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95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8C82D4">
            <w:pPr>
              <w:widowControl/>
              <w:spacing w:line="240" w:lineRule="exact"/>
              <w:jc w:val="left"/>
              <w:textAlignment w:val="center"/>
              <w:rPr>
                <w:rFonts w:ascii="微软雅黑" w:hAnsi="微软雅黑" w:eastAsia="微软雅黑" w:cs="微软雅黑"/>
                <w:i/>
                <w:iCs/>
                <w:color w:val="000000"/>
                <w:sz w:val="16"/>
                <w:szCs w:val="16"/>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5267D4AD">
        <w:tblPrEx>
          <w:tblCellMar>
            <w:top w:w="0" w:type="dxa"/>
            <w:left w:w="108" w:type="dxa"/>
            <w:bottom w:w="0" w:type="dxa"/>
            <w:right w:w="10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C07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1710387">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86CC30E">
        <w:tblPrEx>
          <w:tblCellMar>
            <w:top w:w="0" w:type="dxa"/>
            <w:left w:w="108" w:type="dxa"/>
            <w:bottom w:w="0" w:type="dxa"/>
            <w:right w:w="108" w:type="dxa"/>
          </w:tblCellMar>
        </w:tblPrEx>
        <w:trPr>
          <w:trHeight w:val="567"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49E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F6EDB6">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针对项目自评中发现的问题，提出下一步改进完善的意见及有关政策性建议。（200字以内）</w:t>
            </w:r>
          </w:p>
        </w:tc>
      </w:tr>
      <w:tr w14:paraId="15851AA3">
        <w:tblPrEx>
          <w:tblCellMar>
            <w:top w:w="0" w:type="dxa"/>
            <w:left w:w="108" w:type="dxa"/>
            <w:bottom w:w="0" w:type="dxa"/>
            <w:right w:w="108" w:type="dxa"/>
          </w:tblCellMar>
        </w:tblPrEx>
        <w:trPr>
          <w:trHeight w:val="567" w:hRule="atLeast"/>
          <w:jc w:val="center"/>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6D696">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项目负责人：唐钢</w:t>
            </w:r>
          </w:p>
        </w:tc>
        <w:tc>
          <w:tcPr>
            <w:tcW w:w="51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690572">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财务负责人：赵长春</w:t>
            </w:r>
          </w:p>
        </w:tc>
      </w:tr>
      <w:tr w14:paraId="46426154">
        <w:tblPrEx>
          <w:tblCellMar>
            <w:top w:w="0" w:type="dxa"/>
            <w:left w:w="108" w:type="dxa"/>
            <w:bottom w:w="0" w:type="dxa"/>
            <w:right w:w="108" w:type="dxa"/>
          </w:tblCellMar>
        </w:tblPrEx>
        <w:trPr>
          <w:trHeight w:val="539" w:hRule="atLeast"/>
          <w:jc w:val="center"/>
        </w:trPr>
        <w:tc>
          <w:tcPr>
            <w:tcW w:w="100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9A02F71">
            <w:pPr>
              <w:widowControl/>
              <w:spacing w:line="240" w:lineRule="exact"/>
              <w:jc w:val="center"/>
              <w:textAlignment w:val="center"/>
              <w:rPr>
                <w:rFonts w:ascii="黑体" w:hAnsi="宋体" w:eastAsia="黑体" w:cs="黑体"/>
                <w:b/>
                <w:bCs/>
                <w:color w:val="000000"/>
                <w:sz w:val="30"/>
                <w:szCs w:val="30"/>
              </w:rPr>
            </w:pPr>
            <w:bookmarkStart w:id="57" w:name="OLE_LINK9"/>
            <w:bookmarkStart w:id="58" w:name="OLE_LINK8"/>
            <w:r>
              <w:rPr>
                <w:rFonts w:hint="eastAsia" w:ascii="黑体" w:hAnsi="宋体" w:eastAsia="黑体" w:cs="黑体"/>
                <w:b/>
                <w:bCs/>
                <w:color w:val="000000"/>
                <w:kern w:val="0"/>
                <w:sz w:val="30"/>
                <w:szCs w:val="30"/>
                <w:lang w:bidi="ar"/>
              </w:rPr>
              <w:t>部门预算项目支出绩效自评表（2024年度）</w:t>
            </w:r>
          </w:p>
        </w:tc>
      </w:tr>
      <w:tr w14:paraId="7B0BC41C">
        <w:tblPrEx>
          <w:tblCellMar>
            <w:top w:w="0" w:type="dxa"/>
            <w:left w:w="108" w:type="dxa"/>
            <w:bottom w:w="0" w:type="dxa"/>
            <w:right w:w="108" w:type="dxa"/>
          </w:tblCellMar>
        </w:tblPrEx>
        <w:trPr>
          <w:trHeight w:val="539"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97BC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D3AA0C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51090423T000008714634-2022年市级教育发展专项资金（教育质量提升）</w:t>
            </w:r>
          </w:p>
        </w:tc>
      </w:tr>
      <w:tr w14:paraId="57C34EAB">
        <w:tblPrEx>
          <w:tblCellMar>
            <w:top w:w="0" w:type="dxa"/>
            <w:left w:w="108" w:type="dxa"/>
            <w:bottom w:w="0" w:type="dxa"/>
            <w:right w:w="108" w:type="dxa"/>
          </w:tblCellMar>
        </w:tblPrEx>
        <w:trPr>
          <w:trHeight w:val="539"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383F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FDAE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遂宁市安居区西眉镇中心小学校部门</w:t>
            </w:r>
          </w:p>
        </w:tc>
        <w:tc>
          <w:tcPr>
            <w:tcW w:w="500" w:type="dxa"/>
            <w:tcBorders>
              <w:top w:val="nil"/>
              <w:left w:val="nil"/>
              <w:bottom w:val="nil"/>
              <w:right w:val="nil"/>
            </w:tcBorders>
            <w:shd w:val="clear" w:color="auto" w:fill="auto"/>
            <w:vAlign w:val="center"/>
          </w:tcPr>
          <w:p w14:paraId="458E3C06">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22C23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w:t>
            </w:r>
          </w:p>
        </w:tc>
      </w:tr>
      <w:tr w14:paraId="3453A3DB">
        <w:tblPrEx>
          <w:tblCellMar>
            <w:top w:w="0" w:type="dxa"/>
            <w:left w:w="108" w:type="dxa"/>
            <w:bottom w:w="0" w:type="dxa"/>
            <w:right w:w="108" w:type="dxa"/>
          </w:tblCellMar>
        </w:tblPrEx>
        <w:trPr>
          <w:trHeight w:val="539"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FEF8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E6BC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693A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D094AC">
            <w:pPr>
              <w:widowControl/>
              <w:spacing w:line="24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27BAE2AE">
        <w:tblPrEx>
          <w:tblCellMar>
            <w:top w:w="0" w:type="dxa"/>
            <w:left w:w="108" w:type="dxa"/>
            <w:bottom w:w="0" w:type="dxa"/>
            <w:right w:w="108" w:type="dxa"/>
          </w:tblCellMar>
        </w:tblPrEx>
        <w:trPr>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9AA42">
            <w:pPr>
              <w:spacing w:line="240" w:lineRule="exact"/>
              <w:rPr>
                <w:rFonts w:ascii="宋体" w:hAnsi="宋体" w:cs="宋体"/>
                <w:color w:val="000000"/>
                <w:sz w:val="18"/>
                <w:szCs w:val="18"/>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8587">
            <w:pPr>
              <w:spacing w:line="240" w:lineRule="exact"/>
              <w:rPr>
                <w:rFonts w:ascii="宋体" w:hAnsi="宋体" w:cs="宋体"/>
                <w:color w:val="000000"/>
                <w:sz w:val="18"/>
                <w:szCs w:val="18"/>
              </w:rPr>
            </w:pPr>
          </w:p>
        </w:tc>
        <w:tc>
          <w:tcPr>
            <w:tcW w:w="4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F6E257">
            <w:pPr>
              <w:spacing w:line="240" w:lineRule="exact"/>
              <w:rPr>
                <w:rFonts w:ascii="宋体" w:hAnsi="宋体" w:cs="宋体"/>
                <w:color w:val="000000"/>
                <w:sz w:val="18"/>
                <w:szCs w:val="18"/>
              </w:rPr>
            </w:pP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21383">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790AF687">
        <w:tblPrEx>
          <w:tblCellMar>
            <w:top w:w="0" w:type="dxa"/>
            <w:left w:w="108" w:type="dxa"/>
            <w:bottom w:w="0" w:type="dxa"/>
            <w:right w:w="108" w:type="dxa"/>
          </w:tblCellMar>
        </w:tblPrEx>
        <w:trPr>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5799">
            <w:pPr>
              <w:spacing w:line="240" w:lineRule="exact"/>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ED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584FD2">
            <w:pPr>
              <w:spacing w:line="240" w:lineRule="exact"/>
              <w:rPr>
                <w:rFonts w:ascii="宋体" w:hAnsi="宋体" w:cs="宋体"/>
                <w:color w:val="000000"/>
                <w:sz w:val="18"/>
                <w:szCs w:val="18"/>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3B6C42CA">
        <w:tblPrEx>
          <w:tblCellMar>
            <w:top w:w="0" w:type="dxa"/>
            <w:left w:w="108" w:type="dxa"/>
            <w:bottom w:w="0" w:type="dxa"/>
            <w:right w:w="108" w:type="dxa"/>
          </w:tblCellMar>
        </w:tblPrEx>
        <w:trPr>
          <w:gridAfter w:val="1"/>
          <w:wAfter w:w="34" w:type="dxa"/>
          <w:trHeight w:val="539"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95EF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5C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13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569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9339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8C11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4A33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0E64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F1F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7F3FD09">
        <w:tblPrEx>
          <w:tblCellMar>
            <w:top w:w="0" w:type="dxa"/>
            <w:left w:w="108" w:type="dxa"/>
            <w:bottom w:w="0" w:type="dxa"/>
            <w:right w:w="108" w:type="dxa"/>
          </w:tblCellMar>
        </w:tblPrEx>
        <w:trPr>
          <w:gridAfter w:val="1"/>
          <w:wAfter w:w="34" w:type="dxa"/>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46B8">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23F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BD6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4B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0.50</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A22F0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0.50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718B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4BB4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4CF7C">
            <w:pPr>
              <w:spacing w:line="24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0CC4">
            <w:pPr>
              <w:widowControl/>
              <w:spacing w:line="24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2600E21D">
        <w:tblPrEx>
          <w:tblCellMar>
            <w:top w:w="0" w:type="dxa"/>
            <w:left w:w="108" w:type="dxa"/>
            <w:bottom w:w="0" w:type="dxa"/>
            <w:right w:w="108" w:type="dxa"/>
          </w:tblCellMar>
        </w:tblPrEx>
        <w:trPr>
          <w:gridAfter w:val="1"/>
          <w:wAfter w:w="34" w:type="dxa"/>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FD56">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BEC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34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C5F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0.50</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E367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0.50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FED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609F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D63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784F">
            <w:pPr>
              <w:spacing w:line="240" w:lineRule="exact"/>
              <w:rPr>
                <w:rFonts w:ascii="黑体" w:hAnsi="黑体" w:eastAsia="黑体" w:cs="黑体"/>
                <w:i/>
                <w:iCs/>
                <w:color w:val="000000"/>
                <w:sz w:val="18"/>
                <w:szCs w:val="18"/>
              </w:rPr>
            </w:pPr>
          </w:p>
        </w:tc>
      </w:tr>
      <w:tr w14:paraId="59CC25FF">
        <w:tblPrEx>
          <w:tblCellMar>
            <w:top w:w="0" w:type="dxa"/>
            <w:left w:w="108" w:type="dxa"/>
            <w:bottom w:w="0" w:type="dxa"/>
            <w:right w:w="108" w:type="dxa"/>
          </w:tblCellMar>
        </w:tblPrEx>
        <w:trPr>
          <w:gridAfter w:val="1"/>
          <w:wAfter w:w="34" w:type="dxa"/>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069D">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A9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24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5D8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7CCB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BF0E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7B0B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9A28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tcBorders>
              <w:top w:val="single" w:color="000000" w:sz="4" w:space="0"/>
              <w:left w:val="single" w:color="000000" w:sz="4" w:space="0"/>
              <w:right w:val="single" w:color="000000" w:sz="4" w:space="0"/>
            </w:tcBorders>
            <w:shd w:val="clear" w:color="auto" w:fill="auto"/>
            <w:vAlign w:val="center"/>
          </w:tcPr>
          <w:p w14:paraId="79229FC6">
            <w:pPr>
              <w:spacing w:line="240" w:lineRule="exact"/>
              <w:rPr>
                <w:rFonts w:ascii="黑体" w:hAnsi="黑体" w:eastAsia="黑体" w:cs="黑体"/>
                <w:i/>
                <w:iCs/>
                <w:color w:val="000000"/>
                <w:sz w:val="18"/>
                <w:szCs w:val="18"/>
              </w:rPr>
            </w:pPr>
          </w:p>
        </w:tc>
      </w:tr>
      <w:tr w14:paraId="15284252">
        <w:tblPrEx>
          <w:tblCellMar>
            <w:top w:w="0" w:type="dxa"/>
            <w:left w:w="108" w:type="dxa"/>
            <w:bottom w:w="0" w:type="dxa"/>
            <w:right w:w="108" w:type="dxa"/>
          </w:tblCellMar>
        </w:tblPrEx>
        <w:trPr>
          <w:gridAfter w:val="1"/>
          <w:wAfter w:w="34" w:type="dxa"/>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45BD">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F77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3C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6B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3DD1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8052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566F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8F18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vMerge w:val="restart"/>
            <w:tcBorders>
              <w:top w:val="single" w:color="000000" w:sz="4" w:space="0"/>
              <w:left w:val="single" w:color="000000" w:sz="4" w:space="0"/>
              <w:right w:val="single" w:color="000000" w:sz="4" w:space="0"/>
            </w:tcBorders>
            <w:shd w:val="clear" w:color="auto" w:fill="auto"/>
            <w:vAlign w:val="center"/>
          </w:tcPr>
          <w:p w14:paraId="59537906">
            <w:pPr>
              <w:spacing w:line="240" w:lineRule="exact"/>
              <w:rPr>
                <w:rFonts w:ascii="黑体" w:hAnsi="黑体" w:eastAsia="黑体" w:cs="黑体"/>
                <w:i/>
                <w:iCs/>
                <w:color w:val="000000"/>
                <w:sz w:val="18"/>
                <w:szCs w:val="18"/>
              </w:rPr>
            </w:pPr>
          </w:p>
        </w:tc>
      </w:tr>
      <w:tr w14:paraId="39F01B49">
        <w:tblPrEx>
          <w:tblCellMar>
            <w:top w:w="0" w:type="dxa"/>
            <w:left w:w="108" w:type="dxa"/>
            <w:bottom w:w="0" w:type="dxa"/>
            <w:right w:w="108" w:type="dxa"/>
          </w:tblCellMar>
        </w:tblPrEx>
        <w:trPr>
          <w:gridAfter w:val="1"/>
          <w:wAfter w:w="34" w:type="dxa"/>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8AC4">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5F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AEF4">
            <w:pPr>
              <w:spacing w:line="240" w:lineRule="exact"/>
              <w:jc w:val="center"/>
              <w:rPr>
                <w:rFonts w:ascii="微软雅黑" w:hAnsi="微软雅黑" w:eastAsia="微软雅黑" w:cs="微软雅黑"/>
                <w:i/>
                <w:iCs/>
                <w:color w:val="000000"/>
                <w:sz w:val="16"/>
                <w:szCs w:val="16"/>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A1">
            <w:pPr>
              <w:spacing w:line="240" w:lineRule="exact"/>
              <w:jc w:val="center"/>
              <w:rPr>
                <w:rFonts w:ascii="微软雅黑" w:hAnsi="微软雅黑" w:eastAsia="微软雅黑" w:cs="微软雅黑"/>
                <w:i/>
                <w:iCs/>
                <w:color w:val="000000"/>
                <w:sz w:val="16"/>
                <w:szCs w:val="16"/>
              </w:rPr>
            </w:pP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2BF65">
            <w:pPr>
              <w:spacing w:line="240" w:lineRule="exact"/>
              <w:jc w:val="center"/>
              <w:rPr>
                <w:rFonts w:ascii="微软雅黑" w:hAnsi="微软雅黑" w:eastAsia="微软雅黑" w:cs="微软雅黑"/>
                <w:i/>
                <w:iCs/>
                <w:color w:val="000000"/>
                <w:sz w:val="16"/>
                <w:szCs w:val="16"/>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2CF2E">
            <w:pPr>
              <w:spacing w:line="240" w:lineRule="exact"/>
              <w:jc w:val="center"/>
              <w:rPr>
                <w:rFonts w:ascii="微软雅黑" w:hAnsi="微软雅黑" w:eastAsia="微软雅黑" w:cs="微软雅黑"/>
                <w:i/>
                <w:iCs/>
                <w:color w:val="000000"/>
                <w:sz w:val="16"/>
                <w:szCs w:val="16"/>
              </w:rPr>
            </w:pP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D9E6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7A20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D2BBA">
            <w:pPr>
              <w:spacing w:line="240" w:lineRule="exact"/>
              <w:rPr>
                <w:rFonts w:ascii="黑体" w:hAnsi="黑体" w:eastAsia="黑体" w:cs="黑体"/>
                <w:i/>
                <w:iCs/>
                <w:color w:val="000000"/>
                <w:sz w:val="18"/>
                <w:szCs w:val="18"/>
              </w:rPr>
            </w:pPr>
          </w:p>
        </w:tc>
      </w:tr>
      <w:tr w14:paraId="6C2E2D19">
        <w:tblPrEx>
          <w:tblCellMar>
            <w:top w:w="0" w:type="dxa"/>
            <w:left w:w="108" w:type="dxa"/>
            <w:bottom w:w="0" w:type="dxa"/>
            <w:right w:w="108" w:type="dxa"/>
          </w:tblCellMar>
        </w:tblPrEx>
        <w:trPr>
          <w:gridAfter w:val="1"/>
          <w:wAfter w:w="34" w:type="dxa"/>
          <w:trHeight w:val="539"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4498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74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661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24C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F28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F2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61F1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C42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765C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A141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AA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3684640">
        <w:tblPrEx>
          <w:tblCellMar>
            <w:top w:w="0" w:type="dxa"/>
            <w:left w:w="108" w:type="dxa"/>
            <w:bottom w:w="0" w:type="dxa"/>
            <w:right w:w="108" w:type="dxa"/>
          </w:tblCellMar>
        </w:tblPrEx>
        <w:trPr>
          <w:gridAfter w:val="1"/>
          <w:wAfter w:w="34" w:type="dxa"/>
          <w:trHeight w:val="539"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90A6">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38E">
            <w:pPr>
              <w:spacing w:line="240" w:lineRule="exact"/>
              <w:jc w:val="center"/>
              <w:rPr>
                <w:rFonts w:ascii="宋体" w:hAnsi="宋体" w:cs="宋体"/>
                <w:color w:val="000000"/>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CE57">
            <w:pPr>
              <w:spacing w:line="240" w:lineRule="exact"/>
              <w:jc w:val="center"/>
              <w:rPr>
                <w:rFonts w:ascii="宋体" w:hAnsi="宋体" w:cs="宋体"/>
                <w:color w:val="000000"/>
                <w:sz w:val="18"/>
                <w:szCs w:val="1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F5A">
            <w:pPr>
              <w:spacing w:line="240" w:lineRule="exact"/>
              <w:jc w:val="center"/>
              <w:rPr>
                <w:rFonts w:ascii="宋体" w:hAnsi="宋体" w:cs="宋体"/>
                <w:color w:val="000000"/>
                <w:sz w:val="18"/>
                <w:szCs w:val="18"/>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9472">
            <w:pPr>
              <w:spacing w:line="240" w:lineRule="exact"/>
              <w:jc w:val="center"/>
              <w:rPr>
                <w:rFonts w:ascii="宋体" w:hAnsi="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552B">
            <w:pPr>
              <w:spacing w:line="240" w:lineRule="exact"/>
              <w:jc w:val="center"/>
              <w:rPr>
                <w:rFonts w:ascii="宋体" w:hAnsi="宋体" w:cs="宋体"/>
                <w:color w:val="000000"/>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21B60">
            <w:pPr>
              <w:spacing w:line="240" w:lineRule="exact"/>
              <w:jc w:val="center"/>
              <w:rPr>
                <w:rFonts w:ascii="宋体" w:hAnsi="宋体" w:cs="宋体"/>
                <w:color w:val="000000"/>
                <w:sz w:val="18"/>
                <w:szCs w:val="18"/>
              </w:rPr>
            </w:pP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A16F">
            <w:pPr>
              <w:spacing w:line="240" w:lineRule="exact"/>
              <w:jc w:val="center"/>
              <w:rPr>
                <w:rFonts w:ascii="微软雅黑" w:hAnsi="微软雅黑" w:eastAsia="微软雅黑" w:cs="微软雅黑"/>
                <w:i/>
                <w:iCs/>
                <w:color w:val="000000"/>
                <w:sz w:val="16"/>
                <w:szCs w:val="16"/>
              </w:rPr>
            </w:pPr>
          </w:p>
        </w:tc>
        <w:tc>
          <w:tcPr>
            <w:tcW w:w="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65876">
            <w:pPr>
              <w:spacing w:line="240" w:lineRule="exact"/>
              <w:jc w:val="center"/>
              <w:rPr>
                <w:rFonts w:ascii="宋体" w:hAnsi="宋体" w:cs="宋体"/>
                <w:color w:val="000000"/>
                <w:sz w:val="18"/>
                <w:szCs w:val="18"/>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20341">
            <w:pPr>
              <w:spacing w:line="240" w:lineRule="exact"/>
              <w:jc w:val="center"/>
              <w:rPr>
                <w:rFonts w:ascii="宋体" w:hAnsi="宋体" w:cs="宋体"/>
                <w:color w:val="000000"/>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693">
            <w:pPr>
              <w:spacing w:line="240" w:lineRule="exact"/>
              <w:jc w:val="center"/>
              <w:rPr>
                <w:rFonts w:ascii="微软雅黑" w:hAnsi="微软雅黑" w:eastAsia="微软雅黑" w:cs="微软雅黑"/>
                <w:i/>
                <w:iCs/>
                <w:color w:val="000000"/>
                <w:sz w:val="16"/>
                <w:szCs w:val="16"/>
              </w:rPr>
            </w:pPr>
          </w:p>
        </w:tc>
      </w:tr>
      <w:tr w14:paraId="114A8D57">
        <w:tblPrEx>
          <w:tblCellMar>
            <w:top w:w="0" w:type="dxa"/>
            <w:left w:w="108" w:type="dxa"/>
            <w:bottom w:w="0" w:type="dxa"/>
            <w:right w:w="108" w:type="dxa"/>
          </w:tblCellMar>
        </w:tblPrEx>
        <w:trPr>
          <w:trHeight w:val="539" w:hRule="atLeast"/>
          <w:jc w:val="center"/>
        </w:trPr>
        <w:tc>
          <w:tcPr>
            <w:tcW w:w="64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9D8B4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166E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C17D5">
            <w:pPr>
              <w:spacing w:line="240" w:lineRule="exact"/>
              <w:rPr>
                <w:rFonts w:ascii="宋体" w:hAnsi="宋体" w:cs="宋体"/>
                <w:color w:val="000000"/>
                <w:sz w:val="18"/>
                <w:szCs w:val="18"/>
              </w:rPr>
            </w:pPr>
            <w:r>
              <w:rPr>
                <w:rFonts w:hint="eastAsia" w:ascii="宋体" w:hAnsi="宋体" w:cs="宋体"/>
                <w:color w:val="000000"/>
                <w:sz w:val="18"/>
                <w:szCs w:val="18"/>
              </w:rPr>
              <w:t>100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6BE06">
            <w:pPr>
              <w:spacing w:line="240" w:lineRule="exact"/>
              <w:rPr>
                <w:rFonts w:ascii="宋体" w:hAnsi="宋体" w:cs="宋体"/>
                <w:color w:val="000000"/>
                <w:sz w:val="18"/>
                <w:szCs w:val="18"/>
              </w:rPr>
            </w:pPr>
          </w:p>
        </w:tc>
      </w:tr>
      <w:tr w14:paraId="78DB27CF">
        <w:tblPrEx>
          <w:tblCellMar>
            <w:top w:w="0" w:type="dxa"/>
            <w:left w:w="108" w:type="dxa"/>
            <w:bottom w:w="0" w:type="dxa"/>
            <w:right w:w="108" w:type="dxa"/>
          </w:tblCellMar>
        </w:tblPrEx>
        <w:trPr>
          <w:trHeight w:val="539"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567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F4C93A">
            <w:pPr>
              <w:widowControl/>
              <w:spacing w:line="240" w:lineRule="exact"/>
              <w:jc w:val="left"/>
              <w:textAlignment w:val="center"/>
              <w:rPr>
                <w:rFonts w:ascii="微软雅黑" w:hAnsi="微软雅黑" w:eastAsia="微软雅黑" w:cs="微软雅黑"/>
                <w:i/>
                <w:iCs/>
                <w:color w:val="000000"/>
                <w:sz w:val="16"/>
                <w:szCs w:val="16"/>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23E3F061">
        <w:tblPrEx>
          <w:tblCellMar>
            <w:top w:w="0" w:type="dxa"/>
            <w:left w:w="108" w:type="dxa"/>
            <w:bottom w:w="0" w:type="dxa"/>
            <w:right w:w="108" w:type="dxa"/>
          </w:tblCellMar>
        </w:tblPrEx>
        <w:trPr>
          <w:trHeight w:val="539"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C7D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390832">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80D2F74">
        <w:tblPrEx>
          <w:tblCellMar>
            <w:top w:w="0" w:type="dxa"/>
            <w:left w:w="108" w:type="dxa"/>
            <w:bottom w:w="0" w:type="dxa"/>
            <w:right w:w="108" w:type="dxa"/>
          </w:tblCellMar>
        </w:tblPrEx>
        <w:trPr>
          <w:trHeight w:val="539"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A9F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26BB4D4">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针对项目自评中发现的问题，提出下一步改进完善的意见及有关政策性建议。（200字以内）</w:t>
            </w:r>
          </w:p>
        </w:tc>
      </w:tr>
      <w:tr w14:paraId="6D95305C">
        <w:tblPrEx>
          <w:tblCellMar>
            <w:top w:w="0" w:type="dxa"/>
            <w:left w:w="108" w:type="dxa"/>
            <w:bottom w:w="0" w:type="dxa"/>
            <w:right w:w="108" w:type="dxa"/>
          </w:tblCellMar>
        </w:tblPrEx>
        <w:trPr>
          <w:trHeight w:val="539" w:hRule="atLeast"/>
          <w:jc w:val="center"/>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55F05">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项目负责人：席</w:t>
            </w:r>
            <w:r>
              <w:rPr>
                <w:rFonts w:ascii="黑体" w:hAnsi="黑体" w:eastAsia="黑体" w:cs="黑体"/>
                <w:color w:val="000000"/>
                <w:kern w:val="0"/>
                <w:sz w:val="18"/>
                <w:szCs w:val="18"/>
                <w:lang w:bidi="ar"/>
              </w:rPr>
              <w:t>春艳</w:t>
            </w:r>
          </w:p>
        </w:tc>
        <w:tc>
          <w:tcPr>
            <w:tcW w:w="51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3C7073">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财务负责人：刘</w:t>
            </w:r>
            <w:r>
              <w:rPr>
                <w:rFonts w:ascii="黑体" w:hAnsi="黑体" w:eastAsia="黑体" w:cs="黑体"/>
                <w:color w:val="000000"/>
                <w:kern w:val="0"/>
                <w:sz w:val="18"/>
                <w:szCs w:val="18"/>
                <w:lang w:bidi="ar"/>
              </w:rPr>
              <w:t>明</w:t>
            </w:r>
          </w:p>
        </w:tc>
      </w:tr>
      <w:bookmarkEnd w:id="57"/>
      <w:bookmarkEnd w:id="58"/>
      <w:tr w14:paraId="14028F04">
        <w:tblPrEx>
          <w:tblCellMar>
            <w:top w:w="0" w:type="dxa"/>
            <w:left w:w="108" w:type="dxa"/>
            <w:bottom w:w="0" w:type="dxa"/>
            <w:right w:w="108" w:type="dxa"/>
          </w:tblCellMar>
        </w:tblPrEx>
        <w:trPr>
          <w:trHeight w:val="425" w:hRule="atLeast"/>
          <w:jc w:val="center"/>
        </w:trPr>
        <w:tc>
          <w:tcPr>
            <w:tcW w:w="1008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029C8D2">
            <w:pPr>
              <w:widowControl/>
              <w:spacing w:line="240" w:lineRule="exact"/>
              <w:jc w:val="center"/>
              <w:textAlignment w:val="center"/>
              <w:rPr>
                <w:rFonts w:ascii="黑体" w:hAnsi="宋体" w:eastAsia="黑体" w:cs="黑体"/>
                <w:b/>
                <w:bCs/>
                <w:color w:val="000000"/>
                <w:sz w:val="30"/>
                <w:szCs w:val="30"/>
              </w:rPr>
            </w:pPr>
            <w:bookmarkStart w:id="59" w:name="OLE_LINK11"/>
            <w:bookmarkStart w:id="60" w:name="OLE_LINK10"/>
            <w:r>
              <w:rPr>
                <w:rFonts w:hint="eastAsia" w:ascii="黑体" w:hAnsi="宋体" w:eastAsia="黑体" w:cs="黑体"/>
                <w:b/>
                <w:bCs/>
                <w:color w:val="000000"/>
                <w:kern w:val="0"/>
                <w:sz w:val="30"/>
                <w:szCs w:val="30"/>
                <w:lang w:bidi="ar"/>
              </w:rPr>
              <w:t>部门预算项目支出绩效自评表（2024年度）</w:t>
            </w:r>
          </w:p>
        </w:tc>
      </w:tr>
      <w:tr w14:paraId="5E4CAF57">
        <w:tblPrEx>
          <w:tblCellMar>
            <w:top w:w="0" w:type="dxa"/>
            <w:left w:w="108" w:type="dxa"/>
            <w:bottom w:w="0" w:type="dxa"/>
            <w:right w:w="108" w:type="dxa"/>
          </w:tblCellMar>
        </w:tblPrEx>
        <w:trPr>
          <w:trHeight w:val="425"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05A4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5D834A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51090423T000009113613-遂宁市安居区西眉镇中心小学校改扩建项目</w:t>
            </w:r>
          </w:p>
        </w:tc>
      </w:tr>
      <w:tr w14:paraId="23BAAD40">
        <w:tblPrEx>
          <w:tblCellMar>
            <w:top w:w="0" w:type="dxa"/>
            <w:left w:w="108" w:type="dxa"/>
            <w:bottom w:w="0" w:type="dxa"/>
            <w:right w:w="108" w:type="dxa"/>
          </w:tblCellMar>
        </w:tblPrEx>
        <w:trPr>
          <w:trHeight w:val="425" w:hRule="atLeast"/>
          <w:jc w:val="center"/>
        </w:trPr>
        <w:tc>
          <w:tcPr>
            <w:tcW w:w="2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4798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C9334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遂宁市安居区西眉镇中心小学校部门</w:t>
            </w:r>
          </w:p>
        </w:tc>
        <w:tc>
          <w:tcPr>
            <w:tcW w:w="500" w:type="dxa"/>
            <w:tcBorders>
              <w:top w:val="nil"/>
              <w:left w:val="nil"/>
              <w:bottom w:val="nil"/>
              <w:right w:val="nil"/>
            </w:tcBorders>
            <w:shd w:val="clear" w:color="auto" w:fill="auto"/>
            <w:vAlign w:val="center"/>
          </w:tcPr>
          <w:p w14:paraId="19499371">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6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CC29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遂宁市安居区西眉镇中心小学校</w:t>
            </w:r>
          </w:p>
        </w:tc>
      </w:tr>
      <w:tr w14:paraId="00B0FC00">
        <w:tblPrEx>
          <w:tblCellMar>
            <w:top w:w="0" w:type="dxa"/>
            <w:left w:w="108" w:type="dxa"/>
            <w:bottom w:w="0" w:type="dxa"/>
            <w:right w:w="108" w:type="dxa"/>
          </w:tblCellMar>
        </w:tblPrEx>
        <w:trPr>
          <w:trHeight w:val="42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AAF7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50DF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AFC9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D14F85">
            <w:pPr>
              <w:widowControl/>
              <w:spacing w:line="24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D71CACD">
        <w:tblPrEx>
          <w:tblCellMar>
            <w:top w:w="0" w:type="dxa"/>
            <w:left w:w="108" w:type="dxa"/>
            <w:bottom w:w="0" w:type="dxa"/>
            <w:right w:w="108" w:type="dxa"/>
          </w:tblCellMar>
        </w:tblPrEx>
        <w:trPr>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92FD">
            <w:pPr>
              <w:spacing w:line="240" w:lineRule="exact"/>
              <w:rPr>
                <w:rFonts w:ascii="宋体" w:hAnsi="宋体" w:cs="宋体"/>
                <w:color w:val="000000"/>
                <w:sz w:val="18"/>
                <w:szCs w:val="18"/>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1FFE">
            <w:pPr>
              <w:spacing w:line="240" w:lineRule="exact"/>
              <w:rPr>
                <w:rFonts w:ascii="宋体" w:hAnsi="宋体" w:cs="宋体"/>
                <w:color w:val="000000"/>
                <w:sz w:val="18"/>
                <w:szCs w:val="18"/>
              </w:rPr>
            </w:pP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E0E22">
            <w:pPr>
              <w:spacing w:line="240" w:lineRule="exact"/>
              <w:rPr>
                <w:rFonts w:ascii="宋体" w:hAnsi="宋体" w:cs="宋体"/>
                <w:color w:val="000000"/>
                <w:sz w:val="18"/>
                <w:szCs w:val="18"/>
              </w:rPr>
            </w:pPr>
          </w:p>
        </w:tc>
        <w:tc>
          <w:tcPr>
            <w:tcW w:w="41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9958CF">
            <w:pPr>
              <w:widowControl/>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54CB1E35">
        <w:tblPrEx>
          <w:tblCellMar>
            <w:top w:w="0" w:type="dxa"/>
            <w:left w:w="108" w:type="dxa"/>
            <w:bottom w:w="0" w:type="dxa"/>
            <w:right w:w="108" w:type="dxa"/>
          </w:tblCellMar>
        </w:tblPrEx>
        <w:trPr>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BAAE9">
            <w:pPr>
              <w:spacing w:line="240" w:lineRule="exact"/>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EB3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9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0B28DD3">
            <w:pPr>
              <w:spacing w:line="240" w:lineRule="exact"/>
              <w:rPr>
                <w:rFonts w:ascii="宋体" w:hAnsi="宋体" w:cs="宋体"/>
                <w:color w:val="000000"/>
                <w:sz w:val="18"/>
                <w:szCs w:val="18"/>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0A52B4A9">
        <w:tblPrEx>
          <w:tblCellMar>
            <w:top w:w="0" w:type="dxa"/>
            <w:left w:w="108" w:type="dxa"/>
            <w:bottom w:w="0" w:type="dxa"/>
            <w:right w:w="108" w:type="dxa"/>
          </w:tblCellMar>
        </w:tblPrEx>
        <w:trPr>
          <w:trHeight w:val="42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0F46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764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B06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33A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5378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04C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F926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140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9F5F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092DB702">
        <w:tblPrEx>
          <w:tblCellMar>
            <w:top w:w="0" w:type="dxa"/>
            <w:left w:w="108" w:type="dxa"/>
            <w:bottom w:w="0" w:type="dxa"/>
            <w:right w:w="108" w:type="dxa"/>
          </w:tblCellMar>
        </w:tblPrEx>
        <w:trPr>
          <w:gridAfter w:val="1"/>
          <w:wAfter w:w="34" w:type="dxa"/>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676E">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35F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FD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60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142.33</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280F1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142.33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976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095E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54889">
            <w:pPr>
              <w:spacing w:line="24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C27">
            <w:pPr>
              <w:widowControl/>
              <w:spacing w:line="24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7DC5581B">
        <w:tblPrEx>
          <w:tblCellMar>
            <w:top w:w="0" w:type="dxa"/>
            <w:left w:w="108" w:type="dxa"/>
            <w:bottom w:w="0" w:type="dxa"/>
            <w:right w:w="108" w:type="dxa"/>
          </w:tblCellMar>
        </w:tblPrEx>
        <w:trPr>
          <w:gridAfter w:val="1"/>
          <w:wAfter w:w="34" w:type="dxa"/>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A461">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4A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8C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9B4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142.33</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EA638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142.33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D1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1D3B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2646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vMerge w:val="restart"/>
            <w:tcBorders>
              <w:top w:val="single" w:color="000000" w:sz="4" w:space="0"/>
              <w:left w:val="single" w:color="000000" w:sz="4" w:space="0"/>
              <w:right w:val="single" w:color="000000" w:sz="4" w:space="0"/>
            </w:tcBorders>
            <w:shd w:val="clear" w:color="auto" w:fill="auto"/>
            <w:vAlign w:val="center"/>
          </w:tcPr>
          <w:p w14:paraId="3E9B5B88">
            <w:pPr>
              <w:spacing w:line="240" w:lineRule="exact"/>
              <w:rPr>
                <w:rFonts w:ascii="黑体" w:hAnsi="黑体" w:eastAsia="黑体" w:cs="黑体"/>
                <w:i/>
                <w:iCs/>
                <w:color w:val="000000"/>
                <w:sz w:val="18"/>
                <w:szCs w:val="18"/>
              </w:rPr>
            </w:pPr>
          </w:p>
        </w:tc>
      </w:tr>
      <w:tr w14:paraId="48A6DBD8">
        <w:tblPrEx>
          <w:tblCellMar>
            <w:top w:w="0" w:type="dxa"/>
            <w:left w:w="108" w:type="dxa"/>
            <w:bottom w:w="0" w:type="dxa"/>
            <w:right w:w="108" w:type="dxa"/>
          </w:tblCellMar>
        </w:tblPrEx>
        <w:trPr>
          <w:gridAfter w:val="1"/>
          <w:wAfter w:w="34" w:type="dxa"/>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EA47">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398C">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47F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407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F1C9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56B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1275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690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A505">
            <w:pPr>
              <w:spacing w:line="240" w:lineRule="exact"/>
              <w:rPr>
                <w:rFonts w:ascii="黑体" w:hAnsi="黑体" w:eastAsia="黑体" w:cs="黑体"/>
                <w:i/>
                <w:iCs/>
                <w:color w:val="000000"/>
                <w:sz w:val="18"/>
                <w:szCs w:val="18"/>
              </w:rPr>
            </w:pPr>
          </w:p>
        </w:tc>
      </w:tr>
      <w:tr w14:paraId="7AD58BA7">
        <w:tblPrEx>
          <w:tblCellMar>
            <w:top w:w="0" w:type="dxa"/>
            <w:left w:w="108" w:type="dxa"/>
            <w:bottom w:w="0" w:type="dxa"/>
            <w:right w:w="108" w:type="dxa"/>
          </w:tblCellMar>
        </w:tblPrEx>
        <w:trPr>
          <w:gridAfter w:val="1"/>
          <w:wAfter w:w="34" w:type="dxa"/>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7662">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0B5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68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E9B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8BE0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7F63">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CD956">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1107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EABD">
            <w:pPr>
              <w:spacing w:line="240" w:lineRule="exact"/>
              <w:rPr>
                <w:rFonts w:ascii="黑体" w:hAnsi="黑体" w:eastAsia="黑体" w:cs="黑体"/>
                <w:i/>
                <w:iCs/>
                <w:color w:val="000000"/>
                <w:sz w:val="18"/>
                <w:szCs w:val="18"/>
              </w:rPr>
            </w:pPr>
          </w:p>
        </w:tc>
      </w:tr>
      <w:tr w14:paraId="112B01E1">
        <w:tblPrEx>
          <w:tblCellMar>
            <w:top w:w="0" w:type="dxa"/>
            <w:left w:w="108" w:type="dxa"/>
            <w:bottom w:w="0" w:type="dxa"/>
            <w:right w:w="108" w:type="dxa"/>
          </w:tblCellMar>
        </w:tblPrEx>
        <w:trPr>
          <w:gridAfter w:val="1"/>
          <w:wAfter w:w="34" w:type="dxa"/>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C10C">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D9D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F635">
            <w:pPr>
              <w:spacing w:line="240" w:lineRule="exact"/>
              <w:jc w:val="center"/>
              <w:rPr>
                <w:rFonts w:ascii="微软雅黑" w:hAnsi="微软雅黑" w:eastAsia="微软雅黑" w:cs="微软雅黑"/>
                <w:i/>
                <w:iCs/>
                <w:color w:val="000000"/>
                <w:sz w:val="16"/>
                <w:szCs w:val="16"/>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670">
            <w:pPr>
              <w:spacing w:line="240" w:lineRule="exact"/>
              <w:jc w:val="center"/>
              <w:rPr>
                <w:rFonts w:ascii="微软雅黑" w:hAnsi="微软雅黑" w:eastAsia="微软雅黑" w:cs="微软雅黑"/>
                <w:i/>
                <w:iCs/>
                <w:color w:val="000000"/>
                <w:sz w:val="16"/>
                <w:szCs w:val="16"/>
              </w:rPr>
            </w:pPr>
          </w:p>
        </w:tc>
        <w:tc>
          <w:tcPr>
            <w:tcW w:w="1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01CA3">
            <w:pPr>
              <w:spacing w:line="240" w:lineRule="exact"/>
              <w:jc w:val="center"/>
              <w:rPr>
                <w:rFonts w:ascii="微软雅黑" w:hAnsi="微软雅黑" w:eastAsia="微软雅黑" w:cs="微软雅黑"/>
                <w:i/>
                <w:iCs/>
                <w:color w:val="000000"/>
                <w:sz w:val="16"/>
                <w:szCs w:val="16"/>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322">
            <w:pPr>
              <w:spacing w:line="240" w:lineRule="exact"/>
              <w:jc w:val="center"/>
              <w:rPr>
                <w:rFonts w:ascii="微软雅黑" w:hAnsi="微软雅黑" w:eastAsia="微软雅黑" w:cs="微软雅黑"/>
                <w:i/>
                <w:iCs/>
                <w:color w:val="000000"/>
                <w:sz w:val="16"/>
                <w:szCs w:val="16"/>
              </w:rPr>
            </w:pP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AB53F">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F747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742" w:type="dxa"/>
            <w:tcBorders>
              <w:top w:val="single" w:color="000000" w:sz="4" w:space="0"/>
              <w:left w:val="single" w:color="000000" w:sz="4" w:space="0"/>
              <w:right w:val="single" w:color="000000" w:sz="4" w:space="0"/>
            </w:tcBorders>
            <w:shd w:val="clear" w:color="auto" w:fill="auto"/>
            <w:vAlign w:val="center"/>
          </w:tcPr>
          <w:p w14:paraId="08210F1D">
            <w:pPr>
              <w:spacing w:line="240" w:lineRule="exact"/>
              <w:rPr>
                <w:rFonts w:ascii="黑体" w:hAnsi="黑体" w:eastAsia="黑体" w:cs="黑体"/>
                <w:i/>
                <w:iCs/>
                <w:color w:val="000000"/>
                <w:sz w:val="18"/>
                <w:szCs w:val="18"/>
              </w:rPr>
            </w:pPr>
          </w:p>
        </w:tc>
      </w:tr>
      <w:tr w14:paraId="3086FD61">
        <w:tblPrEx>
          <w:tblCellMar>
            <w:top w:w="0" w:type="dxa"/>
            <w:left w:w="108" w:type="dxa"/>
            <w:bottom w:w="0" w:type="dxa"/>
            <w:right w:w="108" w:type="dxa"/>
          </w:tblCellMar>
        </w:tblPrEx>
        <w:trPr>
          <w:gridAfter w:val="1"/>
          <w:wAfter w:w="34" w:type="dxa"/>
          <w:trHeight w:val="425"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1E8F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368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35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5D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8152">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83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4FA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5C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F841A">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0B61">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8760">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72ED6CE">
        <w:tblPrEx>
          <w:tblCellMar>
            <w:top w:w="0" w:type="dxa"/>
            <w:left w:w="108" w:type="dxa"/>
            <w:bottom w:w="0" w:type="dxa"/>
            <w:right w:w="108" w:type="dxa"/>
          </w:tblCellMar>
        </w:tblPrEx>
        <w:trPr>
          <w:gridAfter w:val="1"/>
          <w:wAfter w:w="34" w:type="dxa"/>
          <w:trHeight w:val="425"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82E6">
            <w:pPr>
              <w:spacing w:line="240" w:lineRule="exact"/>
              <w:jc w:val="center"/>
              <w:rPr>
                <w:rFonts w:ascii="宋体" w:hAnsi="宋体" w:cs="宋体"/>
                <w:color w:val="000000"/>
                <w:sz w:val="18"/>
                <w:szCs w:val="18"/>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E9B3">
            <w:pPr>
              <w:spacing w:line="240" w:lineRule="exact"/>
              <w:jc w:val="center"/>
              <w:rPr>
                <w:rFonts w:ascii="宋体" w:hAnsi="宋体" w:cs="宋体"/>
                <w:color w:val="000000"/>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06B">
            <w:pPr>
              <w:spacing w:line="240" w:lineRule="exact"/>
              <w:jc w:val="center"/>
              <w:rPr>
                <w:rFonts w:ascii="宋体" w:hAnsi="宋体" w:cs="宋体"/>
                <w:color w:val="000000"/>
                <w:sz w:val="18"/>
                <w:szCs w:val="18"/>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4585">
            <w:pPr>
              <w:spacing w:line="240" w:lineRule="exact"/>
              <w:jc w:val="center"/>
              <w:rPr>
                <w:rFonts w:ascii="宋体" w:hAnsi="宋体" w:cs="宋体"/>
                <w:color w:val="000000"/>
                <w:sz w:val="18"/>
                <w:szCs w:val="18"/>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66C">
            <w:pPr>
              <w:spacing w:line="240" w:lineRule="exact"/>
              <w:jc w:val="center"/>
              <w:rPr>
                <w:rFonts w:ascii="宋体" w:hAnsi="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50D1">
            <w:pPr>
              <w:spacing w:line="240" w:lineRule="exact"/>
              <w:jc w:val="center"/>
              <w:rPr>
                <w:rFonts w:ascii="宋体" w:hAnsi="宋体" w:cs="宋体"/>
                <w:color w:val="000000"/>
                <w:sz w:val="18"/>
                <w:szCs w:val="18"/>
              </w:rPr>
            </w:pP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BFE9D">
            <w:pPr>
              <w:spacing w:line="240" w:lineRule="exact"/>
              <w:jc w:val="center"/>
              <w:rPr>
                <w:rFonts w:ascii="宋体" w:hAnsi="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26E">
            <w:pPr>
              <w:spacing w:line="240" w:lineRule="exact"/>
              <w:jc w:val="center"/>
              <w:rPr>
                <w:rFonts w:ascii="微软雅黑" w:hAnsi="微软雅黑" w:eastAsia="微软雅黑" w:cs="微软雅黑"/>
                <w:i/>
                <w:iCs/>
                <w:color w:val="000000"/>
                <w:sz w:val="16"/>
                <w:szCs w:val="16"/>
              </w:rPr>
            </w:pPr>
          </w:p>
        </w:tc>
        <w:tc>
          <w:tcPr>
            <w:tcW w:w="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0B1FC">
            <w:pPr>
              <w:spacing w:line="240" w:lineRule="exact"/>
              <w:jc w:val="center"/>
              <w:rPr>
                <w:rFonts w:ascii="宋体" w:hAnsi="宋体" w:cs="宋体"/>
                <w:color w:val="000000"/>
                <w:sz w:val="18"/>
                <w:szCs w:val="18"/>
              </w:rPr>
            </w:pPr>
          </w:p>
        </w:tc>
        <w:tc>
          <w:tcPr>
            <w:tcW w:w="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783AE">
            <w:pPr>
              <w:spacing w:line="240" w:lineRule="exact"/>
              <w:jc w:val="center"/>
              <w:rPr>
                <w:rFonts w:ascii="宋体" w:hAnsi="宋体" w:cs="宋体"/>
                <w:color w:val="000000"/>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0BE1">
            <w:pPr>
              <w:spacing w:line="240" w:lineRule="exact"/>
              <w:jc w:val="center"/>
              <w:rPr>
                <w:rFonts w:ascii="微软雅黑" w:hAnsi="微软雅黑" w:eastAsia="微软雅黑" w:cs="微软雅黑"/>
                <w:i/>
                <w:iCs/>
                <w:color w:val="000000"/>
                <w:sz w:val="16"/>
                <w:szCs w:val="16"/>
              </w:rPr>
            </w:pPr>
          </w:p>
        </w:tc>
      </w:tr>
      <w:tr w14:paraId="7EACF890">
        <w:tblPrEx>
          <w:tblCellMar>
            <w:top w:w="0" w:type="dxa"/>
            <w:left w:w="108" w:type="dxa"/>
            <w:bottom w:w="0" w:type="dxa"/>
            <w:right w:w="108" w:type="dxa"/>
          </w:tblCellMar>
        </w:tblPrEx>
        <w:trPr>
          <w:trHeight w:val="425" w:hRule="atLeast"/>
          <w:jc w:val="center"/>
        </w:trPr>
        <w:tc>
          <w:tcPr>
            <w:tcW w:w="6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0054D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E9734">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FB6">
            <w:pPr>
              <w:spacing w:line="240" w:lineRule="exact"/>
              <w:rPr>
                <w:rFonts w:ascii="宋体" w:hAnsi="宋体" w:cs="宋体"/>
                <w:color w:val="000000"/>
                <w:sz w:val="18"/>
                <w:szCs w:val="18"/>
              </w:rPr>
            </w:pPr>
            <w:r>
              <w:rPr>
                <w:rFonts w:hint="eastAsia" w:ascii="宋体" w:hAnsi="宋体" w:cs="宋体"/>
                <w:color w:val="000000"/>
                <w:sz w:val="18"/>
                <w:szCs w:val="18"/>
              </w:rPr>
              <w:t>100</w:t>
            </w:r>
          </w:p>
        </w:tc>
        <w:tc>
          <w:tcPr>
            <w:tcW w:w="2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349B5">
            <w:pPr>
              <w:spacing w:line="240" w:lineRule="exact"/>
              <w:rPr>
                <w:rFonts w:ascii="宋体" w:hAnsi="宋体" w:cs="宋体"/>
                <w:color w:val="000000"/>
                <w:sz w:val="18"/>
                <w:szCs w:val="18"/>
              </w:rPr>
            </w:pPr>
          </w:p>
        </w:tc>
      </w:tr>
      <w:tr w14:paraId="42AE6CC1">
        <w:tblPrEx>
          <w:tblCellMar>
            <w:top w:w="0" w:type="dxa"/>
            <w:left w:w="108" w:type="dxa"/>
            <w:bottom w:w="0" w:type="dxa"/>
            <w:right w:w="108" w:type="dxa"/>
          </w:tblCellMar>
        </w:tblPrEx>
        <w:trPr>
          <w:trHeight w:val="42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CED5">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9848EA">
            <w:pPr>
              <w:widowControl/>
              <w:spacing w:line="240" w:lineRule="exact"/>
              <w:jc w:val="left"/>
              <w:textAlignment w:val="center"/>
              <w:rPr>
                <w:rFonts w:ascii="微软雅黑" w:hAnsi="微软雅黑" w:eastAsia="微软雅黑" w:cs="微软雅黑"/>
                <w:i/>
                <w:iCs/>
                <w:color w:val="000000"/>
                <w:sz w:val="16"/>
                <w:szCs w:val="16"/>
              </w:rPr>
            </w:pPr>
            <w:r>
              <w:rPr>
                <w:rFonts w:hint="eastAsia" w:ascii="黑体" w:hAnsi="黑体" w:eastAsia="黑体" w:cs="黑体"/>
                <w:color w:val="000000"/>
                <w:kern w:val="0"/>
                <w:sz w:val="18"/>
                <w:szCs w:val="18"/>
                <w:lang w:bidi="ar"/>
              </w:rPr>
              <w:t>按规章制度</w:t>
            </w:r>
            <w:r>
              <w:rPr>
                <w:rFonts w:ascii="黑体" w:hAnsi="黑体" w:eastAsia="黑体" w:cs="黑体"/>
                <w:color w:val="000000"/>
                <w:kern w:val="0"/>
                <w:sz w:val="18"/>
                <w:szCs w:val="18"/>
                <w:lang w:bidi="ar"/>
              </w:rPr>
              <w:t>顺利完成目标任务</w:t>
            </w:r>
          </w:p>
        </w:tc>
      </w:tr>
      <w:tr w14:paraId="22403DCF">
        <w:tblPrEx>
          <w:tblCellMar>
            <w:top w:w="0" w:type="dxa"/>
            <w:left w:w="108" w:type="dxa"/>
            <w:bottom w:w="0" w:type="dxa"/>
            <w:right w:w="108" w:type="dxa"/>
          </w:tblCellMar>
        </w:tblPrEx>
        <w:trPr>
          <w:trHeight w:val="42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C778">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78CD16">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E2B73EF">
        <w:tblPrEx>
          <w:tblCellMar>
            <w:top w:w="0" w:type="dxa"/>
            <w:left w:w="108" w:type="dxa"/>
            <w:bottom w:w="0" w:type="dxa"/>
            <w:right w:w="108" w:type="dxa"/>
          </w:tblCellMar>
        </w:tblPrEx>
        <w:trPr>
          <w:trHeight w:val="425"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720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915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7477BA4">
            <w:pPr>
              <w:widowControl/>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针对项目自评中发现的问题，提出下一步改进完善的意见及有关政策性建议。（200字以内）</w:t>
            </w:r>
          </w:p>
        </w:tc>
      </w:tr>
      <w:tr w14:paraId="04FAD2BD">
        <w:tblPrEx>
          <w:tblCellMar>
            <w:top w:w="0" w:type="dxa"/>
            <w:left w:w="108" w:type="dxa"/>
            <w:bottom w:w="0" w:type="dxa"/>
            <w:right w:w="108" w:type="dxa"/>
          </w:tblCellMar>
        </w:tblPrEx>
        <w:trPr>
          <w:trHeight w:val="425" w:hRule="atLeast"/>
          <w:jc w:val="center"/>
        </w:trPr>
        <w:tc>
          <w:tcPr>
            <w:tcW w:w="4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95EC2">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项目负责人：赵</w:t>
            </w:r>
            <w:r>
              <w:rPr>
                <w:rFonts w:ascii="黑体" w:hAnsi="黑体" w:eastAsia="黑体" w:cs="黑体"/>
                <w:color w:val="000000"/>
                <w:kern w:val="0"/>
                <w:sz w:val="18"/>
                <w:szCs w:val="18"/>
                <w:lang w:bidi="ar"/>
              </w:rPr>
              <w:t>长春</w:t>
            </w:r>
          </w:p>
        </w:tc>
        <w:tc>
          <w:tcPr>
            <w:tcW w:w="51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D172BC">
            <w:pPr>
              <w:widowControl/>
              <w:spacing w:line="240" w:lineRule="exact"/>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财务负责人：刘</w:t>
            </w:r>
            <w:r>
              <w:rPr>
                <w:rFonts w:ascii="黑体" w:hAnsi="黑体" w:eastAsia="黑体" w:cs="黑体"/>
                <w:color w:val="000000"/>
                <w:kern w:val="0"/>
                <w:sz w:val="18"/>
                <w:szCs w:val="18"/>
                <w:lang w:bidi="ar"/>
              </w:rPr>
              <w:t>明</w:t>
            </w:r>
          </w:p>
        </w:tc>
      </w:tr>
      <w:bookmarkEnd w:id="59"/>
      <w:bookmarkEnd w:id="60"/>
    </w:tbl>
    <w:p w14:paraId="1EE6F6A3">
      <w:pPr>
        <w:spacing w:line="600" w:lineRule="exact"/>
        <w:jc w:val="center"/>
        <w:outlineLvl w:val="0"/>
        <w:rPr>
          <w:rStyle w:val="19"/>
          <w:rFonts w:ascii="黑体" w:hAnsi="黑体" w:eastAsia="黑体"/>
          <w:b w:val="0"/>
        </w:rPr>
      </w:pPr>
      <w:r>
        <w:rPr>
          <w:rFonts w:hint="eastAsia" w:ascii="黑体" w:hAnsi="黑体" w:eastAsia="黑体"/>
          <w:sz w:val="44"/>
          <w:szCs w:val="44"/>
        </w:rPr>
        <w:t>第</w:t>
      </w:r>
      <w:r>
        <w:rPr>
          <w:rStyle w:val="19"/>
          <w:rFonts w:hint="eastAsia" w:ascii="黑体" w:hAnsi="黑体" w:eastAsia="黑体"/>
          <w:b w:val="0"/>
        </w:rPr>
        <w:t>五部分 附表</w:t>
      </w:r>
      <w:bookmarkEnd w:id="51"/>
      <w:bookmarkEnd w:id="52"/>
      <w:bookmarkStart w:id="61" w:name="_Toc15396619"/>
    </w:p>
    <w:p w14:paraId="36EBEB91">
      <w:pPr>
        <w:pStyle w:val="4"/>
        <w:rPr>
          <w:rStyle w:val="20"/>
          <w:rFonts w:ascii="仿宋" w:hAnsi="仿宋" w:eastAsia="仿宋"/>
          <w:b w:val="0"/>
          <w:bCs w:val="0"/>
        </w:rPr>
      </w:pPr>
      <w:r>
        <w:rPr>
          <w:rStyle w:val="20"/>
          <w:rFonts w:hint="eastAsia" w:ascii="仿宋" w:hAnsi="仿宋" w:eastAsia="仿宋"/>
          <w:b w:val="0"/>
          <w:bCs w:val="0"/>
        </w:rPr>
        <w:t>一、收入支出决算总表</w:t>
      </w:r>
      <w:bookmarkEnd w:id="61"/>
      <w:bookmarkStart w:id="62" w:name="_Toc15396620"/>
    </w:p>
    <w:p w14:paraId="1FF13884">
      <w:pPr>
        <w:pStyle w:val="4"/>
        <w:rPr>
          <w:rStyle w:val="20"/>
          <w:rFonts w:ascii="仿宋" w:hAnsi="仿宋" w:eastAsia="仿宋"/>
          <w:b w:val="0"/>
          <w:bCs w:val="0"/>
        </w:rPr>
      </w:pPr>
      <w:r>
        <w:rPr>
          <w:rStyle w:val="20"/>
          <w:rFonts w:hint="eastAsia" w:ascii="仿宋" w:hAnsi="仿宋" w:eastAsia="仿宋"/>
          <w:b w:val="0"/>
          <w:bCs w:val="0"/>
        </w:rPr>
        <w:t>二、收入决算表</w:t>
      </w:r>
      <w:bookmarkEnd w:id="62"/>
      <w:bookmarkStart w:id="63" w:name="_Toc15396621"/>
    </w:p>
    <w:p w14:paraId="004C9B46">
      <w:pPr>
        <w:pStyle w:val="4"/>
        <w:rPr>
          <w:rStyle w:val="20"/>
          <w:rFonts w:ascii="仿宋" w:hAnsi="仿宋" w:eastAsia="仿宋"/>
          <w:b w:val="0"/>
          <w:bCs w:val="0"/>
        </w:rPr>
      </w:pPr>
      <w:r>
        <w:rPr>
          <w:rStyle w:val="20"/>
          <w:rFonts w:hint="eastAsia" w:ascii="仿宋" w:hAnsi="仿宋" w:eastAsia="仿宋"/>
          <w:b w:val="0"/>
          <w:bCs w:val="0"/>
        </w:rPr>
        <w:t>三、支出决算表</w:t>
      </w:r>
      <w:bookmarkEnd w:id="63"/>
    </w:p>
    <w:p w14:paraId="697824B7">
      <w:pPr>
        <w:pStyle w:val="4"/>
        <w:rPr>
          <w:rFonts w:ascii="仿宋" w:hAnsi="仿宋" w:eastAsia="仿宋"/>
          <w:b w:val="0"/>
        </w:rPr>
      </w:pPr>
      <w:bookmarkStart w:id="64" w:name="_Toc1539662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64"/>
    </w:p>
    <w:p w14:paraId="4551A28C">
      <w:pPr>
        <w:pStyle w:val="4"/>
        <w:rPr>
          <w:rStyle w:val="20"/>
          <w:rFonts w:ascii="仿宋" w:hAnsi="仿宋" w:eastAsia="仿宋"/>
          <w:b w:val="0"/>
          <w:bCs w:val="0"/>
        </w:rPr>
      </w:pPr>
      <w:bookmarkStart w:id="65" w:name="_Toc15396623"/>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65"/>
      <w:bookmarkStart w:id="66" w:name="_Toc15396624"/>
    </w:p>
    <w:p w14:paraId="7645FFF1">
      <w:pPr>
        <w:pStyle w:val="4"/>
        <w:rPr>
          <w:rFonts w:ascii="仿宋" w:hAnsi="仿宋" w:eastAsia="仿宋"/>
        </w:rPr>
      </w:pPr>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66"/>
    </w:p>
    <w:p w14:paraId="17C2D878">
      <w:pPr>
        <w:pStyle w:val="4"/>
        <w:rPr>
          <w:rFonts w:ascii="仿宋" w:hAnsi="仿宋" w:eastAsia="仿宋"/>
        </w:rPr>
      </w:pPr>
      <w:bookmarkStart w:id="67" w:name="_Toc15396625"/>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67"/>
    </w:p>
    <w:p w14:paraId="192B47F9">
      <w:pPr>
        <w:pStyle w:val="4"/>
        <w:rPr>
          <w:rFonts w:ascii="仿宋" w:hAnsi="仿宋" w:eastAsia="仿宋"/>
        </w:rPr>
      </w:pPr>
      <w:bookmarkStart w:id="68" w:name="_Toc15396626"/>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68"/>
    </w:p>
    <w:p w14:paraId="70457520">
      <w:pPr>
        <w:pStyle w:val="4"/>
        <w:rPr>
          <w:rFonts w:ascii="仿宋" w:hAnsi="仿宋" w:eastAsia="仿宋"/>
        </w:rPr>
      </w:pPr>
      <w:bookmarkStart w:id="69" w:name="_Toc15396627"/>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69"/>
    </w:p>
    <w:p w14:paraId="460CDCCD">
      <w:pPr>
        <w:pStyle w:val="4"/>
        <w:rPr>
          <w:rFonts w:ascii="仿宋" w:hAnsi="仿宋" w:eastAsia="仿宋"/>
        </w:rPr>
      </w:pPr>
      <w:bookmarkStart w:id="70" w:name="_Toc15396628"/>
      <w:r>
        <w:rPr>
          <w:rStyle w:val="20"/>
          <w:rFonts w:hint="eastAsia" w:ascii="仿宋" w:hAnsi="仿宋" w:eastAsia="仿宋"/>
          <w:b w:val="0"/>
          <w:bCs w:val="0"/>
        </w:rPr>
        <w:t>十、</w:t>
      </w:r>
      <w:bookmarkEnd w:id="70"/>
      <w:r>
        <w:rPr>
          <w:rFonts w:hint="eastAsia" w:ascii="仿宋" w:hAnsi="仿宋" w:eastAsia="仿宋"/>
          <w:b w:val="0"/>
        </w:rPr>
        <w:t>政</w:t>
      </w:r>
      <w:r>
        <w:rPr>
          <w:rStyle w:val="20"/>
          <w:rFonts w:hint="eastAsia" w:ascii="仿宋" w:hAnsi="仿宋" w:eastAsia="仿宋"/>
          <w:b w:val="0"/>
          <w:bCs w:val="0"/>
        </w:rPr>
        <w:t>府性基金预算财政拨款收入支出决算表</w:t>
      </w:r>
    </w:p>
    <w:p w14:paraId="12DE691A">
      <w:pPr>
        <w:pStyle w:val="4"/>
        <w:rPr>
          <w:rFonts w:ascii="仿宋" w:hAnsi="仿宋" w:eastAsia="仿宋"/>
        </w:rPr>
      </w:pPr>
      <w:bookmarkStart w:id="71" w:name="_Toc15396629"/>
      <w:r>
        <w:rPr>
          <w:rStyle w:val="20"/>
          <w:rFonts w:hint="eastAsia" w:ascii="仿宋" w:hAnsi="仿宋" w:eastAsia="仿宋"/>
          <w:b w:val="0"/>
          <w:bCs w:val="0"/>
        </w:rPr>
        <w:t>十一、</w:t>
      </w:r>
      <w:bookmarkEnd w:id="71"/>
      <w:r>
        <w:rPr>
          <w:rFonts w:hint="eastAsia" w:ascii="仿宋" w:hAnsi="仿宋" w:eastAsia="仿宋"/>
          <w:b w:val="0"/>
        </w:rPr>
        <w:t>国</w:t>
      </w:r>
      <w:r>
        <w:rPr>
          <w:rStyle w:val="20"/>
          <w:rFonts w:hint="eastAsia" w:ascii="仿宋" w:hAnsi="仿宋" w:eastAsia="仿宋"/>
          <w:b w:val="0"/>
          <w:bCs w:val="0"/>
        </w:rPr>
        <w:t>有资本经营预算财政拨款收入支出决算表</w:t>
      </w:r>
    </w:p>
    <w:p w14:paraId="172F1C44">
      <w:pPr>
        <w:pStyle w:val="4"/>
        <w:rPr>
          <w:rFonts w:ascii="仿宋" w:hAnsi="仿宋" w:eastAsia="仿宋"/>
        </w:rPr>
      </w:pPr>
      <w:bookmarkStart w:id="72" w:name="_Toc15396630"/>
      <w:r>
        <w:rPr>
          <w:rStyle w:val="20"/>
          <w:rFonts w:hint="eastAsia" w:ascii="仿宋" w:hAnsi="仿宋" w:eastAsia="仿宋"/>
          <w:b w:val="0"/>
          <w:bCs w:val="0"/>
        </w:rPr>
        <w:t>十二、</w:t>
      </w:r>
      <w:bookmarkEnd w:id="72"/>
      <w:r>
        <w:rPr>
          <w:rStyle w:val="20"/>
          <w:rFonts w:hint="eastAsia" w:ascii="仿宋" w:hAnsi="仿宋" w:eastAsia="仿宋"/>
          <w:b w:val="0"/>
          <w:bCs w:val="0"/>
        </w:rPr>
        <w:t>国有资本经营预算财政拨款支出决算表</w:t>
      </w:r>
    </w:p>
    <w:p w14:paraId="461A6F9C">
      <w:pPr>
        <w:pStyle w:val="4"/>
        <w:rPr>
          <w:rFonts w:eastAsia="仿宋"/>
        </w:rPr>
      </w:pPr>
      <w:bookmarkStart w:id="73" w:name="_Toc15396631"/>
      <w:r>
        <w:rPr>
          <w:rStyle w:val="20"/>
          <w:rFonts w:hint="eastAsia" w:ascii="仿宋" w:hAnsi="仿宋" w:eastAsia="仿宋"/>
          <w:b w:val="0"/>
          <w:bCs w:val="0"/>
        </w:rPr>
        <w:t>十三、</w:t>
      </w:r>
      <w:bookmarkEnd w:id="73"/>
      <w:r>
        <w:rPr>
          <w:rStyle w:val="2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68280F3">
        <w:pPr>
          <w:pStyle w:val="10"/>
          <w:jc w:val="center"/>
        </w:pPr>
        <w:r>
          <w:fldChar w:fldCharType="begin"/>
        </w:r>
        <w:r>
          <w:instrText xml:space="preserve">PAGE   \* MERGEFORMAT</w:instrText>
        </w:r>
        <w:r>
          <w:fldChar w:fldCharType="separate"/>
        </w:r>
        <w:r>
          <w:rPr>
            <w:lang w:val="zh-CN"/>
          </w:rPr>
          <w:t>32</w:t>
        </w:r>
        <w:r>
          <w:fldChar w:fldCharType="end"/>
        </w:r>
      </w:p>
    </w:sdtContent>
  </w:sdt>
  <w:p w14:paraId="7B84AA5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4D2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EBA5E70"/>
    <w:multiLevelType w:val="singleLevel"/>
    <w:tmpl w:val="6EBA5E7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VjNTczMjk0ODJmNzkxZTIyMDk2OWU3NWIzNzE1NWMifQ=="/>
  </w:docVars>
  <w:rsids>
    <w:rsidRoot w:val="00F1361C"/>
    <w:rsid w:val="00005A1D"/>
    <w:rsid w:val="000222C6"/>
    <w:rsid w:val="0002549F"/>
    <w:rsid w:val="00040986"/>
    <w:rsid w:val="000468DB"/>
    <w:rsid w:val="0006487A"/>
    <w:rsid w:val="00065F8F"/>
    <w:rsid w:val="00070A43"/>
    <w:rsid w:val="000768F2"/>
    <w:rsid w:val="0009184B"/>
    <w:rsid w:val="00094236"/>
    <w:rsid w:val="0009593C"/>
    <w:rsid w:val="00097322"/>
    <w:rsid w:val="000A6A92"/>
    <w:rsid w:val="000B047F"/>
    <w:rsid w:val="000B1EE9"/>
    <w:rsid w:val="000B5923"/>
    <w:rsid w:val="000B5A48"/>
    <w:rsid w:val="000B6FF3"/>
    <w:rsid w:val="000C3467"/>
    <w:rsid w:val="000C3CA6"/>
    <w:rsid w:val="000D1267"/>
    <w:rsid w:val="000D1D50"/>
    <w:rsid w:val="000D5782"/>
    <w:rsid w:val="000E53FA"/>
    <w:rsid w:val="000E6613"/>
    <w:rsid w:val="000E7119"/>
    <w:rsid w:val="00114E9B"/>
    <w:rsid w:val="00140BAD"/>
    <w:rsid w:val="00142216"/>
    <w:rsid w:val="00144D6A"/>
    <w:rsid w:val="0014729F"/>
    <w:rsid w:val="00157BAB"/>
    <w:rsid w:val="001654D1"/>
    <w:rsid w:val="0017094A"/>
    <w:rsid w:val="00174518"/>
    <w:rsid w:val="0018106D"/>
    <w:rsid w:val="001877A7"/>
    <w:rsid w:val="00191536"/>
    <w:rsid w:val="00196687"/>
    <w:rsid w:val="001A1DAD"/>
    <w:rsid w:val="001B27D3"/>
    <w:rsid w:val="001C0962"/>
    <w:rsid w:val="001C6185"/>
    <w:rsid w:val="001C6C67"/>
    <w:rsid w:val="001D7531"/>
    <w:rsid w:val="001E44C2"/>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77A03"/>
    <w:rsid w:val="00280496"/>
    <w:rsid w:val="002909BC"/>
    <w:rsid w:val="00294DC9"/>
    <w:rsid w:val="00295495"/>
    <w:rsid w:val="002A0C48"/>
    <w:rsid w:val="002A31DE"/>
    <w:rsid w:val="002B2613"/>
    <w:rsid w:val="002C5004"/>
    <w:rsid w:val="002D6D05"/>
    <w:rsid w:val="002F1818"/>
    <w:rsid w:val="002F567B"/>
    <w:rsid w:val="003216A9"/>
    <w:rsid w:val="00335A74"/>
    <w:rsid w:val="0036561B"/>
    <w:rsid w:val="0037013F"/>
    <w:rsid w:val="00380C92"/>
    <w:rsid w:val="00382A97"/>
    <w:rsid w:val="003A198B"/>
    <w:rsid w:val="003A484F"/>
    <w:rsid w:val="003A4883"/>
    <w:rsid w:val="003B0BE0"/>
    <w:rsid w:val="003B0C1B"/>
    <w:rsid w:val="003B688C"/>
    <w:rsid w:val="003C0291"/>
    <w:rsid w:val="003C39AE"/>
    <w:rsid w:val="003C7B60"/>
    <w:rsid w:val="003D0C0F"/>
    <w:rsid w:val="003D1FB2"/>
    <w:rsid w:val="003D4F28"/>
    <w:rsid w:val="003D66DA"/>
    <w:rsid w:val="003E1310"/>
    <w:rsid w:val="003E6F55"/>
    <w:rsid w:val="003F5B14"/>
    <w:rsid w:val="00406254"/>
    <w:rsid w:val="004223DE"/>
    <w:rsid w:val="00425C50"/>
    <w:rsid w:val="0043177C"/>
    <w:rsid w:val="00434489"/>
    <w:rsid w:val="00437085"/>
    <w:rsid w:val="00443880"/>
    <w:rsid w:val="004464F4"/>
    <w:rsid w:val="004568D5"/>
    <w:rsid w:val="0046049C"/>
    <w:rsid w:val="00471401"/>
    <w:rsid w:val="00473F31"/>
    <w:rsid w:val="0048263A"/>
    <w:rsid w:val="00487E5D"/>
    <w:rsid w:val="004A711F"/>
    <w:rsid w:val="004B199D"/>
    <w:rsid w:val="004B4690"/>
    <w:rsid w:val="004E0A2D"/>
    <w:rsid w:val="004E206B"/>
    <w:rsid w:val="004E6DF7"/>
    <w:rsid w:val="004F0FBD"/>
    <w:rsid w:val="004F6760"/>
    <w:rsid w:val="00505A47"/>
    <w:rsid w:val="00512FDA"/>
    <w:rsid w:val="00520DA0"/>
    <w:rsid w:val="0052178F"/>
    <w:rsid w:val="005428F7"/>
    <w:rsid w:val="005533CF"/>
    <w:rsid w:val="005664BB"/>
    <w:rsid w:val="00566FFA"/>
    <w:rsid w:val="0057481D"/>
    <w:rsid w:val="0058486E"/>
    <w:rsid w:val="00585B33"/>
    <w:rsid w:val="0059014D"/>
    <w:rsid w:val="005B5C64"/>
    <w:rsid w:val="005B6E8A"/>
    <w:rsid w:val="005C3199"/>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27483"/>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1BC0"/>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E6E"/>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2E8E"/>
    <w:rsid w:val="008E707C"/>
    <w:rsid w:val="00900B08"/>
    <w:rsid w:val="00902155"/>
    <w:rsid w:val="00902FA3"/>
    <w:rsid w:val="0091081F"/>
    <w:rsid w:val="00921BE6"/>
    <w:rsid w:val="00923564"/>
    <w:rsid w:val="0092392E"/>
    <w:rsid w:val="009315F9"/>
    <w:rsid w:val="00933499"/>
    <w:rsid w:val="00935C98"/>
    <w:rsid w:val="00946945"/>
    <w:rsid w:val="00951248"/>
    <w:rsid w:val="0095152F"/>
    <w:rsid w:val="00954C49"/>
    <w:rsid w:val="00955E37"/>
    <w:rsid w:val="009657CA"/>
    <w:rsid w:val="0097099F"/>
    <w:rsid w:val="00971997"/>
    <w:rsid w:val="00971FFC"/>
    <w:rsid w:val="0098660A"/>
    <w:rsid w:val="009931C3"/>
    <w:rsid w:val="00993E34"/>
    <w:rsid w:val="009A479E"/>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5845"/>
    <w:rsid w:val="00A16847"/>
    <w:rsid w:val="00A237D8"/>
    <w:rsid w:val="00A268C4"/>
    <w:rsid w:val="00A307CD"/>
    <w:rsid w:val="00A331C8"/>
    <w:rsid w:val="00A40A00"/>
    <w:rsid w:val="00A4142F"/>
    <w:rsid w:val="00A422EB"/>
    <w:rsid w:val="00A45BB7"/>
    <w:rsid w:val="00A5382B"/>
    <w:rsid w:val="00A56DF2"/>
    <w:rsid w:val="00A56E6E"/>
    <w:rsid w:val="00A67AB5"/>
    <w:rsid w:val="00A70117"/>
    <w:rsid w:val="00A733B2"/>
    <w:rsid w:val="00A741C2"/>
    <w:rsid w:val="00A91760"/>
    <w:rsid w:val="00A93B00"/>
    <w:rsid w:val="00A93C21"/>
    <w:rsid w:val="00AB64C9"/>
    <w:rsid w:val="00AC3C6A"/>
    <w:rsid w:val="00AC5B09"/>
    <w:rsid w:val="00AD5620"/>
    <w:rsid w:val="00AD656B"/>
    <w:rsid w:val="00AD7C1B"/>
    <w:rsid w:val="00AE16BA"/>
    <w:rsid w:val="00AE1EBE"/>
    <w:rsid w:val="00B00F49"/>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3255"/>
    <w:rsid w:val="00B77EA6"/>
    <w:rsid w:val="00B81598"/>
    <w:rsid w:val="00B841F1"/>
    <w:rsid w:val="00B944D6"/>
    <w:rsid w:val="00BB4DF0"/>
    <w:rsid w:val="00BC289F"/>
    <w:rsid w:val="00BC2D50"/>
    <w:rsid w:val="00BC5361"/>
    <w:rsid w:val="00BC5460"/>
    <w:rsid w:val="00BC6B50"/>
    <w:rsid w:val="00BD0E25"/>
    <w:rsid w:val="00BF5BD6"/>
    <w:rsid w:val="00C03E31"/>
    <w:rsid w:val="00C21D4A"/>
    <w:rsid w:val="00C254CD"/>
    <w:rsid w:val="00C33E72"/>
    <w:rsid w:val="00C354B2"/>
    <w:rsid w:val="00C35554"/>
    <w:rsid w:val="00C42709"/>
    <w:rsid w:val="00C533CC"/>
    <w:rsid w:val="00C5751C"/>
    <w:rsid w:val="00C61BFC"/>
    <w:rsid w:val="00C62B85"/>
    <w:rsid w:val="00C65438"/>
    <w:rsid w:val="00C70783"/>
    <w:rsid w:val="00C86853"/>
    <w:rsid w:val="00C87FD8"/>
    <w:rsid w:val="00C91381"/>
    <w:rsid w:val="00C91CBB"/>
    <w:rsid w:val="00C96239"/>
    <w:rsid w:val="00CA2A05"/>
    <w:rsid w:val="00CB4E70"/>
    <w:rsid w:val="00CB739D"/>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3A2E"/>
    <w:rsid w:val="00DD73B7"/>
    <w:rsid w:val="00DF28BC"/>
    <w:rsid w:val="00DF34B9"/>
    <w:rsid w:val="00DF359D"/>
    <w:rsid w:val="00E01053"/>
    <w:rsid w:val="00E07ACF"/>
    <w:rsid w:val="00E331A1"/>
    <w:rsid w:val="00E33202"/>
    <w:rsid w:val="00E336A9"/>
    <w:rsid w:val="00E33C9E"/>
    <w:rsid w:val="00E40607"/>
    <w:rsid w:val="00E472B1"/>
    <w:rsid w:val="00E50624"/>
    <w:rsid w:val="00E568DF"/>
    <w:rsid w:val="00E64269"/>
    <w:rsid w:val="00E82267"/>
    <w:rsid w:val="00E853CE"/>
    <w:rsid w:val="00E867B6"/>
    <w:rsid w:val="00EA010F"/>
    <w:rsid w:val="00EC70F0"/>
    <w:rsid w:val="00ED1B63"/>
    <w:rsid w:val="00ED3C1F"/>
    <w:rsid w:val="00ED4085"/>
    <w:rsid w:val="00ED420E"/>
    <w:rsid w:val="00ED6FBE"/>
    <w:rsid w:val="00EE2F57"/>
    <w:rsid w:val="00EE70C8"/>
    <w:rsid w:val="00EF355F"/>
    <w:rsid w:val="00EF4C34"/>
    <w:rsid w:val="00EF77C6"/>
    <w:rsid w:val="00F05438"/>
    <w:rsid w:val="00F119E1"/>
    <w:rsid w:val="00F1361C"/>
    <w:rsid w:val="00F156F0"/>
    <w:rsid w:val="00F160C7"/>
    <w:rsid w:val="00F2408F"/>
    <w:rsid w:val="00F240E9"/>
    <w:rsid w:val="00F36D8F"/>
    <w:rsid w:val="00F417B1"/>
    <w:rsid w:val="00F45853"/>
    <w:rsid w:val="00F602DF"/>
    <w:rsid w:val="00F74CD2"/>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9E1B2F"/>
    <w:rsid w:val="16BB723D"/>
    <w:rsid w:val="16F656B6"/>
    <w:rsid w:val="18015F3F"/>
    <w:rsid w:val="1BE8440E"/>
    <w:rsid w:val="1D155CEE"/>
    <w:rsid w:val="1FDBBF84"/>
    <w:rsid w:val="20B5172F"/>
    <w:rsid w:val="20F57F95"/>
    <w:rsid w:val="240371BF"/>
    <w:rsid w:val="25711CC6"/>
    <w:rsid w:val="25C741E6"/>
    <w:rsid w:val="276F80C0"/>
    <w:rsid w:val="27842671"/>
    <w:rsid w:val="29FD04D3"/>
    <w:rsid w:val="2ABE7A3E"/>
    <w:rsid w:val="2AFF09B6"/>
    <w:rsid w:val="2CA234A8"/>
    <w:rsid w:val="2D031F0A"/>
    <w:rsid w:val="2EFA178C"/>
    <w:rsid w:val="2EFDF86C"/>
    <w:rsid w:val="2F9D17E1"/>
    <w:rsid w:val="30B46D73"/>
    <w:rsid w:val="319F7F4E"/>
    <w:rsid w:val="31B36C2C"/>
    <w:rsid w:val="333D066D"/>
    <w:rsid w:val="356A28F1"/>
    <w:rsid w:val="357C035A"/>
    <w:rsid w:val="368E000D"/>
    <w:rsid w:val="37502DFF"/>
    <w:rsid w:val="383D272C"/>
    <w:rsid w:val="39AE70AB"/>
    <w:rsid w:val="3A4DCE41"/>
    <w:rsid w:val="3BCB56FA"/>
    <w:rsid w:val="3C0C0783"/>
    <w:rsid w:val="3EE7C2F4"/>
    <w:rsid w:val="3F371B56"/>
    <w:rsid w:val="3F792ED8"/>
    <w:rsid w:val="3F9F3A96"/>
    <w:rsid w:val="3FECA4B2"/>
    <w:rsid w:val="3FF58C48"/>
    <w:rsid w:val="42FF6694"/>
    <w:rsid w:val="48580CFE"/>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C8A5AEE"/>
    <w:rsid w:val="6D3B1A89"/>
    <w:rsid w:val="6DB7D8A3"/>
    <w:rsid w:val="6EC78701"/>
    <w:rsid w:val="6F7A5481"/>
    <w:rsid w:val="6FFE07A9"/>
    <w:rsid w:val="71BF4EC2"/>
    <w:rsid w:val="72734D90"/>
    <w:rsid w:val="731E0C01"/>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3"/>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character" w:customStyle="1" w:styleId="22">
    <w:name w:val="正文文本 Char"/>
    <w:link w:val="6"/>
    <w:qFormat/>
    <w:locked/>
    <w:uiPriority w:val="99"/>
    <w:rPr>
      <w:rFonts w:ascii="仿宋_GB2312" w:hAnsi="Times New Roman" w:eastAsia="仿宋_GB2312"/>
      <w:sz w:val="24"/>
    </w:rPr>
  </w:style>
  <w:style w:type="character" w:customStyle="1" w:styleId="23">
    <w:name w:val="批注框文本 Char"/>
    <w:basedOn w:val="16"/>
    <w:link w:val="9"/>
    <w:semiHidden/>
    <w:qFormat/>
    <w:uiPriority w:val="99"/>
    <w:rPr>
      <w:rFonts w:ascii="Times New Roman" w:hAnsi="Times New Roman"/>
      <w:kern w:val="2"/>
      <w:sz w:val="18"/>
      <w:szCs w:val="18"/>
    </w:rPr>
  </w:style>
  <w:style w:type="character" w:customStyle="1" w:styleId="24">
    <w:name w:val="页脚 Char"/>
    <w:link w:val="10"/>
    <w:qFormat/>
    <w:locked/>
    <w:uiPriority w:val="99"/>
    <w:rPr>
      <w:sz w:val="18"/>
    </w:rPr>
  </w:style>
  <w:style w:type="character" w:customStyle="1" w:styleId="25">
    <w:name w:val="页眉 Char"/>
    <w:link w:val="11"/>
    <w:semiHidden/>
    <w:qFormat/>
    <w:locked/>
    <w:uiPriority w:val="99"/>
    <w:rPr>
      <w:sz w:val="18"/>
    </w:rPr>
  </w:style>
  <w:style w:type="character" w:customStyle="1" w:styleId="26">
    <w:name w:val="Header Char"/>
    <w:basedOn w:val="16"/>
    <w:semiHidden/>
    <w:qFormat/>
    <w:uiPriority w:val="99"/>
    <w:rPr>
      <w:rFonts w:ascii="Times New Roman" w:hAnsi="Times New Roman"/>
      <w:sz w:val="18"/>
      <w:szCs w:val="18"/>
    </w:rPr>
  </w:style>
  <w:style w:type="character" w:customStyle="1" w:styleId="27">
    <w:name w:val="Footer Char"/>
    <w:basedOn w:val="16"/>
    <w:semiHidden/>
    <w:qFormat/>
    <w:uiPriority w:val="99"/>
    <w:rPr>
      <w:rFonts w:ascii="Times New Roman" w:hAnsi="Times New Roman"/>
      <w:sz w:val="18"/>
      <w:szCs w:val="18"/>
    </w:rPr>
  </w:style>
  <w:style w:type="character" w:customStyle="1" w:styleId="28">
    <w:name w:val="Body Text Char"/>
    <w:basedOn w:val="16"/>
    <w:semiHidden/>
    <w:qFormat/>
    <w:uiPriority w:val="99"/>
    <w:rPr>
      <w:rFonts w:ascii="Times New Roman" w:hAnsi="Times New Roman"/>
      <w:szCs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endParaRPr lang="zh-CN"/>
          </a:p>
        </c:rich>
      </c:tx>
      <c:layout>
        <c:manualLayout>
          <c:xMode val="edge"/>
          <c:yMode val="edge"/>
          <c:x val="0.301142689416659"/>
          <c:y val="0.01660904999487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2218.14</c:v>
                </c:pt>
                <c:pt idx="1">
                  <c:v>2224.52</c:v>
                </c:pt>
                <c:pt idx="2">
                  <c:v>2218.14</c:v>
                </c:pt>
                <c:pt idx="3">
                  <c:v>2224.52</c:v>
                </c:pt>
              </c:numCache>
            </c:numRef>
          </c:val>
        </c:ser>
        <c:dLbls>
          <c:showLegendKey val="0"/>
          <c:showVal val="0"/>
          <c:showCatName val="0"/>
          <c:showSerName val="0"/>
          <c:showPercent val="0"/>
          <c:showBubbleSize val="0"/>
        </c:dLbls>
        <c:gapWidth val="100"/>
        <c:overlap val="-24"/>
        <c:axId val="110958848"/>
        <c:axId val="110959240"/>
      </c:barChart>
      <c:catAx>
        <c:axId val="110958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0959240"/>
        <c:crosses val="autoZero"/>
        <c:auto val="1"/>
        <c:lblAlgn val="ctr"/>
        <c:lblOffset val="100"/>
        <c:noMultiLvlLbl val="0"/>
      </c:catAx>
      <c:valAx>
        <c:axId val="110959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095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政府性基金预算财政拨款收入</c:v>
                </c:pt>
                <c:pt idx="2">
                  <c:v>上级补助收入</c:v>
                </c:pt>
                <c:pt idx="3">
                  <c:v>事业收入</c:v>
                </c:pt>
                <c:pt idx="4">
                  <c:v>其他收入</c:v>
                </c:pt>
              </c:strCache>
            </c:strRef>
          </c:cat>
          <c:val>
            <c:numRef>
              <c:f>Sheet1!$B$2:$B$6</c:f>
              <c:numCache>
                <c:formatCode>General</c:formatCode>
                <c:ptCount val="5"/>
                <c:pt idx="0">
                  <c:v>2224.52</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82.11%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17.88%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1826.61</c:v>
                </c:pt>
                <c:pt idx="1">
                  <c:v>397.91</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endParaRPr lang="zh-CN"/>
          </a:p>
        </c:rich>
      </c:tx>
      <c:layout>
        <c:manualLayout>
          <c:xMode val="edge"/>
          <c:yMode val="edge"/>
          <c:x val="0.301142689416659"/>
          <c:y val="0.01660904999487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2218.14</c:v>
                </c:pt>
                <c:pt idx="1">
                  <c:v>2224.52</c:v>
                </c:pt>
                <c:pt idx="2">
                  <c:v>2218.14</c:v>
                </c:pt>
                <c:pt idx="3">
                  <c:v>2224.52</c:v>
                </c:pt>
              </c:numCache>
            </c:numRef>
          </c:val>
        </c:ser>
        <c:dLbls>
          <c:showLegendKey val="0"/>
          <c:showVal val="0"/>
          <c:showCatName val="0"/>
          <c:showSerName val="0"/>
          <c:showPercent val="0"/>
          <c:showBubbleSize val="0"/>
        </c:dLbls>
        <c:gapWidth val="100"/>
        <c:overlap val="-24"/>
        <c:axId val="110960808"/>
        <c:axId val="110961200"/>
      </c:barChart>
      <c:catAx>
        <c:axId val="1109608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0961200"/>
        <c:crosses val="autoZero"/>
        <c:auto val="1"/>
        <c:lblAlgn val="ctr"/>
        <c:lblOffset val="100"/>
        <c:noMultiLvlLbl val="0"/>
      </c:catAx>
      <c:valAx>
        <c:axId val="1109612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0960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endParaRPr lang="zh-CN"/>
          </a:p>
        </c:rich>
      </c:tx>
      <c:layout>
        <c:manualLayout>
          <c:xMode val="edge"/>
          <c:yMode val="edge"/>
          <c:x val="0.301142689416659"/>
          <c:y val="0.01660904999487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2218.14</c:v>
                </c:pt>
                <c:pt idx="1">
                  <c:v>2224.52</c:v>
                </c:pt>
                <c:pt idx="2">
                  <c:v>2218.14</c:v>
                </c:pt>
                <c:pt idx="3">
                  <c:v>2224.52</c:v>
                </c:pt>
              </c:numCache>
            </c:numRef>
          </c:val>
        </c:ser>
        <c:dLbls>
          <c:showLegendKey val="0"/>
          <c:showVal val="0"/>
          <c:showCatName val="0"/>
          <c:showSerName val="0"/>
          <c:showPercent val="0"/>
          <c:showBubbleSize val="0"/>
        </c:dLbls>
        <c:gapWidth val="100"/>
        <c:overlap val="-24"/>
        <c:axId val="110961984"/>
        <c:axId val="110962376"/>
      </c:barChart>
      <c:catAx>
        <c:axId val="1109619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0962376"/>
        <c:crosses val="autoZero"/>
        <c:auto val="1"/>
        <c:lblAlgn val="ctr"/>
        <c:lblOffset val="100"/>
        <c:noMultiLvlLbl val="0"/>
      </c:catAx>
      <c:valAx>
        <c:axId val="1109623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0961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81.62%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9.06%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3.03%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6.27%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1815.8</c:v>
                </c:pt>
                <c:pt idx="1">
                  <c:v>201.68</c:v>
                </c:pt>
                <c:pt idx="2">
                  <c:v>67.53</c:v>
                </c:pt>
                <c:pt idx="3">
                  <c:v>139.49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057B-BE12-4B09-8F6C-3370D1798FA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11428</Words>
  <Characters>13572</Characters>
  <Lines>103</Lines>
  <Paragraphs>29</Paragraphs>
  <TotalTime>57</TotalTime>
  <ScaleCrop>false</ScaleCrop>
  <LinksUpToDate>false</LinksUpToDate>
  <CharactersWithSpaces>13634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2024-08-24T02:23:00Z</dcterms:created>
  <dc:creator>曹颖</dc:creator>
  <cp:lastModifiedBy>Administrator</cp:lastModifiedBy>
  <cp:lastPrinted>2023-08-03T02:35:00Z</cp:lastPrinted>
  <dcterms:modified xsi:type="dcterms:W3CDTF">2024-08-30T02:29:58Z</dcterms:modified>
  <dc:title>四川省***</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DF7AF4CFB5084555AF205A522A87FAFC_12</vt:lpwstr>
  </property>
</Properties>
</file>