
<file path=[Content_Types].xml><?xml version="1.0" encoding="utf-8"?>
<Types xmlns="http://schemas.openxmlformats.org/package/2006/content-types">
  <Default Extension="xls" ContentType="application/vnd.ms-excel"/>
  <Default Extension="xlsx" ContentType="application/vnd.openxmlformats-officedocument.spreadsheetml.shee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A94945">
      <w:pPr>
        <w:adjustRightInd w:val="0"/>
        <w:snapToGrid w:val="0"/>
        <w:spacing w:line="360" w:lineRule="auto"/>
        <w:outlineLvl w:val="0"/>
        <w:rPr>
          <w:rFonts w:hAnsi="黑体" w:eastAsia="黑体" w:asciiTheme="majorHAnsi"/>
          <w:b/>
          <w:bCs/>
          <w:color w:val="000000"/>
          <w:sz w:val="72"/>
          <w:szCs w:val="72"/>
        </w:rPr>
      </w:pPr>
      <w:bookmarkStart w:id="0" w:name="_Toc15377193"/>
      <w:bookmarkStart w:id="1" w:name="_Toc15378441"/>
      <w:bookmarkStart w:id="2" w:name="_Toc15396475"/>
      <w:bookmarkStart w:id="3" w:name="_Toc15306267"/>
      <w:bookmarkStart w:id="4" w:name="_Toc15377425"/>
      <w:bookmarkStart w:id="5" w:name="_Toc15396597"/>
    </w:p>
    <w:p w14:paraId="53C933CE">
      <w:pPr>
        <w:adjustRightInd w:val="0"/>
        <w:snapToGrid w:val="0"/>
        <w:spacing w:line="360" w:lineRule="auto"/>
        <w:jc w:val="center"/>
        <w:outlineLvl w:val="0"/>
        <w:rPr>
          <w:rFonts w:hAnsi="黑体" w:eastAsia="黑体" w:asciiTheme="majorHAnsi"/>
          <w:b/>
          <w:bCs/>
          <w:color w:val="000000"/>
          <w:sz w:val="72"/>
          <w:szCs w:val="72"/>
        </w:rPr>
      </w:pPr>
    </w:p>
    <w:bookmarkEnd w:id="0"/>
    <w:bookmarkEnd w:id="1"/>
    <w:bookmarkEnd w:id="2"/>
    <w:bookmarkEnd w:id="3"/>
    <w:bookmarkEnd w:id="4"/>
    <w:bookmarkEnd w:id="5"/>
    <w:p w14:paraId="64C9851C">
      <w:pPr>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2023年度</w:t>
      </w:r>
    </w:p>
    <w:p w14:paraId="06A5B713">
      <w:pPr>
        <w:jc w:val="center"/>
        <w:rPr>
          <w:rFonts w:ascii="方正小标宋_GBK" w:hAnsi="方正小标宋_GBK" w:eastAsia="方正小标宋_GBK" w:cs="方正小标宋_GBK"/>
          <w:sz w:val="72"/>
          <w:szCs w:val="72"/>
        </w:rPr>
      </w:pPr>
      <w:bookmarkStart w:id="6" w:name="_Toc15396598"/>
      <w:bookmarkStart w:id="7" w:name="_Toc15377194"/>
      <w:bookmarkStart w:id="8" w:name="_Toc15306268"/>
      <w:bookmarkStart w:id="9" w:name="_Toc15396476"/>
      <w:bookmarkStart w:id="10" w:name="_Toc15378442"/>
      <w:bookmarkStart w:id="11" w:name="_Toc15377426"/>
      <w:r>
        <w:rPr>
          <w:rFonts w:hint="eastAsia" w:ascii="方正小标宋_GBK" w:hAnsi="方正小标宋_GBK" w:eastAsia="方正小标宋_GBK" w:cs="方正小标宋_GBK"/>
          <w:sz w:val="72"/>
          <w:szCs w:val="72"/>
        </w:rPr>
        <w:t>安居区常理镇人民政府</w:t>
      </w:r>
    </w:p>
    <w:p w14:paraId="36C9F036">
      <w:pPr>
        <w:jc w:val="center"/>
        <w:rPr>
          <w:rFonts w:ascii="方正小标宋_GBK" w:hAnsi="方正小标宋_GBK" w:eastAsia="方正小标宋_GBK" w:cs="方正小标宋_GBK"/>
          <w:sz w:val="72"/>
          <w:szCs w:val="72"/>
        </w:rPr>
      </w:pPr>
      <w:r>
        <w:rPr>
          <w:rFonts w:hint="eastAsia" w:ascii="方正小标宋_GBK" w:hAnsi="方正小标宋_GBK" w:eastAsia="方正小标宋_GBK" w:cs="方正小标宋_GBK"/>
          <w:sz w:val="72"/>
          <w:szCs w:val="72"/>
        </w:rPr>
        <w:t>部门决算</w:t>
      </w:r>
      <w:bookmarkEnd w:id="6"/>
      <w:bookmarkEnd w:id="7"/>
      <w:bookmarkEnd w:id="8"/>
      <w:bookmarkEnd w:id="9"/>
      <w:bookmarkEnd w:id="10"/>
      <w:bookmarkEnd w:id="11"/>
    </w:p>
    <w:p w14:paraId="620B93B3">
      <w:pPr>
        <w:pStyle w:val="2"/>
        <w:rPr>
          <w:rFonts w:hAnsi="宋体" w:eastAsia="方正小标宋简体" w:asciiTheme="majorHAnsi"/>
          <w:b/>
          <w:bCs/>
          <w:color w:val="000000"/>
          <w:sz w:val="72"/>
          <w:szCs w:val="72"/>
        </w:rPr>
      </w:pPr>
    </w:p>
    <w:p w14:paraId="4EC1A4D3">
      <w:pPr>
        <w:pStyle w:val="3"/>
        <w:ind w:left="420" w:firstLine="1446"/>
        <w:rPr>
          <w:rFonts w:hAnsi="宋体" w:eastAsia="方正小标宋简体" w:asciiTheme="majorHAnsi"/>
          <w:b/>
          <w:bCs/>
          <w:color w:val="000000"/>
          <w:sz w:val="72"/>
          <w:szCs w:val="72"/>
        </w:rPr>
      </w:pPr>
    </w:p>
    <w:p w14:paraId="30EC066C">
      <w:pPr>
        <w:pStyle w:val="3"/>
        <w:ind w:left="420" w:firstLine="1446"/>
        <w:rPr>
          <w:rFonts w:hAnsi="宋体" w:eastAsia="方正小标宋简体" w:asciiTheme="majorHAnsi"/>
          <w:b/>
          <w:bCs/>
          <w:color w:val="000000"/>
          <w:sz w:val="72"/>
          <w:szCs w:val="72"/>
        </w:rPr>
      </w:pPr>
    </w:p>
    <w:p w14:paraId="0A7B664F">
      <w:pPr>
        <w:pStyle w:val="3"/>
        <w:ind w:left="420" w:firstLine="1446"/>
        <w:rPr>
          <w:rFonts w:hAnsi="宋体" w:eastAsia="方正小标宋简体" w:asciiTheme="majorHAnsi"/>
          <w:b/>
          <w:bCs/>
          <w:color w:val="000000"/>
          <w:sz w:val="72"/>
          <w:szCs w:val="72"/>
        </w:rPr>
      </w:pPr>
    </w:p>
    <w:p w14:paraId="575BA574">
      <w:pPr>
        <w:pStyle w:val="3"/>
        <w:ind w:left="420" w:firstLine="1446"/>
        <w:rPr>
          <w:rFonts w:hAnsi="宋体" w:eastAsia="方正小标宋简体" w:asciiTheme="majorHAnsi"/>
          <w:b/>
          <w:bCs/>
          <w:color w:val="000000"/>
          <w:sz w:val="72"/>
          <w:szCs w:val="72"/>
        </w:rPr>
      </w:pPr>
    </w:p>
    <w:p w14:paraId="2EEB0CDA">
      <w:pPr>
        <w:widowControl/>
        <w:jc w:val="center"/>
        <w:rPr>
          <w:rFonts w:ascii="黑体" w:hAnsi="黑体" w:eastAsia="黑体"/>
          <w:sz w:val="48"/>
          <w:szCs w:val="48"/>
        </w:rPr>
      </w:pPr>
      <w:bookmarkStart w:id="12" w:name="_Toc15377196"/>
      <w:bookmarkStart w:id="13" w:name="_Toc15396599"/>
    </w:p>
    <w:p w14:paraId="682F7B63">
      <w:pPr>
        <w:widowControl/>
        <w:jc w:val="center"/>
        <w:rPr>
          <w:rFonts w:ascii="黑体" w:hAnsi="黑体" w:eastAsia="黑体"/>
          <w:sz w:val="48"/>
          <w:szCs w:val="48"/>
        </w:rPr>
      </w:pPr>
    </w:p>
    <w:p w14:paraId="2D271313">
      <w:pPr>
        <w:widowControl/>
        <w:spacing w:line="576" w:lineRule="exact"/>
        <w:ind w:firstLine="960" w:firstLineChars="200"/>
        <w:jc w:val="center"/>
        <w:rPr>
          <w:rFonts w:ascii="黑体" w:hAnsi="黑体" w:eastAsia="黑体"/>
          <w:sz w:val="48"/>
          <w:szCs w:val="48"/>
        </w:rPr>
      </w:pPr>
      <w:r>
        <w:rPr>
          <w:rFonts w:hint="eastAsia" w:ascii="黑体" w:hAnsi="黑体" w:eastAsia="黑体"/>
          <w:sz w:val="48"/>
          <w:szCs w:val="48"/>
        </w:rPr>
        <w:t>目录</w:t>
      </w:r>
    </w:p>
    <w:p w14:paraId="46D77BDB">
      <w:pPr>
        <w:widowControl/>
        <w:spacing w:line="576" w:lineRule="exact"/>
        <w:ind w:firstLine="560" w:firstLineChars="200"/>
        <w:jc w:val="center"/>
        <w:rPr>
          <w:rFonts w:ascii="黑体" w:hAnsi="黑体" w:eastAsia="黑体"/>
          <w:sz w:val="28"/>
          <w:szCs w:val="28"/>
        </w:rPr>
      </w:pPr>
    </w:p>
    <w:p w14:paraId="7B5E1D02">
      <w:pPr>
        <w:tabs>
          <w:tab w:val="right" w:leader="dot" w:pos="8296"/>
        </w:tabs>
        <w:spacing w:before="93" w:line="576" w:lineRule="exact"/>
        <w:ind w:firstLine="560" w:firstLineChars="200"/>
        <w:jc w:val="center"/>
        <w:rPr>
          <w:rFonts w:ascii="仿宋" w:hAnsi="仿宋" w:eastAsia="仿宋"/>
          <w:sz w:val="28"/>
          <w:szCs w:val="28"/>
        </w:rPr>
      </w:pPr>
      <w:r>
        <w:rPr>
          <w:rFonts w:hint="eastAsia" w:ascii="仿宋" w:hAnsi="仿宋" w:eastAsia="仿宋"/>
          <w:sz w:val="28"/>
          <w:szCs w:val="28"/>
        </w:rPr>
        <w:t>公开时间：2024年8月25日</w:t>
      </w:r>
    </w:p>
    <w:p w14:paraId="4C569083">
      <w:pPr>
        <w:spacing w:line="576" w:lineRule="exact"/>
        <w:ind w:firstLine="420" w:firstLineChars="200"/>
      </w:pPr>
    </w:p>
    <w:p w14:paraId="17CF3026">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第一部分 部门概况</w:t>
      </w:r>
      <w:r>
        <w:rPr>
          <w:rFonts w:hint="eastAsia" w:ascii="仿宋" w:hAnsi="仿宋" w:eastAsia="仿宋"/>
          <w:sz w:val="32"/>
          <w:szCs w:val="32"/>
        </w:rPr>
        <w:tab/>
      </w:r>
      <w:r>
        <w:rPr>
          <w:rFonts w:hint="eastAsia" w:ascii="仿宋" w:hAnsi="仿宋" w:eastAsia="仿宋"/>
          <w:sz w:val="32"/>
          <w:szCs w:val="32"/>
        </w:rPr>
        <w:t>4</w:t>
      </w:r>
    </w:p>
    <w:p w14:paraId="1FE37625">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一、部门职责</w:t>
      </w:r>
      <w:r>
        <w:rPr>
          <w:rFonts w:hint="eastAsia" w:ascii="仿宋" w:hAnsi="仿宋" w:eastAsia="仿宋"/>
          <w:sz w:val="32"/>
          <w:szCs w:val="32"/>
        </w:rPr>
        <w:tab/>
      </w:r>
      <w:r>
        <w:rPr>
          <w:rFonts w:hint="eastAsia" w:ascii="仿宋" w:hAnsi="仿宋" w:eastAsia="仿宋"/>
          <w:sz w:val="32"/>
          <w:szCs w:val="32"/>
        </w:rPr>
        <w:t>4</w:t>
      </w:r>
    </w:p>
    <w:p w14:paraId="2BAF90FD">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二、机构设置</w:t>
      </w:r>
      <w:r>
        <w:rPr>
          <w:rFonts w:hint="eastAsia" w:ascii="仿宋" w:hAnsi="仿宋" w:eastAsia="仿宋"/>
          <w:sz w:val="32"/>
          <w:szCs w:val="32"/>
        </w:rPr>
        <w:tab/>
      </w:r>
      <w:r>
        <w:rPr>
          <w:rFonts w:hint="eastAsia" w:ascii="仿宋" w:hAnsi="仿宋" w:eastAsia="仿宋"/>
          <w:sz w:val="32"/>
          <w:szCs w:val="32"/>
        </w:rPr>
        <w:t>5</w:t>
      </w:r>
    </w:p>
    <w:p w14:paraId="737C36F0">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第二部分 2023年度部门决算情况说明</w:t>
      </w:r>
      <w:r>
        <w:rPr>
          <w:rFonts w:hint="eastAsia" w:ascii="仿宋" w:hAnsi="仿宋" w:eastAsia="仿宋"/>
          <w:sz w:val="32"/>
          <w:szCs w:val="32"/>
        </w:rPr>
        <w:tab/>
      </w:r>
      <w:r>
        <w:rPr>
          <w:rFonts w:hint="eastAsia" w:ascii="仿宋" w:hAnsi="仿宋" w:eastAsia="仿宋"/>
          <w:sz w:val="32"/>
          <w:szCs w:val="32"/>
        </w:rPr>
        <w:t>6</w:t>
      </w:r>
    </w:p>
    <w:p w14:paraId="6D15314C">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一、收入支出决算总体情况说明</w:t>
      </w:r>
      <w:r>
        <w:rPr>
          <w:rFonts w:hint="eastAsia" w:ascii="仿宋" w:hAnsi="仿宋" w:eastAsia="仿宋"/>
          <w:sz w:val="32"/>
          <w:szCs w:val="32"/>
        </w:rPr>
        <w:tab/>
      </w:r>
      <w:r>
        <w:rPr>
          <w:rFonts w:hint="eastAsia" w:ascii="仿宋" w:hAnsi="仿宋" w:eastAsia="仿宋"/>
          <w:sz w:val="32"/>
          <w:szCs w:val="32"/>
        </w:rPr>
        <w:t>6</w:t>
      </w:r>
    </w:p>
    <w:p w14:paraId="1C354073">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二、收入决算情况说明</w:t>
      </w:r>
      <w:r>
        <w:rPr>
          <w:rFonts w:hint="eastAsia" w:ascii="仿宋" w:hAnsi="仿宋" w:eastAsia="仿宋"/>
          <w:sz w:val="32"/>
          <w:szCs w:val="32"/>
        </w:rPr>
        <w:tab/>
      </w:r>
      <w:r>
        <w:rPr>
          <w:rFonts w:hint="eastAsia" w:ascii="仿宋" w:hAnsi="仿宋" w:eastAsia="仿宋"/>
          <w:sz w:val="32"/>
          <w:szCs w:val="32"/>
        </w:rPr>
        <w:t>6</w:t>
      </w:r>
    </w:p>
    <w:p w14:paraId="0666FD35">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三、支出决算情况说明</w:t>
      </w:r>
      <w:r>
        <w:rPr>
          <w:rFonts w:hint="eastAsia" w:ascii="仿宋" w:hAnsi="仿宋" w:eastAsia="仿宋"/>
          <w:sz w:val="32"/>
          <w:szCs w:val="32"/>
        </w:rPr>
        <w:tab/>
      </w:r>
      <w:r>
        <w:rPr>
          <w:rFonts w:hint="eastAsia" w:ascii="仿宋" w:hAnsi="仿宋" w:eastAsia="仿宋"/>
          <w:sz w:val="32"/>
          <w:szCs w:val="32"/>
        </w:rPr>
        <w:t>7</w:t>
      </w:r>
    </w:p>
    <w:p w14:paraId="7CF7CDDC">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四、财政拨款收入支出决算总体情况说明</w:t>
      </w:r>
      <w:r>
        <w:rPr>
          <w:rFonts w:hint="eastAsia" w:ascii="仿宋" w:hAnsi="仿宋" w:eastAsia="仿宋"/>
          <w:sz w:val="32"/>
          <w:szCs w:val="32"/>
        </w:rPr>
        <w:tab/>
      </w:r>
      <w:r>
        <w:rPr>
          <w:rFonts w:hint="eastAsia" w:ascii="仿宋" w:hAnsi="仿宋" w:eastAsia="仿宋"/>
          <w:sz w:val="32"/>
          <w:szCs w:val="32"/>
        </w:rPr>
        <w:t>7</w:t>
      </w:r>
    </w:p>
    <w:p w14:paraId="4D9F9CE5">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五、一般公共预算财政拨款支出决算情况说明</w:t>
      </w:r>
      <w:r>
        <w:rPr>
          <w:rFonts w:hint="eastAsia" w:ascii="仿宋" w:hAnsi="仿宋" w:eastAsia="仿宋"/>
          <w:sz w:val="32"/>
          <w:szCs w:val="32"/>
        </w:rPr>
        <w:tab/>
      </w:r>
      <w:r>
        <w:rPr>
          <w:rFonts w:hint="eastAsia" w:ascii="仿宋" w:hAnsi="仿宋" w:eastAsia="仿宋"/>
          <w:sz w:val="32"/>
          <w:szCs w:val="32"/>
        </w:rPr>
        <w:t>8</w:t>
      </w:r>
    </w:p>
    <w:p w14:paraId="38BDBD01">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六、一般公共预算财政拨款基本支出决算情况说明</w:t>
      </w:r>
      <w:r>
        <w:rPr>
          <w:rFonts w:hint="eastAsia" w:ascii="仿宋" w:hAnsi="仿宋" w:eastAsia="仿宋"/>
          <w:sz w:val="32"/>
          <w:szCs w:val="32"/>
        </w:rPr>
        <w:tab/>
      </w:r>
      <w:r>
        <w:rPr>
          <w:rFonts w:hint="eastAsia" w:ascii="仿宋" w:hAnsi="仿宋" w:eastAsia="仿宋"/>
          <w:sz w:val="32"/>
          <w:szCs w:val="32"/>
        </w:rPr>
        <w:t>13</w:t>
      </w:r>
    </w:p>
    <w:p w14:paraId="247AE242">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七、财政拨款“三公”经费支出决算情况说明</w:t>
      </w:r>
      <w:r>
        <w:rPr>
          <w:rFonts w:hint="eastAsia" w:ascii="仿宋" w:hAnsi="仿宋" w:eastAsia="仿宋"/>
          <w:sz w:val="32"/>
          <w:szCs w:val="32"/>
        </w:rPr>
        <w:tab/>
      </w:r>
      <w:r>
        <w:rPr>
          <w:rFonts w:ascii="仿宋" w:hAnsi="仿宋" w:eastAsia="仿宋"/>
          <w:sz w:val="32"/>
          <w:szCs w:val="32"/>
        </w:rPr>
        <w:t>14</w:t>
      </w:r>
    </w:p>
    <w:p w14:paraId="189A2EA7">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八、政府性基金预算支出决算情况说明</w:t>
      </w:r>
      <w:r>
        <w:rPr>
          <w:rFonts w:hint="eastAsia" w:ascii="仿宋" w:hAnsi="仿宋" w:eastAsia="仿宋"/>
          <w:sz w:val="32"/>
          <w:szCs w:val="32"/>
        </w:rPr>
        <w:tab/>
      </w:r>
      <w:r>
        <w:rPr>
          <w:rFonts w:hint="eastAsia" w:ascii="仿宋" w:hAnsi="仿宋" w:eastAsia="仿宋"/>
          <w:sz w:val="32"/>
          <w:szCs w:val="32"/>
        </w:rPr>
        <w:t>1</w:t>
      </w:r>
      <w:r>
        <w:rPr>
          <w:rFonts w:ascii="仿宋" w:hAnsi="仿宋" w:eastAsia="仿宋"/>
          <w:sz w:val="32"/>
          <w:szCs w:val="32"/>
        </w:rPr>
        <w:t>6</w:t>
      </w:r>
    </w:p>
    <w:p w14:paraId="2C5882C6">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九、国有资本经营预算支出决算情况说明</w:t>
      </w:r>
      <w:r>
        <w:rPr>
          <w:rFonts w:hint="eastAsia" w:ascii="仿宋" w:hAnsi="仿宋" w:eastAsia="仿宋"/>
          <w:sz w:val="32"/>
          <w:szCs w:val="32"/>
        </w:rPr>
        <w:tab/>
      </w:r>
      <w:r>
        <w:rPr>
          <w:rFonts w:hint="eastAsia" w:ascii="仿宋" w:hAnsi="仿宋" w:eastAsia="仿宋"/>
          <w:sz w:val="32"/>
          <w:szCs w:val="32"/>
        </w:rPr>
        <w:t>1</w:t>
      </w:r>
      <w:r>
        <w:rPr>
          <w:rFonts w:ascii="仿宋" w:hAnsi="仿宋" w:eastAsia="仿宋"/>
          <w:sz w:val="32"/>
          <w:szCs w:val="32"/>
        </w:rPr>
        <w:t>6</w:t>
      </w:r>
    </w:p>
    <w:p w14:paraId="784997EA">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十、其他重要事项的情况说明</w:t>
      </w:r>
      <w:r>
        <w:rPr>
          <w:rFonts w:hint="eastAsia" w:ascii="仿宋" w:hAnsi="仿宋" w:eastAsia="仿宋"/>
          <w:sz w:val="32"/>
          <w:szCs w:val="32"/>
        </w:rPr>
        <w:tab/>
      </w:r>
      <w:r>
        <w:rPr>
          <w:rFonts w:hint="eastAsia" w:ascii="仿宋" w:hAnsi="仿宋" w:eastAsia="仿宋"/>
          <w:sz w:val="32"/>
          <w:szCs w:val="32"/>
        </w:rPr>
        <w:t>1</w:t>
      </w:r>
      <w:r>
        <w:rPr>
          <w:rFonts w:ascii="仿宋" w:hAnsi="仿宋" w:eastAsia="仿宋"/>
          <w:sz w:val="32"/>
          <w:szCs w:val="32"/>
        </w:rPr>
        <w:t>6</w:t>
      </w:r>
    </w:p>
    <w:p w14:paraId="2E5F2AC2">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第三部分 名词解释</w:t>
      </w:r>
      <w:r>
        <w:rPr>
          <w:rFonts w:hint="eastAsia" w:ascii="仿宋" w:hAnsi="仿宋" w:eastAsia="仿宋"/>
          <w:sz w:val="32"/>
          <w:szCs w:val="32"/>
        </w:rPr>
        <w:tab/>
      </w:r>
      <w:r>
        <w:rPr>
          <w:rFonts w:hint="eastAsia" w:ascii="仿宋" w:hAnsi="仿宋" w:eastAsia="仿宋"/>
          <w:sz w:val="32"/>
          <w:szCs w:val="32"/>
        </w:rPr>
        <w:t>24</w:t>
      </w:r>
    </w:p>
    <w:p w14:paraId="12913029">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第四部分 附件</w:t>
      </w:r>
      <w:r>
        <w:rPr>
          <w:rFonts w:hint="eastAsia" w:ascii="仿宋" w:hAnsi="仿宋" w:eastAsia="仿宋"/>
          <w:sz w:val="32"/>
          <w:szCs w:val="32"/>
        </w:rPr>
        <w:tab/>
      </w:r>
      <w:r>
        <w:rPr>
          <w:rFonts w:hint="eastAsia" w:ascii="仿宋" w:hAnsi="仿宋" w:eastAsia="仿宋"/>
          <w:sz w:val="32"/>
          <w:szCs w:val="32"/>
        </w:rPr>
        <w:t>29</w:t>
      </w:r>
    </w:p>
    <w:p w14:paraId="6CE58DC7">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第五部分 附表</w:t>
      </w:r>
      <w:r>
        <w:rPr>
          <w:rFonts w:hint="eastAsia" w:ascii="仿宋" w:hAnsi="仿宋" w:eastAsia="仿宋"/>
          <w:sz w:val="32"/>
          <w:szCs w:val="32"/>
        </w:rPr>
        <w:tab/>
      </w:r>
      <w:r>
        <w:rPr>
          <w:rFonts w:hint="eastAsia" w:ascii="仿宋" w:hAnsi="仿宋" w:eastAsia="仿宋"/>
          <w:sz w:val="32"/>
          <w:szCs w:val="32"/>
        </w:rPr>
        <w:t>111</w:t>
      </w:r>
    </w:p>
    <w:p w14:paraId="4CD9F969">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一、收入支出决算总表</w:t>
      </w:r>
      <w:r>
        <w:rPr>
          <w:rFonts w:hint="eastAsia" w:ascii="仿宋" w:hAnsi="仿宋" w:eastAsia="仿宋"/>
          <w:sz w:val="32"/>
          <w:szCs w:val="32"/>
        </w:rPr>
        <w:tab/>
      </w:r>
      <w:r>
        <w:rPr>
          <w:rFonts w:hint="eastAsia" w:ascii="仿宋" w:hAnsi="仿宋" w:eastAsia="仿宋"/>
          <w:sz w:val="32"/>
          <w:szCs w:val="32"/>
        </w:rPr>
        <w:t>111</w:t>
      </w:r>
    </w:p>
    <w:p w14:paraId="1D64556C">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二、收入决算表</w:t>
      </w:r>
      <w:r>
        <w:rPr>
          <w:rFonts w:hint="eastAsia" w:ascii="仿宋" w:hAnsi="仿宋" w:eastAsia="仿宋"/>
          <w:sz w:val="32"/>
          <w:szCs w:val="32"/>
        </w:rPr>
        <w:tab/>
      </w:r>
      <w:r>
        <w:rPr>
          <w:rFonts w:hint="eastAsia" w:ascii="仿宋" w:hAnsi="仿宋" w:eastAsia="仿宋"/>
          <w:sz w:val="32"/>
          <w:szCs w:val="32"/>
        </w:rPr>
        <w:t>111</w:t>
      </w:r>
    </w:p>
    <w:p w14:paraId="4699581E">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三、支出决算表</w:t>
      </w:r>
      <w:r>
        <w:rPr>
          <w:rFonts w:hint="eastAsia" w:ascii="仿宋" w:hAnsi="仿宋" w:eastAsia="仿宋"/>
          <w:sz w:val="32"/>
          <w:szCs w:val="32"/>
        </w:rPr>
        <w:tab/>
      </w:r>
      <w:r>
        <w:rPr>
          <w:rFonts w:hint="eastAsia" w:ascii="仿宋" w:hAnsi="仿宋" w:eastAsia="仿宋"/>
          <w:sz w:val="32"/>
          <w:szCs w:val="32"/>
        </w:rPr>
        <w:t>111</w:t>
      </w:r>
    </w:p>
    <w:p w14:paraId="6D5CA62E">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四、财政拨款收入支出决算总表</w:t>
      </w:r>
      <w:r>
        <w:rPr>
          <w:rFonts w:hint="eastAsia" w:ascii="仿宋" w:hAnsi="仿宋" w:eastAsia="仿宋"/>
          <w:sz w:val="32"/>
          <w:szCs w:val="32"/>
        </w:rPr>
        <w:tab/>
      </w:r>
      <w:r>
        <w:rPr>
          <w:rFonts w:hint="eastAsia" w:ascii="仿宋" w:hAnsi="仿宋" w:eastAsia="仿宋"/>
          <w:sz w:val="32"/>
          <w:szCs w:val="32"/>
        </w:rPr>
        <w:t>111</w:t>
      </w:r>
    </w:p>
    <w:p w14:paraId="1E4665C4">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五、财政拨款支出决算明细表</w:t>
      </w:r>
      <w:r>
        <w:rPr>
          <w:rFonts w:hint="eastAsia" w:ascii="仿宋" w:hAnsi="仿宋" w:eastAsia="仿宋"/>
          <w:sz w:val="32"/>
          <w:szCs w:val="32"/>
        </w:rPr>
        <w:tab/>
      </w:r>
      <w:r>
        <w:rPr>
          <w:rFonts w:hint="eastAsia" w:ascii="仿宋" w:hAnsi="仿宋" w:eastAsia="仿宋"/>
          <w:sz w:val="32"/>
          <w:szCs w:val="32"/>
        </w:rPr>
        <w:t>111</w:t>
      </w:r>
    </w:p>
    <w:p w14:paraId="37F0BAB8">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六、一般公共预算财政拨款支出决算表</w:t>
      </w:r>
      <w:r>
        <w:rPr>
          <w:rFonts w:hint="eastAsia" w:ascii="仿宋" w:hAnsi="仿宋" w:eastAsia="仿宋"/>
          <w:sz w:val="32"/>
          <w:szCs w:val="32"/>
        </w:rPr>
        <w:tab/>
      </w:r>
      <w:r>
        <w:rPr>
          <w:rFonts w:hint="eastAsia" w:ascii="仿宋" w:hAnsi="仿宋" w:eastAsia="仿宋"/>
          <w:sz w:val="32"/>
          <w:szCs w:val="32"/>
        </w:rPr>
        <w:t>111</w:t>
      </w:r>
    </w:p>
    <w:p w14:paraId="3652BE1B">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七、一般公共预算财政拨款支出决算明细表</w:t>
      </w:r>
      <w:r>
        <w:rPr>
          <w:rFonts w:hint="eastAsia" w:ascii="仿宋" w:hAnsi="仿宋" w:eastAsia="仿宋"/>
          <w:sz w:val="32"/>
          <w:szCs w:val="32"/>
        </w:rPr>
        <w:tab/>
      </w:r>
      <w:r>
        <w:rPr>
          <w:rFonts w:hint="eastAsia" w:ascii="仿宋" w:hAnsi="仿宋" w:eastAsia="仿宋"/>
          <w:sz w:val="32"/>
          <w:szCs w:val="32"/>
        </w:rPr>
        <w:t>111</w:t>
      </w:r>
    </w:p>
    <w:p w14:paraId="4BE542D6">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八、一般公共预算财政拨款基本支出决算明细表</w:t>
      </w:r>
      <w:r>
        <w:rPr>
          <w:rFonts w:hint="eastAsia" w:ascii="仿宋" w:hAnsi="仿宋" w:eastAsia="仿宋"/>
          <w:sz w:val="32"/>
          <w:szCs w:val="32"/>
        </w:rPr>
        <w:tab/>
      </w:r>
      <w:r>
        <w:rPr>
          <w:rFonts w:hint="eastAsia" w:ascii="仿宋" w:hAnsi="仿宋" w:eastAsia="仿宋"/>
          <w:sz w:val="32"/>
          <w:szCs w:val="32"/>
        </w:rPr>
        <w:t>111</w:t>
      </w:r>
    </w:p>
    <w:p w14:paraId="535720E9">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九、一般公共预算财政拨款项目支出决算表</w:t>
      </w:r>
      <w:r>
        <w:rPr>
          <w:rFonts w:hint="eastAsia" w:ascii="仿宋" w:hAnsi="仿宋" w:eastAsia="仿宋"/>
          <w:sz w:val="32"/>
          <w:szCs w:val="32"/>
        </w:rPr>
        <w:tab/>
      </w:r>
      <w:r>
        <w:rPr>
          <w:rFonts w:hint="eastAsia" w:ascii="仿宋" w:hAnsi="仿宋" w:eastAsia="仿宋"/>
          <w:sz w:val="32"/>
          <w:szCs w:val="32"/>
        </w:rPr>
        <w:t>111</w:t>
      </w:r>
    </w:p>
    <w:p w14:paraId="7A3E87DF">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十、政府性基金预算财政拨款收入支出决算表</w:t>
      </w:r>
      <w:r>
        <w:rPr>
          <w:rFonts w:hint="eastAsia" w:ascii="仿宋" w:hAnsi="仿宋" w:eastAsia="仿宋"/>
          <w:sz w:val="32"/>
          <w:szCs w:val="32"/>
        </w:rPr>
        <w:tab/>
      </w:r>
      <w:r>
        <w:rPr>
          <w:rFonts w:hint="eastAsia" w:ascii="仿宋" w:hAnsi="仿宋" w:eastAsia="仿宋"/>
          <w:sz w:val="32"/>
          <w:szCs w:val="32"/>
        </w:rPr>
        <w:t>111</w:t>
      </w:r>
    </w:p>
    <w:p w14:paraId="406BDAEA">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十一、国有资本经营预算财政拨款收入支出决算表</w:t>
      </w:r>
      <w:r>
        <w:rPr>
          <w:rFonts w:hint="eastAsia" w:ascii="仿宋" w:hAnsi="仿宋" w:eastAsia="仿宋"/>
          <w:sz w:val="32"/>
          <w:szCs w:val="32"/>
        </w:rPr>
        <w:tab/>
      </w:r>
      <w:r>
        <w:rPr>
          <w:rFonts w:hint="eastAsia" w:ascii="仿宋" w:hAnsi="仿宋" w:eastAsia="仿宋"/>
          <w:sz w:val="32"/>
          <w:szCs w:val="32"/>
        </w:rPr>
        <w:t>111</w:t>
      </w:r>
    </w:p>
    <w:p w14:paraId="1F8FAEE7">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十二、国有资本经营预算财政拨款支出决算表</w:t>
      </w:r>
      <w:r>
        <w:rPr>
          <w:rFonts w:hint="eastAsia" w:ascii="仿宋" w:hAnsi="仿宋" w:eastAsia="仿宋"/>
          <w:sz w:val="32"/>
          <w:szCs w:val="32"/>
        </w:rPr>
        <w:tab/>
      </w:r>
      <w:r>
        <w:rPr>
          <w:rFonts w:hint="eastAsia" w:ascii="仿宋" w:hAnsi="仿宋" w:eastAsia="仿宋"/>
          <w:sz w:val="32"/>
          <w:szCs w:val="32"/>
        </w:rPr>
        <w:t>111</w:t>
      </w:r>
    </w:p>
    <w:p w14:paraId="568DE918">
      <w:pPr>
        <w:tabs>
          <w:tab w:val="right" w:leader="dot" w:pos="8296"/>
        </w:tabs>
        <w:adjustRightInd w:val="0"/>
        <w:snapToGrid w:val="0"/>
        <w:spacing w:line="576" w:lineRule="exact"/>
        <w:ind w:firstLine="640" w:firstLineChars="200"/>
        <w:jc w:val="left"/>
        <w:rPr>
          <w:rFonts w:ascii="仿宋" w:hAnsi="仿宋" w:eastAsia="仿宋"/>
          <w:sz w:val="32"/>
          <w:szCs w:val="32"/>
        </w:rPr>
      </w:pPr>
      <w:r>
        <w:rPr>
          <w:rFonts w:hint="eastAsia" w:ascii="仿宋" w:hAnsi="仿宋" w:eastAsia="仿宋"/>
          <w:sz w:val="32"/>
          <w:szCs w:val="32"/>
        </w:rPr>
        <w:t>十三、财政拨款“三公”经费支出决算表</w:t>
      </w:r>
      <w:r>
        <w:rPr>
          <w:rFonts w:hint="eastAsia" w:ascii="仿宋" w:hAnsi="仿宋" w:eastAsia="仿宋"/>
          <w:sz w:val="32"/>
          <w:szCs w:val="32"/>
        </w:rPr>
        <w:tab/>
      </w:r>
      <w:r>
        <w:rPr>
          <w:rFonts w:hint="eastAsia" w:ascii="仿宋" w:hAnsi="仿宋" w:eastAsia="仿宋"/>
          <w:sz w:val="32"/>
          <w:szCs w:val="32"/>
        </w:rPr>
        <w:t>111</w:t>
      </w:r>
    </w:p>
    <w:p w14:paraId="3A81F05B">
      <w:pPr>
        <w:tabs>
          <w:tab w:val="right" w:leader="dot" w:pos="8296"/>
        </w:tabs>
        <w:adjustRightInd w:val="0"/>
        <w:snapToGrid w:val="0"/>
        <w:spacing w:line="576" w:lineRule="exact"/>
        <w:ind w:firstLine="640" w:firstLineChars="200"/>
        <w:jc w:val="left"/>
        <w:rPr>
          <w:rFonts w:ascii="仿宋" w:hAnsi="仿宋" w:eastAsia="仿宋"/>
          <w:sz w:val="32"/>
          <w:szCs w:val="32"/>
        </w:rPr>
      </w:pPr>
    </w:p>
    <w:p w14:paraId="5A06DFBA">
      <w:pPr>
        <w:spacing w:line="576" w:lineRule="exact"/>
        <w:ind w:firstLine="640" w:firstLineChars="200"/>
        <w:rPr>
          <w:sz w:val="32"/>
          <w:szCs w:val="32"/>
        </w:rPr>
      </w:pPr>
      <w:r>
        <w:rPr>
          <w:rFonts w:ascii="仿宋" w:hAnsi="仿宋" w:eastAsia="仿宋"/>
          <w:sz w:val="32"/>
          <w:szCs w:val="32"/>
        </w:rPr>
        <w:br w:type="page"/>
      </w:r>
    </w:p>
    <w:p w14:paraId="422525EA">
      <w:pPr>
        <w:pStyle w:val="5"/>
        <w:jc w:val="center"/>
        <w:rPr>
          <w:rFonts w:ascii="黑体" w:eastAsia="黑体"/>
          <w:color w:val="000000"/>
          <w:sz w:val="32"/>
          <w:szCs w:val="32"/>
        </w:rPr>
      </w:pPr>
      <w:r>
        <w:rPr>
          <w:rFonts w:hint="eastAsia" w:ascii="黑体" w:hAnsi="黑体" w:eastAsia="黑体"/>
          <w:b w:val="0"/>
        </w:rPr>
        <w:t xml:space="preserve">第一部分 </w:t>
      </w:r>
      <w:r>
        <w:rPr>
          <w:rStyle w:val="34"/>
          <w:rFonts w:hint="eastAsia" w:ascii="黑体" w:hAnsi="黑体" w:eastAsia="黑体"/>
          <w:b w:val="0"/>
          <w:bCs w:val="0"/>
        </w:rPr>
        <w:t>部门概况</w:t>
      </w:r>
      <w:bookmarkEnd w:id="12"/>
      <w:bookmarkEnd w:id="13"/>
    </w:p>
    <w:p w14:paraId="6806FF7E">
      <w:pPr>
        <w:pStyle w:val="6"/>
        <w:spacing w:line="576" w:lineRule="exact"/>
        <w:ind w:firstLine="640" w:firstLineChars="200"/>
        <w:jc w:val="left"/>
        <w:rPr>
          <w:rFonts w:ascii="仿宋" w:hAnsi="仿宋" w:eastAsia="仿宋"/>
          <w:color w:val="000000"/>
        </w:rPr>
      </w:pPr>
      <w:r>
        <w:rPr>
          <w:rFonts w:hint="eastAsia" w:ascii="黑体" w:hAnsi="黑体" w:eastAsia="黑体"/>
          <w:b w:val="0"/>
        </w:rPr>
        <w:t>一、部门职责</w:t>
      </w:r>
    </w:p>
    <w:p w14:paraId="2771E3F2">
      <w:pPr>
        <w:spacing w:line="576" w:lineRule="exact"/>
        <w:ind w:firstLine="640" w:firstLineChars="200"/>
        <w:jc w:val="left"/>
        <w:rPr>
          <w:rFonts w:ascii="仿宋" w:hAnsi="仿宋" w:eastAsia="仿宋"/>
          <w:sz w:val="32"/>
          <w:szCs w:val="32"/>
        </w:rPr>
      </w:pPr>
      <w:bookmarkStart w:id="14" w:name="_Toc15377200"/>
      <w:bookmarkStart w:id="15" w:name="_Toc15396601"/>
      <w:r>
        <w:rPr>
          <w:rFonts w:hint="eastAsia" w:ascii="仿宋" w:hAnsi="仿宋" w:eastAsia="仿宋"/>
          <w:sz w:val="32"/>
          <w:szCs w:val="32"/>
        </w:rPr>
        <w:t>1、贯彻执行本级人民代表大会的决议和上级国家行政机关的决定和命令，发布决定和命令。</w:t>
      </w:r>
    </w:p>
    <w:p w14:paraId="712743C4">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2、贯彻执行本行政区域内经济和社会发展计划、预算、管理本行政区域内的经济、教育、科学、文化、卫生、体育、财政、民政、统计、公安、司法行政等行政工作。</w:t>
      </w:r>
    </w:p>
    <w:p w14:paraId="66AF8D50">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3、负责本行政区域内的基层治理，负责社会主义民主法治建设和精神文明建设，负责民生保障、社会救助、社会治安综合治理、生态文明建设、脱贫成果巩固、乡村振兴、民族宗教、森林防灭火、防灾减灾、应急管理、镇村建设、自然资源、耕地保护等工作。</w:t>
      </w:r>
    </w:p>
    <w:p w14:paraId="0C46E2D7">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4、负责提供区域公共服务，完善基本公共服务体系，依法依规承接区级部门下放的服务管理权限。落实人力资源</w:t>
      </w:r>
      <w:r>
        <w:rPr>
          <w:rFonts w:hint="eastAsia" w:ascii="仿宋" w:hAnsi="仿宋" w:eastAsia="仿宋"/>
          <w:sz w:val="32"/>
          <w:szCs w:val="32"/>
          <w:lang w:eastAsia="zh-CN"/>
        </w:rPr>
        <w:t>和</w:t>
      </w:r>
      <w:r>
        <w:rPr>
          <w:rFonts w:hint="eastAsia" w:ascii="仿宋" w:hAnsi="仿宋" w:eastAsia="仿宋"/>
          <w:sz w:val="32"/>
          <w:szCs w:val="32"/>
        </w:rPr>
        <w:t>社会保障、民政、教育、科技、文化、体育、卫生健康、农民工服务、退役军人事务等领域相关法规政策。负责推进政府职能转变、依法治理等工作，建设服务型政府。</w:t>
      </w:r>
    </w:p>
    <w:p w14:paraId="41CB0822">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5、负责保护社会主义的全民所有财产和劳动群众集体所有财产，保护公民私人所有合法财产，维护社会秩序，保障公民的人身权利、民主权利和其他权利。保护各种经济组织的合法权益。保障少数民族的权利和尊重少数民族的风俗习惯。</w:t>
      </w:r>
    </w:p>
    <w:p w14:paraId="6726AAAA">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6、负责职责范围内安全生产和职业健康、生态环境保护等工作，及时向上级党委、政府反映社情民意，进一步密切党和政府与人民群众的关系。</w:t>
      </w:r>
    </w:p>
    <w:p w14:paraId="0BF07E0E">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7、负责有效承接按程序下放或委托的行政权力事项，落实属地清单中的主体责任与配合责任。</w:t>
      </w:r>
    </w:p>
    <w:p w14:paraId="390F92F6">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8、监督执法管理。对辖区内各类行政执法工作进行统筹协调，组织开展群众监督和社会监督。</w:t>
      </w:r>
    </w:p>
    <w:p w14:paraId="24904D3B">
      <w:pPr>
        <w:spacing w:line="576" w:lineRule="exact"/>
        <w:ind w:firstLine="640" w:firstLineChars="200"/>
        <w:jc w:val="left"/>
      </w:pPr>
      <w:r>
        <w:rPr>
          <w:rFonts w:hint="eastAsia" w:ascii="仿宋" w:hAnsi="仿宋" w:eastAsia="仿宋"/>
          <w:sz w:val="32"/>
          <w:szCs w:val="32"/>
        </w:rPr>
        <w:t>9、负责区委、区人民政府交办的其他事务。</w:t>
      </w:r>
    </w:p>
    <w:p w14:paraId="0C6D7FC4">
      <w:pPr>
        <w:pStyle w:val="6"/>
        <w:spacing w:line="240" w:lineRule="auto"/>
        <w:ind w:firstLine="640" w:firstLineChars="200"/>
        <w:jc w:val="left"/>
        <w:rPr>
          <w:rStyle w:val="35"/>
          <w:b w:val="0"/>
          <w:bCs w:val="0"/>
        </w:rPr>
      </w:pPr>
      <w:r>
        <w:rPr>
          <w:rFonts w:hint="eastAsia" w:ascii="黑体" w:eastAsia="黑体"/>
          <w:b w:val="0"/>
        </w:rPr>
        <w:t>二、</w:t>
      </w:r>
      <w:r>
        <w:rPr>
          <w:rFonts w:hint="eastAsia" w:ascii="黑体" w:hAnsi="黑体" w:eastAsia="黑体"/>
          <w:b w:val="0"/>
        </w:rPr>
        <w:t>机</w:t>
      </w:r>
      <w:r>
        <w:rPr>
          <w:rStyle w:val="35"/>
          <w:rFonts w:hint="eastAsia" w:ascii="黑体" w:hAnsi="黑体" w:eastAsia="黑体"/>
          <w:b w:val="0"/>
          <w:bCs w:val="0"/>
        </w:rPr>
        <w:t>构设置</w:t>
      </w:r>
      <w:bookmarkEnd w:id="14"/>
      <w:bookmarkEnd w:id="15"/>
    </w:p>
    <w:p w14:paraId="5202BB3F">
      <w:pPr>
        <w:pStyle w:val="9"/>
        <w:adjustRightInd w:val="0"/>
        <w:snapToGrid w:val="0"/>
        <w:spacing w:beforeLines="0" w:line="576" w:lineRule="exact"/>
        <w:ind w:firstLine="672" w:firstLineChars="210"/>
        <w:jc w:val="left"/>
        <w:rPr>
          <w:sz w:val="32"/>
          <w:szCs w:val="32"/>
        </w:rPr>
      </w:pPr>
      <w:r>
        <w:rPr>
          <w:rFonts w:hint="eastAsia"/>
          <w:sz w:val="32"/>
          <w:szCs w:val="32"/>
        </w:rPr>
        <w:t>常理镇人民政府下属二级预算单位0个，其中行政单位0个参照公务员法管理的事业单位0个，其他事业单位0个。</w:t>
      </w:r>
    </w:p>
    <w:p w14:paraId="1CDAB4EA">
      <w:pPr>
        <w:widowControl/>
        <w:spacing w:line="576" w:lineRule="exact"/>
        <w:jc w:val="left"/>
        <w:rPr>
          <w:rFonts w:eastAsia="方正小标宋简体"/>
          <w:sz w:val="44"/>
          <w:szCs w:val="44"/>
        </w:rPr>
      </w:pPr>
    </w:p>
    <w:p w14:paraId="1D7A816A">
      <w:pPr>
        <w:pStyle w:val="9"/>
        <w:numPr>
          <w:ilvl w:val="0"/>
          <w:numId w:val="2"/>
        </w:numPr>
        <w:adjustRightInd w:val="0"/>
        <w:snapToGrid w:val="0"/>
        <w:spacing w:before="93" w:line="576" w:lineRule="exact"/>
        <w:jc w:val="left"/>
        <w:outlineLvl w:val="2"/>
        <w:rPr>
          <w:rFonts w:ascii="仿宋" w:hAnsi="仿宋" w:eastAsia="仿宋"/>
          <w:color w:val="000000"/>
          <w:sz w:val="32"/>
          <w:szCs w:val="32"/>
        </w:rPr>
      </w:pPr>
      <w:r>
        <w:rPr>
          <w:rFonts w:hint="eastAsia" w:ascii="仿宋" w:hAnsi="仿宋" w:eastAsia="仿宋"/>
          <w:color w:val="000000"/>
          <w:sz w:val="32"/>
          <w:szCs w:val="32"/>
        </w:rPr>
        <w:br w:type="page"/>
      </w:r>
    </w:p>
    <w:p w14:paraId="7D4E1A30">
      <w:pPr>
        <w:pStyle w:val="5"/>
        <w:spacing w:line="240" w:lineRule="auto"/>
        <w:jc w:val="center"/>
        <w:rPr>
          <w:rStyle w:val="34"/>
          <w:rFonts w:ascii="黑体" w:hAnsi="黑体" w:eastAsia="黑体"/>
          <w:b w:val="0"/>
          <w:bCs w:val="0"/>
        </w:rPr>
      </w:pPr>
      <w:bookmarkStart w:id="16" w:name="_Toc15396602"/>
      <w:bookmarkStart w:id="17" w:name="_Toc15377204"/>
      <w:r>
        <w:rPr>
          <w:rFonts w:hint="eastAsia" w:ascii="黑体" w:hAnsi="黑体" w:eastAsia="黑体"/>
          <w:b w:val="0"/>
          <w:color w:val="000000"/>
        </w:rPr>
        <w:t>第二部分</w:t>
      </w:r>
      <w:r>
        <w:rPr>
          <w:rFonts w:hint="eastAsia" w:ascii="黑体" w:hAnsi="黑体" w:eastAsia="黑体"/>
          <w:color w:val="000000"/>
        </w:rPr>
        <w:t xml:space="preserve"> </w:t>
      </w:r>
      <w:r>
        <w:rPr>
          <w:rStyle w:val="34"/>
          <w:rFonts w:hint="eastAsia" w:ascii="黑体" w:hAnsi="黑体" w:eastAsia="黑体"/>
          <w:b w:val="0"/>
          <w:bCs w:val="0"/>
        </w:rPr>
        <w:t>2023年度部门决算情况说明</w:t>
      </w:r>
      <w:bookmarkEnd w:id="16"/>
      <w:bookmarkEnd w:id="17"/>
    </w:p>
    <w:p w14:paraId="42150351">
      <w:pPr>
        <w:jc w:val="left"/>
      </w:pPr>
    </w:p>
    <w:p w14:paraId="35778615">
      <w:pPr>
        <w:pStyle w:val="33"/>
        <w:numPr>
          <w:ilvl w:val="0"/>
          <w:numId w:val="3"/>
        </w:numPr>
        <w:ind w:firstLineChars="0"/>
        <w:jc w:val="left"/>
        <w:outlineLvl w:val="1"/>
        <w:rPr>
          <w:rStyle w:val="35"/>
          <w:rFonts w:ascii="黑体" w:hAnsi="黑体" w:eastAsia="黑体"/>
          <w:b w:val="0"/>
        </w:rPr>
      </w:pPr>
      <w:bookmarkStart w:id="18" w:name="_Toc15377205"/>
      <w:bookmarkStart w:id="19" w:name="_Toc15396603"/>
      <w:r>
        <w:rPr>
          <w:rFonts w:hint="eastAsia" w:ascii="黑体" w:hAnsi="黑体" w:eastAsia="黑体"/>
          <w:sz w:val="32"/>
          <w:szCs w:val="32"/>
        </w:rPr>
        <w:t>收</w:t>
      </w:r>
      <w:r>
        <w:rPr>
          <w:rStyle w:val="35"/>
          <w:rFonts w:hint="eastAsia" w:ascii="黑体" w:hAnsi="黑体" w:eastAsia="黑体"/>
          <w:b w:val="0"/>
        </w:rPr>
        <w:t>入支出决算总体情况说明</w:t>
      </w:r>
      <w:bookmarkEnd w:id="18"/>
      <w:bookmarkEnd w:id="19"/>
    </w:p>
    <w:p w14:paraId="1D648BFD">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2023年度收、支总计1490.41万元。与2022年相比，收、支总计减少5.22万元，减少0.35</w:t>
      </w:r>
      <w:r>
        <w:rPr>
          <w:rFonts w:ascii="仿宋" w:hAnsi="仿宋" w:eastAsia="仿宋"/>
          <w:sz w:val="32"/>
          <w:szCs w:val="32"/>
        </w:rPr>
        <w:t>%</w:t>
      </w:r>
      <w:r>
        <w:rPr>
          <w:rFonts w:hint="eastAsia" w:ascii="仿宋" w:hAnsi="仿宋" w:eastAsia="仿宋"/>
          <w:sz w:val="32"/>
          <w:szCs w:val="32"/>
        </w:rPr>
        <w:t>。主要变动原因是常理镇人员经费减少。</w:t>
      </w:r>
    </w:p>
    <w:p w14:paraId="172C8511">
      <w:pPr>
        <w:ind w:firstLine="640" w:firstLineChars="200"/>
        <w:jc w:val="left"/>
        <w:rPr>
          <w:rFonts w:ascii="仿宋" w:hAnsi="仿宋" w:eastAsia="仿宋"/>
          <w:color w:val="000000" w:themeColor="text1"/>
          <w:sz w:val="32"/>
          <w:szCs w:val="32"/>
          <w14:textFill>
            <w14:solidFill>
              <w14:schemeClr w14:val="tx1"/>
            </w14:solidFill>
          </w14:textFill>
        </w:rPr>
      </w:pPr>
      <w:r>
        <w:rPr>
          <w:rFonts w:ascii="仿宋_GB2312" w:eastAsia="仿宋_GB2312"/>
          <w:sz w:val="32"/>
          <w:szCs w:val="32"/>
        </w:rPr>
        <w:object>
          <v:shape id="_x0000_i1025" o:spt="75" alt="olechartimg_1724655502856567_348144768" type="#_x0000_t75" style="height:246pt;width:367.5pt;" o:ole="t" filled="f" o:preferrelative="t" stroked="f" coordsize="21600,21600">
            <v:path/>
            <v:fill on="f" focussize="0,0"/>
            <v:stroke on="f" joinstyle="miter"/>
            <v:imagedata r:id="rId6" o:title="olechartimg_1724744501308613_76929664"/>
            <o:lock v:ext="edit" aspectratio="t"/>
            <w10:wrap type="none"/>
            <w10:anchorlock/>
          </v:shape>
          <o:OLEObject Type="Embed" ProgID="Excel.Sheet.8" ShapeID="_x0000_i1025" DrawAspect="Content" ObjectID="_1468075725" r:id="rId5">
            <o:LockedField>false</o:LockedField>
          </o:OLEObject>
        </w:object>
      </w:r>
    </w:p>
    <w:p w14:paraId="7F8F2EA6">
      <w:pPr>
        <w:ind w:firstLine="640" w:firstLineChars="200"/>
        <w:jc w:val="left"/>
        <w:rPr>
          <w:rFonts w:ascii="仿宋" w:hAnsi="仿宋" w:eastAsia="仿宋"/>
          <w:color w:val="000000" w:themeColor="text1"/>
          <w:sz w:val="32"/>
          <w:szCs w:val="32"/>
          <w14:textFill>
            <w14:solidFill>
              <w14:schemeClr w14:val="tx1"/>
            </w14:solidFill>
          </w14:textFill>
        </w:rPr>
      </w:pPr>
      <w:r>
        <w:rPr>
          <w:rFonts w:ascii="仿宋_GB2312" w:eastAsia="仿宋_GB2312"/>
          <w:sz w:val="32"/>
          <w:szCs w:val="32"/>
        </w:rPr>
        <w:t>（图1：收、支决算总计变动情况图）（柱状图）</w:t>
      </w:r>
    </w:p>
    <w:p w14:paraId="1122F884">
      <w:pPr>
        <w:pStyle w:val="33"/>
        <w:numPr>
          <w:ilvl w:val="0"/>
          <w:numId w:val="3"/>
        </w:numPr>
        <w:ind w:firstLineChars="0"/>
        <w:jc w:val="left"/>
        <w:outlineLvl w:val="1"/>
        <w:rPr>
          <w:rStyle w:val="35"/>
          <w:rFonts w:ascii="黑体" w:hAnsi="黑体" w:eastAsia="黑体"/>
          <w:b w:val="0"/>
        </w:rPr>
      </w:pPr>
      <w:bookmarkStart w:id="20" w:name="_Toc15377206"/>
      <w:bookmarkStart w:id="21" w:name="_Toc15396604"/>
      <w:r>
        <w:rPr>
          <w:rFonts w:hint="eastAsia" w:ascii="黑体" w:hAnsi="黑体" w:eastAsia="黑体"/>
          <w:sz w:val="32"/>
          <w:szCs w:val="32"/>
        </w:rPr>
        <w:t>收</w:t>
      </w:r>
      <w:r>
        <w:rPr>
          <w:rStyle w:val="35"/>
          <w:rFonts w:hint="eastAsia" w:ascii="黑体" w:hAnsi="黑体" w:eastAsia="黑体"/>
          <w:b w:val="0"/>
        </w:rPr>
        <w:t>入决算情况说明</w:t>
      </w:r>
      <w:bookmarkEnd w:id="20"/>
      <w:bookmarkEnd w:id="21"/>
    </w:p>
    <w:p w14:paraId="013A32FE">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2023年本年收入合计1490.41万元，其中：一般公共预算财政拨款收入1448.89万元，占97.21%；政府性基金预算财政拨款收入41.52万元，占2.79%；国有资本经营预算财政拨款收入0万元，占0%；上级补助收入0万元，占0%；事业收入0万元，占0%；经营收入0万元，占0%；附属单位上缴收入0万元，占0%；其他收入0万元，占0%。</w:t>
      </w:r>
    </w:p>
    <w:p w14:paraId="4559C220">
      <w:pPr>
        <w:ind w:firstLine="640" w:firstLineChars="200"/>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695190" cy="2409190"/>
            <wp:effectExtent l="4445" t="4445" r="5715"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E837EA3">
      <w:pPr>
        <w:ind w:firstLine="640" w:firstLineChars="200"/>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（图2：收入决算结构图）（饼状图）</w:t>
      </w:r>
    </w:p>
    <w:p w14:paraId="475BB28B">
      <w:pPr>
        <w:pStyle w:val="33"/>
        <w:numPr>
          <w:ilvl w:val="0"/>
          <w:numId w:val="3"/>
        </w:numPr>
        <w:ind w:firstLineChars="0"/>
        <w:jc w:val="left"/>
        <w:outlineLvl w:val="1"/>
        <w:rPr>
          <w:rStyle w:val="35"/>
          <w:rFonts w:ascii="黑体" w:hAnsi="黑体" w:eastAsia="黑体"/>
          <w:b w:val="0"/>
        </w:rPr>
      </w:pPr>
      <w:bookmarkStart w:id="22" w:name="_Toc15377207"/>
      <w:bookmarkStart w:id="23" w:name="_Toc15396605"/>
      <w:r>
        <w:rPr>
          <w:rFonts w:hint="eastAsia" w:ascii="黑体" w:hAnsi="黑体" w:eastAsia="黑体"/>
          <w:color w:val="000000"/>
          <w:sz w:val="32"/>
          <w:szCs w:val="32"/>
        </w:rPr>
        <w:t>支</w:t>
      </w:r>
      <w:r>
        <w:rPr>
          <w:rStyle w:val="35"/>
          <w:rFonts w:hint="eastAsia" w:ascii="黑体" w:hAnsi="黑体" w:eastAsia="黑体"/>
          <w:b w:val="0"/>
        </w:rPr>
        <w:t>出决算情况说明</w:t>
      </w:r>
      <w:bookmarkEnd w:id="22"/>
      <w:bookmarkEnd w:id="23"/>
    </w:p>
    <w:p w14:paraId="511A2C30">
      <w:pPr>
        <w:spacing w:line="576" w:lineRule="exact"/>
        <w:ind w:firstLine="640" w:firstLineChars="200"/>
        <w:jc w:val="left"/>
        <w:rPr>
          <w:rFonts w:ascii="仿宋" w:hAnsi="仿宋" w:eastAsia="仿宋"/>
          <w:sz w:val="32"/>
          <w:szCs w:val="32"/>
          <w:shd w:val="pct10" w:color="auto" w:fill="FFFFFF"/>
        </w:rPr>
      </w:pPr>
      <w:r>
        <w:rPr>
          <w:rFonts w:hint="eastAsia" w:ascii="仿宋" w:hAnsi="仿宋" w:eastAsia="仿宋"/>
          <w:sz w:val="32"/>
          <w:szCs w:val="32"/>
        </w:rPr>
        <w:t>2023年本年支出合计1490.41万元，其中：基本支出1084.47万元，占72.76%；项目支出405.94万元，占27.24%。上缴上级支出0万元，占0%；经营支出0万元，占0%；对附属单位补助支出0万元，占0%。</w:t>
      </w:r>
    </w:p>
    <w:p w14:paraId="7BE39B22">
      <w:pPr>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511040" cy="1967230"/>
            <wp:effectExtent l="4445" t="4445" r="18415"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BB777D">
      <w:pPr>
        <w:spacing w:line="576" w:lineRule="exact"/>
        <w:jc w:val="center"/>
      </w:pPr>
      <w:r>
        <w:rPr>
          <w:rFonts w:hint="eastAsia" w:ascii="仿宋" w:hAnsi="仿宋" w:eastAsia="仿宋"/>
          <w:color w:val="000000" w:themeColor="text1"/>
          <w:sz w:val="32"/>
          <w:szCs w:val="32"/>
          <w14:textFill>
            <w14:solidFill>
              <w14:schemeClr w14:val="tx1"/>
            </w14:solidFill>
          </w14:textFill>
        </w:rPr>
        <w:t>（图3：支出决算结构图）（饼状图）</w:t>
      </w:r>
    </w:p>
    <w:p w14:paraId="484D7D73">
      <w:pPr>
        <w:spacing w:line="576" w:lineRule="exact"/>
        <w:ind w:left="709"/>
        <w:jc w:val="left"/>
        <w:outlineLvl w:val="1"/>
      </w:pPr>
      <w:bookmarkStart w:id="24" w:name="_Toc15396606"/>
      <w:bookmarkStart w:id="25" w:name="_Toc15377208"/>
      <w:r>
        <w:rPr>
          <w:rFonts w:hint="eastAsia" w:ascii="黑体" w:hAnsi="黑体" w:eastAsia="黑体"/>
          <w:color w:val="000000"/>
          <w:sz w:val="32"/>
          <w:szCs w:val="32"/>
        </w:rPr>
        <w:t>四、财</w:t>
      </w:r>
      <w:r>
        <w:rPr>
          <w:rStyle w:val="35"/>
          <w:rFonts w:hint="eastAsia" w:ascii="黑体" w:hAnsi="黑体" w:eastAsia="黑体"/>
          <w:b w:val="0"/>
        </w:rPr>
        <w:t>政拨款收入支出决算总体情况说明</w:t>
      </w:r>
      <w:bookmarkEnd w:id="24"/>
      <w:bookmarkEnd w:id="25"/>
    </w:p>
    <w:p w14:paraId="4A5C479F">
      <w:pPr>
        <w:spacing w:line="576" w:lineRule="exact"/>
        <w:ind w:firstLine="640" w:firstLineChars="200"/>
        <w:jc w:val="left"/>
        <w:rPr>
          <w:rFonts w:ascii="仿宋" w:hAnsi="仿宋" w:eastAsia="仿宋"/>
          <w:sz w:val="32"/>
          <w:szCs w:val="32"/>
        </w:rPr>
      </w:pPr>
      <w:r>
        <w:rPr>
          <w:rFonts w:hint="eastAsia" w:ascii="仿宋" w:hAnsi="仿宋" w:eastAsia="仿宋"/>
          <w:sz w:val="32"/>
          <w:szCs w:val="32"/>
        </w:rPr>
        <w:t>2023年财政拨款</w:t>
      </w:r>
      <w:r>
        <w:rPr>
          <w:rFonts w:ascii="仿宋" w:hAnsi="仿宋" w:eastAsia="仿宋"/>
          <w:sz w:val="32"/>
          <w:szCs w:val="32"/>
        </w:rPr>
        <w:t>收、支</w:t>
      </w:r>
      <w:r>
        <w:rPr>
          <w:rFonts w:hint="eastAsia" w:ascii="仿宋" w:hAnsi="仿宋" w:eastAsia="仿宋"/>
          <w:sz w:val="32"/>
          <w:szCs w:val="32"/>
        </w:rPr>
        <w:t>总计1490.41万元。与2022年相比，财政拨款</w:t>
      </w:r>
      <w:r>
        <w:rPr>
          <w:rFonts w:ascii="仿宋" w:hAnsi="仿宋" w:eastAsia="仿宋"/>
          <w:sz w:val="32"/>
          <w:szCs w:val="32"/>
        </w:rPr>
        <w:t>收、支</w:t>
      </w:r>
      <w:r>
        <w:rPr>
          <w:rFonts w:hint="eastAsia" w:ascii="仿宋" w:hAnsi="仿宋" w:eastAsia="仿宋"/>
          <w:sz w:val="32"/>
          <w:szCs w:val="32"/>
        </w:rPr>
        <w:t>总计减少5.22万元，减少0.35</w:t>
      </w:r>
      <w:r>
        <w:rPr>
          <w:rFonts w:ascii="仿宋" w:hAnsi="仿宋" w:eastAsia="仿宋"/>
          <w:sz w:val="32"/>
          <w:szCs w:val="32"/>
        </w:rPr>
        <w:t>%</w:t>
      </w:r>
      <w:r>
        <w:rPr>
          <w:rFonts w:hint="eastAsia" w:ascii="仿宋" w:hAnsi="仿宋" w:eastAsia="仿宋"/>
          <w:sz w:val="32"/>
          <w:szCs w:val="32"/>
        </w:rPr>
        <w:t>。主要变动原因是人员经费减少。</w:t>
      </w:r>
    </w:p>
    <w:p w14:paraId="2A9DC5CE">
      <w:pPr>
        <w:ind w:firstLine="640" w:firstLineChars="200"/>
        <w:jc w:val="center"/>
        <w:outlineLvl w:val="1"/>
        <w:rPr>
          <w:rFonts w:ascii="仿宋" w:hAnsi="仿宋" w:eastAsia="仿宋"/>
          <w:color w:val="000000" w:themeColor="text1"/>
          <w:sz w:val="32"/>
          <w:szCs w:val="32"/>
          <w14:textFill>
            <w14:solidFill>
              <w14:schemeClr w14:val="tx1"/>
            </w14:solidFill>
          </w14:textFill>
        </w:rPr>
      </w:pPr>
      <w:bookmarkStart w:id="26" w:name="_Toc15377209"/>
      <w:bookmarkStart w:id="27" w:name="_Toc15396607"/>
      <w:r>
        <w:rPr>
          <w:rFonts w:ascii="仿宋_GB2312" w:eastAsia="仿宋_GB2312"/>
          <w:sz w:val="32"/>
          <w:szCs w:val="32"/>
        </w:rPr>
        <w:object>
          <v:shape id="_x0000_i1026" o:spt="75" alt="olechartimg_1724655502856567_348144768" type="#_x0000_t75" style="height:246pt;width:367.5pt;" o:ole="t" filled="f" o:preferrelative="t" stroked="f" coordsize="21600,21600">
            <v:path/>
            <v:fill on="f" focussize="0,0"/>
            <v:stroke on="f" joinstyle="miter"/>
            <v:imagedata r:id="rId10" o:title="olechartimg_1724744656490442_80055552"/>
            <o:lock v:ext="edit" aspectratio="t"/>
            <w10:wrap type="none"/>
            <w10:anchorlock/>
          </v:shape>
          <o:OLEObject Type="Embed" ProgID="Excel.Sheet.8" ShapeID="_x0000_i1026" DrawAspect="Content" ObjectID="_1468075726" r:id="rId9">
            <o:LockedField>false</o:LockedField>
          </o:OLEObject>
        </w:object>
      </w:r>
    </w:p>
    <w:p w14:paraId="48EE1EF7">
      <w:pPr>
        <w:spacing w:line="576" w:lineRule="exact"/>
        <w:ind w:firstLine="640" w:firstLineChars="200"/>
        <w:jc w:val="center"/>
        <w:rPr>
          <w:rFonts w:ascii="仿宋_GB2312" w:eastAsia="仿宋_GB2312"/>
          <w:sz w:val="32"/>
          <w:szCs w:val="32"/>
        </w:rPr>
      </w:pPr>
      <w:r>
        <w:rPr>
          <w:rFonts w:ascii="仿宋_GB2312" w:eastAsia="仿宋_GB2312"/>
          <w:sz w:val="32"/>
          <w:szCs w:val="32"/>
        </w:rPr>
        <w:t>（图</w:t>
      </w:r>
      <w:r>
        <w:rPr>
          <w:rFonts w:hint="eastAsia" w:ascii="仿宋_GB2312" w:eastAsia="仿宋_GB2312"/>
          <w:sz w:val="32"/>
          <w:szCs w:val="32"/>
        </w:rPr>
        <w:t>4</w:t>
      </w:r>
      <w:r>
        <w:rPr>
          <w:rFonts w:ascii="仿宋_GB2312" w:eastAsia="仿宋_GB2312"/>
          <w:sz w:val="32"/>
          <w:szCs w:val="32"/>
        </w:rPr>
        <w:t>：收、支决算总计变动情况图）（柱状图）</w:t>
      </w:r>
    </w:p>
    <w:p w14:paraId="46F4772E">
      <w:pPr>
        <w:spacing w:line="576" w:lineRule="exact"/>
        <w:ind w:firstLine="640" w:firstLineChars="200"/>
        <w:jc w:val="left"/>
        <w:rPr>
          <w:rStyle w:val="35"/>
          <w:rFonts w:ascii="黑体" w:hAnsi="黑体" w:eastAsia="黑体"/>
          <w:b w:val="0"/>
        </w:rPr>
      </w:pPr>
      <w:r>
        <w:rPr>
          <w:rFonts w:hint="eastAsia" w:ascii="黑体" w:hAnsi="黑体" w:eastAsia="黑体"/>
          <w:color w:val="000000"/>
          <w:sz w:val="32"/>
          <w:szCs w:val="32"/>
        </w:rPr>
        <w:t>五、</w:t>
      </w:r>
      <w:r>
        <w:rPr>
          <w:rFonts w:hint="eastAsia" w:ascii="黑体" w:hAnsi="黑体" w:eastAsia="黑体"/>
          <w:b/>
          <w:color w:val="000000"/>
          <w:sz w:val="32"/>
          <w:szCs w:val="32"/>
        </w:rPr>
        <w:t>一</w:t>
      </w:r>
      <w:r>
        <w:rPr>
          <w:rStyle w:val="35"/>
          <w:rFonts w:hint="eastAsia" w:ascii="黑体" w:hAnsi="黑体" w:eastAsia="黑体"/>
          <w:b w:val="0"/>
        </w:rPr>
        <w:t>般公共预算财政拨款支出决算情况说明</w:t>
      </w:r>
      <w:bookmarkEnd w:id="26"/>
      <w:bookmarkEnd w:id="27"/>
    </w:p>
    <w:p w14:paraId="5C7A2BB8">
      <w:pPr>
        <w:spacing w:line="576" w:lineRule="exact"/>
        <w:ind w:firstLine="643" w:firstLineChars="200"/>
        <w:jc w:val="left"/>
        <w:outlineLvl w:val="2"/>
        <w:rPr>
          <w:rFonts w:ascii="仿宋" w:hAnsi="仿宋" w:eastAsia="仿宋"/>
          <w:b/>
          <w:sz w:val="32"/>
          <w:szCs w:val="32"/>
        </w:rPr>
      </w:pPr>
      <w:bookmarkStart w:id="28" w:name="_Toc15377210"/>
      <w:r>
        <w:rPr>
          <w:rFonts w:hint="eastAsia" w:ascii="仿宋" w:hAnsi="仿宋" w:eastAsia="仿宋"/>
          <w:b/>
          <w:sz w:val="32"/>
          <w:szCs w:val="32"/>
        </w:rPr>
        <w:t>（一）一般公共预算财政拨款支出决算总体情况</w:t>
      </w:r>
      <w:bookmarkEnd w:id="28"/>
    </w:p>
    <w:p w14:paraId="13033F8C">
      <w:pPr>
        <w:spacing w:line="576" w:lineRule="exact"/>
        <w:ind w:firstLine="640"/>
        <w:jc w:val="left"/>
        <w:rPr>
          <w:rFonts w:ascii="仿宋_GB2312" w:hAnsi="仿宋_GB2312" w:eastAsia="仿宋_GB2312" w:cs="仿宋_GB2312"/>
          <w:sz w:val="32"/>
        </w:rPr>
      </w:pPr>
      <w:r>
        <w:rPr>
          <w:rFonts w:hint="eastAsia" w:ascii="仿宋" w:hAnsi="仿宋" w:eastAsia="仿宋"/>
          <w:sz w:val="32"/>
          <w:szCs w:val="32"/>
        </w:rPr>
        <w:t>2023年一般公共预算财政拨款支出1448.89万元，占本年支出合计的100</w:t>
      </w:r>
      <w:r>
        <w:rPr>
          <w:rFonts w:ascii="仿宋" w:hAnsi="仿宋" w:eastAsia="仿宋"/>
          <w:sz w:val="32"/>
          <w:szCs w:val="32"/>
        </w:rPr>
        <w:t>%</w:t>
      </w:r>
      <w:r>
        <w:rPr>
          <w:rFonts w:hint="eastAsia" w:ascii="仿宋" w:hAnsi="仿宋" w:eastAsia="仿宋"/>
          <w:sz w:val="32"/>
          <w:szCs w:val="32"/>
        </w:rPr>
        <w:t>。与2022年相比，财政拨款收、支总计减少5.42万元，增长0.37</w:t>
      </w:r>
      <w:r>
        <w:rPr>
          <w:rFonts w:ascii="仿宋" w:hAnsi="仿宋" w:eastAsia="仿宋"/>
          <w:sz w:val="32"/>
          <w:szCs w:val="32"/>
        </w:rPr>
        <w:t>%</w:t>
      </w:r>
      <w:r>
        <w:rPr>
          <w:rFonts w:hint="eastAsia" w:ascii="仿宋" w:hAnsi="仿宋" w:eastAsia="仿宋"/>
          <w:sz w:val="32"/>
          <w:szCs w:val="32"/>
        </w:rPr>
        <w:t>。</w:t>
      </w:r>
      <w:r>
        <w:rPr>
          <w:rFonts w:ascii="仿宋_GB2312" w:hAnsi="仿宋_GB2312" w:eastAsia="仿宋_GB2312" w:cs="仿宋_GB2312"/>
          <w:sz w:val="32"/>
        </w:rPr>
        <w:t>主要变动原因是</w:t>
      </w:r>
      <w:r>
        <w:rPr>
          <w:rFonts w:hint="eastAsia" w:ascii="仿宋_GB2312" w:hAnsi="仿宋_GB2312" w:eastAsia="仿宋_GB2312" w:cs="仿宋_GB2312"/>
          <w:sz w:val="32"/>
        </w:rPr>
        <w:t>一般公共服务支出减少。</w:t>
      </w:r>
    </w:p>
    <w:p w14:paraId="3E5BC1B4">
      <w:pPr>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678680" cy="2350135"/>
            <wp:effectExtent l="5080" t="4445" r="21590" b="76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67F008">
      <w:pPr>
        <w:pStyle w:val="2"/>
        <w:jc w:val="center"/>
      </w:pPr>
      <w:r>
        <w:rPr>
          <w:rFonts w:hint="eastAsia" w:ascii="仿宋" w:hAnsi="仿宋" w:eastAsia="仿宋"/>
          <w:color w:val="000000" w:themeColor="text1"/>
          <w:sz w:val="32"/>
          <w:szCs w:val="32"/>
          <w14:textFill>
            <w14:solidFill>
              <w14:schemeClr w14:val="tx1"/>
            </w14:solidFill>
          </w14:textFill>
        </w:rPr>
        <w:t>（图5：一般公共预算财政拨款支出决算变动情况）（柱状图）</w:t>
      </w:r>
    </w:p>
    <w:p w14:paraId="61C8B72D">
      <w:pPr>
        <w:spacing w:line="576" w:lineRule="exact"/>
        <w:ind w:firstLine="643" w:firstLineChars="200"/>
        <w:jc w:val="left"/>
        <w:outlineLvl w:val="2"/>
        <w:rPr>
          <w:rFonts w:ascii="仿宋" w:hAnsi="仿宋" w:eastAsia="仿宋"/>
          <w:b/>
          <w:sz w:val="32"/>
          <w:szCs w:val="32"/>
        </w:rPr>
      </w:pPr>
      <w:bookmarkStart w:id="29" w:name="_Toc15377211"/>
      <w:r>
        <w:rPr>
          <w:rFonts w:hint="eastAsia" w:ascii="仿宋" w:hAnsi="仿宋" w:eastAsia="仿宋"/>
          <w:b/>
          <w:sz w:val="32"/>
          <w:szCs w:val="32"/>
        </w:rPr>
        <w:t>（二）一般公共预算财政拨款支出决算结构情况</w:t>
      </w:r>
      <w:bookmarkEnd w:id="29"/>
    </w:p>
    <w:p w14:paraId="3351218B">
      <w:pPr>
        <w:spacing w:line="576" w:lineRule="exact"/>
        <w:ind w:firstLine="960" w:firstLineChars="300"/>
        <w:jc w:val="left"/>
        <w:outlineLvl w:val="2"/>
        <w:rPr>
          <w:rFonts w:ascii="仿宋" w:hAnsi="仿宋" w:eastAsia="仿宋"/>
          <w:b/>
          <w:sz w:val="32"/>
          <w:szCs w:val="32"/>
        </w:rPr>
      </w:pPr>
      <w:r>
        <w:rPr>
          <w:rFonts w:hint="eastAsia" w:ascii="仿宋" w:hAnsi="仿宋" w:eastAsia="仿宋"/>
          <w:sz w:val="32"/>
          <w:szCs w:val="32"/>
        </w:rPr>
        <w:t>2023年本年支出合计1448.89万元，其中：一般公共服务支出627.22万元，占43.29</w:t>
      </w:r>
      <w:r>
        <w:rPr>
          <w:rFonts w:ascii="仿宋" w:hAnsi="仿宋" w:eastAsia="仿宋"/>
          <w:sz w:val="32"/>
          <w:szCs w:val="32"/>
        </w:rPr>
        <w:t>%</w:t>
      </w:r>
      <w:r>
        <w:rPr>
          <w:rFonts w:hint="eastAsia" w:ascii="仿宋" w:hAnsi="仿宋" w:eastAsia="仿宋"/>
          <w:sz w:val="32"/>
          <w:szCs w:val="32"/>
        </w:rPr>
        <w:t>；</w:t>
      </w:r>
      <w:r>
        <w:rPr>
          <w:rFonts w:hint="eastAsia" w:ascii="仿宋_GB2312" w:hAnsi="仿宋" w:eastAsia="仿宋_GB2312"/>
          <w:sz w:val="32"/>
          <w:szCs w:val="32"/>
        </w:rPr>
        <w:t>文化</w:t>
      </w:r>
      <w:r>
        <w:rPr>
          <w:rFonts w:hint="eastAsia" w:ascii="仿宋" w:hAnsi="仿宋" w:eastAsia="仿宋"/>
          <w:sz w:val="32"/>
          <w:szCs w:val="32"/>
        </w:rPr>
        <w:t>体育与传媒支出1万元，占0.07%；社会保障和就业支出127.21万元，占8.78%；卫生健康支出44.37万元，占3.06%；节能环保支出</w:t>
      </w:r>
      <w:r>
        <w:rPr>
          <w:rFonts w:hint="eastAsia" w:ascii="仿宋" w:hAnsi="仿宋" w:eastAsia="仿宋" w:cs="仿宋"/>
          <w:sz w:val="32"/>
          <w:szCs w:val="32"/>
        </w:rPr>
        <w:t>8.13万元，占0.56%；城乡社区支出49.57万元，占0.56%；农林水支出568.54万元，占39.24%；住房保障支出59.86万元，占4.13%。</w:t>
      </w:r>
      <w:r>
        <w:rPr>
          <w:rFonts w:hint="eastAsia" w:ascii="仿宋" w:hAnsi="仿宋" w:eastAsia="仿宋"/>
          <w:sz w:val="32"/>
          <w:szCs w:val="32"/>
        </w:rPr>
        <w:t>灾害防治及应急管理支出4.5万元</w:t>
      </w:r>
      <w:r>
        <w:rPr>
          <w:rFonts w:hint="eastAsia" w:ascii="仿宋" w:hAnsi="仿宋" w:eastAsia="仿宋" w:cs="仿宋"/>
          <w:sz w:val="32"/>
          <w:szCs w:val="32"/>
        </w:rPr>
        <w:t>，占0.31%</w:t>
      </w:r>
    </w:p>
    <w:p w14:paraId="34EEA98B">
      <w:pPr>
        <w:ind w:firstLine="640" w:firstLineChars="200"/>
        <w:jc w:val="lef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drawing>
          <wp:inline distT="0" distB="0" distL="114300" distR="114300">
            <wp:extent cx="4975225" cy="2447925"/>
            <wp:effectExtent l="4445" t="4445" r="11430" b="508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F91E5B">
      <w:pPr>
        <w:spacing w:line="576" w:lineRule="exact"/>
        <w:jc w:val="left"/>
      </w:pPr>
      <w:r>
        <w:rPr>
          <w:rFonts w:hint="eastAsia" w:ascii="仿宋" w:hAnsi="仿宋" w:eastAsia="仿宋" w:cs="仿宋"/>
          <w:color w:val="000000"/>
          <w:sz w:val="32"/>
          <w:szCs w:val="32"/>
        </w:rPr>
        <w:t>（图6：一般公共预算财政拨款支出决算结构）（饼状图）</w:t>
      </w:r>
    </w:p>
    <w:p w14:paraId="639376F1">
      <w:pPr>
        <w:spacing w:line="576" w:lineRule="exact"/>
        <w:ind w:firstLine="643" w:firstLineChars="200"/>
        <w:jc w:val="left"/>
        <w:outlineLvl w:val="2"/>
        <w:rPr>
          <w:rFonts w:ascii="仿宋" w:hAnsi="仿宋" w:eastAsia="仿宋"/>
          <w:b/>
          <w:sz w:val="32"/>
          <w:szCs w:val="32"/>
        </w:rPr>
      </w:pPr>
      <w:bookmarkStart w:id="30" w:name="_Toc15377212"/>
      <w:r>
        <w:rPr>
          <w:rFonts w:hint="eastAsia" w:ascii="仿宋" w:hAnsi="仿宋" w:eastAsia="仿宋"/>
          <w:b/>
          <w:sz w:val="32"/>
          <w:szCs w:val="32"/>
        </w:rPr>
        <w:t>（三）一般公共预算财政拨款支出决算具体情况</w:t>
      </w:r>
      <w:bookmarkEnd w:id="30"/>
    </w:p>
    <w:p w14:paraId="4D23CA97">
      <w:pPr>
        <w:spacing w:line="576" w:lineRule="exact"/>
        <w:ind w:firstLine="643" w:firstLineChars="200"/>
        <w:jc w:val="left"/>
        <w:outlineLvl w:val="2"/>
        <w:rPr>
          <w:rStyle w:val="20"/>
          <w:rFonts w:ascii="仿宋" w:hAnsi="仿宋" w:eastAsia="仿宋"/>
          <w:bCs/>
          <w:sz w:val="32"/>
          <w:szCs w:val="32"/>
        </w:rPr>
      </w:pPr>
      <w:bookmarkStart w:id="31" w:name="_Toc15377444"/>
      <w:bookmarkStart w:id="32" w:name="_Toc15378460"/>
      <w:bookmarkStart w:id="33" w:name="_Toc15377213"/>
      <w:r>
        <w:rPr>
          <w:rFonts w:hint="eastAsia" w:ascii="仿宋" w:hAnsi="仿宋" w:eastAsia="仿宋"/>
          <w:b/>
          <w:sz w:val="32"/>
          <w:szCs w:val="32"/>
        </w:rPr>
        <w:t>2023年一般公共预算支出决算数为1448.89万元</w:t>
      </w:r>
      <w:r>
        <w:rPr>
          <w:rFonts w:hint="eastAsia" w:ascii="仿宋" w:hAnsi="仿宋" w:eastAsia="仿宋"/>
          <w:sz w:val="32"/>
          <w:szCs w:val="32"/>
        </w:rPr>
        <w:t>，</w:t>
      </w:r>
      <w:r>
        <w:rPr>
          <w:rStyle w:val="20"/>
          <w:rFonts w:hint="eastAsia" w:ascii="仿宋" w:hAnsi="仿宋" w:eastAsia="仿宋"/>
          <w:bCs/>
          <w:sz w:val="32"/>
          <w:szCs w:val="32"/>
        </w:rPr>
        <w:t>完成预算100</w:t>
      </w:r>
      <w:r>
        <w:rPr>
          <w:rStyle w:val="20"/>
          <w:rFonts w:ascii="仿宋" w:hAnsi="仿宋" w:eastAsia="仿宋"/>
          <w:bCs/>
          <w:sz w:val="32"/>
          <w:szCs w:val="32"/>
        </w:rPr>
        <w:t>%</w:t>
      </w:r>
      <w:r>
        <w:rPr>
          <w:rStyle w:val="20"/>
          <w:rFonts w:hint="eastAsia" w:ascii="仿宋" w:hAnsi="仿宋" w:eastAsia="仿宋"/>
          <w:bCs/>
          <w:sz w:val="32"/>
          <w:szCs w:val="32"/>
        </w:rPr>
        <w:t>。其中：</w:t>
      </w:r>
      <w:bookmarkEnd w:id="31"/>
      <w:bookmarkEnd w:id="32"/>
      <w:bookmarkEnd w:id="33"/>
    </w:p>
    <w:p w14:paraId="354F1537">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sz w:val="32"/>
          <w:szCs w:val="32"/>
        </w:rPr>
        <w:t>1</w:t>
      </w:r>
      <w:r>
        <w:rPr>
          <w:rStyle w:val="20"/>
          <w:rFonts w:hint="eastAsia" w:ascii="仿宋" w:hAnsi="仿宋" w:eastAsia="仿宋"/>
          <w:bCs/>
          <w:sz w:val="32"/>
          <w:szCs w:val="32"/>
        </w:rPr>
        <w:t>.一般公共服务（类）人大事务（款）代表工作（项）</w:t>
      </w:r>
      <w:r>
        <w:rPr>
          <w:rStyle w:val="20"/>
          <w:rFonts w:hint="eastAsia" w:ascii="仿宋" w:hAnsi="仿宋" w:eastAsia="仿宋"/>
          <w:b w:val="0"/>
          <w:bCs/>
          <w:sz w:val="32"/>
          <w:szCs w:val="32"/>
        </w:rPr>
        <w:t>支出决算为1.15万元，完成预算100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w:t>
      </w:r>
      <w:r>
        <w:rPr>
          <w:rStyle w:val="20"/>
          <w:rFonts w:hint="eastAsia" w:ascii="仿宋" w:hAnsi="仿宋" w:eastAsia="仿宋"/>
          <w:b w:val="0"/>
          <w:bCs/>
          <w:color w:val="000000"/>
          <w:sz w:val="32"/>
          <w:szCs w:val="32"/>
        </w:rPr>
        <w:t>原因是严格按照财政规定支付人大代表工作经费。</w:t>
      </w:r>
    </w:p>
    <w:p w14:paraId="5C201062">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color w:val="000000"/>
          <w:sz w:val="32"/>
          <w:szCs w:val="32"/>
        </w:rPr>
        <w:t>2</w:t>
      </w:r>
      <w:r>
        <w:rPr>
          <w:rStyle w:val="20"/>
          <w:rFonts w:ascii="仿宋" w:hAnsi="仿宋" w:eastAsia="仿宋"/>
          <w:bCs/>
          <w:color w:val="000000"/>
          <w:sz w:val="32"/>
          <w:szCs w:val="32"/>
        </w:rPr>
        <w:t>.</w:t>
      </w:r>
      <w:r>
        <w:rPr>
          <w:rStyle w:val="20"/>
          <w:rFonts w:hint="eastAsia" w:ascii="仿宋" w:hAnsi="仿宋" w:eastAsia="仿宋"/>
          <w:bCs/>
          <w:color w:val="000000"/>
          <w:sz w:val="32"/>
          <w:szCs w:val="32"/>
        </w:rPr>
        <w:t>一般公共服务（类）人大事务（款）人大监督（项）</w:t>
      </w:r>
      <w:r>
        <w:rPr>
          <w:rStyle w:val="20"/>
          <w:rFonts w:ascii="仿宋" w:hAnsi="仿宋" w:eastAsia="仿宋"/>
          <w:bCs/>
          <w:color w:val="000000"/>
          <w:sz w:val="32"/>
          <w:szCs w:val="32"/>
        </w:rPr>
        <w:t>:</w:t>
      </w:r>
      <w:r>
        <w:rPr>
          <w:rStyle w:val="20"/>
          <w:rFonts w:ascii="仿宋" w:hAnsi="仿宋" w:eastAsia="仿宋"/>
          <w:b w:val="0"/>
          <w:bCs/>
          <w:color w:val="000000"/>
          <w:sz w:val="32"/>
          <w:szCs w:val="32"/>
        </w:rPr>
        <w:t xml:space="preserve"> </w:t>
      </w:r>
      <w:r>
        <w:rPr>
          <w:rStyle w:val="20"/>
          <w:rFonts w:hint="eastAsia" w:ascii="仿宋" w:hAnsi="仿宋" w:eastAsia="仿宋"/>
          <w:b w:val="0"/>
          <w:bCs/>
          <w:color w:val="000000"/>
          <w:sz w:val="32"/>
          <w:szCs w:val="32"/>
        </w:rPr>
        <w:t>支出决算为2万元，完成预算100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，决算数等于预算数的主要原因是严格按照财政规定支付人大监督经费。</w:t>
      </w:r>
    </w:p>
    <w:p w14:paraId="228F52D6">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color w:val="000000"/>
          <w:sz w:val="32"/>
          <w:szCs w:val="32"/>
        </w:rPr>
        <w:t>3</w:t>
      </w:r>
      <w:r>
        <w:rPr>
          <w:rStyle w:val="20"/>
          <w:rFonts w:ascii="仿宋" w:hAnsi="仿宋" w:eastAsia="仿宋"/>
          <w:bCs/>
          <w:color w:val="000000"/>
          <w:sz w:val="32"/>
          <w:szCs w:val="32"/>
        </w:rPr>
        <w:t>.</w:t>
      </w:r>
      <w:r>
        <w:rPr>
          <w:rStyle w:val="20"/>
          <w:rFonts w:hint="eastAsia" w:ascii="仿宋" w:hAnsi="仿宋" w:eastAsia="仿宋"/>
          <w:bCs/>
          <w:color w:val="000000"/>
          <w:sz w:val="32"/>
          <w:szCs w:val="32"/>
        </w:rPr>
        <w:t>一般公共服务（类）政府办公厅（室）及相关机构事务（款）行政运行（项）</w:t>
      </w:r>
      <w:r>
        <w:rPr>
          <w:rStyle w:val="20"/>
          <w:rFonts w:ascii="仿宋" w:hAnsi="仿宋" w:eastAsia="仿宋"/>
          <w:bCs/>
          <w:color w:val="000000"/>
          <w:sz w:val="32"/>
          <w:szCs w:val="32"/>
        </w:rPr>
        <w:t>:</w:t>
      </w:r>
      <w:r>
        <w:rPr>
          <w:rStyle w:val="20"/>
          <w:rFonts w:ascii="仿宋" w:hAnsi="仿宋" w:eastAsia="仿宋"/>
          <w:b w:val="0"/>
          <w:bCs/>
          <w:color w:val="000000"/>
          <w:sz w:val="32"/>
          <w:szCs w:val="32"/>
        </w:rPr>
        <w:t xml:space="preserve"> </w:t>
      </w:r>
      <w:r>
        <w:rPr>
          <w:rStyle w:val="20"/>
          <w:rFonts w:hint="eastAsia" w:ascii="仿宋" w:hAnsi="仿宋" w:eastAsia="仿宋"/>
          <w:b w:val="0"/>
          <w:bCs/>
          <w:color w:val="000000"/>
          <w:sz w:val="32"/>
          <w:szCs w:val="32"/>
        </w:rPr>
        <w:t>支出决算为399.3万元，完成预算100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，决算数等于预算数的主要原因是严格按照财政规定支付行政运行经费。</w:t>
      </w:r>
    </w:p>
    <w:p w14:paraId="76B3BB81">
      <w:pPr>
        <w:pStyle w:val="15"/>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4.一般公共服务（类）政府办公厅（室）及相关机构事务（款）信访事务（项）</w:t>
      </w:r>
      <w:r>
        <w:rPr>
          <w:rStyle w:val="20"/>
          <w:rFonts w:ascii="仿宋" w:hAnsi="仿宋" w:eastAsia="仿宋"/>
          <w:bCs/>
          <w:color w:val="000000"/>
          <w:sz w:val="32"/>
          <w:szCs w:val="32"/>
        </w:rPr>
        <w:t>:</w:t>
      </w:r>
      <w:r>
        <w:rPr>
          <w:rStyle w:val="20"/>
          <w:rFonts w:ascii="仿宋" w:hAnsi="仿宋" w:eastAsia="仿宋"/>
          <w:b w:val="0"/>
          <w:bCs/>
          <w:color w:val="000000"/>
          <w:sz w:val="32"/>
          <w:szCs w:val="32"/>
        </w:rPr>
        <w:t xml:space="preserve"> </w:t>
      </w:r>
      <w:r>
        <w:rPr>
          <w:rStyle w:val="20"/>
          <w:rFonts w:hint="eastAsia" w:ascii="仿宋" w:hAnsi="仿宋" w:eastAsia="仿宋"/>
          <w:b w:val="0"/>
          <w:bCs/>
          <w:color w:val="000000"/>
          <w:sz w:val="32"/>
          <w:szCs w:val="32"/>
        </w:rPr>
        <w:t>支出决算为2万元，完成预算100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，决算数等于预算数的主要原因是严格按照财政规定支付信访事务经费。</w:t>
      </w:r>
    </w:p>
    <w:p w14:paraId="4B4A819F">
      <w:pPr>
        <w:pStyle w:val="15"/>
        <w:spacing w:line="576" w:lineRule="exact"/>
        <w:ind w:firstLine="643" w:firstLineChars="200"/>
        <w:jc w:val="left"/>
        <w:rPr>
          <w:rFonts w:eastAsia="仿宋"/>
        </w:rPr>
      </w:pPr>
      <w:r>
        <w:rPr>
          <w:rStyle w:val="20"/>
          <w:rFonts w:hint="eastAsia" w:ascii="仿宋" w:hAnsi="仿宋" w:eastAsia="仿宋"/>
          <w:color w:val="000000"/>
          <w:sz w:val="32"/>
          <w:szCs w:val="32"/>
        </w:rPr>
        <w:t>5</w:t>
      </w:r>
      <w:r>
        <w:rPr>
          <w:rStyle w:val="20"/>
          <w:rFonts w:ascii="仿宋" w:hAnsi="仿宋" w:eastAsia="仿宋"/>
          <w:bCs/>
          <w:color w:val="000000"/>
          <w:sz w:val="32"/>
          <w:szCs w:val="32"/>
        </w:rPr>
        <w:t>.</w:t>
      </w:r>
      <w:r>
        <w:rPr>
          <w:rStyle w:val="20"/>
          <w:rFonts w:hint="eastAsia" w:ascii="仿宋" w:hAnsi="仿宋" w:eastAsia="仿宋"/>
          <w:bCs/>
          <w:color w:val="000000"/>
          <w:sz w:val="32"/>
          <w:szCs w:val="32"/>
        </w:rPr>
        <w:t>一般公共服务（类）政府办公厅（室）及相关机构事务（款）事业运行（项）</w:t>
      </w:r>
      <w:r>
        <w:rPr>
          <w:rStyle w:val="20"/>
          <w:rFonts w:ascii="仿宋" w:hAnsi="仿宋" w:eastAsia="仿宋"/>
          <w:bCs/>
          <w:color w:val="000000"/>
          <w:sz w:val="32"/>
          <w:szCs w:val="32"/>
        </w:rPr>
        <w:t>:</w:t>
      </w:r>
      <w:r>
        <w:rPr>
          <w:rStyle w:val="20"/>
          <w:rFonts w:ascii="仿宋" w:hAnsi="仿宋" w:eastAsia="仿宋"/>
          <w:b w:val="0"/>
          <w:bCs/>
          <w:color w:val="000000"/>
          <w:sz w:val="32"/>
          <w:szCs w:val="32"/>
        </w:rPr>
        <w:t xml:space="preserve"> </w:t>
      </w:r>
      <w:r>
        <w:rPr>
          <w:rStyle w:val="20"/>
          <w:rFonts w:hint="eastAsia" w:ascii="仿宋" w:hAnsi="仿宋" w:eastAsia="仿宋"/>
          <w:b w:val="0"/>
          <w:bCs/>
          <w:color w:val="000000"/>
          <w:sz w:val="32"/>
          <w:szCs w:val="32"/>
        </w:rPr>
        <w:t>支出决算为8.38万元，完成预算100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，决算数等于预算数的主要原因是严格按照财政规定支付事业运行经费。</w:t>
      </w:r>
    </w:p>
    <w:p w14:paraId="35F8F78E">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6</w:t>
      </w:r>
      <w:r>
        <w:rPr>
          <w:rStyle w:val="20"/>
          <w:rFonts w:ascii="仿宋" w:hAnsi="仿宋" w:eastAsia="仿宋"/>
          <w:bCs/>
          <w:color w:val="000000"/>
          <w:sz w:val="32"/>
          <w:szCs w:val="32"/>
        </w:rPr>
        <w:t>.</w:t>
      </w:r>
      <w:r>
        <w:rPr>
          <w:rStyle w:val="20"/>
          <w:rFonts w:hint="eastAsia" w:ascii="仿宋" w:hAnsi="仿宋" w:eastAsia="仿宋"/>
          <w:bCs/>
          <w:color w:val="000000"/>
          <w:sz w:val="32"/>
          <w:szCs w:val="32"/>
        </w:rPr>
        <w:t>一般公共服务（类）政府办公厅（室）及相关机构事务（款）其他政府办公厅（室）及相关机构事务（项）</w:t>
      </w:r>
      <w:r>
        <w:rPr>
          <w:rStyle w:val="20"/>
          <w:rFonts w:ascii="仿宋" w:hAnsi="仿宋" w:eastAsia="仿宋"/>
          <w:bCs/>
          <w:color w:val="000000"/>
          <w:sz w:val="32"/>
          <w:szCs w:val="32"/>
        </w:rPr>
        <w:t>:</w:t>
      </w:r>
      <w:r>
        <w:rPr>
          <w:rStyle w:val="20"/>
          <w:rFonts w:ascii="仿宋" w:hAnsi="仿宋" w:eastAsia="仿宋"/>
          <w:b w:val="0"/>
          <w:bCs/>
          <w:color w:val="000000"/>
          <w:sz w:val="32"/>
          <w:szCs w:val="32"/>
        </w:rPr>
        <w:t xml:space="preserve"> </w:t>
      </w:r>
      <w:r>
        <w:rPr>
          <w:rStyle w:val="20"/>
          <w:rFonts w:hint="eastAsia" w:ascii="仿宋" w:hAnsi="仿宋" w:eastAsia="仿宋"/>
          <w:b w:val="0"/>
          <w:bCs/>
          <w:color w:val="000000"/>
          <w:sz w:val="32"/>
          <w:szCs w:val="32"/>
        </w:rPr>
        <w:t>支出决算为212.39万元，完成预算100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，决算数等于预算数的主要原因是严格按照财政规定支付其他政府办公厅（室）及相关机构事务经费。</w:t>
      </w:r>
    </w:p>
    <w:p w14:paraId="34BA23E1">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7</w:t>
      </w:r>
      <w:r>
        <w:rPr>
          <w:rStyle w:val="20"/>
          <w:rFonts w:ascii="仿宋" w:hAnsi="仿宋" w:eastAsia="仿宋"/>
          <w:bCs/>
          <w:color w:val="000000"/>
          <w:sz w:val="32"/>
          <w:szCs w:val="32"/>
        </w:rPr>
        <w:t>.</w:t>
      </w:r>
      <w:r>
        <w:rPr>
          <w:rStyle w:val="20"/>
          <w:rFonts w:hint="eastAsia" w:ascii="仿宋" w:hAnsi="仿宋" w:eastAsia="仿宋"/>
          <w:bCs/>
          <w:color w:val="000000"/>
          <w:sz w:val="32"/>
          <w:szCs w:val="32"/>
        </w:rPr>
        <w:t>一般公共服务（类）统计信息事务（款）其他统计信息事务支出（项）</w:t>
      </w:r>
      <w:r>
        <w:rPr>
          <w:rStyle w:val="20"/>
          <w:rFonts w:ascii="仿宋" w:hAnsi="仿宋" w:eastAsia="仿宋"/>
          <w:bCs/>
          <w:color w:val="000000"/>
          <w:sz w:val="32"/>
          <w:szCs w:val="32"/>
        </w:rPr>
        <w:t>:</w:t>
      </w:r>
      <w:r>
        <w:rPr>
          <w:rStyle w:val="20"/>
          <w:rFonts w:ascii="仿宋" w:hAnsi="仿宋" w:eastAsia="仿宋"/>
          <w:b w:val="0"/>
          <w:bCs/>
          <w:color w:val="000000"/>
          <w:sz w:val="32"/>
          <w:szCs w:val="32"/>
        </w:rPr>
        <w:t xml:space="preserve"> </w:t>
      </w:r>
      <w:r>
        <w:rPr>
          <w:rStyle w:val="20"/>
          <w:rFonts w:hint="eastAsia" w:ascii="仿宋" w:hAnsi="仿宋" w:eastAsia="仿宋"/>
          <w:b w:val="0"/>
          <w:bCs/>
          <w:color w:val="000000"/>
          <w:sz w:val="32"/>
          <w:szCs w:val="32"/>
        </w:rPr>
        <w:t>支出决算为2万元，完成预算100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，决算数等于预算数的主要原因是严格按照财政规定支付统计专项经费。</w:t>
      </w:r>
    </w:p>
    <w:p w14:paraId="479F3D29">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 xml:space="preserve">8.文化旅游与传媒支出（类）文化旅游（款）其他文化旅游支出（项）: </w:t>
      </w:r>
      <w:r>
        <w:rPr>
          <w:rStyle w:val="20"/>
          <w:rFonts w:hint="eastAsia" w:ascii="仿宋" w:hAnsi="仿宋" w:eastAsia="仿宋"/>
          <w:b w:val="0"/>
          <w:bCs/>
          <w:color w:val="000000"/>
          <w:sz w:val="32"/>
          <w:szCs w:val="32"/>
        </w:rPr>
        <w:t>支出决算为1万元，完成预算100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w:t>
      </w:r>
      <w:r>
        <w:rPr>
          <w:rStyle w:val="20"/>
          <w:rFonts w:hint="eastAsia" w:ascii="仿宋" w:hAnsi="仿宋" w:eastAsia="仿宋"/>
          <w:bCs/>
          <w:color w:val="000000"/>
          <w:sz w:val="32"/>
          <w:szCs w:val="32"/>
        </w:rPr>
        <w:t>文</w:t>
      </w:r>
      <w:r>
        <w:rPr>
          <w:rStyle w:val="20"/>
          <w:rFonts w:hint="eastAsia" w:ascii="仿宋" w:hAnsi="仿宋" w:eastAsia="仿宋"/>
          <w:b w:val="0"/>
          <w:bCs/>
          <w:color w:val="000000"/>
          <w:sz w:val="32"/>
          <w:szCs w:val="32"/>
        </w:rPr>
        <w:t>化旅游支出经费。</w:t>
      </w:r>
    </w:p>
    <w:p w14:paraId="08544F47">
      <w:pPr>
        <w:spacing w:line="576" w:lineRule="exact"/>
        <w:ind w:firstLine="640" w:firstLineChars="200"/>
        <w:jc w:val="left"/>
      </w:pPr>
      <w:r>
        <w:rPr>
          <w:rStyle w:val="20"/>
          <w:rFonts w:hint="eastAsia" w:ascii="仿宋" w:hAnsi="仿宋" w:eastAsia="仿宋"/>
          <w:b w:val="0"/>
          <w:color w:val="000000"/>
          <w:sz w:val="32"/>
          <w:szCs w:val="32"/>
        </w:rPr>
        <w:t>9</w:t>
      </w:r>
      <w:r>
        <w:rPr>
          <w:rStyle w:val="20"/>
          <w:rFonts w:hint="eastAsia" w:ascii="仿宋" w:hAnsi="仿宋" w:eastAsia="仿宋"/>
          <w:bCs/>
          <w:color w:val="000000"/>
          <w:sz w:val="32"/>
          <w:szCs w:val="32"/>
        </w:rPr>
        <w:t xml:space="preserve">.社会保障和就业支出（类）行政事业单位养老支出（款）行政单位离退休（项）: </w:t>
      </w:r>
      <w:r>
        <w:rPr>
          <w:rStyle w:val="20"/>
          <w:rFonts w:hint="eastAsia" w:ascii="仿宋" w:hAnsi="仿宋" w:eastAsia="仿宋"/>
          <w:b w:val="0"/>
          <w:bCs/>
          <w:color w:val="000000"/>
          <w:sz w:val="32"/>
          <w:szCs w:val="32"/>
        </w:rPr>
        <w:t>支出决算为53.06万元，完成预算100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，决算数等于预算数的主要原因是严格按照财政规定支付行政单位离退休经费。</w:t>
      </w:r>
    </w:p>
    <w:p w14:paraId="648C07A9">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 xml:space="preserve">10.社会保障和就业支出（类）行政事业单位养老支出（款）机关事业单位基本养老保险缴费支出（项）: </w:t>
      </w:r>
      <w:r>
        <w:rPr>
          <w:rStyle w:val="20"/>
          <w:rFonts w:hint="eastAsia" w:ascii="仿宋" w:hAnsi="仿宋" w:eastAsia="仿宋"/>
          <w:b w:val="0"/>
          <w:bCs/>
          <w:color w:val="000000"/>
          <w:sz w:val="32"/>
          <w:szCs w:val="32"/>
        </w:rPr>
        <w:t>支出决算为68.3万元，完成预算100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，决算数等于预算数的主要原因是严格按照财政规定支付机关事业单位基本养老保险缴费支出经费。</w:t>
      </w:r>
    </w:p>
    <w:p w14:paraId="48409D3D">
      <w:pPr>
        <w:spacing w:line="576" w:lineRule="exact"/>
        <w:ind w:firstLine="640" w:firstLineChars="200"/>
        <w:jc w:val="left"/>
        <w:rPr>
          <w:rStyle w:val="20"/>
          <w:rFonts w:ascii="仿宋" w:hAnsi="仿宋" w:eastAsia="仿宋"/>
          <w:b w:val="0"/>
          <w:bCs/>
          <w:color w:val="000000"/>
          <w:sz w:val="32"/>
          <w:szCs w:val="32"/>
        </w:rPr>
      </w:pPr>
      <w:r>
        <w:rPr>
          <w:rStyle w:val="20"/>
          <w:rFonts w:hint="eastAsia" w:ascii="仿宋" w:hAnsi="仿宋" w:eastAsia="仿宋"/>
          <w:b w:val="0"/>
          <w:color w:val="000000"/>
          <w:sz w:val="32"/>
          <w:szCs w:val="32"/>
        </w:rPr>
        <w:t>11</w:t>
      </w:r>
      <w:r>
        <w:rPr>
          <w:rStyle w:val="20"/>
          <w:rFonts w:hint="eastAsia" w:ascii="仿宋" w:hAnsi="仿宋" w:eastAsia="仿宋"/>
          <w:bCs/>
          <w:color w:val="000000"/>
          <w:sz w:val="32"/>
          <w:szCs w:val="32"/>
        </w:rPr>
        <w:t xml:space="preserve">.社会保障和就业支出（类）其他社会保障和就业支出（款）其他行政事业单位养老支出（项）: </w:t>
      </w:r>
      <w:r>
        <w:rPr>
          <w:rStyle w:val="20"/>
          <w:rFonts w:hint="eastAsia" w:ascii="仿宋" w:hAnsi="仿宋" w:eastAsia="仿宋"/>
          <w:b w:val="0"/>
          <w:bCs/>
          <w:color w:val="000000"/>
          <w:sz w:val="32"/>
          <w:szCs w:val="32"/>
        </w:rPr>
        <w:t>支出决算为3.95万元，完成预算100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，决算数等于预算数的主要原因是严格按照财政规定支付其他行政事业单位养老支出。</w:t>
      </w:r>
    </w:p>
    <w:p w14:paraId="32A3C06F">
      <w:pPr>
        <w:spacing w:line="576" w:lineRule="exact"/>
        <w:ind w:firstLine="643" w:firstLineChars="200"/>
        <w:jc w:val="left"/>
      </w:pPr>
      <w:r>
        <w:rPr>
          <w:rStyle w:val="20"/>
          <w:rFonts w:hint="eastAsia" w:ascii="仿宋" w:hAnsi="仿宋" w:eastAsia="仿宋"/>
          <w:bCs/>
          <w:color w:val="000000"/>
          <w:sz w:val="32"/>
          <w:szCs w:val="32"/>
        </w:rPr>
        <w:t xml:space="preserve">12.社会保障和就业支出（类）其他社会保障和就业支出（款）其他社会保障和就业支出（项）: </w:t>
      </w:r>
      <w:r>
        <w:rPr>
          <w:rStyle w:val="20"/>
          <w:rFonts w:hint="eastAsia" w:ascii="仿宋" w:hAnsi="仿宋" w:eastAsia="仿宋"/>
          <w:b w:val="0"/>
          <w:bCs/>
          <w:color w:val="000000"/>
          <w:sz w:val="32"/>
          <w:szCs w:val="32"/>
        </w:rPr>
        <w:t>支出决算为1.91万元，完成预算100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，决算数等于预算数的主要原因是严格按照财政规定支付其他优抚支出经费。</w:t>
      </w:r>
    </w:p>
    <w:p w14:paraId="1893545C">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13.</w:t>
      </w:r>
      <w:r>
        <w:rPr>
          <w:rStyle w:val="20"/>
          <w:rFonts w:hint="eastAsia" w:ascii="仿宋" w:hAnsi="仿宋" w:eastAsia="仿宋"/>
          <w:bCs/>
          <w:sz w:val="32"/>
          <w:szCs w:val="32"/>
        </w:rPr>
        <w:t>卫生健康支出</w:t>
      </w:r>
      <w:r>
        <w:rPr>
          <w:rStyle w:val="20"/>
          <w:rFonts w:hint="eastAsia" w:ascii="仿宋" w:hAnsi="仿宋" w:eastAsia="仿宋"/>
          <w:bCs/>
          <w:color w:val="000000"/>
          <w:sz w:val="32"/>
          <w:szCs w:val="32"/>
        </w:rPr>
        <w:t xml:space="preserve">（类）行政事业单位医疗（款）行政单位医疗（项）: </w:t>
      </w:r>
      <w:r>
        <w:rPr>
          <w:rStyle w:val="20"/>
          <w:rFonts w:hint="eastAsia" w:ascii="仿宋" w:hAnsi="仿宋" w:eastAsia="仿宋"/>
          <w:b w:val="0"/>
          <w:bCs/>
          <w:color w:val="000000"/>
          <w:sz w:val="32"/>
          <w:szCs w:val="32"/>
        </w:rPr>
        <w:t>支出决算为20.56万元，按照财政规定支付行政单位医疗经费。</w:t>
      </w:r>
    </w:p>
    <w:p w14:paraId="53BEA031">
      <w:pPr>
        <w:spacing w:line="576" w:lineRule="exact"/>
        <w:ind w:firstLine="643" w:firstLineChars="200"/>
        <w:jc w:val="left"/>
        <w:rPr>
          <w:rStyle w:val="20"/>
          <w:rFonts w:ascii="仿宋" w:hAnsi="仿宋" w:eastAsia="仿宋"/>
          <w:b w:val="0"/>
          <w:bCs/>
          <w:color w:val="000000"/>
          <w:sz w:val="32"/>
          <w:szCs w:val="32"/>
        </w:rPr>
      </w:pPr>
      <w:r>
        <w:rPr>
          <w:rStyle w:val="20"/>
          <w:rFonts w:hint="eastAsia" w:ascii="仿宋" w:hAnsi="仿宋" w:eastAsia="仿宋"/>
          <w:bCs/>
          <w:color w:val="000000"/>
          <w:sz w:val="32"/>
          <w:szCs w:val="32"/>
        </w:rPr>
        <w:t>14.</w:t>
      </w:r>
      <w:r>
        <w:rPr>
          <w:rStyle w:val="20"/>
          <w:rFonts w:hint="eastAsia" w:ascii="仿宋" w:hAnsi="仿宋" w:eastAsia="仿宋"/>
          <w:bCs/>
          <w:sz w:val="32"/>
          <w:szCs w:val="32"/>
        </w:rPr>
        <w:t>卫生健康支出</w:t>
      </w:r>
      <w:r>
        <w:rPr>
          <w:rStyle w:val="20"/>
          <w:rFonts w:hint="eastAsia" w:ascii="仿宋" w:hAnsi="仿宋" w:eastAsia="仿宋"/>
          <w:bCs/>
          <w:color w:val="000000"/>
          <w:sz w:val="32"/>
          <w:szCs w:val="32"/>
        </w:rPr>
        <w:t xml:space="preserve">（类）行政事业单位医疗（款）事业单位医疗（项）: </w:t>
      </w:r>
      <w:r>
        <w:rPr>
          <w:rStyle w:val="20"/>
          <w:rFonts w:hint="eastAsia" w:ascii="仿宋" w:hAnsi="仿宋" w:eastAsia="仿宋"/>
          <w:b w:val="0"/>
          <w:bCs/>
          <w:color w:val="000000"/>
          <w:sz w:val="32"/>
          <w:szCs w:val="32"/>
        </w:rPr>
        <w:t>支出决算为13万元，完成预算100</w:t>
      </w:r>
      <w:r>
        <w:rPr>
          <w:rStyle w:val="20"/>
          <w:rFonts w:ascii="仿宋" w:hAnsi="仿宋" w:eastAsia="仿宋"/>
          <w:b w:val="0"/>
          <w:bCs/>
          <w:color w:val="000000"/>
          <w:sz w:val="32"/>
          <w:szCs w:val="32"/>
        </w:rPr>
        <w:t>%</w:t>
      </w:r>
      <w:r>
        <w:rPr>
          <w:rStyle w:val="20"/>
          <w:rFonts w:hint="eastAsia" w:ascii="仿宋" w:hAnsi="仿宋" w:eastAsia="仿宋"/>
          <w:b w:val="0"/>
          <w:bCs/>
          <w:color w:val="000000"/>
          <w:sz w:val="32"/>
          <w:szCs w:val="32"/>
        </w:rPr>
        <w:t>，决算数等于预算数的主要原因是严格按照财政规定支付事业单位医疗经费。</w:t>
      </w:r>
    </w:p>
    <w:p w14:paraId="27A94C14">
      <w:pPr>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sz w:val="32"/>
          <w:szCs w:val="32"/>
        </w:rPr>
        <w:t>15</w:t>
      </w:r>
      <w:r>
        <w:rPr>
          <w:rStyle w:val="20"/>
          <w:rFonts w:hint="eastAsia" w:ascii="仿宋" w:hAnsi="仿宋" w:eastAsia="仿宋"/>
          <w:b w:val="0"/>
          <w:sz w:val="32"/>
          <w:szCs w:val="32"/>
        </w:rPr>
        <w:t>.</w:t>
      </w:r>
      <w:r>
        <w:rPr>
          <w:rStyle w:val="20"/>
          <w:rFonts w:hint="eastAsia" w:ascii="仿宋" w:hAnsi="仿宋" w:eastAsia="仿宋"/>
          <w:bCs/>
          <w:sz w:val="32"/>
          <w:szCs w:val="32"/>
        </w:rPr>
        <w:t xml:space="preserve">卫生健康支出（类）行政事业单位医疗（款）公务员医疗补助（项）: </w:t>
      </w:r>
      <w:r>
        <w:rPr>
          <w:rStyle w:val="20"/>
          <w:rFonts w:hint="eastAsia" w:ascii="仿宋" w:hAnsi="仿宋" w:eastAsia="仿宋"/>
          <w:b w:val="0"/>
          <w:bCs/>
          <w:sz w:val="32"/>
          <w:szCs w:val="32"/>
        </w:rPr>
        <w:t>支出决算为10.81万元，完成预算100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，决算数等于预算数的主要原因是严格按照财政规定支付公务员医疗补助经费。</w:t>
      </w:r>
    </w:p>
    <w:p w14:paraId="57CB4BE7">
      <w:pPr>
        <w:pStyle w:val="23"/>
        <w:spacing w:line="576" w:lineRule="exact"/>
        <w:ind w:firstLine="643" w:firstLineChars="200"/>
        <w:jc w:val="left"/>
        <w:rPr>
          <w:rStyle w:val="20"/>
          <w:rFonts w:hint="default" w:ascii="仿宋" w:hAnsi="仿宋" w:eastAsia="仿宋"/>
          <w:b w:val="0"/>
          <w:bCs/>
          <w:sz w:val="32"/>
          <w:szCs w:val="32"/>
        </w:rPr>
      </w:pPr>
      <w:r>
        <w:rPr>
          <w:rStyle w:val="20"/>
          <w:rFonts w:ascii="仿宋" w:hAnsi="仿宋" w:eastAsia="仿宋"/>
          <w:bCs/>
          <w:sz w:val="32"/>
          <w:szCs w:val="32"/>
        </w:rPr>
        <w:t xml:space="preserve">16.节能环保支出（类）污染环治（款）水体（项）: </w:t>
      </w:r>
      <w:r>
        <w:rPr>
          <w:rStyle w:val="20"/>
          <w:rFonts w:ascii="仿宋" w:hAnsi="仿宋" w:eastAsia="仿宋"/>
          <w:b w:val="0"/>
          <w:bCs/>
          <w:sz w:val="32"/>
          <w:szCs w:val="32"/>
        </w:rPr>
        <w:t>支出决算为8.13万元，完成预算100%，决算数等于预算数的主要原因是严格按照财政规定支付其他节能环保支出经费。</w:t>
      </w:r>
    </w:p>
    <w:p w14:paraId="4EF4FE9B">
      <w:pPr>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color w:val="000000"/>
          <w:sz w:val="32"/>
          <w:szCs w:val="32"/>
        </w:rPr>
        <w:t xml:space="preserve">17.城乡社区支出（类）城乡社区公共设施（款）其他城乡社区公共设施支出（项）: </w:t>
      </w:r>
      <w:r>
        <w:rPr>
          <w:rStyle w:val="20"/>
          <w:rFonts w:hint="eastAsia" w:ascii="仿宋" w:hAnsi="仿宋" w:eastAsia="仿宋"/>
          <w:b w:val="0"/>
          <w:bCs/>
          <w:color w:val="000000"/>
          <w:sz w:val="32"/>
          <w:szCs w:val="32"/>
        </w:rPr>
        <w:t>支出决算为8.05万元，完</w:t>
      </w:r>
      <w:r>
        <w:rPr>
          <w:rStyle w:val="20"/>
          <w:rFonts w:hint="eastAsia" w:ascii="仿宋" w:hAnsi="仿宋" w:eastAsia="仿宋"/>
          <w:b w:val="0"/>
          <w:bCs/>
          <w:sz w:val="32"/>
          <w:szCs w:val="32"/>
        </w:rPr>
        <w:t>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，决算数等于预算数的主要原因是严格按照财政规定支付其他城乡社区公共设施支出经费。</w:t>
      </w:r>
    </w:p>
    <w:p w14:paraId="2ACADC5C">
      <w:pPr>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sz w:val="32"/>
          <w:szCs w:val="32"/>
        </w:rPr>
        <w:t xml:space="preserve">18.农林水支出（类）农业农村（款）事业运行（项）: </w:t>
      </w:r>
      <w:r>
        <w:rPr>
          <w:rStyle w:val="20"/>
          <w:rFonts w:hint="eastAsia" w:ascii="仿宋" w:hAnsi="仿宋" w:eastAsia="仿宋"/>
          <w:b w:val="0"/>
          <w:bCs/>
          <w:sz w:val="32"/>
          <w:szCs w:val="32"/>
        </w:rPr>
        <w:t>支出决算为180万元，完成预算100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，决算数等于预算数的主要原因是严格按照财政规定支付事业运行经费。</w:t>
      </w:r>
    </w:p>
    <w:p w14:paraId="21FB1272">
      <w:pPr>
        <w:spacing w:line="576" w:lineRule="exact"/>
        <w:ind w:firstLine="643" w:firstLineChars="200"/>
        <w:jc w:val="left"/>
      </w:pPr>
      <w:r>
        <w:rPr>
          <w:rStyle w:val="20"/>
          <w:rFonts w:hint="eastAsia" w:ascii="仿宋" w:hAnsi="仿宋" w:eastAsia="仿宋"/>
          <w:bCs/>
          <w:sz w:val="32"/>
          <w:szCs w:val="32"/>
        </w:rPr>
        <w:t xml:space="preserve">19.农林水支出（类）水利（款）其他水利支出（项）: </w:t>
      </w:r>
      <w:r>
        <w:rPr>
          <w:rStyle w:val="20"/>
          <w:rFonts w:hint="eastAsia" w:ascii="仿宋" w:hAnsi="仿宋" w:eastAsia="仿宋"/>
          <w:b w:val="0"/>
          <w:bCs/>
          <w:sz w:val="32"/>
          <w:szCs w:val="32"/>
        </w:rPr>
        <w:t>支出决算为1万元，完成预算100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，决算数等于预算数的主要原因是严格按照财政规定支付水利经费。</w:t>
      </w:r>
    </w:p>
    <w:p w14:paraId="6D7AA704">
      <w:pPr>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sz w:val="32"/>
          <w:szCs w:val="32"/>
        </w:rPr>
        <w:t xml:space="preserve">20.农林水支出（类）农村综合改革（款）对村民委员会和村党支部的补助（项）: </w:t>
      </w:r>
      <w:r>
        <w:rPr>
          <w:rStyle w:val="20"/>
          <w:rFonts w:hint="eastAsia" w:ascii="仿宋" w:hAnsi="仿宋" w:eastAsia="仿宋"/>
          <w:b w:val="0"/>
          <w:bCs/>
          <w:sz w:val="32"/>
          <w:szCs w:val="32"/>
        </w:rPr>
        <w:t>支出决算为387.36万元，完成预算100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，决算数等于预算数的主要原因是严格按照财政规定支付对村民委员会和村党支部的补助经费。</w:t>
      </w:r>
    </w:p>
    <w:p w14:paraId="047CF7FD">
      <w:pPr>
        <w:spacing w:line="576" w:lineRule="exact"/>
        <w:ind w:firstLine="643" w:firstLineChars="200"/>
        <w:jc w:val="left"/>
      </w:pPr>
      <w:r>
        <w:rPr>
          <w:rStyle w:val="20"/>
          <w:rFonts w:hint="eastAsia" w:ascii="仿宋" w:hAnsi="仿宋" w:eastAsia="仿宋"/>
          <w:bCs/>
          <w:sz w:val="32"/>
          <w:szCs w:val="32"/>
        </w:rPr>
        <w:t xml:space="preserve">21.农林水支出（类）其他农林支出（款）其他农林支出（项）: </w:t>
      </w:r>
      <w:r>
        <w:rPr>
          <w:rStyle w:val="20"/>
          <w:rFonts w:hint="eastAsia" w:ascii="仿宋" w:hAnsi="仿宋" w:eastAsia="仿宋"/>
          <w:b w:val="0"/>
          <w:bCs/>
          <w:sz w:val="32"/>
          <w:szCs w:val="32"/>
        </w:rPr>
        <w:t>支出决算为0.2万元，完成预算100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，决算数等于预算数的主要原因是严格按照财政规定支付其他农林支出经费。</w:t>
      </w:r>
    </w:p>
    <w:p w14:paraId="6757A3C8">
      <w:pPr>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sz w:val="32"/>
          <w:szCs w:val="32"/>
        </w:rPr>
        <w:t xml:space="preserve">22.住房保障支出（类）住房改革支出（款）住房公积金（项）: </w:t>
      </w:r>
      <w:r>
        <w:rPr>
          <w:rStyle w:val="20"/>
          <w:rFonts w:hint="eastAsia" w:ascii="仿宋" w:hAnsi="仿宋" w:eastAsia="仿宋"/>
          <w:b w:val="0"/>
          <w:bCs/>
          <w:sz w:val="32"/>
          <w:szCs w:val="32"/>
        </w:rPr>
        <w:t>支出决算为59.86万元，完成预算100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，决算数等于预算数的主要原因是严格按照财政规定支付住房公积金经费。</w:t>
      </w:r>
    </w:p>
    <w:p w14:paraId="2763A907">
      <w:pPr>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sz w:val="32"/>
          <w:szCs w:val="32"/>
        </w:rPr>
        <w:t xml:space="preserve">23.灾害防治应急管理支出（类）应急管理事务（款）灾害风险防治（项）: </w:t>
      </w:r>
      <w:r>
        <w:rPr>
          <w:rStyle w:val="20"/>
          <w:rFonts w:hint="eastAsia" w:ascii="仿宋" w:hAnsi="仿宋" w:eastAsia="仿宋"/>
          <w:b w:val="0"/>
          <w:bCs/>
          <w:sz w:val="32"/>
          <w:szCs w:val="32"/>
        </w:rPr>
        <w:t>支出决算为3.5万元，完成预算100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 xml:space="preserve">，决算数等于预算数的主要原因是严格按照财政规定支付风险防治经费。 </w:t>
      </w:r>
    </w:p>
    <w:p w14:paraId="1578275E">
      <w:pPr>
        <w:pStyle w:val="15"/>
        <w:spacing w:line="576" w:lineRule="exact"/>
        <w:ind w:firstLine="643" w:firstLineChars="200"/>
        <w:jc w:val="left"/>
        <w:rPr>
          <w:rStyle w:val="20"/>
          <w:rFonts w:ascii="仿宋" w:hAnsi="仿宋" w:eastAsia="仿宋"/>
          <w:b w:val="0"/>
          <w:bCs/>
          <w:sz w:val="32"/>
          <w:szCs w:val="32"/>
        </w:rPr>
      </w:pPr>
      <w:r>
        <w:rPr>
          <w:rStyle w:val="20"/>
          <w:rFonts w:hint="eastAsia" w:ascii="仿宋" w:hAnsi="仿宋" w:eastAsia="仿宋"/>
          <w:bCs/>
          <w:sz w:val="32"/>
          <w:szCs w:val="32"/>
        </w:rPr>
        <w:t xml:space="preserve">24.灾害防治应急管理支出（类）应急管理事务（款）应急救援（项）: </w:t>
      </w:r>
      <w:r>
        <w:rPr>
          <w:rStyle w:val="20"/>
          <w:rFonts w:hint="eastAsia" w:ascii="仿宋" w:hAnsi="仿宋" w:eastAsia="仿宋"/>
          <w:b w:val="0"/>
          <w:bCs/>
          <w:sz w:val="32"/>
          <w:szCs w:val="32"/>
        </w:rPr>
        <w:t>支出决算为1万元，完成预算100</w:t>
      </w:r>
      <w:r>
        <w:rPr>
          <w:rStyle w:val="20"/>
          <w:rFonts w:ascii="仿宋" w:hAnsi="仿宋" w:eastAsia="仿宋"/>
          <w:b w:val="0"/>
          <w:bCs/>
          <w:sz w:val="32"/>
          <w:szCs w:val="32"/>
        </w:rPr>
        <w:t>%</w:t>
      </w:r>
      <w:r>
        <w:rPr>
          <w:rStyle w:val="20"/>
          <w:rFonts w:hint="eastAsia" w:ascii="仿宋" w:hAnsi="仿宋" w:eastAsia="仿宋"/>
          <w:b w:val="0"/>
          <w:bCs/>
          <w:sz w:val="32"/>
          <w:szCs w:val="32"/>
        </w:rPr>
        <w:t xml:space="preserve">，决算数等于预算数的主要原因是严格按照财政规定支付应急救援经费。 </w:t>
      </w:r>
    </w:p>
    <w:p w14:paraId="6BF80F24">
      <w:pPr>
        <w:tabs>
          <w:tab w:val="right" w:pos="8306"/>
        </w:tabs>
        <w:spacing w:line="576" w:lineRule="exact"/>
        <w:ind w:firstLine="640"/>
        <w:jc w:val="left"/>
        <w:outlineLvl w:val="1"/>
        <w:rPr>
          <w:rStyle w:val="35"/>
        </w:rPr>
      </w:pPr>
      <w:bookmarkStart w:id="34" w:name="_Toc15396608"/>
      <w:bookmarkStart w:id="35" w:name="_Toc15377214"/>
      <w:r>
        <w:rPr>
          <w:rFonts w:hint="eastAsia" w:ascii="黑体" w:eastAsia="黑体"/>
          <w:color w:val="000000"/>
          <w:sz w:val="32"/>
          <w:szCs w:val="32"/>
        </w:rPr>
        <w:t>六</w:t>
      </w:r>
      <w:r>
        <w:rPr>
          <w:rFonts w:hint="eastAsia" w:ascii="黑体" w:eastAsia="黑体"/>
          <w:b/>
          <w:color w:val="000000"/>
          <w:sz w:val="32"/>
          <w:szCs w:val="32"/>
        </w:rPr>
        <w:t>、</w:t>
      </w:r>
      <w:r>
        <w:rPr>
          <w:rFonts w:hint="eastAsia" w:ascii="黑体" w:hAnsi="黑体" w:eastAsia="黑体"/>
          <w:b/>
          <w:color w:val="000000"/>
          <w:sz w:val="32"/>
          <w:szCs w:val="32"/>
        </w:rPr>
        <w:t>一</w:t>
      </w:r>
      <w:r>
        <w:rPr>
          <w:rStyle w:val="35"/>
          <w:rFonts w:hint="eastAsia" w:ascii="黑体" w:hAnsi="黑体" w:eastAsia="黑体"/>
          <w:b w:val="0"/>
        </w:rPr>
        <w:t>般公共预算财政拨款基本支出决算情况说明</w:t>
      </w:r>
      <w:bookmarkEnd w:id="34"/>
      <w:bookmarkEnd w:id="35"/>
      <w:r>
        <w:rPr>
          <w:rStyle w:val="35"/>
          <w:rFonts w:ascii="黑体" w:hAnsi="黑体" w:eastAsia="黑体"/>
          <w:b w:val="0"/>
        </w:rPr>
        <w:tab/>
      </w:r>
    </w:p>
    <w:p w14:paraId="095F9D90">
      <w:pPr>
        <w:spacing w:line="576"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2023年一般公共预算财政拨款基本支出1027.26万元，其中：</w:t>
      </w:r>
    </w:p>
    <w:p w14:paraId="1293496A">
      <w:pPr>
        <w:spacing w:line="576" w:lineRule="exact"/>
        <w:ind w:firstLine="640" w:firstLineChars="200"/>
        <w:jc w:val="left"/>
        <w:rPr>
          <w:rFonts w:ascii="仿宋" w:hAnsi="仿宋" w:eastAsia="仿宋"/>
          <w:color w:val="000000"/>
          <w:sz w:val="32"/>
          <w:szCs w:val="32"/>
        </w:rPr>
      </w:pPr>
      <w:r>
        <w:rPr>
          <w:rFonts w:hint="eastAsia" w:ascii="仿宋" w:hAnsi="仿宋" w:eastAsia="仿宋"/>
          <w:color w:val="000000"/>
          <w:sz w:val="32"/>
          <w:szCs w:val="32"/>
        </w:rPr>
        <w:t>人员经费981.8万元，</w:t>
      </w:r>
      <w:r>
        <w:rPr>
          <w:rFonts w:ascii="仿宋_GB2312" w:hAnsi="仿宋_GB2312" w:eastAsia="仿宋_GB2312" w:cs="仿宋_GB2312"/>
          <w:sz w:val="32"/>
        </w:rPr>
        <w:t>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r>
        <w:rPr>
          <w:rFonts w:hint="eastAsia" w:ascii="仿宋" w:hAnsi="仿宋" w:eastAsia="仿宋"/>
          <w:sz w:val="32"/>
          <w:szCs w:val="32"/>
        </w:rPr>
        <w:t>。</w:t>
      </w:r>
    </w:p>
    <w:p w14:paraId="707B5FCD">
      <w:pPr>
        <w:spacing w:line="576" w:lineRule="exact"/>
        <w:ind w:firstLine="640" w:firstLineChars="200"/>
        <w:jc w:val="left"/>
        <w:rPr>
          <w:rFonts w:ascii="仿宋" w:hAnsi="仿宋" w:eastAsia="仿宋"/>
          <w:b/>
          <w:color w:val="FF0000"/>
          <w:sz w:val="32"/>
          <w:szCs w:val="32"/>
        </w:rPr>
      </w:pPr>
      <w:r>
        <w:rPr>
          <w:rFonts w:hint="eastAsia" w:ascii="仿宋" w:hAnsi="仿宋" w:eastAsia="仿宋"/>
          <w:color w:val="000000"/>
          <w:sz w:val="32"/>
          <w:szCs w:val="32"/>
        </w:rPr>
        <w:t>公用经费102.67万元，</w:t>
      </w:r>
      <w:r>
        <w:rPr>
          <w:rFonts w:ascii="仿宋_GB2312" w:hAnsi="仿宋_GB2312" w:eastAsia="仿宋_GB2312" w:cs="仿宋_GB2312"/>
          <w:sz w:val="32"/>
        </w:rPr>
        <w:t>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0D5C781F">
      <w:pPr>
        <w:spacing w:line="576" w:lineRule="exact"/>
        <w:ind w:firstLine="640"/>
        <w:jc w:val="left"/>
        <w:outlineLvl w:val="1"/>
        <w:rPr>
          <w:rStyle w:val="35"/>
          <w:rFonts w:ascii="黑体" w:hAnsi="黑体" w:eastAsia="黑体"/>
          <w:b w:val="0"/>
        </w:rPr>
      </w:pPr>
      <w:bookmarkStart w:id="36" w:name="_Toc15396609"/>
      <w:bookmarkStart w:id="37" w:name="_Toc15377215"/>
      <w:r>
        <w:rPr>
          <w:rFonts w:hint="eastAsia" w:ascii="黑体" w:eastAsia="黑体"/>
          <w:color w:val="000000"/>
          <w:sz w:val="32"/>
          <w:szCs w:val="32"/>
        </w:rPr>
        <w:t>七、</w:t>
      </w:r>
      <w:r>
        <w:rPr>
          <w:rStyle w:val="35"/>
          <w:rFonts w:hint="eastAsia" w:ascii="黑体" w:hAnsi="黑体" w:eastAsia="黑体"/>
        </w:rPr>
        <w:t>“</w:t>
      </w:r>
      <w:r>
        <w:rPr>
          <w:rStyle w:val="35"/>
          <w:rFonts w:hint="eastAsia" w:ascii="黑体" w:hAnsi="黑体" w:eastAsia="黑体"/>
          <w:b w:val="0"/>
        </w:rPr>
        <w:t>三公”经费财政拨款支出决算情况说明</w:t>
      </w:r>
      <w:bookmarkEnd w:id="36"/>
      <w:bookmarkEnd w:id="37"/>
    </w:p>
    <w:p w14:paraId="6D0DDE13">
      <w:pPr>
        <w:spacing w:line="576" w:lineRule="exact"/>
        <w:ind w:firstLine="640"/>
        <w:jc w:val="left"/>
        <w:outlineLvl w:val="2"/>
        <w:rPr>
          <w:rFonts w:ascii="仿宋" w:hAnsi="仿宋" w:eastAsia="仿宋"/>
          <w:b/>
          <w:color w:val="000000"/>
          <w:sz w:val="32"/>
          <w:szCs w:val="32"/>
        </w:rPr>
      </w:pPr>
      <w:bookmarkStart w:id="38" w:name="_Toc15377216"/>
      <w:r>
        <w:rPr>
          <w:rFonts w:hint="eastAsia" w:ascii="仿宋" w:hAnsi="仿宋" w:eastAsia="仿宋"/>
          <w:b/>
          <w:color w:val="000000"/>
          <w:sz w:val="32"/>
          <w:szCs w:val="32"/>
        </w:rPr>
        <w:t>（一）“三公”经费财政拨款支出决算总体情况说明</w:t>
      </w:r>
      <w:bookmarkEnd w:id="38"/>
    </w:p>
    <w:p w14:paraId="01D59811">
      <w:pPr>
        <w:spacing w:line="576" w:lineRule="exact"/>
        <w:ind w:firstLine="640"/>
        <w:jc w:val="left"/>
        <w:rPr>
          <w:rFonts w:ascii="仿宋" w:hAnsi="仿宋" w:eastAsia="仿宋"/>
          <w:color w:val="000000"/>
          <w:sz w:val="32"/>
          <w:szCs w:val="32"/>
        </w:rPr>
      </w:pPr>
      <w:r>
        <w:rPr>
          <w:rFonts w:hint="eastAsia" w:ascii="仿宋" w:hAnsi="仿宋" w:eastAsia="仿宋"/>
          <w:color w:val="000000"/>
          <w:sz w:val="32"/>
          <w:szCs w:val="32"/>
        </w:rPr>
        <w:t>2023年“三公”经费财政拨款支出决算为2.09万元，完成预算100</w:t>
      </w:r>
      <w:r>
        <w:rPr>
          <w:rFonts w:ascii="仿宋" w:hAnsi="仿宋" w:eastAsia="仿宋"/>
          <w:color w:val="000000"/>
          <w:sz w:val="32"/>
          <w:szCs w:val="32"/>
        </w:rPr>
        <w:t>%</w:t>
      </w:r>
      <w:r>
        <w:rPr>
          <w:rFonts w:hint="eastAsia" w:ascii="仿宋" w:hAnsi="仿宋" w:eastAsia="仿宋"/>
          <w:color w:val="000000"/>
          <w:sz w:val="32"/>
          <w:szCs w:val="32"/>
        </w:rPr>
        <w:t>，主要原因,一是认真落实中央八项规定精神和厉行节约要求，进一步从严控制“三公”经费开支，全年实际支出比预算有所节约。</w:t>
      </w:r>
    </w:p>
    <w:p w14:paraId="299BC491">
      <w:pPr>
        <w:spacing w:line="576" w:lineRule="exact"/>
        <w:ind w:firstLine="640"/>
        <w:jc w:val="left"/>
        <w:outlineLvl w:val="2"/>
        <w:rPr>
          <w:rFonts w:ascii="仿宋" w:hAnsi="仿宋" w:eastAsia="仿宋"/>
          <w:b/>
          <w:color w:val="000000"/>
          <w:sz w:val="32"/>
          <w:szCs w:val="32"/>
        </w:rPr>
      </w:pPr>
      <w:bookmarkStart w:id="39" w:name="_Toc15377217"/>
      <w:r>
        <w:rPr>
          <w:rFonts w:hint="eastAsia" w:ascii="仿宋" w:hAnsi="仿宋" w:eastAsia="仿宋"/>
          <w:b/>
          <w:color w:val="000000"/>
          <w:sz w:val="32"/>
          <w:szCs w:val="32"/>
        </w:rPr>
        <w:t>（二）“三公”经费财政拨款支出决算具体情况说明</w:t>
      </w:r>
      <w:bookmarkEnd w:id="39"/>
    </w:p>
    <w:p w14:paraId="682738B5">
      <w:pPr>
        <w:spacing w:line="576" w:lineRule="exact"/>
        <w:ind w:firstLine="640"/>
        <w:jc w:val="left"/>
        <w:rPr>
          <w:rFonts w:ascii="仿宋" w:hAnsi="仿宋" w:eastAsia="仿宋"/>
          <w:color w:val="000000"/>
          <w:sz w:val="32"/>
          <w:szCs w:val="32"/>
        </w:rPr>
      </w:pPr>
      <w:r>
        <w:rPr>
          <w:rFonts w:hint="eastAsia" w:ascii="仿宋" w:hAnsi="仿宋" w:eastAsia="仿宋"/>
          <w:color w:val="000000"/>
          <w:sz w:val="32"/>
          <w:szCs w:val="32"/>
        </w:rPr>
        <w:t>2023年“三公”经费财政拨款支出决算中，因公出国（境）费支出决算0万元，占0</w:t>
      </w:r>
      <w:r>
        <w:rPr>
          <w:rFonts w:ascii="仿宋" w:hAnsi="仿宋" w:eastAsia="仿宋"/>
          <w:color w:val="000000"/>
          <w:sz w:val="32"/>
          <w:szCs w:val="32"/>
        </w:rPr>
        <w:t>%</w:t>
      </w:r>
      <w:r>
        <w:rPr>
          <w:rFonts w:hint="eastAsia" w:ascii="仿宋" w:hAnsi="仿宋" w:eastAsia="仿宋"/>
          <w:color w:val="000000"/>
          <w:sz w:val="32"/>
          <w:szCs w:val="32"/>
        </w:rPr>
        <w:t>；公务用车购置及运行维护费支出决算0万元，占0</w:t>
      </w:r>
      <w:r>
        <w:rPr>
          <w:rFonts w:ascii="仿宋" w:hAnsi="仿宋" w:eastAsia="仿宋"/>
          <w:color w:val="000000"/>
          <w:sz w:val="32"/>
          <w:szCs w:val="32"/>
        </w:rPr>
        <w:t>%</w:t>
      </w:r>
      <w:r>
        <w:rPr>
          <w:rFonts w:hint="eastAsia" w:ascii="仿宋" w:hAnsi="仿宋" w:eastAsia="仿宋"/>
          <w:color w:val="000000"/>
          <w:sz w:val="32"/>
          <w:szCs w:val="32"/>
        </w:rPr>
        <w:t>；公务接待费支出决算2.09万元，占100</w:t>
      </w:r>
      <w:r>
        <w:rPr>
          <w:rFonts w:ascii="仿宋" w:hAnsi="仿宋" w:eastAsia="仿宋"/>
          <w:color w:val="000000"/>
          <w:sz w:val="32"/>
          <w:szCs w:val="32"/>
        </w:rPr>
        <w:t>%</w:t>
      </w:r>
      <w:r>
        <w:rPr>
          <w:rFonts w:hint="eastAsia" w:ascii="仿宋" w:hAnsi="仿宋" w:eastAsia="仿宋"/>
          <w:color w:val="000000"/>
          <w:sz w:val="32"/>
          <w:szCs w:val="32"/>
        </w:rPr>
        <w:t>。具体情况如下：</w:t>
      </w:r>
    </w:p>
    <w:p w14:paraId="52BC0037">
      <w:pPr>
        <w:ind w:firstLine="641"/>
        <w:jc w:val="left"/>
        <w:rPr>
          <w:rFonts w:ascii="仿宋" w:hAnsi="仿宋" w:eastAsia="仿宋"/>
          <w:color w:val="000000"/>
          <w:sz w:val="32"/>
          <w:szCs w:val="32"/>
        </w:rPr>
      </w:pPr>
      <w:r>
        <w:rPr>
          <w:rFonts w:hint="eastAsia" w:ascii="仿宋" w:hAnsi="仿宋" w:eastAsia="仿宋"/>
          <w:color w:val="000000"/>
          <w:sz w:val="32"/>
          <w:szCs w:val="32"/>
        </w:rPr>
        <w:drawing>
          <wp:inline distT="0" distB="0" distL="114300" distR="114300">
            <wp:extent cx="4779010" cy="2694305"/>
            <wp:effectExtent l="4445" t="4445" r="17145" b="635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8FDA79">
      <w:pPr>
        <w:spacing w:line="576" w:lineRule="exact"/>
        <w:jc w:val="left"/>
        <w:rPr>
          <w:rFonts w:ascii="仿宋" w:hAnsi="仿宋" w:eastAsia="仿宋"/>
          <w:color w:val="000000"/>
          <w:sz w:val="32"/>
          <w:szCs w:val="32"/>
        </w:rPr>
      </w:pPr>
      <w:r>
        <w:rPr>
          <w:rFonts w:hint="eastAsia" w:ascii="仿宋" w:hAnsi="仿宋" w:eastAsia="仿宋"/>
          <w:color w:val="000000"/>
          <w:sz w:val="32"/>
          <w:szCs w:val="32"/>
        </w:rPr>
        <w:t>（图7：“三公”经费财政拨款支出结构）（饼状图）</w:t>
      </w:r>
    </w:p>
    <w:p w14:paraId="51620483">
      <w:pPr>
        <w:pStyle w:val="2"/>
        <w:spacing w:line="576" w:lineRule="exact"/>
      </w:pPr>
    </w:p>
    <w:p w14:paraId="04090510">
      <w:pPr>
        <w:spacing w:line="576" w:lineRule="exact"/>
        <w:ind w:firstLine="643" w:firstLineChars="200"/>
        <w:jc w:val="left"/>
        <w:rPr>
          <w:rFonts w:ascii="仿宋" w:hAnsi="仿宋" w:eastAsia="仿宋"/>
          <w:color w:val="000000"/>
          <w:sz w:val="32"/>
          <w:szCs w:val="32"/>
        </w:rPr>
      </w:pPr>
      <w:r>
        <w:rPr>
          <w:rFonts w:hint="eastAsia" w:ascii="仿宋_GB2312" w:eastAsia="仿宋_GB2312"/>
          <w:b/>
          <w:color w:val="000000"/>
          <w:sz w:val="32"/>
          <w:szCs w:val="32"/>
        </w:rPr>
        <w:t>1.因公出国（境）经费支出</w:t>
      </w:r>
      <w:r>
        <w:rPr>
          <w:rFonts w:hint="eastAsia" w:ascii="仿宋" w:hAnsi="仿宋" w:eastAsia="仿宋"/>
          <w:color w:val="000000"/>
          <w:sz w:val="32"/>
          <w:szCs w:val="32"/>
        </w:rPr>
        <w:t>0万元，全年安排因公出国（境）团组0次，出国（境）0人。</w:t>
      </w:r>
      <w:r>
        <w:rPr>
          <w:rFonts w:ascii="仿宋" w:hAnsi="仿宋" w:eastAsia="仿宋"/>
          <w:color w:val="000000"/>
          <w:sz w:val="32"/>
          <w:szCs w:val="32"/>
        </w:rPr>
        <w:t>主要原因是</w:t>
      </w:r>
      <w:r>
        <w:rPr>
          <w:rFonts w:hint="eastAsia" w:ascii="仿宋" w:hAnsi="仿宋" w:eastAsia="仿宋"/>
          <w:color w:val="000000"/>
          <w:sz w:val="32"/>
          <w:szCs w:val="32"/>
        </w:rPr>
        <w:t>本年度未安排</w:t>
      </w:r>
      <w:r>
        <w:rPr>
          <w:rFonts w:ascii="仿宋" w:hAnsi="仿宋" w:eastAsia="仿宋"/>
          <w:color w:val="000000"/>
          <w:sz w:val="32"/>
          <w:szCs w:val="32"/>
        </w:rPr>
        <w:t>因公出国（境）经费支出。</w:t>
      </w:r>
    </w:p>
    <w:p w14:paraId="18E4F188">
      <w:pPr>
        <w:spacing w:line="576" w:lineRule="exact"/>
        <w:ind w:firstLine="640"/>
        <w:jc w:val="left"/>
        <w:rPr>
          <w:rFonts w:ascii="仿宋" w:hAnsi="仿宋" w:eastAsia="仿宋"/>
          <w:color w:val="000000"/>
          <w:sz w:val="32"/>
          <w:szCs w:val="32"/>
        </w:rPr>
      </w:pPr>
      <w:r>
        <w:rPr>
          <w:rFonts w:hint="eastAsia" w:ascii="仿宋_GB2312" w:eastAsia="仿宋_GB2312"/>
          <w:b/>
          <w:color w:val="000000"/>
          <w:sz w:val="32"/>
          <w:szCs w:val="32"/>
        </w:rPr>
        <w:t>2.公务用车购置及运行维护费支出</w:t>
      </w:r>
      <w:r>
        <w:rPr>
          <w:rFonts w:hint="eastAsia" w:ascii="仿宋_GB2312" w:eastAsia="仿宋_GB2312"/>
          <w:color w:val="000000"/>
          <w:sz w:val="32"/>
          <w:szCs w:val="32"/>
        </w:rPr>
        <w:t>0</w:t>
      </w:r>
      <w:r>
        <w:rPr>
          <w:rFonts w:hint="eastAsia" w:ascii="仿宋" w:hAnsi="仿宋" w:eastAsia="仿宋"/>
          <w:color w:val="000000"/>
          <w:sz w:val="32"/>
          <w:szCs w:val="32"/>
        </w:rPr>
        <w:t>万元。</w:t>
      </w:r>
      <w:r>
        <w:rPr>
          <w:rFonts w:ascii="仿宋" w:hAnsi="仿宋" w:eastAsia="仿宋"/>
          <w:color w:val="000000"/>
          <w:sz w:val="32"/>
          <w:szCs w:val="32"/>
        </w:rPr>
        <w:t>主要原因是</w:t>
      </w:r>
      <w:r>
        <w:rPr>
          <w:rFonts w:hint="eastAsia" w:ascii="仿宋" w:hAnsi="仿宋" w:eastAsia="仿宋"/>
          <w:color w:val="000000"/>
          <w:sz w:val="32"/>
          <w:szCs w:val="32"/>
        </w:rPr>
        <w:t>本年度未安排</w:t>
      </w:r>
      <w:r>
        <w:rPr>
          <w:rFonts w:ascii="仿宋" w:hAnsi="仿宋" w:eastAsia="仿宋"/>
          <w:color w:val="000000"/>
          <w:sz w:val="32"/>
          <w:szCs w:val="32"/>
        </w:rPr>
        <w:t>公务用车购置及运行维护费支出。</w:t>
      </w:r>
    </w:p>
    <w:p w14:paraId="2A8DAE4C">
      <w:pPr>
        <w:spacing w:line="576" w:lineRule="exact"/>
        <w:ind w:firstLine="640" w:firstLineChars="200"/>
        <w:jc w:val="left"/>
        <w:rPr>
          <w:rFonts w:ascii="仿宋" w:hAnsi="仿宋" w:eastAsia="仿宋"/>
          <w:color w:val="000000"/>
          <w:sz w:val="32"/>
          <w:szCs w:val="32"/>
        </w:rPr>
      </w:pPr>
      <w:r>
        <w:rPr>
          <w:rFonts w:ascii="仿宋" w:hAnsi="仿宋" w:eastAsia="仿宋"/>
          <w:color w:val="000000"/>
          <w:sz w:val="32"/>
          <w:szCs w:val="32"/>
        </w:rPr>
        <w:t>其中：公务用车购置支出</w:t>
      </w:r>
      <w:r>
        <w:rPr>
          <w:rFonts w:hint="eastAsia" w:ascii="仿宋" w:hAnsi="仿宋" w:eastAsia="仿宋"/>
          <w:color w:val="000000"/>
          <w:sz w:val="32"/>
          <w:szCs w:val="32"/>
        </w:rPr>
        <w:t>0</w:t>
      </w:r>
      <w:r>
        <w:rPr>
          <w:rFonts w:ascii="仿宋" w:hAnsi="仿宋" w:eastAsia="仿宋"/>
          <w:color w:val="000000"/>
          <w:sz w:val="32"/>
          <w:szCs w:val="32"/>
        </w:rPr>
        <w:t>万元。全年按规定更新购置公务用车</w:t>
      </w:r>
      <w:r>
        <w:rPr>
          <w:rFonts w:hint="eastAsia" w:ascii="仿宋" w:hAnsi="仿宋" w:eastAsia="仿宋"/>
          <w:color w:val="000000"/>
          <w:sz w:val="32"/>
          <w:szCs w:val="32"/>
        </w:rPr>
        <w:t>0</w:t>
      </w:r>
      <w:r>
        <w:rPr>
          <w:rFonts w:ascii="仿宋" w:hAnsi="仿宋" w:eastAsia="仿宋"/>
          <w:color w:val="000000"/>
          <w:sz w:val="32"/>
          <w:szCs w:val="32"/>
        </w:rPr>
        <w:t>辆，其中：轿车</w:t>
      </w:r>
      <w:r>
        <w:rPr>
          <w:rFonts w:hint="eastAsia" w:ascii="仿宋" w:hAnsi="仿宋" w:eastAsia="仿宋"/>
          <w:color w:val="000000"/>
          <w:sz w:val="32"/>
          <w:szCs w:val="32"/>
        </w:rPr>
        <w:t>0</w:t>
      </w:r>
      <w:r>
        <w:rPr>
          <w:rFonts w:ascii="仿宋" w:hAnsi="仿宋" w:eastAsia="仿宋"/>
          <w:color w:val="000000"/>
          <w:sz w:val="32"/>
          <w:szCs w:val="32"/>
        </w:rPr>
        <w:t>辆、金额</w:t>
      </w:r>
      <w:r>
        <w:rPr>
          <w:rFonts w:hint="eastAsia" w:ascii="仿宋" w:hAnsi="仿宋" w:eastAsia="仿宋"/>
          <w:color w:val="000000"/>
          <w:sz w:val="32"/>
          <w:szCs w:val="32"/>
        </w:rPr>
        <w:t>0</w:t>
      </w:r>
      <w:r>
        <w:rPr>
          <w:rFonts w:ascii="仿宋" w:hAnsi="仿宋" w:eastAsia="仿宋"/>
          <w:color w:val="000000"/>
          <w:sz w:val="32"/>
          <w:szCs w:val="32"/>
        </w:rPr>
        <w:t>万元，越野车</w:t>
      </w:r>
      <w:r>
        <w:rPr>
          <w:rFonts w:hint="eastAsia" w:ascii="仿宋" w:hAnsi="仿宋" w:eastAsia="仿宋"/>
          <w:color w:val="000000"/>
          <w:sz w:val="32"/>
          <w:szCs w:val="32"/>
        </w:rPr>
        <w:t>0</w:t>
      </w:r>
      <w:r>
        <w:rPr>
          <w:rFonts w:ascii="仿宋" w:hAnsi="仿宋" w:eastAsia="仿宋"/>
          <w:color w:val="000000"/>
          <w:sz w:val="32"/>
          <w:szCs w:val="32"/>
        </w:rPr>
        <w:t>辆、金额</w:t>
      </w:r>
      <w:r>
        <w:rPr>
          <w:rFonts w:hint="eastAsia" w:ascii="仿宋" w:hAnsi="仿宋" w:eastAsia="仿宋"/>
          <w:color w:val="000000"/>
          <w:sz w:val="32"/>
          <w:szCs w:val="32"/>
        </w:rPr>
        <w:t>0</w:t>
      </w:r>
      <w:r>
        <w:rPr>
          <w:rFonts w:ascii="仿宋" w:hAnsi="仿宋" w:eastAsia="仿宋"/>
          <w:color w:val="000000"/>
          <w:sz w:val="32"/>
          <w:szCs w:val="32"/>
        </w:rPr>
        <w:t>万元，载客汽车</w:t>
      </w:r>
      <w:r>
        <w:rPr>
          <w:rFonts w:hint="eastAsia" w:ascii="仿宋" w:hAnsi="仿宋" w:eastAsia="仿宋"/>
          <w:color w:val="000000"/>
          <w:sz w:val="32"/>
          <w:szCs w:val="32"/>
        </w:rPr>
        <w:t>0</w:t>
      </w:r>
      <w:r>
        <w:rPr>
          <w:rFonts w:ascii="仿宋" w:hAnsi="仿宋" w:eastAsia="仿宋"/>
          <w:color w:val="000000"/>
          <w:sz w:val="32"/>
          <w:szCs w:val="32"/>
        </w:rPr>
        <w:t>辆、金额</w:t>
      </w:r>
      <w:r>
        <w:rPr>
          <w:rFonts w:hint="eastAsia" w:ascii="仿宋" w:hAnsi="仿宋" w:eastAsia="仿宋"/>
          <w:color w:val="000000"/>
          <w:sz w:val="32"/>
          <w:szCs w:val="32"/>
        </w:rPr>
        <w:t>0</w:t>
      </w:r>
      <w:r>
        <w:rPr>
          <w:rFonts w:ascii="仿宋" w:hAnsi="仿宋" w:eastAsia="仿宋"/>
          <w:color w:val="000000"/>
          <w:sz w:val="32"/>
          <w:szCs w:val="32"/>
        </w:rPr>
        <w:t>万元。截至2023年12月31日，单位共有公务用车</w:t>
      </w:r>
      <w:r>
        <w:rPr>
          <w:rFonts w:hint="eastAsia" w:ascii="仿宋" w:hAnsi="仿宋" w:eastAsia="仿宋"/>
          <w:color w:val="000000"/>
          <w:sz w:val="32"/>
          <w:szCs w:val="32"/>
        </w:rPr>
        <w:t>0</w:t>
      </w:r>
      <w:r>
        <w:rPr>
          <w:rFonts w:ascii="仿宋" w:hAnsi="仿宋" w:eastAsia="仿宋"/>
          <w:color w:val="000000"/>
          <w:sz w:val="32"/>
          <w:szCs w:val="32"/>
        </w:rPr>
        <w:t>辆，其中：轿车</w:t>
      </w:r>
      <w:r>
        <w:rPr>
          <w:rFonts w:hint="eastAsia" w:ascii="仿宋" w:hAnsi="仿宋" w:eastAsia="仿宋"/>
          <w:color w:val="000000"/>
          <w:sz w:val="32"/>
          <w:szCs w:val="32"/>
        </w:rPr>
        <w:t>0</w:t>
      </w:r>
      <w:r>
        <w:rPr>
          <w:rFonts w:ascii="仿宋" w:hAnsi="仿宋" w:eastAsia="仿宋"/>
          <w:color w:val="000000"/>
          <w:sz w:val="32"/>
          <w:szCs w:val="32"/>
        </w:rPr>
        <w:t>辆、越野车</w:t>
      </w:r>
      <w:r>
        <w:rPr>
          <w:rFonts w:hint="eastAsia" w:ascii="仿宋" w:hAnsi="仿宋" w:eastAsia="仿宋"/>
          <w:color w:val="000000"/>
          <w:sz w:val="32"/>
          <w:szCs w:val="32"/>
        </w:rPr>
        <w:t>0</w:t>
      </w:r>
      <w:r>
        <w:rPr>
          <w:rFonts w:ascii="仿宋" w:hAnsi="仿宋" w:eastAsia="仿宋"/>
          <w:color w:val="000000"/>
          <w:sz w:val="32"/>
          <w:szCs w:val="32"/>
        </w:rPr>
        <w:t>辆、载客汽车</w:t>
      </w:r>
      <w:r>
        <w:rPr>
          <w:rFonts w:hint="eastAsia" w:ascii="仿宋" w:hAnsi="仿宋" w:eastAsia="仿宋"/>
          <w:color w:val="000000"/>
          <w:sz w:val="32"/>
          <w:szCs w:val="32"/>
        </w:rPr>
        <w:t>0</w:t>
      </w:r>
      <w:r>
        <w:rPr>
          <w:rFonts w:ascii="仿宋" w:hAnsi="仿宋" w:eastAsia="仿宋"/>
          <w:color w:val="000000"/>
          <w:sz w:val="32"/>
          <w:szCs w:val="32"/>
        </w:rPr>
        <w:t>辆。</w:t>
      </w:r>
    </w:p>
    <w:p w14:paraId="5D249F2B">
      <w:pPr>
        <w:spacing w:line="576" w:lineRule="exact"/>
        <w:ind w:firstLine="640"/>
        <w:jc w:val="left"/>
        <w:rPr>
          <w:rFonts w:ascii="仿宋" w:hAnsi="仿宋" w:eastAsia="仿宋"/>
          <w:color w:val="000000"/>
          <w:sz w:val="32"/>
          <w:szCs w:val="32"/>
        </w:rPr>
      </w:pPr>
      <w:r>
        <w:rPr>
          <w:rFonts w:ascii="仿宋" w:hAnsi="仿宋" w:eastAsia="仿宋"/>
          <w:color w:val="000000"/>
          <w:sz w:val="32"/>
          <w:szCs w:val="32"/>
        </w:rPr>
        <w:t>公务用车运行维护费支出</w:t>
      </w:r>
      <w:r>
        <w:rPr>
          <w:rFonts w:hint="eastAsia" w:ascii="仿宋" w:hAnsi="仿宋" w:eastAsia="仿宋"/>
          <w:color w:val="000000"/>
          <w:sz w:val="32"/>
          <w:szCs w:val="32"/>
        </w:rPr>
        <w:t>0</w:t>
      </w:r>
      <w:r>
        <w:rPr>
          <w:rFonts w:ascii="仿宋" w:hAnsi="仿宋" w:eastAsia="仿宋"/>
          <w:color w:val="000000"/>
          <w:sz w:val="32"/>
          <w:szCs w:val="32"/>
        </w:rPr>
        <w:t>万元。</w:t>
      </w:r>
    </w:p>
    <w:p w14:paraId="2BAFA747">
      <w:pPr>
        <w:spacing w:line="576" w:lineRule="exact"/>
        <w:ind w:firstLine="640"/>
        <w:jc w:val="left"/>
        <w:rPr>
          <w:rFonts w:ascii="仿宋" w:hAnsi="仿宋" w:eastAsia="仿宋"/>
          <w:color w:val="000000"/>
          <w:sz w:val="32"/>
          <w:szCs w:val="32"/>
        </w:rPr>
      </w:pPr>
      <w:r>
        <w:rPr>
          <w:rFonts w:ascii="仿宋_GB2312" w:eastAsia="仿宋_GB2312"/>
          <w:b/>
          <w:sz w:val="32"/>
          <w:szCs w:val="32"/>
        </w:rPr>
        <w:t>3.</w:t>
      </w:r>
      <w:r>
        <w:rPr>
          <w:rFonts w:hint="eastAsia" w:ascii="仿宋_GB2312" w:eastAsia="仿宋_GB2312"/>
          <w:b/>
          <w:sz w:val="32"/>
          <w:szCs w:val="32"/>
        </w:rPr>
        <w:t>公务接待费支出</w:t>
      </w:r>
      <w:r>
        <w:rPr>
          <w:rFonts w:hint="eastAsia" w:ascii="仿宋" w:hAnsi="仿宋" w:eastAsia="仿宋"/>
          <w:color w:val="000000"/>
          <w:sz w:val="32"/>
          <w:szCs w:val="32"/>
        </w:rPr>
        <w:t>4万元，完成预算100%。“三公”经费支出2.09万元，占年初预算100.00%，比上年执行数2.8万元减少0.71万元，减少33.97%。</w:t>
      </w:r>
      <w:r>
        <w:rPr>
          <w:rFonts w:ascii="仿宋" w:hAnsi="仿宋" w:eastAsia="仿宋"/>
          <w:color w:val="000000"/>
          <w:sz w:val="32"/>
          <w:szCs w:val="32"/>
        </w:rPr>
        <w:t>公务接待费支出决算比2022年度减少0.71万元，下降33.97%。主要原因</w:t>
      </w:r>
      <w:r>
        <w:rPr>
          <w:rFonts w:hint="eastAsia" w:ascii="仿宋" w:hAnsi="仿宋" w:eastAsia="仿宋"/>
          <w:color w:val="000000"/>
          <w:sz w:val="32"/>
          <w:szCs w:val="32"/>
        </w:rPr>
        <w:t>认真贯彻落实中央八项规定精神，按照只减不增的要求从严控制</w:t>
      </w:r>
      <w:r>
        <w:rPr>
          <w:rFonts w:ascii="仿宋" w:hAnsi="仿宋" w:eastAsia="仿宋"/>
          <w:color w:val="000000"/>
          <w:sz w:val="32"/>
          <w:szCs w:val="32"/>
        </w:rPr>
        <w:t>“</w:t>
      </w:r>
      <w:r>
        <w:rPr>
          <w:rFonts w:hint="eastAsia" w:ascii="仿宋" w:hAnsi="仿宋" w:eastAsia="仿宋"/>
          <w:color w:val="000000"/>
          <w:sz w:val="32"/>
          <w:szCs w:val="32"/>
        </w:rPr>
        <w:t>三公</w:t>
      </w:r>
      <w:r>
        <w:rPr>
          <w:rFonts w:ascii="仿宋" w:hAnsi="仿宋" w:eastAsia="仿宋"/>
          <w:color w:val="000000"/>
          <w:sz w:val="32"/>
          <w:szCs w:val="32"/>
        </w:rPr>
        <w:t>”</w:t>
      </w:r>
      <w:r>
        <w:rPr>
          <w:rFonts w:hint="eastAsia" w:ascii="仿宋" w:hAnsi="仿宋" w:eastAsia="仿宋"/>
          <w:color w:val="000000"/>
          <w:sz w:val="32"/>
          <w:szCs w:val="32"/>
        </w:rPr>
        <w:t>经费，强化公务接待支出管理，严格遵守公务接待开支范围和开支标准，严格控制陪餐人数，公务接待费大幅下降。</w:t>
      </w:r>
      <w:r>
        <w:rPr>
          <w:rFonts w:ascii="仿宋" w:hAnsi="仿宋" w:eastAsia="仿宋"/>
          <w:color w:val="000000"/>
          <w:sz w:val="32"/>
          <w:szCs w:val="32"/>
        </w:rPr>
        <w:t>其中：</w:t>
      </w:r>
    </w:p>
    <w:p w14:paraId="743589CE">
      <w:pPr>
        <w:spacing w:line="576" w:lineRule="exact"/>
        <w:ind w:firstLine="640"/>
        <w:jc w:val="left"/>
        <w:rPr>
          <w:rFonts w:ascii="仿宋" w:hAnsi="仿宋" w:eastAsia="仿宋"/>
          <w:color w:val="000000"/>
          <w:sz w:val="32"/>
          <w:szCs w:val="32"/>
        </w:rPr>
      </w:pPr>
      <w:r>
        <w:rPr>
          <w:rFonts w:ascii="仿宋" w:hAnsi="仿宋" w:eastAsia="仿宋"/>
          <w:color w:val="000000"/>
          <w:sz w:val="32"/>
          <w:szCs w:val="32"/>
        </w:rPr>
        <w:t>国内公务接待支出</w:t>
      </w:r>
      <w:r>
        <w:rPr>
          <w:rFonts w:hint="eastAsia" w:ascii="仿宋" w:hAnsi="仿宋" w:eastAsia="仿宋"/>
          <w:color w:val="000000"/>
          <w:sz w:val="32"/>
          <w:szCs w:val="32"/>
        </w:rPr>
        <w:t>4</w:t>
      </w:r>
      <w:r>
        <w:rPr>
          <w:rFonts w:ascii="仿宋" w:hAnsi="仿宋" w:eastAsia="仿宋"/>
          <w:color w:val="000000"/>
          <w:sz w:val="32"/>
          <w:szCs w:val="32"/>
        </w:rPr>
        <w:t>万元，主要用于执行公务、开展业务活动开支的交通费、住宿费、用餐费等。国内公务接待103批次，520人次（不包括陪同人员），共计支出2.09万元。</w:t>
      </w:r>
    </w:p>
    <w:p w14:paraId="1F51A10E">
      <w:pPr>
        <w:spacing w:line="576" w:lineRule="exact"/>
        <w:ind w:firstLine="640" w:firstLineChars="200"/>
        <w:jc w:val="left"/>
        <w:rPr>
          <w:rFonts w:ascii="仿宋" w:hAnsi="仿宋" w:eastAsia="仿宋"/>
          <w:color w:val="000000"/>
          <w:sz w:val="32"/>
          <w:szCs w:val="32"/>
        </w:rPr>
      </w:pPr>
      <w:r>
        <w:rPr>
          <w:rFonts w:ascii="仿宋" w:hAnsi="仿宋" w:eastAsia="仿宋"/>
          <w:color w:val="000000"/>
          <w:sz w:val="32"/>
          <w:szCs w:val="32"/>
        </w:rPr>
        <w:t>外事接待支出</w:t>
      </w:r>
      <w:r>
        <w:rPr>
          <w:rFonts w:hint="eastAsia" w:ascii="仿宋" w:hAnsi="仿宋" w:eastAsia="仿宋"/>
          <w:color w:val="000000"/>
          <w:sz w:val="32"/>
          <w:szCs w:val="32"/>
        </w:rPr>
        <w:t>0</w:t>
      </w:r>
      <w:r>
        <w:rPr>
          <w:rFonts w:ascii="仿宋" w:hAnsi="仿宋" w:eastAsia="仿宋"/>
          <w:color w:val="000000"/>
          <w:sz w:val="32"/>
          <w:szCs w:val="32"/>
        </w:rPr>
        <w:t>万元。外事接待</w:t>
      </w:r>
      <w:r>
        <w:rPr>
          <w:rFonts w:hint="eastAsia" w:ascii="仿宋" w:hAnsi="仿宋" w:eastAsia="仿宋"/>
          <w:color w:val="000000"/>
          <w:sz w:val="32"/>
          <w:szCs w:val="32"/>
        </w:rPr>
        <w:t>0</w:t>
      </w:r>
      <w:r>
        <w:rPr>
          <w:rFonts w:ascii="仿宋" w:hAnsi="仿宋" w:eastAsia="仿宋"/>
          <w:color w:val="000000"/>
          <w:sz w:val="32"/>
          <w:szCs w:val="32"/>
        </w:rPr>
        <w:t>批次，</w:t>
      </w:r>
      <w:r>
        <w:rPr>
          <w:rFonts w:hint="eastAsia" w:ascii="仿宋" w:hAnsi="仿宋" w:eastAsia="仿宋"/>
          <w:color w:val="000000"/>
          <w:sz w:val="32"/>
          <w:szCs w:val="32"/>
        </w:rPr>
        <w:t>0</w:t>
      </w:r>
      <w:r>
        <w:rPr>
          <w:rFonts w:ascii="仿宋" w:hAnsi="仿宋" w:eastAsia="仿宋"/>
          <w:color w:val="000000"/>
          <w:sz w:val="32"/>
          <w:szCs w:val="32"/>
        </w:rPr>
        <w:t>人次（不包括陪同人员），共计支出</w:t>
      </w:r>
      <w:r>
        <w:rPr>
          <w:rFonts w:hint="eastAsia" w:ascii="仿宋" w:hAnsi="仿宋" w:eastAsia="仿宋"/>
          <w:color w:val="000000"/>
          <w:sz w:val="32"/>
          <w:szCs w:val="32"/>
        </w:rPr>
        <w:t>0</w:t>
      </w:r>
      <w:r>
        <w:rPr>
          <w:rFonts w:ascii="仿宋" w:hAnsi="仿宋" w:eastAsia="仿宋"/>
          <w:color w:val="000000"/>
          <w:sz w:val="32"/>
          <w:szCs w:val="32"/>
        </w:rPr>
        <w:t>万元。</w:t>
      </w:r>
    </w:p>
    <w:p w14:paraId="3B1FAE82">
      <w:pPr>
        <w:spacing w:line="576" w:lineRule="exact"/>
        <w:ind w:firstLine="640"/>
        <w:jc w:val="left"/>
        <w:outlineLvl w:val="1"/>
        <w:rPr>
          <w:rStyle w:val="35"/>
          <w:rFonts w:ascii="黑体" w:hAnsi="黑体" w:eastAsia="黑体"/>
        </w:rPr>
      </w:pPr>
      <w:bookmarkStart w:id="40" w:name="_Toc15377218"/>
      <w:bookmarkStart w:id="41" w:name="_Toc15396610"/>
      <w:r>
        <w:rPr>
          <w:rFonts w:hint="eastAsia" w:ascii="黑体" w:eastAsia="黑体"/>
          <w:sz w:val="32"/>
          <w:szCs w:val="32"/>
        </w:rPr>
        <w:t>八、</w:t>
      </w:r>
      <w:r>
        <w:rPr>
          <w:rStyle w:val="35"/>
          <w:rFonts w:hint="eastAsia" w:ascii="黑体" w:hAnsi="黑体" w:eastAsia="黑体"/>
          <w:b w:val="0"/>
        </w:rPr>
        <w:t>政府性基金预算支出决算情况说明</w:t>
      </w:r>
      <w:bookmarkEnd w:id="40"/>
      <w:bookmarkEnd w:id="41"/>
    </w:p>
    <w:p w14:paraId="0587AC09">
      <w:pPr>
        <w:spacing w:line="576" w:lineRule="exact"/>
        <w:ind w:firstLine="960" w:firstLineChars="300"/>
        <w:jc w:val="left"/>
        <w:rPr>
          <w:rFonts w:ascii="仿宋" w:hAnsi="仿宋" w:eastAsia="仿宋" w:cs="仿宋"/>
          <w:kern w:val="0"/>
          <w:sz w:val="32"/>
          <w:szCs w:val="32"/>
        </w:rPr>
      </w:pPr>
      <w:r>
        <w:rPr>
          <w:rFonts w:hint="eastAsia" w:ascii="仿宋" w:hAnsi="仿宋" w:eastAsia="仿宋" w:cs="仿宋"/>
          <w:kern w:val="0"/>
          <w:sz w:val="32"/>
          <w:szCs w:val="32"/>
        </w:rPr>
        <w:t>2023年政府性基金预算拨款支出41.52万元。</w:t>
      </w:r>
    </w:p>
    <w:p w14:paraId="369BC290">
      <w:pPr>
        <w:numPr>
          <w:ilvl w:val="0"/>
          <w:numId w:val="4"/>
        </w:numPr>
        <w:spacing w:line="576" w:lineRule="exact"/>
        <w:ind w:firstLine="640"/>
        <w:jc w:val="left"/>
        <w:outlineLvl w:val="1"/>
        <w:rPr>
          <w:rStyle w:val="35"/>
          <w:rFonts w:ascii="黑体" w:hAnsi="黑体" w:eastAsia="黑体"/>
          <w:b w:val="0"/>
        </w:rPr>
      </w:pPr>
      <w:bookmarkStart w:id="42" w:name="_Toc15377219"/>
      <w:bookmarkStart w:id="43" w:name="_Toc15396611"/>
      <w:r>
        <w:rPr>
          <w:rStyle w:val="35"/>
          <w:rFonts w:hint="eastAsia" w:ascii="黑体" w:hAnsi="黑体" w:eastAsia="黑体"/>
          <w:b w:val="0"/>
        </w:rPr>
        <w:t>国有资本经营预算支出决算情况说明</w:t>
      </w:r>
      <w:bookmarkEnd w:id="42"/>
      <w:bookmarkEnd w:id="43"/>
    </w:p>
    <w:p w14:paraId="3479B249">
      <w:pPr>
        <w:spacing w:line="576" w:lineRule="exact"/>
        <w:ind w:firstLine="960" w:firstLineChars="300"/>
        <w:jc w:val="left"/>
        <w:rPr>
          <w:rFonts w:ascii="仿宋" w:hAnsi="仿宋" w:eastAsia="仿宋" w:cs="仿宋"/>
          <w:kern w:val="0"/>
          <w:sz w:val="32"/>
          <w:szCs w:val="32"/>
        </w:rPr>
      </w:pPr>
      <w:r>
        <w:rPr>
          <w:rFonts w:hint="eastAsia" w:ascii="仿宋" w:hAnsi="仿宋" w:eastAsia="仿宋" w:cs="仿宋"/>
          <w:kern w:val="0"/>
          <w:sz w:val="32"/>
          <w:szCs w:val="32"/>
        </w:rPr>
        <w:t>2023年国有资本经营预算拨款支出0万元。</w:t>
      </w:r>
    </w:p>
    <w:p w14:paraId="27F7E3F4">
      <w:pPr>
        <w:spacing w:line="576" w:lineRule="exact"/>
        <w:ind w:firstLine="640" w:firstLineChars="200"/>
        <w:jc w:val="left"/>
        <w:outlineLvl w:val="1"/>
        <w:rPr>
          <w:rStyle w:val="35"/>
          <w:rFonts w:ascii="黑体" w:hAnsi="黑体" w:eastAsia="黑体"/>
        </w:rPr>
      </w:pPr>
      <w:r>
        <w:rPr>
          <w:rFonts w:hint="eastAsia" w:ascii="黑体" w:hAnsi="黑体" w:eastAsia="黑体"/>
          <w:sz w:val="32"/>
          <w:szCs w:val="32"/>
        </w:rPr>
        <w:t>十</w:t>
      </w:r>
      <w:r>
        <w:rPr>
          <w:rStyle w:val="35"/>
          <w:rFonts w:hint="eastAsia" w:ascii="黑体" w:hAnsi="黑体" w:eastAsia="黑体"/>
        </w:rPr>
        <w:t>、</w:t>
      </w:r>
      <w:r>
        <w:rPr>
          <w:rStyle w:val="35"/>
          <w:rFonts w:hint="eastAsia" w:ascii="黑体" w:hAnsi="黑体" w:eastAsia="黑体"/>
          <w:b w:val="0"/>
        </w:rPr>
        <w:t>其他重要事项的情况说明</w:t>
      </w:r>
    </w:p>
    <w:p w14:paraId="66AB9550">
      <w:pPr>
        <w:spacing w:line="576" w:lineRule="exact"/>
        <w:ind w:firstLine="643" w:firstLineChars="200"/>
        <w:jc w:val="left"/>
        <w:outlineLvl w:val="2"/>
        <w:rPr>
          <w:rFonts w:ascii="仿宋" w:hAnsi="仿宋" w:eastAsia="仿宋"/>
          <w:sz w:val="32"/>
          <w:szCs w:val="32"/>
        </w:rPr>
      </w:pPr>
      <w:r>
        <w:rPr>
          <w:rFonts w:hint="eastAsia" w:ascii="仿宋" w:hAnsi="仿宋" w:eastAsia="仿宋"/>
          <w:b/>
          <w:sz w:val="32"/>
          <w:szCs w:val="32"/>
        </w:rPr>
        <w:t>（一）机关运行经费支出情况</w:t>
      </w:r>
    </w:p>
    <w:p w14:paraId="0D5606CF">
      <w:pPr>
        <w:spacing w:line="576" w:lineRule="exact"/>
        <w:ind w:firstLine="960" w:firstLineChars="300"/>
        <w:jc w:val="left"/>
        <w:rPr>
          <w:rFonts w:ascii="仿宋" w:hAnsi="仿宋" w:eastAsia="仿宋_GB2312" w:cs="仿宋"/>
          <w:kern w:val="0"/>
          <w:sz w:val="32"/>
          <w:szCs w:val="32"/>
        </w:rPr>
      </w:pPr>
      <w:r>
        <w:rPr>
          <w:rFonts w:hint="eastAsia" w:ascii="仿宋" w:hAnsi="仿宋" w:eastAsia="仿宋" w:cs="仿宋"/>
          <w:kern w:val="0"/>
          <w:sz w:val="32"/>
          <w:szCs w:val="32"/>
        </w:rPr>
        <w:t>2023年，常理镇机关运行经费支出102.67万元，比2022年增加8.92万元，增加8.68%。</w:t>
      </w:r>
      <w:r>
        <w:rPr>
          <w:rFonts w:ascii="仿宋_GB2312" w:hAnsi="仿宋_GB2312" w:eastAsia="仿宋_GB2312" w:cs="仿宋_GB2312"/>
          <w:sz w:val="32"/>
        </w:rPr>
        <w:t>主要原因是</w:t>
      </w:r>
      <w:r>
        <w:rPr>
          <w:rFonts w:hint="eastAsia" w:ascii="仿宋_GB2312" w:hAnsi="仿宋_GB2312" w:eastAsia="仿宋_GB2312" w:cs="仿宋_GB2312"/>
          <w:sz w:val="32"/>
        </w:rPr>
        <w:t>公用经费增加</w:t>
      </w:r>
      <w:r>
        <w:rPr>
          <w:rFonts w:hint="eastAsia" w:ascii="仿宋" w:hAnsi="仿宋" w:eastAsia="仿宋" w:cs="仿宋"/>
          <w:kern w:val="0"/>
          <w:sz w:val="32"/>
          <w:szCs w:val="32"/>
        </w:rPr>
        <w:t>。</w:t>
      </w:r>
    </w:p>
    <w:p w14:paraId="483EB1A3">
      <w:pPr>
        <w:numPr>
          <w:ilvl w:val="0"/>
          <w:numId w:val="5"/>
        </w:numPr>
        <w:spacing w:line="576" w:lineRule="exact"/>
        <w:ind w:firstLine="640"/>
        <w:jc w:val="left"/>
        <w:rPr>
          <w:rFonts w:ascii="仿宋" w:hAnsi="仿宋" w:eastAsia="仿宋" w:cs="仿宋"/>
          <w:b/>
          <w:bCs/>
          <w:sz w:val="32"/>
          <w:szCs w:val="32"/>
        </w:rPr>
      </w:pPr>
      <w:r>
        <w:rPr>
          <w:rFonts w:hint="eastAsia" w:ascii="仿宋" w:hAnsi="仿宋" w:eastAsia="仿宋" w:cs="仿宋"/>
          <w:b/>
          <w:bCs/>
          <w:sz w:val="32"/>
          <w:szCs w:val="32"/>
        </w:rPr>
        <w:t>政府采购支出情况</w:t>
      </w:r>
    </w:p>
    <w:p w14:paraId="3C6AE93A">
      <w:pPr>
        <w:spacing w:line="576" w:lineRule="exact"/>
        <w:ind w:firstLine="960" w:firstLineChars="300"/>
        <w:jc w:val="left"/>
        <w:rPr>
          <w:rFonts w:ascii="仿宋" w:hAnsi="仿宋" w:eastAsia="仿宋" w:cs="仿宋"/>
          <w:kern w:val="0"/>
          <w:sz w:val="32"/>
          <w:szCs w:val="32"/>
        </w:rPr>
      </w:pPr>
      <w:r>
        <w:rPr>
          <w:rFonts w:ascii="仿宋" w:hAnsi="仿宋" w:eastAsia="仿宋" w:cs="仿宋"/>
          <w:kern w:val="0"/>
          <w:sz w:val="32"/>
          <w:szCs w:val="32"/>
        </w:rPr>
        <w:t>2023年度，</w:t>
      </w:r>
      <w:r>
        <w:rPr>
          <w:rFonts w:hint="eastAsia" w:ascii="仿宋" w:hAnsi="仿宋" w:eastAsia="仿宋" w:cs="仿宋"/>
          <w:kern w:val="0"/>
          <w:sz w:val="32"/>
          <w:szCs w:val="32"/>
        </w:rPr>
        <w:t>常理镇</w:t>
      </w:r>
      <w:r>
        <w:rPr>
          <w:rFonts w:ascii="仿宋" w:hAnsi="仿宋" w:eastAsia="仿宋" w:cs="仿宋"/>
          <w:kern w:val="0"/>
          <w:sz w:val="32"/>
          <w:szCs w:val="32"/>
        </w:rPr>
        <w:t>政府采购支出总额4.2万元，其中：政府采购货物支出4.2万元、政府采购工程支出</w:t>
      </w:r>
      <w:r>
        <w:rPr>
          <w:rFonts w:hint="eastAsia" w:ascii="仿宋" w:hAnsi="仿宋" w:eastAsia="仿宋" w:cs="仿宋"/>
          <w:kern w:val="0"/>
          <w:sz w:val="32"/>
          <w:szCs w:val="32"/>
        </w:rPr>
        <w:t>0</w:t>
      </w:r>
      <w:r>
        <w:rPr>
          <w:rFonts w:ascii="仿宋" w:hAnsi="仿宋" w:eastAsia="仿宋" w:cs="仿宋"/>
          <w:kern w:val="0"/>
          <w:sz w:val="32"/>
          <w:szCs w:val="32"/>
        </w:rPr>
        <w:t>万元、政府采购服务支出</w:t>
      </w:r>
      <w:r>
        <w:rPr>
          <w:rFonts w:hint="eastAsia" w:ascii="仿宋" w:hAnsi="仿宋" w:eastAsia="仿宋" w:cs="仿宋"/>
          <w:kern w:val="0"/>
          <w:sz w:val="32"/>
          <w:szCs w:val="32"/>
        </w:rPr>
        <w:t>0</w:t>
      </w:r>
      <w:r>
        <w:rPr>
          <w:rFonts w:ascii="仿宋" w:hAnsi="仿宋" w:eastAsia="仿宋" w:cs="仿宋"/>
          <w:kern w:val="0"/>
          <w:sz w:val="32"/>
          <w:szCs w:val="32"/>
        </w:rPr>
        <w:t>万元。授予中小企业合同金额4.2万元，占政府采购支出总额的</w:t>
      </w:r>
      <w:r>
        <w:rPr>
          <w:rFonts w:hint="eastAsia" w:ascii="仿宋" w:hAnsi="仿宋" w:eastAsia="仿宋" w:cs="仿宋"/>
          <w:kern w:val="0"/>
          <w:sz w:val="32"/>
          <w:szCs w:val="32"/>
        </w:rPr>
        <w:t>100</w:t>
      </w:r>
      <w:r>
        <w:rPr>
          <w:rFonts w:ascii="仿宋" w:hAnsi="仿宋" w:eastAsia="仿宋" w:cs="仿宋"/>
          <w:kern w:val="0"/>
          <w:sz w:val="32"/>
          <w:szCs w:val="32"/>
        </w:rPr>
        <w:t>%，其中：授予小微企业合同金额</w:t>
      </w:r>
      <w:r>
        <w:rPr>
          <w:rFonts w:hint="eastAsia" w:ascii="仿宋" w:hAnsi="仿宋" w:eastAsia="仿宋" w:cs="仿宋"/>
          <w:kern w:val="0"/>
          <w:sz w:val="32"/>
          <w:szCs w:val="32"/>
        </w:rPr>
        <w:t>0</w:t>
      </w:r>
      <w:r>
        <w:rPr>
          <w:rFonts w:ascii="仿宋" w:hAnsi="仿宋" w:eastAsia="仿宋" w:cs="仿宋"/>
          <w:kern w:val="0"/>
          <w:sz w:val="32"/>
          <w:szCs w:val="32"/>
        </w:rPr>
        <w:t>万元，占政府采购支出总额的</w:t>
      </w:r>
      <w:r>
        <w:rPr>
          <w:rFonts w:hint="eastAsia" w:ascii="仿宋" w:hAnsi="仿宋" w:eastAsia="仿宋" w:cs="仿宋"/>
          <w:kern w:val="0"/>
          <w:sz w:val="32"/>
          <w:szCs w:val="32"/>
        </w:rPr>
        <w:t>0</w:t>
      </w:r>
      <w:r>
        <w:rPr>
          <w:rFonts w:ascii="仿宋" w:hAnsi="仿宋" w:eastAsia="仿宋" w:cs="仿宋"/>
          <w:kern w:val="0"/>
          <w:sz w:val="32"/>
          <w:szCs w:val="32"/>
        </w:rPr>
        <w:t>%。</w:t>
      </w:r>
    </w:p>
    <w:p w14:paraId="46FE8720">
      <w:pPr>
        <w:numPr>
          <w:ilvl w:val="0"/>
          <w:numId w:val="5"/>
        </w:numPr>
        <w:spacing w:line="576" w:lineRule="exact"/>
        <w:ind w:firstLine="640"/>
        <w:jc w:val="left"/>
        <w:rPr>
          <w:rFonts w:ascii="仿宋" w:hAnsi="仿宋" w:eastAsia="仿宋" w:cs="仿宋"/>
          <w:b/>
          <w:bCs/>
          <w:sz w:val="32"/>
          <w:szCs w:val="32"/>
        </w:rPr>
      </w:pPr>
      <w:r>
        <w:rPr>
          <w:rFonts w:hint="eastAsia" w:ascii="仿宋" w:hAnsi="仿宋" w:eastAsia="仿宋" w:cs="仿宋"/>
          <w:b/>
          <w:bCs/>
          <w:sz w:val="32"/>
          <w:szCs w:val="32"/>
        </w:rPr>
        <w:t>国有资产占有使用情况</w:t>
      </w:r>
    </w:p>
    <w:p w14:paraId="45139F45">
      <w:pPr>
        <w:autoSpaceDE w:val="0"/>
        <w:autoSpaceDN w:val="0"/>
        <w:adjustRightInd w:val="0"/>
        <w:spacing w:line="576" w:lineRule="exact"/>
        <w:ind w:firstLine="640" w:firstLineChars="200"/>
        <w:jc w:val="left"/>
        <w:rPr>
          <w:rFonts w:ascii="仿宋" w:hAnsi="仿宋" w:eastAsia="仿宋" w:cs="仿宋"/>
          <w:sz w:val="32"/>
          <w:szCs w:val="32"/>
        </w:rPr>
      </w:pPr>
      <w:r>
        <w:rPr>
          <w:rFonts w:ascii="仿宋_GB2312" w:hAnsi="仿宋_GB2312" w:eastAsia="仿宋_GB2312" w:cs="仿宋_GB2312"/>
          <w:sz w:val="32"/>
        </w:rPr>
        <w:t>截至2023年12月31日，</w:t>
      </w:r>
      <w:r>
        <w:rPr>
          <w:rFonts w:hint="eastAsia" w:ascii="仿宋_GB2312" w:hAnsi="仿宋_GB2312" w:eastAsia="仿宋_GB2312" w:cs="仿宋_GB2312"/>
          <w:sz w:val="32"/>
        </w:rPr>
        <w:t>常理镇</w:t>
      </w:r>
      <w:r>
        <w:rPr>
          <w:rFonts w:ascii="仿宋_GB2312" w:hAnsi="仿宋_GB2312" w:eastAsia="仿宋_GB2312" w:cs="仿宋_GB2312"/>
          <w:sz w:val="32"/>
        </w:rPr>
        <w:t>共有车辆</w:t>
      </w:r>
      <w:r>
        <w:rPr>
          <w:rFonts w:hint="eastAsia" w:ascii="仿宋_GB2312" w:hAnsi="仿宋_GB2312" w:eastAsia="仿宋_GB2312" w:cs="仿宋_GB2312"/>
          <w:sz w:val="32"/>
        </w:rPr>
        <w:t>0</w:t>
      </w:r>
      <w:r>
        <w:rPr>
          <w:rFonts w:ascii="仿宋_GB2312" w:hAnsi="仿宋_GB2312" w:eastAsia="仿宋_GB2312" w:cs="仿宋_GB2312"/>
          <w:sz w:val="32"/>
        </w:rPr>
        <w:t>辆，其中：主要领导干部用车</w:t>
      </w:r>
      <w:r>
        <w:rPr>
          <w:rFonts w:hint="eastAsia" w:ascii="仿宋_GB2312" w:hAnsi="仿宋_GB2312" w:eastAsia="仿宋_GB2312" w:cs="仿宋_GB2312"/>
          <w:sz w:val="32"/>
        </w:rPr>
        <w:t>0</w:t>
      </w:r>
      <w:r>
        <w:rPr>
          <w:rFonts w:ascii="仿宋_GB2312" w:hAnsi="仿宋_GB2312" w:eastAsia="仿宋_GB2312" w:cs="仿宋_GB2312"/>
          <w:sz w:val="32"/>
        </w:rPr>
        <w:t>辆、机要通信用车</w:t>
      </w:r>
      <w:r>
        <w:rPr>
          <w:rFonts w:hint="eastAsia" w:ascii="仿宋_GB2312" w:hAnsi="仿宋_GB2312" w:eastAsia="仿宋_GB2312" w:cs="仿宋_GB2312"/>
          <w:sz w:val="32"/>
        </w:rPr>
        <w:t>0</w:t>
      </w:r>
      <w:r>
        <w:rPr>
          <w:rFonts w:ascii="仿宋_GB2312" w:hAnsi="仿宋_GB2312" w:eastAsia="仿宋_GB2312" w:cs="仿宋_GB2312"/>
          <w:sz w:val="32"/>
        </w:rPr>
        <w:t>辆、应急保障用车</w:t>
      </w:r>
      <w:r>
        <w:rPr>
          <w:rFonts w:hint="eastAsia" w:ascii="仿宋_GB2312" w:hAnsi="仿宋_GB2312" w:eastAsia="仿宋_GB2312" w:cs="仿宋_GB2312"/>
          <w:sz w:val="32"/>
        </w:rPr>
        <w:t>0</w:t>
      </w:r>
      <w:r>
        <w:rPr>
          <w:rFonts w:ascii="仿宋_GB2312" w:hAnsi="仿宋_GB2312" w:eastAsia="仿宋_GB2312" w:cs="仿宋_GB2312"/>
          <w:sz w:val="32"/>
        </w:rPr>
        <w:t>辆、其他用车</w:t>
      </w:r>
      <w:r>
        <w:rPr>
          <w:rFonts w:hint="eastAsia" w:ascii="仿宋_GB2312" w:hAnsi="仿宋_GB2312" w:eastAsia="仿宋_GB2312" w:cs="仿宋_GB2312"/>
          <w:sz w:val="32"/>
        </w:rPr>
        <w:t>0</w:t>
      </w:r>
      <w:r>
        <w:rPr>
          <w:rFonts w:ascii="仿宋_GB2312" w:hAnsi="仿宋_GB2312" w:eastAsia="仿宋_GB2312" w:cs="仿宋_GB2312"/>
          <w:sz w:val="32"/>
        </w:rPr>
        <w:t>辆。单价100万元以上设备（不含车辆）</w:t>
      </w:r>
      <w:r>
        <w:rPr>
          <w:rFonts w:hint="eastAsia" w:ascii="仿宋_GB2312" w:hAnsi="仿宋_GB2312" w:eastAsia="仿宋_GB2312" w:cs="仿宋_GB2312"/>
          <w:sz w:val="32"/>
        </w:rPr>
        <w:t>0</w:t>
      </w:r>
      <w:r>
        <w:rPr>
          <w:rFonts w:ascii="仿宋_GB2312" w:hAnsi="仿宋_GB2312" w:eastAsia="仿宋_GB2312" w:cs="仿宋_GB2312"/>
          <w:sz w:val="32"/>
        </w:rPr>
        <w:t>台（套）。</w:t>
      </w:r>
    </w:p>
    <w:p w14:paraId="151D51AF">
      <w:pPr>
        <w:numPr>
          <w:ilvl w:val="0"/>
          <w:numId w:val="5"/>
        </w:numPr>
        <w:spacing w:line="576" w:lineRule="exact"/>
        <w:ind w:firstLine="640"/>
        <w:jc w:val="left"/>
        <w:rPr>
          <w:rFonts w:ascii="仿宋" w:hAnsi="仿宋" w:eastAsia="仿宋" w:cs="仿宋"/>
          <w:sz w:val="32"/>
          <w:szCs w:val="32"/>
        </w:rPr>
      </w:pPr>
      <w:r>
        <w:rPr>
          <w:rFonts w:hint="eastAsia" w:ascii="仿宋" w:hAnsi="仿宋" w:eastAsia="仿宋" w:cs="仿宋"/>
          <w:b/>
          <w:bCs/>
          <w:sz w:val="32"/>
          <w:szCs w:val="32"/>
        </w:rPr>
        <w:t>预算绩效管理工作开展情况</w:t>
      </w:r>
      <w:r>
        <w:rPr>
          <w:rFonts w:hint="eastAsia" w:ascii="仿宋" w:hAnsi="仿宋" w:eastAsia="仿宋" w:cs="仿宋"/>
          <w:sz w:val="32"/>
          <w:szCs w:val="32"/>
        </w:rPr>
        <w:t>。</w:t>
      </w:r>
    </w:p>
    <w:p w14:paraId="11BBFF05">
      <w:pPr>
        <w:autoSpaceDE w:val="0"/>
        <w:autoSpaceDN w:val="0"/>
        <w:adjustRightInd w:val="0"/>
        <w:spacing w:line="576"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根据预算绩效管理要求，本部门在2023年度预算编制阶段，组织对</w:t>
      </w:r>
      <w:r>
        <w:rPr>
          <w:rFonts w:hint="eastAsia" w:ascii="仿宋_GB2312" w:hAnsi="仿宋_GB2312" w:eastAsia="仿宋_GB2312" w:cs="仿宋_GB2312"/>
          <w:sz w:val="32"/>
        </w:rPr>
        <w:t>“环境卫生整治经费”“乡镇监察工作经费”“乡镇武装部工作经费（含征兵工作）”“乡镇人大代表经费”“维稳信访调解经费” “关心下一代工作专项经费” “乡镇便民服务大厅维护及农村“三资”集体管理经费”“驻村工作队工作经费”“镇（街道）统计工作经费”“乡镇人大代表监督、视察等经费”“防灾应急救助经费”“安全生产监督工作（森林防火、食品安全）等经费”</w:t>
      </w:r>
      <w:r>
        <w:rPr>
          <w:rFonts w:ascii="仿宋_GB2312" w:hAnsi="仿宋_GB2312" w:eastAsia="仿宋_GB2312" w:cs="仿宋_GB2312"/>
          <w:sz w:val="32"/>
        </w:rPr>
        <w:t>等12个项目开展了预算事前绩效评估，对12个项目编制了绩效目标，预算执行过程中，选取</w:t>
      </w:r>
      <w:r>
        <w:rPr>
          <w:rFonts w:hint="eastAsia" w:ascii="仿宋_GB2312" w:hAnsi="仿宋_GB2312" w:eastAsia="仿宋_GB2312" w:cs="仿宋_GB2312"/>
          <w:sz w:val="32"/>
        </w:rPr>
        <w:t>1</w:t>
      </w:r>
      <w:r>
        <w:rPr>
          <w:rFonts w:ascii="仿宋_GB2312" w:hAnsi="仿宋_GB2312" w:eastAsia="仿宋_GB2312" w:cs="仿宋_GB2312"/>
          <w:sz w:val="32"/>
        </w:rPr>
        <w:t>2个项目开展绩效监控。</w:t>
      </w:r>
    </w:p>
    <w:p w14:paraId="1E85A627">
      <w:pPr>
        <w:widowControl/>
        <w:spacing w:line="576" w:lineRule="exact"/>
        <w:ind w:firstLine="640" w:firstLineChars="200"/>
        <w:jc w:val="left"/>
        <w:rPr>
          <w:rFonts w:ascii="仿宋_GB2312" w:hAnsi="仿宋_GB2312" w:eastAsia="仿宋_GB2312" w:cs="仿宋_GB2312"/>
          <w:sz w:val="32"/>
        </w:rPr>
      </w:pPr>
      <w:r>
        <w:rPr>
          <w:rFonts w:ascii="仿宋_GB2312" w:hAnsi="仿宋_GB2312" w:eastAsia="仿宋_GB2312" w:cs="仿宋_GB2312"/>
          <w:sz w:val="32"/>
        </w:rPr>
        <w:t>组织对2023年度一般公共预算、政府性基金预算、国有资本经营预算、社会保险基金预算以及资本资产、债券资金等全面开展绩效自评，形成</w:t>
      </w:r>
      <w:r>
        <w:rPr>
          <w:rFonts w:hint="eastAsia" w:ascii="仿宋_GB2312" w:hAnsi="仿宋_GB2312" w:eastAsia="仿宋_GB2312" w:cs="仿宋_GB2312"/>
          <w:sz w:val="32"/>
        </w:rPr>
        <w:t>遂宁市安居区常理镇人民政府2023年</w:t>
      </w:r>
      <w:r>
        <w:rPr>
          <w:rFonts w:ascii="仿宋_GB2312" w:hAnsi="仿宋_GB2312" w:eastAsia="仿宋_GB2312" w:cs="仿宋_GB2312"/>
          <w:sz w:val="32"/>
        </w:rPr>
        <w:t>部门整体绩效自评报告</w:t>
      </w:r>
      <w:r>
        <w:rPr>
          <w:rFonts w:hint="eastAsia" w:ascii="仿宋_GB2312" w:hAnsi="仿宋_GB2312" w:eastAsia="仿宋_GB2312" w:cs="仿宋_GB2312"/>
          <w:sz w:val="32"/>
        </w:rPr>
        <w:t>；</w:t>
      </w:r>
      <w:r>
        <w:rPr>
          <w:rFonts w:ascii="仿宋_GB2312" w:hAnsi="仿宋_GB2312" w:eastAsia="仿宋_GB2312" w:cs="仿宋_GB2312"/>
          <w:sz w:val="32"/>
        </w:rPr>
        <w:t>组织对</w:t>
      </w:r>
      <w:r>
        <w:rPr>
          <w:rFonts w:hint="eastAsia" w:ascii="仿宋_GB2312" w:hAnsi="仿宋_GB2312" w:eastAsia="仿宋_GB2312" w:cs="仿宋_GB2312"/>
          <w:sz w:val="32"/>
        </w:rPr>
        <w:t>“环境卫生整治经费”“乡镇监察工作经费”“乡镇武装部工作经费（含征兵工作）”“乡镇人大代表经费”“维稳信访调解经费”“关心下一代工作专项经费”“乡镇便民服务大厅维护及农村“三资”集体管理经费”“驻村工作队工作经费”“镇（街道）统计工作经费”“乡镇人大代表监督、视察等经费”“防灾应急救助经费”“安全生产监督工作（森林防火、食品安全）等经费” 等自评报告</w:t>
      </w:r>
      <w:r>
        <w:rPr>
          <w:rFonts w:ascii="仿宋_GB2312" w:hAnsi="仿宋_GB2312" w:eastAsia="仿宋_GB2312" w:cs="仿宋_GB2312"/>
          <w:sz w:val="32"/>
        </w:rPr>
        <w:t>，其中，部门整体绩效自评得分为</w:t>
      </w:r>
      <w:r>
        <w:rPr>
          <w:rFonts w:hint="eastAsia" w:ascii="仿宋_GB2312" w:hAnsi="仿宋_GB2312" w:eastAsia="仿宋_GB2312" w:cs="仿宋_GB2312"/>
          <w:sz w:val="32"/>
        </w:rPr>
        <w:t>90</w:t>
      </w:r>
      <w:r>
        <w:rPr>
          <w:rFonts w:ascii="仿宋_GB2312" w:hAnsi="仿宋_GB2312" w:eastAsia="仿宋_GB2312" w:cs="仿宋_GB2312"/>
          <w:sz w:val="32"/>
        </w:rPr>
        <w:t>分，绩效自评综述：</w:t>
      </w:r>
      <w:r>
        <w:rPr>
          <w:rFonts w:hint="eastAsia" w:ascii="仿宋_GB2312" w:hAnsi="仿宋_GB2312" w:eastAsia="仿宋_GB2312" w:cs="仿宋_GB2312"/>
          <w:sz w:val="32"/>
        </w:rPr>
        <w:t>2023年，我镇通过加强预算收支管理，不断建立健全内部管理制度，梳理内部管理流程，部门整体支出管理情况得到提升，较好的完成了年度工作目标。</w:t>
      </w:r>
    </w:p>
    <w:p w14:paraId="712449AD">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环境卫生整治经费专项项目绩效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项目全年预算数12.3万元，执行数为8.</w:t>
      </w:r>
      <w:r>
        <w:rPr>
          <w:rFonts w:ascii="仿宋_GB2312" w:hAnsi="仿宋_GB2312" w:eastAsia="仿宋_GB2312" w:cs="仿宋_GB2312"/>
          <w:sz w:val="32"/>
        </w:rPr>
        <w:t>1</w:t>
      </w:r>
      <w:r>
        <w:rPr>
          <w:rFonts w:hint="eastAsia" w:ascii="仿宋_GB2312" w:hAnsi="仿宋_GB2312" w:eastAsia="仿宋_GB2312" w:cs="仿宋_GB2312"/>
          <w:sz w:val="32"/>
        </w:rPr>
        <w:t>3万元，完成预算的6</w:t>
      </w:r>
      <w:r>
        <w:rPr>
          <w:rFonts w:ascii="仿宋_GB2312" w:hAnsi="仿宋_GB2312" w:eastAsia="仿宋_GB2312" w:cs="仿宋_GB2312"/>
          <w:sz w:val="32"/>
        </w:rPr>
        <w:t>6.09</w:t>
      </w:r>
      <w:r>
        <w:rPr>
          <w:rFonts w:hint="eastAsia" w:ascii="仿宋_GB2312" w:hAnsi="仿宋_GB2312" w:eastAsia="仿宋_GB2312" w:cs="仿宋_GB2312"/>
          <w:sz w:val="32"/>
        </w:rPr>
        <w:t>%。通过项目实施，改善群众生产生活环境条件，提高群众生活质量为目标，不断完善农村基础设施建设和服务能力，整体提升群众的人居环境和生产环境。发现的主要问题：农村基础设施薄弱，与实际需求有差距，群众意识需进一步提高。下一步改进措施：加大基础设施投入，改善居住环境；加大保护环境的宣传力度，提高群众保护环境的意识。</w:t>
      </w:r>
    </w:p>
    <w:p w14:paraId="6B87189B">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乡镇监察工作经费专项项目绩效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3.00万元，执行数为3.00万元，完成预算的100%。在省市纪委和区委区政府的坚强领导下，紧紧围绕学习贯彻党的十九大这条主线，深入贯彻中央、省市纪委全会精神，聚焦主责主业，强化监督执纪问责，继续深入推进党风廉政建设和反腐败工作。发现的主要问题：项目资金缺乏，不能满足正常工作需要。下一步改进措施：争取节约工作经费，全面开展好工作，不断提高工作科学化、规范化、法治化水平。</w:t>
      </w:r>
    </w:p>
    <w:p w14:paraId="3043F36B">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乡镇武装部工作经费（含征兵工作）专项项目绩效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，绩效自评综述：项目全年预算数2万元，执行数为2万元，完成预算的100%。通过项目实施，积极动员、宣传，完成了当年征兵目标任务。通过</w:t>
      </w:r>
      <w:r>
        <w:rPr>
          <w:rFonts w:hint="eastAsia" w:ascii="仿宋_GB2312" w:hAnsi="仿宋_GB2312" w:eastAsia="仿宋_GB2312" w:cs="仿宋_GB2312"/>
          <w:sz w:val="32"/>
          <w:lang w:eastAsia="zh-CN"/>
        </w:rPr>
        <w:t>多种途径</w:t>
      </w:r>
      <w:r>
        <w:rPr>
          <w:rFonts w:hint="eastAsia" w:ascii="仿宋_GB2312" w:hAnsi="仿宋_GB2312" w:eastAsia="仿宋_GB2312" w:cs="仿宋_GB2312"/>
          <w:sz w:val="32"/>
        </w:rPr>
        <w:t>对民兵的文化素质、身体素质进行了相关培训，圆满实现预期目标。发现的主要问题：群众参与积极性有待加强。 下一步改进措施：大力宣传当兵光荣，提升民兵预备役队伍建设。</w:t>
      </w:r>
    </w:p>
    <w:p w14:paraId="476DD727">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乡镇人大代表经费专项项目绩效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3.15万元，执行数为1.15万元，完成预算的36.4%。通过项目实施，为代表履职提供平台，提升代表履职服务的保障。加强了人大代表与人民群众的密切联系，加强和改进新形势下的人大工作，有利于充分发挥人大工作的特点和优势，积极动员全镇人民以主人翁姿态投身到经济社会发展中。发现的主要问题：工作细节考虑不够周全。下一步改进措施：进一步健全和完善财务管理制度及内部控制制度，创新管理手段，用新思路、新方法，改进完善财务管理方法。按照财政支出绩效管理的要求，建立科学的财政资金效益考评制度体系，不断提高财政资金使用管理的水平和效率。</w:t>
      </w:r>
    </w:p>
    <w:p w14:paraId="687293D0">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维稳调解经费专项项目绩效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2万元，执行数为2万元，完成预算的100%。通过项目实施，确保开展矛盾纠纷排查调处工作顺利开展，按时办结上级交办的信访案件，及时化解群体性事件隐患和处理重大疑难信访问题，维护社会的稳定。发现的主要问题：维稳调解所需经费大、运行成本高，资金缺口较大。下一步改进措施：争取节约工作经费，全面开展好信访工作，不断提高信访工作科学化、规范化、法治化水平。</w:t>
      </w:r>
    </w:p>
    <w:p w14:paraId="5E5FA861">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关心下一代工作专项经费专项项目绩效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3.00万元，执行数为1.37万元，完成预算的45.66%。通过项目实施，以青少年为工作对象，以关心、教育、培养青少年健康成长为目的，围绕党委政府工作大局，服务中心，拓宽领域，突出特色，全面推进关心下一代工作顺利开展。</w:t>
      </w:r>
      <w:r>
        <w:rPr>
          <w:rFonts w:ascii="Calibri" w:hAnsi="Calibri" w:eastAsia="仿宋_GB2312" w:cs="Calibri"/>
          <w:sz w:val="32"/>
        </w:rPr>
        <w:t> </w:t>
      </w:r>
      <w:r>
        <w:rPr>
          <w:rFonts w:hint="eastAsia" w:ascii="仿宋_GB2312" w:hAnsi="仿宋_GB2312" w:eastAsia="仿宋_GB2312" w:cs="仿宋_GB2312"/>
          <w:sz w:val="32"/>
        </w:rPr>
        <w:t>发现的主要问题：项目资金缺乏，不能满足关心下一代工作专项经费项目工作需要。下一步改进措施：争取节约工作经费，全面开展好工作，不断提高工作科学化、规范化、法治化水平。</w:t>
      </w:r>
    </w:p>
    <w:p w14:paraId="55AF1CBA">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乡镇便民服务大厅维护及农村“三资”集体管理经费专项项目绩效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1万元，执行数为1万元，完成预算的100%。通过项目实施，保障便民服务中心及“三资”管理工作日常办公运转，公开办事流程，简化办事程序，提高便民大厅服务功能，定期对村三资进行公示公开，保护村、社区资金资产资源权益。发现的主要问题：乡镇便民服务大厅维护及农村“三资”集体管理工作资金短缺，不能满足实际工作需要。下一步改进措施：争取节约工作经费，全面开展好工作，不断提高工作科学化、规范化、法治化水平。</w:t>
      </w:r>
    </w:p>
    <w:p w14:paraId="4B0CFE7F">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驻村工作队工作经费专项项目绩效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项目全年预算数4.50万元，执行数为4.50万元，完成预算的100%。通过项目实施，确保3个驻村工作队的工作顺利开展。</w:t>
      </w:r>
    </w:p>
    <w:p w14:paraId="6FDA52E0">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镇（街道）统计工作经费专项项目绩效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2.00万元，执行数为2.00万元，完成预算的100%。通过项目实施，贯彻执行国家统计工作的方针、政策和统计法律法规，研究统计制度和统计方法的改革，严格执行《中华人民共和国统计法》如实提供统计调查所需的资料，确保统计数据全面、准确，完成国家和地方统计调查任务；承担组织领导和协调全区统计工作，确保统计数据真实、准确、及时。发现的主要问题：统计力量薄弱、硬件设施较差，难以适应形势发展需要。下一步改进措施：改进统计工作手段，促使乡镇统计信息化、网络化水平的全面提高，狠抓统计工作站所的硬件建设，做到办公设施齐备，制度、网络健全，确保统计工作健康有序开展。</w:t>
      </w:r>
    </w:p>
    <w:p w14:paraId="3BC4DD6B">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乡镇人大代表监督、视察等经费专项项目绩效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w:t>
      </w:r>
      <w:r>
        <w:rPr>
          <w:rFonts w:ascii="仿宋_GB2312" w:hAnsi="仿宋_GB2312" w:eastAsia="仿宋_GB2312" w:cs="仿宋_GB2312"/>
          <w:sz w:val="32"/>
        </w:rPr>
        <w:t>绩效自评综述：</w:t>
      </w:r>
      <w:r>
        <w:rPr>
          <w:rFonts w:hint="eastAsia" w:ascii="仿宋_GB2312" w:hAnsi="仿宋_GB2312" w:eastAsia="仿宋_GB2312" w:cs="仿宋_GB2312"/>
          <w:sz w:val="32"/>
        </w:rPr>
        <w:t>项目全年预算数2万元，执行数为2万元，完成预算的100%。通过项目实施，保障人大代表活动经费，给予代表有力的支持。围绕群众切身利益，听取基层人民群众心声，并提出工作建议及时处理答复人</w:t>
      </w:r>
      <w:r>
        <w:rPr>
          <w:rFonts w:hint="eastAsia" w:ascii="仿宋_GB2312" w:hAnsi="仿宋_GB2312" w:eastAsia="仿宋_GB2312" w:cs="仿宋_GB2312"/>
          <w:sz w:val="32"/>
          <w:lang w:eastAsia="zh-CN"/>
        </w:rPr>
        <w:t>大</w:t>
      </w:r>
      <w:r>
        <w:rPr>
          <w:rFonts w:hint="eastAsia" w:ascii="仿宋_GB2312" w:hAnsi="仿宋_GB2312" w:eastAsia="仿宋_GB2312" w:cs="仿宋_GB2312"/>
          <w:sz w:val="32"/>
        </w:rPr>
        <w:t>代表提出的建议和意见。坚持对民生实事开展调研，履行好监督职责，掌握各项工作推进情况，协助党委政府推进工作。发现的主要问题：项目资金缺乏，不能满足人大代表监督视察工作需要。下一步改进措施：建议上级财政或上级相关部门提供资金支持，帮助解决人大代表监督视察项目资金短缺问题。</w:t>
      </w:r>
    </w:p>
    <w:p w14:paraId="1FBF6031">
      <w:pPr>
        <w:widowControl/>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防灾应急管理工作经费专项项目绩效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 xml:space="preserve"> ，绩效自评综述：项目全年预算数1万元，执行数为1万元，完成预算的100%。通过项目的实施，全镇加强安全生产政策法规宣传，防灾应急宣传，强化安全培训工作，提高安全生产管理水平，加强日常监管工作。发现的主要问题：近年来，防灾应急管理资金短缺，防灾应急管理监管经费不能满足工作需要。下一步改进措施：争取节约工作经费，全面开展好工作，不断提高工作科学化、规范化、法治化水平。</w:t>
      </w:r>
    </w:p>
    <w:p w14:paraId="7E20DEC2">
      <w:pPr>
        <w:widowControl/>
        <w:spacing w:line="576" w:lineRule="exact"/>
        <w:ind w:firstLine="640" w:firstLineChars="200"/>
        <w:jc w:val="left"/>
        <w:rPr>
          <w:rFonts w:ascii="黑体" w:hAnsi="黑体" w:eastAsia="黑体"/>
          <w:sz w:val="44"/>
          <w:szCs w:val="44"/>
        </w:rPr>
      </w:pPr>
      <w:r>
        <w:rPr>
          <w:rFonts w:hint="eastAsia" w:ascii="仿宋_GB2312" w:hAnsi="仿宋_GB2312" w:eastAsia="仿宋_GB2312" w:cs="仿宋_GB2312"/>
          <w:sz w:val="32"/>
        </w:rPr>
        <w:t>安全生产监督工作（森林防火、食品安全）等经费专项项目绩效</w:t>
      </w:r>
      <w:r>
        <w:rPr>
          <w:rFonts w:ascii="仿宋_GB2312" w:hAnsi="仿宋_GB2312" w:eastAsia="仿宋_GB2312" w:cs="仿宋_GB2312"/>
          <w:sz w:val="32"/>
        </w:rPr>
        <w:t>自评得分为</w:t>
      </w:r>
      <w:r>
        <w:rPr>
          <w:rFonts w:hint="eastAsia" w:ascii="仿宋_GB2312" w:hAnsi="仿宋_GB2312" w:eastAsia="仿宋_GB2312" w:cs="仿宋_GB2312"/>
          <w:sz w:val="32"/>
        </w:rPr>
        <w:t>100</w:t>
      </w:r>
      <w:r>
        <w:rPr>
          <w:rFonts w:ascii="仿宋_GB2312" w:hAnsi="仿宋_GB2312" w:eastAsia="仿宋_GB2312" w:cs="仿宋_GB2312"/>
          <w:sz w:val="32"/>
        </w:rPr>
        <w:t>分</w:t>
      </w:r>
      <w:r>
        <w:rPr>
          <w:rFonts w:hint="eastAsia" w:ascii="仿宋_GB2312" w:hAnsi="仿宋_GB2312" w:eastAsia="仿宋_GB2312" w:cs="仿宋_GB2312"/>
          <w:sz w:val="32"/>
        </w:rPr>
        <w:t>，绩效自评综述：项目全年预算数1万元，执行数为1万元，完成预算的100%。通过项目的实施，全镇加强安全生产政策法规宣传，森林防火宣传，强化安全生产培训工作，提高安全生产管理水平，加强日常监管工作，加强惩治治理安全生产隐患，减少灾害事故发生。发现的主要问题：近年来，安全生产（森林防火、食品安全）监管资金短缺，安全生产（森林防火、食品安全）监管经费不能满足工作需要。下一步改进措施：争取节约工作经费，全面开展好工作，不断提高工作科学化、规范化、法治化水平。</w:t>
      </w:r>
      <w:r>
        <w:rPr>
          <w:rFonts w:hint="eastAsia" w:ascii="仿宋_GB2312" w:hAnsi="仿宋_GB2312" w:eastAsia="仿宋_GB2312" w:cs="仿宋_GB2312"/>
          <w:sz w:val="32"/>
          <w:lang w:eastAsia="zh-CN"/>
        </w:rPr>
        <w:t>（</w:t>
      </w:r>
      <w:r>
        <w:rPr>
          <w:rFonts w:hint="eastAsia" w:ascii="仿宋_GB2312" w:hAnsi="仿宋_GB2312" w:eastAsia="仿宋_GB2312" w:cs="仿宋_GB2312"/>
          <w:sz w:val="32"/>
        </w:rPr>
        <w:t>绩效自评报告详见附件</w:t>
      </w:r>
      <w:r>
        <w:rPr>
          <w:rFonts w:hint="eastAsia" w:ascii="仿宋_GB2312" w:hAnsi="仿宋_GB2312" w:eastAsia="仿宋_GB2312" w:cs="仿宋_GB2312"/>
          <w:sz w:val="32"/>
          <w:lang w:eastAsia="zh-CN"/>
        </w:rPr>
        <w:t>）</w:t>
      </w:r>
      <w:r>
        <w:rPr>
          <w:rFonts w:eastAsia="仿宋_GB2312"/>
          <w:kern w:val="44"/>
          <w:sz w:val="44"/>
          <w:szCs w:val="44"/>
        </w:rPr>
        <w:br w:type="page"/>
      </w:r>
    </w:p>
    <w:p w14:paraId="1B9F9703">
      <w:pPr>
        <w:spacing w:line="576" w:lineRule="exact"/>
        <w:ind w:firstLine="880" w:firstLineChars="200"/>
        <w:jc w:val="center"/>
        <w:outlineLvl w:val="0"/>
        <w:rPr>
          <w:rStyle w:val="42"/>
          <w:rFonts w:eastAsia="黑体"/>
          <w:b w:val="0"/>
          <w:bCs w:val="0"/>
        </w:rPr>
      </w:pPr>
      <w:r>
        <w:rPr>
          <w:rFonts w:eastAsia="方正小标宋简体"/>
          <w:kern w:val="44"/>
          <w:sz w:val="44"/>
          <w:szCs w:val="44"/>
        </w:rPr>
        <w:t xml:space="preserve">第三部分 </w:t>
      </w:r>
      <w:r>
        <w:rPr>
          <w:rFonts w:eastAsia="方正小标宋简体"/>
          <w:sz w:val="44"/>
          <w:szCs w:val="44"/>
        </w:rPr>
        <w:t>名</w:t>
      </w:r>
      <w:r>
        <w:rPr>
          <w:rStyle w:val="42"/>
          <w:rFonts w:eastAsia="方正小标宋简体"/>
          <w:b w:val="0"/>
          <w:bCs w:val="0"/>
        </w:rPr>
        <w:t>词解释</w:t>
      </w:r>
    </w:p>
    <w:p w14:paraId="6F977559">
      <w:pPr>
        <w:spacing w:line="576" w:lineRule="exact"/>
        <w:ind w:firstLine="880" w:firstLineChars="200"/>
        <w:jc w:val="center"/>
        <w:rPr>
          <w:sz w:val="44"/>
          <w:szCs w:val="44"/>
        </w:rPr>
      </w:pPr>
    </w:p>
    <w:p w14:paraId="5DE337FE">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1.财政拨款收入：指单位从同级财政部门取得的财政预算资金。</w:t>
      </w:r>
    </w:p>
    <w:p w14:paraId="28CAB9C3">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2.事业收入：指事业单位开展专业业务活动及辅助活动取得的收入。</w:t>
      </w:r>
    </w:p>
    <w:p w14:paraId="175C3504">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3.经营收入：指事业单位在专业业务活动及其辅助活动之外开展非独立核算经营活动取得的收入。</w:t>
      </w:r>
    </w:p>
    <w:p w14:paraId="3054A82E">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 xml:space="preserve">4.其他收入：指单位取得的除上述收入以外的各项收入。 </w:t>
      </w:r>
    </w:p>
    <w:p w14:paraId="1D43F4B1">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 xml:space="preserve">5.年初结转和结余：指以前年度尚未完成、结转到本年按有关规定继续使用的资金。 </w:t>
      </w:r>
    </w:p>
    <w:p w14:paraId="675AEDAB">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6、年末结转和结余：指单位按有关规定结转到下年或以后年度继续使用的资金。</w:t>
      </w:r>
    </w:p>
    <w:p w14:paraId="13E0C405">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7.一般公共服务支出（类）人大事务（款）人大监督（项），主要用于：乡人大代表监督、视察等经费。</w:t>
      </w:r>
    </w:p>
    <w:p w14:paraId="2CFE2D61">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8.一般公共服务支出（类）人大事务（款）代表工作（项），主要用于：乡镇人大代表差旅费、误工费及会议费等。</w:t>
      </w:r>
    </w:p>
    <w:p w14:paraId="2F9307B3">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9.一般公共服务支出（类）政府办公厅（室）及相关机构事务（款）行政运行（项），主要用于：人员基本工资、津贴补贴、绩效目标、福利费、办公费、手续费、差旅费、电费、邮电费等。</w:t>
      </w:r>
    </w:p>
    <w:p w14:paraId="69C7D866">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10.一般公共服务支出（类）政府办公厅（室）及相关机构事务（款）信访事务（项），主要用于：接待群众来信来访方面的差旅费等。</w:t>
      </w:r>
    </w:p>
    <w:p w14:paraId="5600E4B7">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11.一般公共服务（类）政府办公厅（室）及相关机构事务（款）事业运行 （项），主要用于：事业干部绩效发放。</w:t>
      </w:r>
    </w:p>
    <w:p w14:paraId="13C403F6">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12.一般公共服务支出（类）政府办公厅（室）及相关机构事务（款）其他政府办公厅（室）及相关机构事务支出（项），主要用于：差旅费、伙食补助费、维修维护费等。</w:t>
      </w:r>
    </w:p>
    <w:p w14:paraId="1026A596">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13.一般公共服务（类）统计信息事务（款） 其他统计信息事务支出（项），主要用于：统计工作印刷费、差旅费、劳务费等。</w:t>
      </w:r>
    </w:p>
    <w:p w14:paraId="0D4FD0EC">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14.一般公共服务（类）组织事务（款）其他组织事务支出（项）:主要用于：孵化中心维护费。</w:t>
      </w:r>
    </w:p>
    <w:p w14:paraId="027221BC">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15.文化旅游体育与传媒支出（类）文化和旅游（款）其他文化支出（项），主要用于：人员基本工资、津贴补贴、绩效目标、福利费、办公费、手续费、差旅费等。</w:t>
      </w:r>
    </w:p>
    <w:p w14:paraId="74EF1605">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16.社会保障和就业支出（类）行政事业单位养老支出（款）行政单位离退休（项），主要用于退休干部生活补助。</w:t>
      </w:r>
    </w:p>
    <w:p w14:paraId="7F1E6C8E">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17.社会保障和就业支出（类）行政事业单位离退休（款）机关事业单位基本养老保险缴费支出（项），主要用于：机关事业单位基本养老保险缴费。</w:t>
      </w:r>
    </w:p>
    <w:p w14:paraId="449AE595">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18.社会保障和就业支出（类）其他社会保障和就业支出（款）其他社会保障和就业支出（项），主要用于：人员工伤保险和失业保险支出。</w:t>
      </w:r>
    </w:p>
    <w:p w14:paraId="249D8903">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19.卫生健康支出（类）卫生健康管理事务（款） 行政运行（项），主要用于人员基本工资、津贴补贴、绩效目标。</w:t>
      </w:r>
    </w:p>
    <w:p w14:paraId="1DFDACD2">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20.卫生健康支出（类）行政事业单位医疗（款）行政单位医疗（项），主要用于：基本医疗保险缴费、其他社会保障缴费。</w:t>
      </w:r>
    </w:p>
    <w:p w14:paraId="5A36CEFD">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21.卫生健康支出（类）行政事业单位医疗（款）事业单位医疗（项），主要用于：基本医疗保险缴费、其他社会保障缴费。</w:t>
      </w:r>
    </w:p>
    <w:p w14:paraId="48C8EBF5">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22.卫生健康支出（类）行政事业单位医疗（款）公务员医疗补助（项），主要用于：公务员医疗补助缴费。</w:t>
      </w:r>
    </w:p>
    <w:p w14:paraId="7741DECB">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23.节能环保支出（类）污染防治（款）水体（项），主要用于：农村环境保护中的劳务费、其他交通费等。</w:t>
      </w:r>
    </w:p>
    <w:p w14:paraId="4FCB32EE">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24.城乡社区支出（类）城乡社区公共设施（款）其他城乡社区公共设施支出（项），主要用于：基础设施及街道维护费等。</w:t>
      </w:r>
    </w:p>
    <w:p w14:paraId="25FA2FA2">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25.农林水支出（类）农业农村（款）行政运行（项），主要用于：人员基本工资、津贴补贴、绩效目标、办公费、差旅费、福利费等。</w:t>
      </w:r>
    </w:p>
    <w:p w14:paraId="0450DC2B">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26.农林水支出（类）农业农村（款）事业运行（项），主要用于：人员基本工资、津贴补贴、绩效目标、办公费、差旅费、福利费等。</w:t>
      </w:r>
    </w:p>
    <w:p w14:paraId="7E7BF8F1">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7</w:t>
      </w:r>
      <w:r>
        <w:rPr>
          <w:rFonts w:hint="eastAsia" w:ascii="仿宋_GB2312" w:eastAsia="仿宋_GB2312"/>
          <w:color w:val="auto"/>
          <w:sz w:val="32"/>
          <w:szCs w:val="32"/>
        </w:rPr>
        <w:t>.农林水支出（类）农村综合改革（款）对村民委员会和村党支部的补助（项），主要用于：村干部工资、基层组织活动和公共服务运行经费。</w:t>
      </w:r>
    </w:p>
    <w:p w14:paraId="485A7FCA">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2</w:t>
      </w:r>
      <w:r>
        <w:rPr>
          <w:rFonts w:ascii="仿宋_GB2312" w:eastAsia="仿宋_GB2312"/>
          <w:color w:val="auto"/>
          <w:sz w:val="32"/>
          <w:szCs w:val="32"/>
        </w:rPr>
        <w:t>8</w:t>
      </w:r>
      <w:r>
        <w:rPr>
          <w:rFonts w:hint="eastAsia" w:ascii="仿宋_GB2312" w:eastAsia="仿宋_GB2312"/>
          <w:color w:val="auto"/>
          <w:sz w:val="32"/>
          <w:szCs w:val="32"/>
        </w:rPr>
        <w:t>.农林水支出（类）其他农林水支出（款）其他农林水支出（项）主要用于：民生实施票决制项目经费等。</w:t>
      </w:r>
    </w:p>
    <w:p w14:paraId="026C796A">
      <w:pPr>
        <w:spacing w:line="576" w:lineRule="exact"/>
        <w:ind w:firstLine="640" w:firstLineChars="200"/>
        <w:jc w:val="left"/>
        <w:rPr>
          <w:rFonts w:ascii="仿宋_GB2312" w:eastAsia="仿宋_GB2312" w:cs="仿宋"/>
          <w:kern w:val="0"/>
          <w:sz w:val="32"/>
          <w:szCs w:val="32"/>
        </w:rPr>
      </w:pPr>
      <w:r>
        <w:rPr>
          <w:rFonts w:ascii="仿宋_GB2312" w:cs="仿宋"/>
          <w:kern w:val="0"/>
          <w:sz w:val="32"/>
          <w:szCs w:val="32"/>
        </w:rPr>
        <w:t>29</w:t>
      </w:r>
      <w:r>
        <w:rPr>
          <w:rFonts w:hint="eastAsia" w:ascii="仿宋_GB2312" w:eastAsia="仿宋_GB2312" w:cs="仿宋"/>
          <w:kern w:val="0"/>
          <w:sz w:val="32"/>
          <w:szCs w:val="32"/>
        </w:rPr>
        <w:t>.住房保障支出（类）住房改革支出（款）住房公积金（项），主要用于：缴纳住房公积金。</w:t>
      </w:r>
    </w:p>
    <w:p w14:paraId="78C23BB5">
      <w:pPr>
        <w:spacing w:line="576" w:lineRule="exact"/>
        <w:ind w:firstLine="640" w:firstLineChars="200"/>
        <w:jc w:val="left"/>
        <w:rPr>
          <w:rFonts w:ascii="仿宋_GB2312" w:eastAsia="仿宋_GB2312" w:cs="仿宋"/>
          <w:kern w:val="0"/>
          <w:sz w:val="32"/>
          <w:szCs w:val="32"/>
        </w:rPr>
      </w:pPr>
      <w:r>
        <w:rPr>
          <w:rFonts w:hint="eastAsia" w:ascii="仿宋_GB2312" w:cs="仿宋"/>
          <w:kern w:val="0"/>
          <w:sz w:val="32"/>
          <w:szCs w:val="32"/>
        </w:rPr>
        <w:t>3</w:t>
      </w:r>
      <w:r>
        <w:rPr>
          <w:rFonts w:ascii="仿宋_GB2312" w:cs="仿宋"/>
          <w:kern w:val="0"/>
          <w:sz w:val="32"/>
          <w:szCs w:val="32"/>
        </w:rPr>
        <w:t>0</w:t>
      </w:r>
      <w:r>
        <w:rPr>
          <w:rFonts w:hint="eastAsia" w:ascii="仿宋_GB2312" w:eastAsia="仿宋_GB2312" w:cs="仿宋"/>
          <w:kern w:val="0"/>
          <w:sz w:val="32"/>
          <w:szCs w:val="32"/>
        </w:rPr>
        <w:t>.灾害防治及应急管理支出（类）应急管理事物（款）灾害风险防治（项），主要用于安全生产、森林防火、食品安全等宣传费、劳务费、差旅费等。</w:t>
      </w:r>
    </w:p>
    <w:p w14:paraId="7B6250D1">
      <w:pPr>
        <w:spacing w:line="576" w:lineRule="exact"/>
        <w:ind w:firstLine="640" w:firstLineChars="200"/>
        <w:jc w:val="left"/>
        <w:rPr>
          <w:rFonts w:ascii="仿宋_GB2312" w:eastAsia="仿宋_GB2312"/>
          <w:sz w:val="32"/>
          <w:szCs w:val="32"/>
        </w:rPr>
      </w:pPr>
      <w:r>
        <w:rPr>
          <w:rFonts w:hint="eastAsia" w:ascii="仿宋_GB2312" w:eastAsia="仿宋_GB2312"/>
          <w:sz w:val="32"/>
          <w:szCs w:val="32"/>
        </w:rPr>
        <w:t>3</w:t>
      </w:r>
      <w:r>
        <w:rPr>
          <w:rFonts w:ascii="仿宋_GB2312"/>
          <w:sz w:val="32"/>
          <w:szCs w:val="32"/>
        </w:rPr>
        <w:t>1</w:t>
      </w:r>
      <w:r>
        <w:rPr>
          <w:rFonts w:hint="eastAsia" w:ascii="仿宋_GB2312" w:eastAsia="仿宋_GB2312"/>
          <w:sz w:val="32"/>
          <w:szCs w:val="32"/>
        </w:rPr>
        <w:t>.基本支出：指为保障机构正常运转、完成日常工作任务而发生的人员支出和公用支出。</w:t>
      </w:r>
    </w:p>
    <w:p w14:paraId="325195BB">
      <w:pPr>
        <w:spacing w:line="576" w:lineRule="exact"/>
        <w:ind w:firstLine="640" w:firstLineChars="200"/>
        <w:jc w:val="left"/>
        <w:rPr>
          <w:rFonts w:ascii="仿宋_GB2312" w:eastAsia="仿宋_GB2312"/>
          <w:sz w:val="32"/>
          <w:szCs w:val="32"/>
        </w:rPr>
      </w:pPr>
      <w:r>
        <w:rPr>
          <w:rFonts w:hint="eastAsia" w:ascii="仿宋_GB2312" w:eastAsia="仿宋_GB2312"/>
          <w:sz w:val="32"/>
          <w:szCs w:val="32"/>
        </w:rPr>
        <w:t>3</w:t>
      </w:r>
      <w:r>
        <w:rPr>
          <w:rFonts w:ascii="仿宋_GB2312"/>
          <w:sz w:val="32"/>
          <w:szCs w:val="32"/>
        </w:rPr>
        <w:t>2</w:t>
      </w:r>
      <w:r>
        <w:rPr>
          <w:rFonts w:hint="eastAsia" w:ascii="仿宋_GB2312" w:eastAsia="仿宋_GB2312"/>
          <w:sz w:val="32"/>
          <w:szCs w:val="32"/>
        </w:rPr>
        <w:t>.项目支出：指在基本支出之外为完成特定行政任务和事业发展目标所发生的支出。</w:t>
      </w:r>
    </w:p>
    <w:p w14:paraId="1A53539B">
      <w:pPr>
        <w:spacing w:line="576" w:lineRule="exact"/>
        <w:ind w:firstLine="640" w:firstLineChars="200"/>
        <w:jc w:val="left"/>
        <w:rPr>
          <w:rFonts w:ascii="仿宋_GB2312" w:eastAsia="仿宋_GB2312"/>
          <w:sz w:val="32"/>
          <w:szCs w:val="32"/>
        </w:rPr>
      </w:pPr>
      <w:r>
        <w:rPr>
          <w:rFonts w:hint="eastAsia" w:ascii="仿宋_GB2312" w:eastAsia="仿宋_GB2312"/>
          <w:sz w:val="32"/>
          <w:szCs w:val="32"/>
        </w:rPr>
        <w:t>3</w:t>
      </w:r>
      <w:r>
        <w:rPr>
          <w:rFonts w:ascii="仿宋_GB2312"/>
          <w:sz w:val="32"/>
          <w:szCs w:val="32"/>
        </w:rPr>
        <w:t>3</w:t>
      </w:r>
      <w:r>
        <w:rPr>
          <w:rFonts w:hint="eastAsia" w:ascii="仿宋_GB2312" w:eastAsia="仿宋_GB2312"/>
          <w:sz w:val="32"/>
          <w:szCs w:val="32"/>
        </w:rPr>
        <w:t>.经营支出：指事业单位在专业业务活动及其辅助活动之外开展非独立核算经营活动发生的支出。</w:t>
      </w:r>
    </w:p>
    <w:p w14:paraId="354AA45D">
      <w:pPr>
        <w:pStyle w:val="32"/>
        <w:spacing w:line="576"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3</w:t>
      </w:r>
      <w:r>
        <w:rPr>
          <w:rFonts w:ascii="仿宋_GB2312" w:eastAsia="仿宋_GB2312"/>
          <w:color w:val="auto"/>
          <w:sz w:val="32"/>
          <w:szCs w:val="32"/>
        </w:rPr>
        <w:t>4</w:t>
      </w:r>
      <w:r>
        <w:rPr>
          <w:rFonts w:hint="eastAsia" w:ascii="仿宋_GB2312" w:eastAsia="仿宋_GB2312"/>
          <w:color w:val="auto"/>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F291B0A">
      <w:pPr>
        <w:spacing w:line="576" w:lineRule="exact"/>
        <w:ind w:firstLine="640" w:firstLineChars="200"/>
        <w:jc w:val="left"/>
        <w:rPr>
          <w:rFonts w:eastAsia="仿宋_GB2312"/>
          <w:sz w:val="32"/>
          <w:szCs w:val="32"/>
        </w:rPr>
      </w:pPr>
      <w:r>
        <w:rPr>
          <w:rFonts w:hint="eastAsia" w:ascii="仿宋_GB2312"/>
          <w:sz w:val="32"/>
          <w:szCs w:val="32"/>
        </w:rPr>
        <w:t>3</w:t>
      </w:r>
      <w:r>
        <w:rPr>
          <w:rFonts w:ascii="仿宋_GB2312"/>
          <w:sz w:val="32"/>
          <w:szCs w:val="32"/>
        </w:rPr>
        <w:t>5</w:t>
      </w:r>
      <w:r>
        <w:rPr>
          <w:rFonts w:hint="eastAsia" w:ascii="仿宋_GB2312"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BC2598B">
      <w:pPr>
        <w:jc w:val="left"/>
        <w:rPr>
          <w:rFonts w:ascii="仿宋_GB2312" w:eastAsia="仿宋_GB2312"/>
          <w:sz w:val="32"/>
          <w:szCs w:val="32"/>
        </w:rPr>
      </w:pPr>
    </w:p>
    <w:p w14:paraId="5B9D4859">
      <w:pPr>
        <w:pStyle w:val="2"/>
        <w:rPr>
          <w:rFonts w:ascii="仿宋_GB2312" w:eastAsia="仿宋_GB2312"/>
          <w:sz w:val="32"/>
          <w:szCs w:val="32"/>
        </w:rPr>
      </w:pPr>
    </w:p>
    <w:p w14:paraId="2FB03481">
      <w:pPr>
        <w:pStyle w:val="3"/>
        <w:ind w:left="420" w:firstLine="640"/>
        <w:rPr>
          <w:rFonts w:eastAsia="仿宋_GB2312"/>
          <w:sz w:val="32"/>
        </w:rPr>
      </w:pPr>
    </w:p>
    <w:p w14:paraId="4D7F342D">
      <w:pPr>
        <w:pStyle w:val="3"/>
        <w:ind w:left="420" w:firstLine="640"/>
        <w:rPr>
          <w:rFonts w:eastAsia="仿宋_GB2312"/>
          <w:sz w:val="32"/>
        </w:rPr>
      </w:pPr>
    </w:p>
    <w:p w14:paraId="170C616F">
      <w:pPr>
        <w:pStyle w:val="3"/>
        <w:ind w:left="420" w:firstLine="640"/>
        <w:rPr>
          <w:rFonts w:eastAsia="仿宋_GB2312"/>
          <w:sz w:val="32"/>
        </w:rPr>
      </w:pPr>
    </w:p>
    <w:p w14:paraId="2F444DB7">
      <w:pPr>
        <w:pStyle w:val="3"/>
        <w:ind w:left="420" w:firstLine="640"/>
        <w:rPr>
          <w:rFonts w:eastAsia="仿宋_GB2312"/>
          <w:sz w:val="32"/>
        </w:rPr>
      </w:pPr>
    </w:p>
    <w:p w14:paraId="4FF59DBD">
      <w:pPr>
        <w:pStyle w:val="3"/>
        <w:ind w:left="420" w:firstLine="640"/>
        <w:rPr>
          <w:rFonts w:eastAsia="仿宋_GB2312"/>
          <w:sz w:val="32"/>
        </w:rPr>
      </w:pPr>
    </w:p>
    <w:p w14:paraId="7F8C22BD">
      <w:pPr>
        <w:pStyle w:val="3"/>
        <w:ind w:left="420" w:firstLine="640"/>
        <w:rPr>
          <w:rFonts w:eastAsia="仿宋_GB2312"/>
          <w:sz w:val="32"/>
        </w:rPr>
      </w:pPr>
    </w:p>
    <w:p w14:paraId="6F811E74">
      <w:pPr>
        <w:pStyle w:val="3"/>
        <w:ind w:left="420" w:firstLine="640"/>
        <w:rPr>
          <w:rFonts w:eastAsia="仿宋_GB2312"/>
          <w:sz w:val="32"/>
        </w:rPr>
      </w:pPr>
    </w:p>
    <w:p w14:paraId="2D358CD2">
      <w:pPr>
        <w:pStyle w:val="3"/>
        <w:ind w:left="420" w:firstLine="640"/>
        <w:rPr>
          <w:rFonts w:eastAsia="仿宋_GB2312"/>
          <w:sz w:val="32"/>
        </w:rPr>
      </w:pPr>
    </w:p>
    <w:p w14:paraId="15938157">
      <w:pPr>
        <w:pStyle w:val="3"/>
        <w:ind w:left="420" w:firstLine="640"/>
        <w:rPr>
          <w:rFonts w:eastAsia="仿宋_GB2312"/>
          <w:sz w:val="32"/>
        </w:rPr>
      </w:pPr>
    </w:p>
    <w:p w14:paraId="77A88725">
      <w:pPr>
        <w:pStyle w:val="3"/>
        <w:ind w:left="420" w:firstLine="640"/>
        <w:rPr>
          <w:rFonts w:eastAsia="仿宋_GB2312"/>
          <w:sz w:val="32"/>
        </w:rPr>
      </w:pPr>
    </w:p>
    <w:p w14:paraId="098C0375">
      <w:pPr>
        <w:pStyle w:val="3"/>
        <w:ind w:left="420" w:firstLine="640"/>
        <w:rPr>
          <w:rFonts w:eastAsia="仿宋_GB2312"/>
          <w:sz w:val="32"/>
        </w:rPr>
      </w:pPr>
    </w:p>
    <w:p w14:paraId="73BA8794">
      <w:pPr>
        <w:pStyle w:val="3"/>
        <w:ind w:left="420" w:firstLine="640"/>
        <w:rPr>
          <w:rFonts w:eastAsia="仿宋_GB2312"/>
          <w:sz w:val="32"/>
        </w:rPr>
      </w:pPr>
    </w:p>
    <w:p w14:paraId="00AB96E2">
      <w:pPr>
        <w:pStyle w:val="3"/>
        <w:ind w:left="420" w:firstLine="640"/>
        <w:rPr>
          <w:rFonts w:eastAsia="仿宋_GB2312"/>
          <w:sz w:val="32"/>
        </w:rPr>
      </w:pPr>
    </w:p>
    <w:p w14:paraId="2EEFBA1D">
      <w:pPr>
        <w:pStyle w:val="3"/>
        <w:ind w:left="420" w:firstLine="640"/>
        <w:rPr>
          <w:rFonts w:eastAsia="仿宋_GB2312"/>
          <w:sz w:val="32"/>
        </w:rPr>
      </w:pPr>
    </w:p>
    <w:p w14:paraId="38E397CD">
      <w:pPr>
        <w:spacing w:line="576" w:lineRule="exact"/>
        <w:jc w:val="center"/>
        <w:outlineLvl w:val="0"/>
        <w:rPr>
          <w:rStyle w:val="34"/>
          <w:rFonts w:ascii="黑体" w:hAnsi="黑体" w:eastAsia="黑体"/>
        </w:rPr>
      </w:pPr>
      <w:bookmarkStart w:id="44" w:name="_Toc15396614"/>
      <w:bookmarkStart w:id="45" w:name="_Toc15377226"/>
      <w:r>
        <w:rPr>
          <w:rFonts w:hint="eastAsia" w:ascii="黑体" w:hAnsi="黑体" w:eastAsia="黑体"/>
          <w:sz w:val="44"/>
          <w:szCs w:val="44"/>
        </w:rPr>
        <w:t>第</w:t>
      </w:r>
      <w:r>
        <w:rPr>
          <w:rStyle w:val="34"/>
          <w:rFonts w:hint="eastAsia" w:ascii="黑体" w:hAnsi="黑体" w:eastAsia="黑体"/>
        </w:rPr>
        <w:t>四部分 附件</w:t>
      </w:r>
      <w:bookmarkEnd w:id="44"/>
    </w:p>
    <w:p w14:paraId="6E1164E7">
      <w:pPr>
        <w:pStyle w:val="2"/>
        <w:spacing w:line="576" w:lineRule="exact"/>
      </w:pPr>
    </w:p>
    <w:p w14:paraId="235E7B57">
      <w:pPr>
        <w:spacing w:line="576"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shd w:val="clear" w:color="auto" w:fill="FFFFFF"/>
        </w:rPr>
        <w:t>遂宁市安居区常理镇人民政府</w:t>
      </w:r>
    </w:p>
    <w:p w14:paraId="007182FB">
      <w:pPr>
        <w:spacing w:line="576" w:lineRule="exact"/>
        <w:jc w:val="center"/>
        <w:rPr>
          <w:rFonts w:ascii="方正小标宋_GBK" w:hAnsi="方正小标宋_GBK" w:eastAsia="方正小标宋_GBK" w:cs="方正小标宋_GBK"/>
          <w:sz w:val="44"/>
          <w:szCs w:val="44"/>
          <w:shd w:val="clear" w:color="auto" w:fill="FFFFFF"/>
        </w:rPr>
      </w:pPr>
      <w:r>
        <w:rPr>
          <w:rFonts w:hint="eastAsia" w:ascii="方正小标宋_GBK" w:hAnsi="方正小标宋_GBK" w:eastAsia="方正小标宋_GBK" w:cs="方正小标宋_GBK"/>
          <w:sz w:val="44"/>
          <w:szCs w:val="44"/>
          <w:shd w:val="clear" w:color="auto" w:fill="FFFFFF"/>
        </w:rPr>
        <w:t>2023年部门整体支出绩效报告</w:t>
      </w:r>
    </w:p>
    <w:p w14:paraId="3C2CF4F7">
      <w:pPr>
        <w:pStyle w:val="6"/>
        <w:spacing w:line="576" w:lineRule="exact"/>
        <w:jc w:val="left"/>
        <w:rPr>
          <w:rFonts w:ascii="黑体" w:eastAsia="黑体"/>
          <w:b w:val="0"/>
          <w:lang w:val="zh-CN"/>
        </w:rPr>
      </w:pPr>
      <w:r>
        <w:rPr>
          <w:rFonts w:hint="eastAsia" w:ascii="黑体" w:eastAsia="黑体"/>
          <w:b w:val="0"/>
        </w:rPr>
        <w:t>一、</w:t>
      </w:r>
      <w:r>
        <w:rPr>
          <w:rFonts w:hint="eastAsia" w:ascii="黑体" w:eastAsia="黑体"/>
          <w:b w:val="0"/>
          <w:lang w:val="zh-CN"/>
        </w:rPr>
        <w:t>部门（单位）概况</w:t>
      </w:r>
    </w:p>
    <w:p w14:paraId="03C30734">
      <w:pPr>
        <w:autoSpaceDE w:val="0"/>
        <w:autoSpaceDN w:val="0"/>
        <w:adjustRightInd w:val="0"/>
        <w:spacing w:line="576" w:lineRule="exact"/>
        <w:ind w:firstLine="643" w:firstLineChars="200"/>
        <w:jc w:val="left"/>
        <w:outlineLvl w:val="2"/>
        <w:rPr>
          <w:rFonts w:ascii="仿宋" w:hAnsi="仿宋" w:eastAsia="仿宋"/>
          <w:b/>
          <w:sz w:val="32"/>
          <w:szCs w:val="32"/>
          <w:lang w:val="zh-CN"/>
        </w:rPr>
      </w:pPr>
      <w:r>
        <w:rPr>
          <w:rFonts w:hint="eastAsia" w:ascii="仿宋" w:hAnsi="仿宋" w:eastAsia="仿宋"/>
          <w:b/>
          <w:sz w:val="32"/>
          <w:szCs w:val="32"/>
          <w:lang w:val="zh-CN"/>
        </w:rPr>
        <w:t>（一）机构组成</w:t>
      </w:r>
    </w:p>
    <w:p w14:paraId="4BB5A004">
      <w:pPr>
        <w:spacing w:line="576" w:lineRule="exact"/>
        <w:ind w:firstLine="640" w:firstLineChars="200"/>
        <w:jc w:val="left"/>
        <w:rPr>
          <w:rFonts w:ascii="仿宋" w:hAnsi="仿宋" w:eastAsia="仿宋" w:cs="仿宋"/>
          <w:sz w:val="32"/>
        </w:rPr>
      </w:pPr>
      <w:r>
        <w:rPr>
          <w:rFonts w:hint="eastAsia" w:ascii="仿宋" w:hAnsi="仿宋" w:eastAsia="仿宋" w:cs="仿宋"/>
          <w:sz w:val="32"/>
        </w:rPr>
        <w:t>常理镇人民政府为一级预算单位，内设党政办、党建办、社会事务办、综合行政执法办、社会治理和应急管理办、经济发展办（生态环境办）、乡村振兴办、财政工作办等8个党政综合办事机构；设便民服务中心、农民工服务中心、农业综合服务中心、宣传文化服务中心等4个直属事业单位。</w:t>
      </w:r>
    </w:p>
    <w:p w14:paraId="69DA82CA">
      <w:pPr>
        <w:autoSpaceDE w:val="0"/>
        <w:autoSpaceDN w:val="0"/>
        <w:adjustRightInd w:val="0"/>
        <w:spacing w:line="576" w:lineRule="exact"/>
        <w:ind w:firstLine="321" w:firstLineChars="100"/>
        <w:jc w:val="left"/>
        <w:outlineLvl w:val="2"/>
        <w:rPr>
          <w:rFonts w:ascii="仿宋" w:hAnsi="仿宋" w:eastAsia="仿宋"/>
          <w:b/>
          <w:sz w:val="32"/>
          <w:szCs w:val="32"/>
          <w:lang w:val="zh-CN"/>
        </w:rPr>
      </w:pPr>
      <w:r>
        <w:rPr>
          <w:rFonts w:hint="eastAsia" w:ascii="仿宋" w:hAnsi="仿宋" w:eastAsia="仿宋"/>
          <w:b/>
          <w:sz w:val="32"/>
          <w:szCs w:val="32"/>
          <w:lang w:val="zh-CN"/>
        </w:rPr>
        <w:t>（二）机构职能</w:t>
      </w:r>
    </w:p>
    <w:p w14:paraId="73709A80">
      <w:pPr>
        <w:spacing w:line="576" w:lineRule="exact"/>
        <w:ind w:firstLine="640"/>
        <w:jc w:val="left"/>
        <w:rPr>
          <w:rFonts w:ascii="仿宋" w:hAnsi="仿宋" w:eastAsia="仿宋" w:cs="仿宋"/>
          <w:sz w:val="32"/>
          <w:szCs w:val="32"/>
        </w:rPr>
      </w:pPr>
      <w:r>
        <w:rPr>
          <w:rFonts w:hint="eastAsia" w:ascii="仿宋" w:hAnsi="仿宋" w:eastAsia="仿宋" w:cs="仿宋"/>
          <w:sz w:val="32"/>
          <w:szCs w:val="32"/>
        </w:rPr>
        <w:t>1、认真贯彻党的路线、方针、政策，执行本级人民代表大会的决议和上级国家行政机关的决定和命令，发布决定和命令。</w:t>
      </w:r>
    </w:p>
    <w:p w14:paraId="57028A72">
      <w:pPr>
        <w:spacing w:line="576" w:lineRule="exact"/>
        <w:ind w:firstLine="640"/>
        <w:jc w:val="left"/>
        <w:rPr>
          <w:rFonts w:ascii="仿宋" w:hAnsi="仿宋" w:eastAsia="仿宋" w:cs="仿宋"/>
          <w:color w:val="000000"/>
          <w:sz w:val="32"/>
          <w:szCs w:val="32"/>
        </w:rPr>
      </w:pPr>
      <w:r>
        <w:rPr>
          <w:rFonts w:hint="eastAsia" w:ascii="仿宋" w:hAnsi="仿宋" w:eastAsia="仿宋" w:cs="仿宋"/>
          <w:sz w:val="32"/>
          <w:szCs w:val="32"/>
        </w:rPr>
        <w:t>2、执行本行政区域内的经济和社</w:t>
      </w:r>
      <w:r>
        <w:rPr>
          <w:rFonts w:hint="eastAsia" w:ascii="仿宋" w:hAnsi="仿宋" w:eastAsia="仿宋" w:cs="仿宋"/>
          <w:color w:val="000000"/>
          <w:sz w:val="32"/>
          <w:szCs w:val="32"/>
        </w:rPr>
        <w:t>会发展计划、预算，管理本行政区域内的经济、教育、科学、文化、卫生、交通、水利、环境保护、招商引资、林业、就业、新村扶贫、体育事业和财政、民政、安全、司法行政、计划生育等行政工作。</w:t>
      </w:r>
    </w:p>
    <w:p w14:paraId="69B43FAD">
      <w:pPr>
        <w:spacing w:line="576" w:lineRule="exact"/>
        <w:ind w:firstLine="640"/>
        <w:jc w:val="left"/>
        <w:rPr>
          <w:rFonts w:ascii="仿宋" w:hAnsi="仿宋" w:eastAsia="仿宋" w:cs="仿宋"/>
          <w:color w:val="000000"/>
          <w:sz w:val="32"/>
          <w:szCs w:val="32"/>
        </w:rPr>
      </w:pPr>
      <w:r>
        <w:rPr>
          <w:rFonts w:hint="eastAsia" w:ascii="仿宋" w:hAnsi="仿宋" w:eastAsia="仿宋" w:cs="仿宋"/>
          <w:color w:val="000000"/>
          <w:sz w:val="32"/>
          <w:szCs w:val="32"/>
        </w:rPr>
        <w:t>3、保护社会主义的全民所有的财产和劳动群众集体所有的财产，保护公民私人所有的合法财产，维护社会秩序，保障公民的人身权利、民主权利和其他权利。</w:t>
      </w:r>
    </w:p>
    <w:p w14:paraId="6198B3B1">
      <w:pPr>
        <w:spacing w:line="576" w:lineRule="exact"/>
        <w:ind w:firstLine="640"/>
        <w:jc w:val="left"/>
        <w:rPr>
          <w:rFonts w:ascii="仿宋" w:hAnsi="仿宋" w:eastAsia="仿宋" w:cs="仿宋"/>
          <w:color w:val="000000"/>
          <w:sz w:val="32"/>
          <w:szCs w:val="32"/>
        </w:rPr>
      </w:pPr>
      <w:r>
        <w:rPr>
          <w:rFonts w:hint="eastAsia" w:ascii="仿宋" w:hAnsi="仿宋" w:eastAsia="仿宋" w:cs="仿宋"/>
          <w:color w:val="000000"/>
          <w:sz w:val="32"/>
          <w:szCs w:val="32"/>
        </w:rPr>
        <w:t>4、保护各种经济组织的合法权益。</w:t>
      </w:r>
    </w:p>
    <w:p w14:paraId="2BCF794A">
      <w:pPr>
        <w:spacing w:line="576" w:lineRule="exact"/>
        <w:ind w:firstLine="640"/>
        <w:jc w:val="left"/>
        <w:rPr>
          <w:rFonts w:ascii="仿宋" w:hAnsi="仿宋" w:eastAsia="仿宋" w:cs="仿宋"/>
          <w:color w:val="000000"/>
          <w:sz w:val="32"/>
          <w:szCs w:val="32"/>
        </w:rPr>
      </w:pPr>
      <w:r>
        <w:rPr>
          <w:rFonts w:hint="eastAsia" w:ascii="仿宋" w:hAnsi="仿宋" w:eastAsia="仿宋" w:cs="仿宋"/>
          <w:color w:val="000000"/>
          <w:sz w:val="32"/>
          <w:szCs w:val="32"/>
        </w:rPr>
        <w:t>5、指导村委会工作，认真作好接待群众的来信、来访工作，听取群众意见，解决困难，处理矛盾，办好群众的事。</w:t>
      </w:r>
    </w:p>
    <w:p w14:paraId="3AFB3D62">
      <w:pPr>
        <w:spacing w:line="576" w:lineRule="exact"/>
        <w:ind w:firstLine="640"/>
        <w:jc w:val="left"/>
        <w:rPr>
          <w:rFonts w:ascii="仿宋" w:hAnsi="仿宋" w:eastAsia="仿宋" w:cs="仿宋"/>
          <w:color w:val="000000"/>
          <w:sz w:val="32"/>
          <w:szCs w:val="32"/>
        </w:rPr>
      </w:pPr>
      <w:r>
        <w:rPr>
          <w:rFonts w:hint="eastAsia" w:ascii="仿宋" w:hAnsi="仿宋" w:eastAsia="仿宋" w:cs="仿宋"/>
          <w:color w:val="000000"/>
          <w:sz w:val="32"/>
          <w:szCs w:val="32"/>
        </w:rPr>
        <w:t>6.承办上级交办的其他工作。</w:t>
      </w:r>
    </w:p>
    <w:p w14:paraId="4E20A404">
      <w:pPr>
        <w:autoSpaceDE w:val="0"/>
        <w:autoSpaceDN w:val="0"/>
        <w:adjustRightInd w:val="0"/>
        <w:spacing w:line="576" w:lineRule="exact"/>
        <w:ind w:firstLine="643" w:firstLineChars="200"/>
        <w:jc w:val="left"/>
        <w:outlineLvl w:val="2"/>
        <w:rPr>
          <w:rFonts w:ascii="仿宋" w:hAnsi="仿宋" w:eastAsia="仿宋" w:cs="仿宋"/>
          <w:kern w:val="0"/>
          <w:sz w:val="32"/>
          <w:szCs w:val="32"/>
          <w:lang w:val="zh-CN"/>
        </w:rPr>
      </w:pPr>
      <w:r>
        <w:rPr>
          <w:rFonts w:hint="eastAsia" w:ascii="仿宋" w:hAnsi="仿宋" w:eastAsia="仿宋" w:cs="仿宋"/>
          <w:b/>
          <w:sz w:val="32"/>
          <w:szCs w:val="32"/>
          <w:lang w:val="zh-CN"/>
        </w:rPr>
        <w:t>（三）人员概况</w:t>
      </w:r>
    </w:p>
    <w:p w14:paraId="58287C98">
      <w:pPr>
        <w:spacing w:line="576" w:lineRule="exact"/>
        <w:ind w:right="2" w:rightChars="1" w:firstLine="960" w:firstLineChars="300"/>
        <w:jc w:val="left"/>
        <w:rPr>
          <w:rFonts w:ascii="仿宋" w:hAnsi="仿宋" w:eastAsia="仿宋" w:cs="仿宋"/>
          <w:sz w:val="32"/>
          <w:szCs w:val="32"/>
        </w:rPr>
      </w:pPr>
      <w:r>
        <w:rPr>
          <w:rFonts w:hint="eastAsia" w:ascii="仿宋" w:hAnsi="仿宋" w:eastAsia="仿宋" w:cs="仿宋"/>
          <w:sz w:val="32"/>
          <w:szCs w:val="32"/>
        </w:rPr>
        <w:t>2023年12月末，常理镇人民政府实有人数63人，其中：在职38人(备注：行政编制21人、事业编制17人），退休25人。</w:t>
      </w:r>
    </w:p>
    <w:p w14:paraId="4E44E14B">
      <w:pPr>
        <w:pStyle w:val="6"/>
        <w:spacing w:line="576" w:lineRule="exact"/>
        <w:ind w:firstLine="643" w:firstLineChars="200"/>
        <w:jc w:val="left"/>
        <w:rPr>
          <w:rFonts w:ascii="仿宋" w:hAnsi="仿宋" w:eastAsia="仿宋" w:cs="仿宋"/>
        </w:rPr>
      </w:pPr>
      <w:r>
        <w:rPr>
          <w:rFonts w:hint="eastAsia" w:ascii="仿宋" w:hAnsi="仿宋" w:eastAsia="仿宋" w:cs="仿宋"/>
        </w:rPr>
        <w:t>二、部门财政资金收支情况</w:t>
      </w:r>
    </w:p>
    <w:p w14:paraId="5005F17E">
      <w:pPr>
        <w:autoSpaceDE w:val="0"/>
        <w:autoSpaceDN w:val="0"/>
        <w:adjustRightInd w:val="0"/>
        <w:spacing w:line="576" w:lineRule="exact"/>
        <w:ind w:firstLine="643" w:firstLineChars="200"/>
        <w:jc w:val="left"/>
        <w:outlineLvl w:val="2"/>
        <w:rPr>
          <w:rFonts w:ascii="仿宋" w:hAnsi="仿宋" w:eastAsia="仿宋"/>
          <w:b/>
          <w:sz w:val="32"/>
          <w:szCs w:val="32"/>
          <w:lang w:val="zh-CN"/>
        </w:rPr>
      </w:pPr>
      <w:r>
        <w:rPr>
          <w:rFonts w:hint="eastAsia" w:ascii="仿宋" w:hAnsi="仿宋" w:eastAsia="仿宋"/>
          <w:b/>
          <w:sz w:val="32"/>
          <w:szCs w:val="32"/>
          <w:lang w:val="zh-CN"/>
        </w:rPr>
        <w:t>（一）部门财政资金收入情况</w:t>
      </w:r>
    </w:p>
    <w:p w14:paraId="6A7FEEFB">
      <w:pPr>
        <w:spacing w:line="576" w:lineRule="exact"/>
        <w:ind w:firstLine="960" w:firstLineChars="300"/>
        <w:jc w:val="left"/>
        <w:rPr>
          <w:rFonts w:ascii="仿宋" w:hAnsi="仿宋" w:eastAsia="仿宋" w:cs="仿宋"/>
          <w:sz w:val="32"/>
          <w:szCs w:val="32"/>
        </w:rPr>
      </w:pPr>
      <w:r>
        <w:rPr>
          <w:rFonts w:hint="eastAsia" w:ascii="仿宋" w:hAnsi="仿宋" w:eastAsia="仿宋" w:cs="仿宋"/>
          <w:sz w:val="32"/>
          <w:szCs w:val="32"/>
        </w:rPr>
        <w:t>2023年本年收入合计1490.41万元，上年财政拨款结转结余0万元，其中：一般公共预算财政拨款收入1490.41万元，占100%。</w:t>
      </w:r>
    </w:p>
    <w:p w14:paraId="020DF615">
      <w:pPr>
        <w:autoSpaceDE w:val="0"/>
        <w:autoSpaceDN w:val="0"/>
        <w:adjustRightInd w:val="0"/>
        <w:spacing w:line="576" w:lineRule="exact"/>
        <w:ind w:firstLine="643" w:firstLineChars="200"/>
        <w:jc w:val="left"/>
        <w:outlineLvl w:val="2"/>
        <w:rPr>
          <w:rFonts w:ascii="仿宋" w:hAnsi="仿宋" w:eastAsia="仿宋"/>
          <w:b/>
          <w:sz w:val="32"/>
          <w:szCs w:val="32"/>
          <w:lang w:val="zh-CN"/>
        </w:rPr>
      </w:pPr>
      <w:r>
        <w:rPr>
          <w:rFonts w:hint="eastAsia" w:ascii="仿宋" w:hAnsi="仿宋" w:eastAsia="仿宋"/>
          <w:b/>
          <w:sz w:val="32"/>
          <w:szCs w:val="32"/>
          <w:lang w:val="zh-CN"/>
        </w:rPr>
        <w:t>（二）部门财政资金支出情况</w:t>
      </w:r>
    </w:p>
    <w:p w14:paraId="73692444">
      <w:pPr>
        <w:spacing w:line="576" w:lineRule="exact"/>
        <w:ind w:firstLine="640" w:firstLineChars="200"/>
        <w:jc w:val="left"/>
        <w:rPr>
          <w:rFonts w:ascii="仿宋_GB2312" w:hAnsi="仿宋_GB2312" w:eastAsia="仿宋_GB2312" w:cs="仿宋_GB2312"/>
          <w:color w:val="000000"/>
          <w:sz w:val="32"/>
          <w:szCs w:val="32"/>
        </w:rPr>
      </w:pPr>
      <w:r>
        <w:rPr>
          <w:rFonts w:hint="eastAsia" w:ascii="仿宋" w:hAnsi="仿宋" w:eastAsia="仿宋"/>
          <w:sz w:val="32"/>
          <w:szCs w:val="32"/>
        </w:rPr>
        <w:t>2023年本年支出合计1490.41万元，其中：基本支出1084.47万元，占72.76</w:t>
      </w:r>
      <w:r>
        <w:rPr>
          <w:rFonts w:ascii="仿宋" w:hAnsi="仿宋" w:eastAsia="仿宋"/>
          <w:sz w:val="32"/>
          <w:szCs w:val="32"/>
        </w:rPr>
        <w:t>%</w:t>
      </w:r>
      <w:r>
        <w:rPr>
          <w:rFonts w:hint="eastAsia" w:ascii="仿宋" w:hAnsi="仿宋" w:eastAsia="仿宋"/>
          <w:sz w:val="32"/>
          <w:szCs w:val="32"/>
        </w:rPr>
        <w:t>；项目支出405.94万元，占27.24</w:t>
      </w:r>
      <w:r>
        <w:rPr>
          <w:rFonts w:ascii="仿宋" w:hAnsi="仿宋" w:eastAsia="仿宋"/>
          <w:sz w:val="32"/>
          <w:szCs w:val="32"/>
        </w:rPr>
        <w:t>%</w:t>
      </w:r>
      <w:r>
        <w:rPr>
          <w:rFonts w:hint="eastAsia" w:ascii="仿宋_GB2312" w:hAnsi="仿宋_GB2312" w:eastAsia="仿宋_GB2312" w:cs="仿宋_GB2312"/>
          <w:color w:val="000000"/>
          <w:sz w:val="32"/>
          <w:szCs w:val="32"/>
        </w:rPr>
        <w:t>。</w:t>
      </w:r>
    </w:p>
    <w:p w14:paraId="0ED44486">
      <w:pPr>
        <w:numPr>
          <w:ilvl w:val="0"/>
          <w:numId w:val="6"/>
        </w:numPr>
        <w:autoSpaceDE w:val="0"/>
        <w:autoSpaceDN w:val="0"/>
        <w:adjustRightInd w:val="0"/>
        <w:spacing w:line="576" w:lineRule="exact"/>
        <w:ind w:firstLine="643" w:firstLineChars="200"/>
        <w:jc w:val="left"/>
        <w:outlineLvl w:val="2"/>
        <w:rPr>
          <w:rFonts w:ascii="仿宋" w:hAnsi="仿宋" w:eastAsia="仿宋"/>
          <w:b/>
          <w:sz w:val="32"/>
          <w:szCs w:val="32"/>
          <w:lang w:val="zh-CN"/>
        </w:rPr>
      </w:pPr>
      <w:r>
        <w:rPr>
          <w:rFonts w:ascii="仿宋" w:hAnsi="仿宋" w:eastAsia="仿宋"/>
          <w:b/>
          <w:sz w:val="32"/>
          <w:szCs w:val="32"/>
          <w:lang w:val="zh-CN"/>
        </w:rPr>
        <w:t>部门预算绩效分析</w:t>
      </w:r>
    </w:p>
    <w:p w14:paraId="69247482">
      <w:pPr>
        <w:autoSpaceDE w:val="0"/>
        <w:autoSpaceDN w:val="0"/>
        <w:adjustRightInd w:val="0"/>
        <w:spacing w:line="576" w:lineRule="exact"/>
        <w:ind w:firstLine="643" w:firstLineChars="200"/>
        <w:jc w:val="left"/>
        <w:outlineLvl w:val="2"/>
        <w:rPr>
          <w:rFonts w:ascii="仿宋" w:hAnsi="仿宋" w:eastAsia="仿宋"/>
          <w:b/>
          <w:sz w:val="32"/>
          <w:szCs w:val="32"/>
          <w:lang w:val="zh-CN"/>
        </w:rPr>
      </w:pPr>
      <w:r>
        <w:rPr>
          <w:rFonts w:ascii="仿宋" w:hAnsi="仿宋" w:eastAsia="仿宋"/>
          <w:b/>
          <w:sz w:val="32"/>
          <w:szCs w:val="32"/>
          <w:lang w:val="zh-CN"/>
        </w:rPr>
        <w:t>（一）</w:t>
      </w:r>
      <w:r>
        <w:rPr>
          <w:rFonts w:hint="eastAsia" w:ascii="仿宋" w:hAnsi="仿宋" w:eastAsia="仿宋"/>
          <w:b/>
          <w:sz w:val="32"/>
          <w:szCs w:val="32"/>
          <w:lang w:val="zh-CN"/>
        </w:rPr>
        <w:t>部门预算</w:t>
      </w:r>
      <w:r>
        <w:rPr>
          <w:rFonts w:ascii="仿宋" w:hAnsi="仿宋" w:eastAsia="仿宋"/>
          <w:b/>
          <w:sz w:val="32"/>
          <w:szCs w:val="32"/>
          <w:lang w:val="zh-CN"/>
        </w:rPr>
        <w:t>总体绩效分析</w:t>
      </w:r>
    </w:p>
    <w:p w14:paraId="63ADD5EC">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1.履职效能</w:t>
      </w:r>
    </w:p>
    <w:p w14:paraId="366A068F">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2023年，在区委、区政府的坚强领导下，常理镇坚持以习近平新时代中国特色社会主义思想为指导，紧扣区委“</w:t>
      </w:r>
      <w:r>
        <w:rPr>
          <w:rFonts w:ascii="仿宋" w:hAnsi="仿宋" w:eastAsia="仿宋" w:cs="仿宋"/>
          <w:sz w:val="32"/>
          <w:szCs w:val="32"/>
        </w:rPr>
        <w:t>1336</w:t>
      </w:r>
      <w:r>
        <w:rPr>
          <w:rFonts w:hint="eastAsia" w:ascii="仿宋" w:hAnsi="仿宋" w:eastAsia="仿宋" w:cs="仿宋"/>
          <w:sz w:val="32"/>
          <w:szCs w:val="32"/>
        </w:rPr>
        <w:t>”战略，全面学习、全面把握、全面落实党的二十大精神，完整、准确、全面贯彻新发展理念，贯彻“对标更高标，出手就出彩，完成即完美”工作要求，统筹发展和安全，深入实施党建引领、乡村振兴、民生幸福、安全稳定“四大工程”，推动党的建设和经济社会发展各项工作不断取得实效。</w:t>
      </w:r>
      <w:r>
        <w:rPr>
          <w:rFonts w:ascii="仿宋" w:hAnsi="仿宋" w:eastAsia="仿宋" w:cs="仿宋"/>
          <w:sz w:val="32"/>
          <w:szCs w:val="32"/>
        </w:rPr>
        <w:t>全年人员经费支出981.8</w:t>
      </w:r>
      <w:r>
        <w:rPr>
          <w:rFonts w:hint="eastAsia" w:ascii="仿宋" w:hAnsi="仿宋" w:eastAsia="仿宋" w:cs="仿宋"/>
          <w:sz w:val="32"/>
          <w:szCs w:val="32"/>
        </w:rPr>
        <w:t>万元，每月按时发放工资、津贴补贴、缴纳住房公积金和基本养老保险、医保金等社会保险缴费,缴纳覆盖率和足额率均达到100%；公用经费支出1</w:t>
      </w:r>
      <w:r>
        <w:rPr>
          <w:rFonts w:ascii="仿宋" w:hAnsi="仿宋" w:eastAsia="仿宋" w:cs="仿宋"/>
          <w:sz w:val="32"/>
          <w:szCs w:val="32"/>
        </w:rPr>
        <w:t>02.67</w:t>
      </w:r>
      <w:r>
        <w:rPr>
          <w:rFonts w:hint="eastAsia" w:ascii="仿宋" w:hAnsi="仿宋" w:eastAsia="仿宋" w:cs="仿宋"/>
          <w:sz w:val="32"/>
          <w:szCs w:val="32"/>
        </w:rPr>
        <w:t>万元，及时支付履行职能所需的日常开支，保障机关的正常运行，运转保障率达到100%；项目支出</w:t>
      </w:r>
      <w:r>
        <w:rPr>
          <w:rFonts w:ascii="仿宋" w:hAnsi="仿宋" w:eastAsia="仿宋" w:cs="仿宋"/>
          <w:sz w:val="32"/>
          <w:szCs w:val="32"/>
        </w:rPr>
        <w:t>405.94</w:t>
      </w:r>
      <w:r>
        <w:rPr>
          <w:rFonts w:hint="eastAsia" w:ascii="仿宋" w:hAnsi="仿宋" w:eastAsia="仿宋" w:cs="仿宋"/>
          <w:sz w:val="32"/>
          <w:szCs w:val="32"/>
        </w:rPr>
        <w:t>万元，保障了全镇各个项目的顺利实施，促进了全镇社会经济发展，人民群众生活水平及满意度进一步的提升。</w:t>
      </w:r>
    </w:p>
    <w:p w14:paraId="4F3E908F">
      <w:pPr>
        <w:adjustRightInd w:val="0"/>
        <w:snapToGrid w:val="0"/>
        <w:spacing w:line="576" w:lineRule="exact"/>
        <w:ind w:firstLine="640" w:firstLineChars="200"/>
        <w:contextualSpacing/>
        <w:jc w:val="left"/>
        <w:rPr>
          <w:rFonts w:ascii="仿宋" w:hAnsi="仿宋" w:eastAsia="仿宋" w:cs="仿宋"/>
          <w:sz w:val="32"/>
          <w:szCs w:val="32"/>
          <w:lang w:val="zh-CN"/>
        </w:rPr>
      </w:pPr>
      <w:r>
        <w:rPr>
          <w:rFonts w:hint="eastAsia" w:ascii="仿宋" w:hAnsi="仿宋" w:eastAsia="仿宋" w:cs="仿宋"/>
          <w:sz w:val="32"/>
          <w:szCs w:val="32"/>
        </w:rPr>
        <w:t>2.</w:t>
      </w:r>
      <w:r>
        <w:rPr>
          <w:rFonts w:hint="eastAsia" w:ascii="仿宋" w:hAnsi="仿宋" w:eastAsia="仿宋" w:cs="仿宋"/>
          <w:sz w:val="32"/>
          <w:szCs w:val="32"/>
          <w:lang w:val="zh-CN"/>
        </w:rPr>
        <w:t>预算管理</w:t>
      </w:r>
    </w:p>
    <w:p w14:paraId="40CC3FEA">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常理镇严格按照</w:t>
      </w:r>
      <w:r>
        <w:rPr>
          <w:rFonts w:hint="eastAsia" w:ascii="仿宋" w:hAnsi="仿宋" w:eastAsia="仿宋" w:cs="仿宋"/>
          <w:sz w:val="32"/>
          <w:szCs w:val="32"/>
          <w:lang w:eastAsia="zh-CN"/>
        </w:rPr>
        <w:t>《中华人民共和国预算法》</w:t>
      </w:r>
      <w:r>
        <w:rPr>
          <w:rFonts w:hint="eastAsia" w:ascii="仿宋" w:hAnsi="仿宋" w:eastAsia="仿宋" w:cs="仿宋"/>
          <w:sz w:val="32"/>
          <w:szCs w:val="32"/>
        </w:rPr>
        <w:t>和区财政局2023年部门预算编制口径,结合镇政府年度工作任务安排编制预算。2023年收入总计</w:t>
      </w:r>
      <w:r>
        <w:rPr>
          <w:rFonts w:ascii="仿宋" w:hAnsi="仿宋" w:eastAsia="仿宋" w:cs="仿宋"/>
          <w:sz w:val="32"/>
          <w:szCs w:val="32"/>
        </w:rPr>
        <w:t>1490.41</w:t>
      </w:r>
      <w:r>
        <w:rPr>
          <w:rFonts w:hint="eastAsia" w:ascii="仿宋" w:hAnsi="仿宋" w:eastAsia="仿宋" w:cs="仿宋"/>
          <w:sz w:val="32"/>
          <w:szCs w:val="32"/>
        </w:rPr>
        <w:t>万元，完成全年预算100%，年末无结转结余，</w:t>
      </w:r>
      <w:r>
        <w:rPr>
          <w:rFonts w:ascii="仿宋" w:hAnsi="仿宋" w:eastAsia="仿宋" w:cs="仿宋"/>
          <w:sz w:val="32"/>
          <w:szCs w:val="32"/>
        </w:rPr>
        <w:t>一般性支出</w:t>
      </w:r>
      <w:r>
        <w:rPr>
          <w:rFonts w:hint="eastAsia" w:ascii="仿宋" w:hAnsi="仿宋" w:eastAsia="仿宋" w:cs="仿宋"/>
          <w:sz w:val="32"/>
          <w:szCs w:val="32"/>
        </w:rPr>
        <w:t>1448.89万元，支出控制率100%。</w:t>
      </w:r>
    </w:p>
    <w:p w14:paraId="794A8FAD">
      <w:pPr>
        <w:adjustRightInd w:val="0"/>
        <w:snapToGrid w:val="0"/>
        <w:spacing w:line="576" w:lineRule="exact"/>
        <w:ind w:firstLine="640" w:firstLineChars="200"/>
        <w:contextualSpacing/>
        <w:jc w:val="left"/>
        <w:rPr>
          <w:rFonts w:ascii="仿宋" w:hAnsi="仿宋" w:eastAsia="仿宋" w:cs="仿宋"/>
          <w:sz w:val="32"/>
          <w:szCs w:val="32"/>
          <w:lang w:val="zh-CN"/>
        </w:rPr>
      </w:pPr>
      <w:r>
        <w:rPr>
          <w:rFonts w:hint="eastAsia" w:ascii="仿宋" w:hAnsi="仿宋" w:eastAsia="仿宋" w:cs="仿宋"/>
          <w:sz w:val="32"/>
          <w:szCs w:val="32"/>
        </w:rPr>
        <w:t>3.</w:t>
      </w:r>
      <w:r>
        <w:rPr>
          <w:rFonts w:hint="eastAsia" w:ascii="仿宋" w:hAnsi="仿宋" w:eastAsia="仿宋" w:cs="仿宋"/>
          <w:sz w:val="32"/>
          <w:szCs w:val="32"/>
          <w:lang w:val="zh-CN"/>
        </w:rPr>
        <w:t>财务管理</w:t>
      </w:r>
    </w:p>
    <w:p w14:paraId="5A973DEF">
      <w:pPr>
        <w:adjustRightInd w:val="0"/>
        <w:snapToGrid w:val="0"/>
        <w:spacing w:line="576" w:lineRule="exact"/>
        <w:ind w:firstLine="640" w:firstLineChars="200"/>
        <w:contextualSpacing/>
        <w:jc w:val="left"/>
        <w:rPr>
          <w:rFonts w:ascii="仿宋" w:hAnsi="仿宋" w:eastAsia="仿宋" w:cs="仿宋"/>
          <w:sz w:val="32"/>
          <w:szCs w:val="32"/>
        </w:rPr>
      </w:pPr>
      <w:r>
        <w:rPr>
          <w:rFonts w:ascii="仿宋" w:hAnsi="仿宋" w:eastAsia="仿宋" w:cs="仿宋"/>
          <w:sz w:val="32"/>
          <w:szCs w:val="32"/>
        </w:rPr>
        <w:t>2023年所有资金实行专款专用。项目支出均有相关的授权审批，资金拨付严格审批程序，使用规范，会计核算结果真实、准确。</w:t>
      </w:r>
    </w:p>
    <w:p w14:paraId="22E49A66">
      <w:pPr>
        <w:adjustRightInd w:val="0"/>
        <w:snapToGrid w:val="0"/>
        <w:spacing w:line="576" w:lineRule="exact"/>
        <w:ind w:firstLine="640" w:firstLineChars="200"/>
        <w:contextualSpacing/>
        <w:jc w:val="left"/>
        <w:rPr>
          <w:rFonts w:ascii="仿宋" w:hAnsi="仿宋" w:eastAsia="仿宋" w:cs="仿宋"/>
          <w:sz w:val="32"/>
          <w:szCs w:val="32"/>
          <w:lang w:val="zh-CN"/>
        </w:rPr>
      </w:pPr>
      <w:r>
        <w:rPr>
          <w:rFonts w:hint="eastAsia" w:ascii="仿宋" w:hAnsi="仿宋" w:eastAsia="仿宋" w:cs="仿宋"/>
          <w:sz w:val="32"/>
          <w:szCs w:val="32"/>
        </w:rPr>
        <w:t>4.</w:t>
      </w:r>
      <w:r>
        <w:rPr>
          <w:rFonts w:hint="eastAsia" w:ascii="仿宋" w:hAnsi="仿宋" w:eastAsia="仿宋" w:cs="仿宋"/>
          <w:sz w:val="32"/>
          <w:szCs w:val="32"/>
          <w:lang w:val="zh-CN"/>
        </w:rPr>
        <w:t>资产管理</w:t>
      </w:r>
    </w:p>
    <w:p w14:paraId="3BB70962">
      <w:pPr>
        <w:adjustRightInd w:val="0"/>
        <w:snapToGrid w:val="0"/>
        <w:spacing w:line="576" w:lineRule="exact"/>
        <w:ind w:firstLine="640" w:firstLineChars="200"/>
        <w:contextualSpacing/>
        <w:jc w:val="left"/>
        <w:rPr>
          <w:rFonts w:ascii="仿宋" w:hAnsi="仿宋" w:eastAsia="仿宋" w:cs="仿宋"/>
          <w:sz w:val="32"/>
          <w:szCs w:val="32"/>
        </w:rPr>
      </w:pPr>
      <w:r>
        <w:rPr>
          <w:rFonts w:ascii="仿宋" w:hAnsi="仿宋" w:eastAsia="仿宋" w:cs="仿宋"/>
          <w:sz w:val="32"/>
          <w:szCs w:val="32"/>
        </w:rPr>
        <w:t>2023年，</w:t>
      </w:r>
      <w:r>
        <w:rPr>
          <w:rFonts w:hint="eastAsia" w:ascii="仿宋" w:hAnsi="仿宋" w:eastAsia="仿宋" w:cs="仿宋"/>
          <w:sz w:val="32"/>
          <w:szCs w:val="32"/>
        </w:rPr>
        <w:t>常理</w:t>
      </w:r>
      <w:r>
        <w:rPr>
          <w:rFonts w:ascii="仿宋" w:hAnsi="仿宋" w:eastAsia="仿宋" w:cs="仿宋"/>
          <w:sz w:val="32"/>
          <w:szCs w:val="32"/>
        </w:rPr>
        <w:t>镇严格按照有关规定管理固定资产。资产管理工作程序规范，会计核算结果真实、准确。</w:t>
      </w:r>
      <w:r>
        <w:rPr>
          <w:rFonts w:hint="eastAsia" w:ascii="仿宋" w:hAnsi="仿宋" w:eastAsia="仿宋" w:cs="仿宋"/>
          <w:sz w:val="32"/>
          <w:szCs w:val="32"/>
        </w:rPr>
        <w:t>资产配置合理、保管完善，并按要求进行资产盘点。</w:t>
      </w:r>
    </w:p>
    <w:p w14:paraId="642C0409">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5.采购管理</w:t>
      </w:r>
    </w:p>
    <w:p w14:paraId="76CBC5B3">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采购管理。常理镇围绕支持中小企业发展，2023年度政府采购支出总额</w:t>
      </w:r>
      <w:r>
        <w:rPr>
          <w:rFonts w:ascii="仿宋" w:hAnsi="仿宋" w:eastAsia="仿宋" w:cs="仿宋"/>
          <w:sz w:val="32"/>
          <w:szCs w:val="32"/>
        </w:rPr>
        <w:t>4.2</w:t>
      </w:r>
      <w:r>
        <w:rPr>
          <w:rFonts w:hint="eastAsia" w:ascii="仿宋" w:hAnsi="仿宋" w:eastAsia="仿宋" w:cs="仿宋"/>
          <w:sz w:val="32"/>
          <w:szCs w:val="32"/>
        </w:rPr>
        <w:t>万元，授予中小企业合同金额</w:t>
      </w:r>
      <w:r>
        <w:rPr>
          <w:rFonts w:ascii="仿宋" w:hAnsi="仿宋" w:eastAsia="仿宋" w:cs="仿宋"/>
          <w:sz w:val="32"/>
          <w:szCs w:val="32"/>
        </w:rPr>
        <w:t>4.2</w:t>
      </w:r>
      <w:r>
        <w:rPr>
          <w:rFonts w:hint="eastAsia" w:ascii="仿宋" w:hAnsi="仿宋" w:eastAsia="仿宋" w:cs="仿宋"/>
          <w:sz w:val="32"/>
          <w:szCs w:val="32"/>
        </w:rPr>
        <w:t>万元，占政府采购支出总额的100%。围绕支持中小企业发展、采购执行率</w:t>
      </w:r>
      <w:r>
        <w:rPr>
          <w:rFonts w:ascii="仿宋" w:hAnsi="仿宋" w:eastAsia="仿宋" w:cs="仿宋"/>
          <w:sz w:val="32"/>
          <w:szCs w:val="32"/>
        </w:rPr>
        <w:t>进行绩效分析</w:t>
      </w:r>
      <w:r>
        <w:rPr>
          <w:rFonts w:hint="eastAsia" w:ascii="仿宋" w:hAnsi="仿宋" w:eastAsia="仿宋" w:cs="仿宋"/>
          <w:sz w:val="32"/>
          <w:szCs w:val="32"/>
        </w:rPr>
        <w:t>。</w:t>
      </w:r>
    </w:p>
    <w:p w14:paraId="0C8FC6AA">
      <w:pPr>
        <w:widowControl/>
        <w:adjustRightInd w:val="0"/>
        <w:snapToGrid w:val="0"/>
        <w:spacing w:line="576" w:lineRule="exact"/>
        <w:ind w:firstLine="643" w:firstLineChars="200"/>
        <w:contextualSpacing/>
        <w:jc w:val="left"/>
        <w:rPr>
          <w:rFonts w:ascii="仿宋" w:hAnsi="仿宋" w:eastAsia="仿宋" w:cs="仿宋"/>
          <w:b/>
          <w:color w:val="000000" w:themeColor="text1"/>
          <w:kern w:val="0"/>
          <w:sz w:val="32"/>
          <w:szCs w:val="32"/>
          <w:shd w:val="clear" w:color="auto" w:fill="FFFFFF"/>
          <w:lang w:val="zh-CN"/>
          <w14:shadow w14:blurRad="38100" w14:dist="19050" w14:dir="2700000" w14:sx="100000" w14:sy="100000" w14:kx="0" w14:ky="0" w14:algn="tl">
            <w14:schemeClr w14:val="dk1">
              <w14:alpha w14:val="60000"/>
            </w14:schemeClr>
          </w14:shadow>
          <w14:textFill>
            <w14:solidFill>
              <w14:schemeClr w14:val="tx1"/>
            </w14:solidFill>
          </w14:textFill>
        </w:rPr>
      </w:pPr>
      <w:r>
        <w:rPr>
          <w:rFonts w:hint="eastAsia" w:ascii="仿宋" w:hAnsi="仿宋" w:eastAsia="仿宋" w:cs="仿宋"/>
          <w:b/>
          <w:color w:val="000000" w:themeColor="text1"/>
          <w:kern w:val="0"/>
          <w:sz w:val="32"/>
          <w:szCs w:val="32"/>
          <w:shd w:val="clear" w:color="auto" w:fill="FFFFFF"/>
          <w:lang w:val="zh-CN"/>
          <w14:shadow w14:blurRad="38100" w14:dist="19050" w14:dir="2700000" w14:sx="100000" w14:sy="100000" w14:kx="0" w14:ky="0" w14:algn="tl">
            <w14:schemeClr w14:val="dk1">
              <w14:alpha w14:val="60000"/>
            </w14:schemeClr>
          </w14:shadow>
          <w14:textFill>
            <w14:solidFill>
              <w14:schemeClr w14:val="tx1"/>
            </w14:solidFill>
          </w14:textFill>
        </w:rPr>
        <w:t>（二）部门预算项目绩效分析</w:t>
      </w:r>
    </w:p>
    <w:p w14:paraId="4C097099">
      <w:pPr>
        <w:widowControl/>
        <w:adjustRightInd w:val="0"/>
        <w:snapToGrid w:val="0"/>
        <w:spacing w:line="576" w:lineRule="exact"/>
        <w:ind w:firstLine="640" w:firstLineChars="200"/>
        <w:contextualSpacing/>
        <w:jc w:val="left"/>
        <w:rPr>
          <w:rFonts w:ascii="仿宋" w:hAnsi="仿宋" w:eastAsia="仿宋" w:cs="仿宋"/>
          <w:sz w:val="32"/>
          <w:szCs w:val="32"/>
        </w:rPr>
      </w:pPr>
      <w:r>
        <w:rPr>
          <w:rFonts w:ascii="仿宋" w:hAnsi="仿宋" w:eastAsia="仿宋" w:cs="仿宋"/>
          <w:sz w:val="32"/>
          <w:szCs w:val="32"/>
        </w:rPr>
        <w:t>常年项目绩效分析</w:t>
      </w:r>
      <w:r>
        <w:rPr>
          <w:rFonts w:hint="eastAsia" w:ascii="仿宋" w:hAnsi="仿宋" w:eastAsia="仿宋" w:cs="仿宋"/>
          <w:sz w:val="32"/>
          <w:szCs w:val="32"/>
        </w:rPr>
        <w:t>:</w:t>
      </w:r>
      <w:r>
        <w:rPr>
          <w:rFonts w:ascii="仿宋" w:hAnsi="仿宋" w:eastAsia="仿宋" w:cs="仿宋"/>
          <w:sz w:val="32"/>
          <w:szCs w:val="32"/>
        </w:rPr>
        <w:t>该类项目总数12个，涉及预算总金额49.5万元，1—12月预算执行总体进度为</w:t>
      </w:r>
      <w:r>
        <w:rPr>
          <w:rFonts w:hint="eastAsia" w:ascii="仿宋" w:hAnsi="仿宋" w:eastAsia="仿宋" w:cs="仿宋"/>
          <w:sz w:val="32"/>
          <w:szCs w:val="32"/>
        </w:rPr>
        <w:t>100</w:t>
      </w:r>
      <w:r>
        <w:rPr>
          <w:rFonts w:ascii="仿宋" w:hAnsi="仿宋" w:eastAsia="仿宋" w:cs="仿宋"/>
          <w:sz w:val="32"/>
          <w:szCs w:val="32"/>
        </w:rPr>
        <w:t>%，其中：预算结余率大于10%的项目共计</w:t>
      </w:r>
      <w:r>
        <w:rPr>
          <w:rFonts w:hint="eastAsia" w:ascii="仿宋" w:hAnsi="仿宋" w:eastAsia="仿宋" w:cs="仿宋"/>
          <w:sz w:val="32"/>
          <w:szCs w:val="32"/>
        </w:rPr>
        <w:t>0</w:t>
      </w:r>
      <w:r>
        <w:rPr>
          <w:rFonts w:ascii="仿宋" w:hAnsi="仿宋" w:eastAsia="仿宋" w:cs="仿宋"/>
          <w:sz w:val="32"/>
          <w:szCs w:val="32"/>
        </w:rPr>
        <w:t>个。</w:t>
      </w:r>
    </w:p>
    <w:p w14:paraId="1AF44CA9">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楷体_GB2312" w:hAnsi="楷体_GB2312" w:eastAsia="楷体_GB2312" w:cs="楷体_GB2312"/>
          <w:kern w:val="0"/>
          <w:sz w:val="32"/>
          <w:szCs w:val="32"/>
          <w:shd w:val="clear" w:color="auto" w:fill="FFFFFF"/>
        </w:rPr>
        <w:t>1.</w:t>
      </w:r>
      <w:r>
        <w:rPr>
          <w:rFonts w:hint="eastAsia" w:ascii="楷体_GB2312" w:hAnsi="楷体_GB2312" w:eastAsia="楷体_GB2312" w:cs="楷体_GB2312"/>
          <w:kern w:val="0"/>
          <w:sz w:val="32"/>
          <w:szCs w:val="32"/>
          <w:shd w:val="clear" w:color="auto" w:fill="FFFFFF"/>
          <w:lang w:val="zh-CN"/>
        </w:rPr>
        <w:t>项目决策</w:t>
      </w:r>
    </w:p>
    <w:p w14:paraId="5D04F720">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2023年，常理镇根据区财政要求，将部门整体的绩效目标细化分解为具体量化的项目，设立了项目绩效目标，目标明确、细化、量化，与部门年度的任务数或计划数相对应，与本年度部门预算资金相匹配</w:t>
      </w:r>
      <w:r>
        <w:rPr>
          <w:rFonts w:ascii="仿宋" w:hAnsi="仿宋" w:eastAsia="仿宋" w:cs="仿宋"/>
          <w:sz w:val="32"/>
          <w:szCs w:val="32"/>
        </w:rPr>
        <w:t>。</w:t>
      </w:r>
    </w:p>
    <w:p w14:paraId="011E5C4D">
      <w:pPr>
        <w:adjustRightInd w:val="0"/>
        <w:snapToGrid w:val="0"/>
        <w:spacing w:line="576" w:lineRule="exact"/>
        <w:ind w:firstLine="640" w:firstLineChars="200"/>
        <w:contextualSpacing/>
        <w:jc w:val="left"/>
        <w:rPr>
          <w:rFonts w:ascii="楷体_GB2312" w:hAnsi="楷体_GB2312" w:eastAsia="楷体_GB2312" w:cs="楷体_GB2312"/>
          <w:kern w:val="0"/>
          <w:sz w:val="32"/>
          <w:szCs w:val="32"/>
          <w:shd w:val="clear" w:color="auto" w:fill="FFFFFF"/>
          <w:lang w:val="zh-CN"/>
        </w:rPr>
      </w:pPr>
      <w:r>
        <w:rPr>
          <w:rFonts w:hint="eastAsia" w:ascii="楷体_GB2312" w:hAnsi="楷体_GB2312" w:eastAsia="楷体_GB2312" w:cs="楷体_GB2312"/>
          <w:kern w:val="0"/>
          <w:sz w:val="32"/>
          <w:szCs w:val="32"/>
          <w:shd w:val="clear" w:color="auto" w:fill="FFFFFF"/>
        </w:rPr>
        <w:t>2.项目执行</w:t>
      </w:r>
    </w:p>
    <w:p w14:paraId="56134FBE">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2023年，常理镇各个项目经费严格按照年初设定的目标方向管理和使用，途中未进行项目预算的调整；所有项目支出符合国家财经法规和财务管理制度规定以及有关专项资金管理办法的规定；资金的拨付有完整的审批程序和手续，不存在截留、挤占、挪用、虚列支出等情况</w:t>
      </w:r>
      <w:r>
        <w:rPr>
          <w:rFonts w:ascii="仿宋" w:hAnsi="仿宋" w:eastAsia="仿宋" w:cs="仿宋"/>
          <w:sz w:val="32"/>
          <w:szCs w:val="32"/>
        </w:rPr>
        <w:t>。</w:t>
      </w:r>
    </w:p>
    <w:p w14:paraId="35DC6109">
      <w:pPr>
        <w:widowControl/>
        <w:adjustRightInd w:val="0"/>
        <w:snapToGrid w:val="0"/>
        <w:spacing w:line="576" w:lineRule="exact"/>
        <w:ind w:firstLine="643" w:firstLineChars="200"/>
        <w:contextualSpacing/>
        <w:jc w:val="left"/>
        <w:rPr>
          <w:rFonts w:eastAsia="楷体_GB2312"/>
          <w:b/>
          <w:bCs/>
          <w:kern w:val="0"/>
          <w:sz w:val="32"/>
          <w:szCs w:val="32"/>
          <w:shd w:val="clear" w:color="auto" w:fill="FFFFFF"/>
          <w:lang w:val="zh-CN"/>
        </w:rPr>
      </w:pPr>
      <w:r>
        <w:rPr>
          <w:rFonts w:eastAsia="楷体_GB2312"/>
          <w:b/>
          <w:bCs/>
          <w:kern w:val="0"/>
          <w:sz w:val="32"/>
          <w:szCs w:val="32"/>
          <w:shd w:val="clear" w:color="auto" w:fill="FFFFFF"/>
          <w:lang w:val="zh-CN"/>
        </w:rPr>
        <w:t>（</w:t>
      </w:r>
      <w:r>
        <w:rPr>
          <w:rFonts w:hint="eastAsia" w:eastAsia="楷体_GB2312"/>
          <w:b/>
          <w:bCs/>
          <w:kern w:val="0"/>
          <w:sz w:val="32"/>
          <w:szCs w:val="32"/>
          <w:shd w:val="clear" w:color="auto" w:fill="FFFFFF"/>
          <w:lang w:val="zh-CN"/>
        </w:rPr>
        <w:t>三</w:t>
      </w:r>
      <w:r>
        <w:rPr>
          <w:rFonts w:eastAsia="楷体_GB2312"/>
          <w:b/>
          <w:bCs/>
          <w:kern w:val="0"/>
          <w:sz w:val="32"/>
          <w:szCs w:val="32"/>
          <w:shd w:val="clear" w:color="auto" w:fill="FFFFFF"/>
          <w:lang w:val="zh-CN"/>
        </w:rPr>
        <w:t>）重点领域绩效分析</w:t>
      </w:r>
    </w:p>
    <w:p w14:paraId="378EC8DD">
      <w:pPr>
        <w:widowControl/>
        <w:adjustRightInd w:val="0"/>
        <w:snapToGrid w:val="0"/>
        <w:spacing w:line="576" w:lineRule="exact"/>
        <w:ind w:firstLine="640" w:firstLineChars="200"/>
        <w:contextualSpacing/>
        <w:jc w:val="left"/>
      </w:pPr>
      <w:r>
        <w:rPr>
          <w:rFonts w:hint="eastAsia" w:ascii="仿宋" w:hAnsi="仿宋" w:eastAsia="仿宋" w:cs="仿宋"/>
          <w:sz w:val="32"/>
          <w:szCs w:val="32"/>
        </w:rPr>
        <w:t>常理镇</w:t>
      </w:r>
      <w:r>
        <w:rPr>
          <w:rFonts w:ascii="仿宋" w:hAnsi="仿宋" w:eastAsia="仿宋" w:cs="仿宋"/>
          <w:sz w:val="32"/>
          <w:szCs w:val="32"/>
        </w:rPr>
        <w:t>2023年度</w:t>
      </w:r>
      <w:r>
        <w:rPr>
          <w:rFonts w:hint="eastAsia" w:ascii="仿宋" w:hAnsi="仿宋" w:eastAsia="仿宋" w:cs="仿宋"/>
          <w:sz w:val="32"/>
          <w:szCs w:val="32"/>
        </w:rPr>
        <w:t>无</w:t>
      </w:r>
      <w:r>
        <w:rPr>
          <w:rFonts w:ascii="仿宋" w:hAnsi="仿宋" w:eastAsia="仿宋" w:cs="仿宋"/>
          <w:sz w:val="32"/>
          <w:szCs w:val="32"/>
        </w:rPr>
        <w:t>涉及国有资本、行政事业性国有资产、债券资金、政府采购和政府购买服务等重点领域</w:t>
      </w:r>
      <w:r>
        <w:rPr>
          <w:szCs w:val="32"/>
        </w:rPr>
        <w:t>。</w:t>
      </w:r>
    </w:p>
    <w:p w14:paraId="32793693">
      <w:pPr>
        <w:autoSpaceDE w:val="0"/>
        <w:autoSpaceDN w:val="0"/>
        <w:adjustRightInd w:val="0"/>
        <w:spacing w:line="576" w:lineRule="exact"/>
        <w:ind w:left="640"/>
        <w:jc w:val="left"/>
        <w:outlineLvl w:val="2"/>
        <w:rPr>
          <w:rFonts w:ascii="仿宋" w:hAnsi="仿宋" w:eastAsia="仿宋" w:cs="仿宋"/>
          <w:b/>
          <w:sz w:val="32"/>
          <w:szCs w:val="32"/>
          <w:lang w:val="zh-CN"/>
        </w:rPr>
      </w:pPr>
      <w:r>
        <w:rPr>
          <w:rFonts w:hint="eastAsia" w:ascii="仿宋" w:hAnsi="仿宋" w:eastAsia="仿宋" w:cs="仿宋"/>
          <w:b/>
          <w:sz w:val="32"/>
          <w:szCs w:val="32"/>
          <w:lang w:val="zh-CN"/>
        </w:rPr>
        <w:t>（四）结果应用情况</w:t>
      </w:r>
    </w:p>
    <w:p w14:paraId="42B48A55">
      <w:pPr>
        <w:widowControl/>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通过整体支出绩效自评，一是及时调整和优化本部门后续项目和以后年度预算支出的方向和结构，合理配置资源。二是完善项目管理办法，切实提高项目管理水平，建立激励与约束机制，强化评价结果在项目申报和预算编制中的有效应用。三是促进规范使用项目资金。</w:t>
      </w:r>
    </w:p>
    <w:p w14:paraId="66D59913">
      <w:pPr>
        <w:pStyle w:val="6"/>
        <w:spacing w:line="576" w:lineRule="exact"/>
        <w:ind w:firstLine="643" w:firstLineChars="200"/>
        <w:jc w:val="left"/>
        <w:rPr>
          <w:rFonts w:ascii="仿宋" w:hAnsi="仿宋" w:eastAsia="仿宋" w:cs="仿宋"/>
          <w:bCs w:val="0"/>
        </w:rPr>
      </w:pPr>
      <w:r>
        <w:rPr>
          <w:rFonts w:hint="eastAsia" w:ascii="仿宋" w:hAnsi="仿宋" w:eastAsia="仿宋" w:cs="仿宋"/>
          <w:bCs w:val="0"/>
        </w:rPr>
        <w:t>四、评价结论及建议</w:t>
      </w:r>
    </w:p>
    <w:p w14:paraId="42F6513E">
      <w:pPr>
        <w:autoSpaceDE w:val="0"/>
        <w:autoSpaceDN w:val="0"/>
        <w:adjustRightInd w:val="0"/>
        <w:spacing w:line="576" w:lineRule="exact"/>
        <w:ind w:firstLine="643" w:firstLineChars="200"/>
        <w:jc w:val="left"/>
        <w:outlineLvl w:val="2"/>
        <w:rPr>
          <w:rFonts w:ascii="仿宋" w:hAnsi="仿宋" w:eastAsia="仿宋" w:cs="仿宋"/>
          <w:b/>
          <w:sz w:val="32"/>
          <w:szCs w:val="32"/>
          <w:lang w:val="zh-CN"/>
        </w:rPr>
      </w:pPr>
      <w:r>
        <w:rPr>
          <w:rFonts w:hint="eastAsia" w:ascii="仿宋" w:hAnsi="仿宋" w:eastAsia="仿宋" w:cs="仿宋"/>
          <w:b/>
          <w:sz w:val="32"/>
          <w:szCs w:val="32"/>
          <w:lang w:val="zh-CN"/>
        </w:rPr>
        <w:t>（一）评价结论</w:t>
      </w:r>
    </w:p>
    <w:p w14:paraId="4694873D">
      <w:pPr>
        <w:adjustRightInd w:val="0"/>
        <w:snapToGrid w:val="0"/>
        <w:spacing w:line="576" w:lineRule="exact"/>
        <w:ind w:firstLine="640" w:firstLineChars="200"/>
        <w:contextualSpacing/>
        <w:jc w:val="left"/>
        <w:rPr>
          <w:rFonts w:ascii="仿宋" w:hAnsi="仿宋" w:eastAsia="仿宋" w:cs="仿宋"/>
          <w:sz w:val="32"/>
          <w:szCs w:val="32"/>
        </w:rPr>
      </w:pPr>
      <w:r>
        <w:rPr>
          <w:rFonts w:hint="eastAsia" w:ascii="仿宋" w:hAnsi="仿宋" w:eastAsia="仿宋" w:cs="仿宋"/>
          <w:sz w:val="32"/>
          <w:szCs w:val="32"/>
        </w:rPr>
        <w:t>2023年，常理镇严格要求按照《区级部门整体支出绩效评价指标自评得分表》等标准进行自评，部门整体支出绩效评价指标自评得分90分，绩效管理情况较为理想，达到了年初设定的各项绩效目标。所有资金使用严格按审批程序办理、操作规范，会计核算结果真实、准确，各项支出严格按照各项制度执行。</w:t>
      </w:r>
      <w:r>
        <w:rPr>
          <w:rFonts w:ascii="仿宋" w:hAnsi="仿宋" w:eastAsia="仿宋" w:cs="仿宋"/>
          <w:sz w:val="32"/>
          <w:szCs w:val="32"/>
        </w:rPr>
        <w:t>（</w:t>
      </w:r>
      <w:r>
        <w:rPr>
          <w:rFonts w:hint="eastAsia" w:ascii="仿宋" w:hAnsi="仿宋" w:eastAsia="仿宋" w:cs="仿宋"/>
          <w:sz w:val="32"/>
          <w:szCs w:val="32"/>
        </w:rPr>
        <w:t>详</w:t>
      </w:r>
      <w:r>
        <w:rPr>
          <w:rFonts w:ascii="仿宋" w:hAnsi="仿宋" w:eastAsia="仿宋" w:cs="仿宋"/>
          <w:sz w:val="32"/>
          <w:szCs w:val="32"/>
        </w:rPr>
        <w:t>见附</w:t>
      </w:r>
      <w:r>
        <w:rPr>
          <w:rFonts w:hint="eastAsia" w:ascii="仿宋" w:hAnsi="仿宋" w:eastAsia="仿宋" w:cs="仿宋"/>
          <w:sz w:val="32"/>
          <w:szCs w:val="32"/>
        </w:rPr>
        <w:t>表</w:t>
      </w:r>
      <w:r>
        <w:rPr>
          <w:rFonts w:ascii="仿宋" w:hAnsi="仿宋" w:eastAsia="仿宋" w:cs="仿宋"/>
          <w:sz w:val="32"/>
          <w:szCs w:val="32"/>
        </w:rPr>
        <w:t>）</w:t>
      </w:r>
    </w:p>
    <w:p w14:paraId="2DFB2AEB">
      <w:pPr>
        <w:adjustRightInd w:val="0"/>
        <w:snapToGrid w:val="0"/>
        <w:spacing w:line="576" w:lineRule="exact"/>
        <w:ind w:firstLine="643" w:firstLineChars="200"/>
        <w:contextualSpacing/>
        <w:jc w:val="left"/>
        <w:rPr>
          <w:rFonts w:ascii="仿宋" w:hAnsi="仿宋" w:eastAsia="仿宋" w:cs="仿宋"/>
          <w:b/>
          <w:bCs/>
          <w:sz w:val="32"/>
          <w:szCs w:val="32"/>
          <w:lang w:val="zh-CN"/>
        </w:rPr>
      </w:pPr>
      <w:r>
        <w:rPr>
          <w:rFonts w:hint="eastAsia" w:ascii="仿宋" w:hAnsi="仿宋" w:eastAsia="仿宋" w:cs="仿宋"/>
          <w:b/>
          <w:bCs/>
          <w:sz w:val="32"/>
          <w:szCs w:val="32"/>
          <w:lang w:val="zh-CN"/>
        </w:rPr>
        <w:t>（二）存在问题</w:t>
      </w:r>
    </w:p>
    <w:p w14:paraId="18979E0A">
      <w:pPr>
        <w:adjustRightInd w:val="0"/>
        <w:snapToGrid w:val="0"/>
        <w:spacing w:line="576" w:lineRule="exact"/>
        <w:ind w:firstLine="640" w:firstLineChars="200"/>
        <w:contextualSpacing/>
        <w:jc w:val="left"/>
        <w:rPr>
          <w:rFonts w:hint="eastAsia" w:ascii="仿宋" w:hAnsi="仿宋" w:eastAsia="仿宋" w:cs="仿宋"/>
          <w:sz w:val="32"/>
          <w:szCs w:val="32"/>
        </w:rPr>
      </w:pPr>
      <w:r>
        <w:rPr>
          <w:rFonts w:hint="eastAsia" w:ascii="仿宋" w:hAnsi="仿宋" w:eastAsia="仿宋" w:cs="仿宋"/>
          <w:sz w:val="32"/>
          <w:szCs w:val="32"/>
        </w:rPr>
        <w:t>一是预算编制测算明确性、合理性有待提高，二是绩效目标动态监控不够。</w:t>
      </w:r>
    </w:p>
    <w:p w14:paraId="1C6A68BC">
      <w:pPr>
        <w:pStyle w:val="2"/>
      </w:pPr>
    </w:p>
    <w:p w14:paraId="3AAFA213">
      <w:pPr>
        <w:adjustRightInd w:val="0"/>
        <w:snapToGrid w:val="0"/>
        <w:spacing w:line="576" w:lineRule="exact"/>
        <w:ind w:firstLine="643" w:firstLineChars="200"/>
        <w:contextualSpacing/>
        <w:jc w:val="left"/>
        <w:rPr>
          <w:rFonts w:ascii="仿宋" w:hAnsi="仿宋" w:eastAsia="仿宋" w:cs="仿宋"/>
          <w:b/>
          <w:bCs/>
          <w:sz w:val="32"/>
          <w:szCs w:val="32"/>
          <w:lang w:val="zh-CN"/>
        </w:rPr>
      </w:pPr>
      <w:r>
        <w:rPr>
          <w:rFonts w:hint="eastAsia" w:ascii="仿宋" w:hAnsi="仿宋" w:eastAsia="仿宋" w:cs="仿宋"/>
          <w:b/>
          <w:bCs/>
          <w:sz w:val="32"/>
          <w:szCs w:val="32"/>
          <w:lang w:val="zh-CN"/>
        </w:rPr>
        <w:t>（三）改进建议</w:t>
      </w:r>
    </w:p>
    <w:p w14:paraId="42002A80">
      <w:pPr>
        <w:adjustRightInd w:val="0"/>
        <w:snapToGrid w:val="0"/>
        <w:spacing w:line="576" w:lineRule="exact"/>
        <w:ind w:firstLine="640" w:firstLineChars="200"/>
        <w:contextualSpacing/>
        <w:jc w:val="left"/>
        <w:rPr>
          <w:rFonts w:ascii="仿宋" w:hAnsi="仿宋" w:eastAsia="仿宋" w:cs="仿宋"/>
          <w:sz w:val="32"/>
          <w:szCs w:val="32"/>
          <w:lang w:val="zh-CN"/>
        </w:rPr>
      </w:pPr>
      <w:r>
        <w:rPr>
          <w:rFonts w:hint="eastAsia" w:ascii="仿宋" w:hAnsi="仿宋" w:eastAsia="仿宋" w:cs="仿宋"/>
          <w:sz w:val="32"/>
          <w:szCs w:val="32"/>
        </w:rPr>
        <w:t>1</w:t>
      </w:r>
      <w:r>
        <w:rPr>
          <w:rFonts w:hint="eastAsia" w:ascii="仿宋" w:hAnsi="仿宋" w:eastAsia="仿宋" w:cs="仿宋"/>
          <w:sz w:val="32"/>
          <w:szCs w:val="32"/>
          <w:lang w:val="zh-CN"/>
        </w:rPr>
        <w:t>、科学合理编制预算，严格执行预算。做准基本支出预算和项目支出预算，加强预算支出的审核、跟踪及预算执行情况分析，提高预算编制严谨性和可控性。</w:t>
      </w:r>
    </w:p>
    <w:p w14:paraId="5AF6334D">
      <w:pPr>
        <w:adjustRightInd w:val="0"/>
        <w:snapToGrid w:val="0"/>
        <w:spacing w:line="576" w:lineRule="exact"/>
        <w:ind w:firstLine="640" w:firstLineChars="200"/>
        <w:contextualSpacing/>
        <w:jc w:val="left"/>
        <w:rPr>
          <w:rFonts w:ascii="仿宋" w:hAnsi="仿宋" w:eastAsia="仿宋" w:cs="仿宋"/>
          <w:sz w:val="32"/>
          <w:szCs w:val="32"/>
          <w:lang w:val="zh-CN"/>
        </w:rPr>
      </w:pPr>
      <w:r>
        <w:rPr>
          <w:rFonts w:hint="eastAsia" w:ascii="仿宋" w:hAnsi="仿宋" w:eastAsia="仿宋" w:cs="仿宋"/>
          <w:sz w:val="32"/>
          <w:szCs w:val="32"/>
          <w:lang w:val="zh-CN"/>
        </w:rPr>
        <w:t>2、进一步加强项目资金管理。严格实行项目管理程序化，实现项目申报、实施、拨付、评价、全流程监督与控制，规范专项资金管理，提高专项资金的使用效益。</w:t>
      </w:r>
    </w:p>
    <w:p w14:paraId="2685EA6D">
      <w:pPr>
        <w:adjustRightInd w:val="0"/>
        <w:snapToGrid w:val="0"/>
        <w:spacing w:line="576" w:lineRule="exact"/>
        <w:ind w:firstLine="640" w:firstLineChars="200"/>
        <w:contextualSpacing/>
        <w:jc w:val="left"/>
        <w:rPr>
          <w:rFonts w:ascii="仿宋" w:hAnsi="仿宋" w:eastAsia="仿宋" w:cs="仿宋"/>
          <w:sz w:val="32"/>
          <w:szCs w:val="32"/>
          <w:lang w:val="zh-CN"/>
        </w:rPr>
      </w:pPr>
      <w:r>
        <w:rPr>
          <w:rFonts w:hint="eastAsia" w:ascii="仿宋" w:hAnsi="仿宋" w:eastAsia="仿宋" w:cs="仿宋"/>
          <w:sz w:val="32"/>
          <w:szCs w:val="32"/>
          <w:lang w:val="zh-CN"/>
        </w:rPr>
        <w:t>3、进一步完善内部管理制度，提升管理效能，更好地履行工作职能。</w:t>
      </w:r>
    </w:p>
    <w:p w14:paraId="36F62E64">
      <w:r>
        <w:br w:type="page"/>
      </w:r>
    </w:p>
    <w:p w14:paraId="77CCB6A7">
      <w:pPr>
        <w:pStyle w:val="3"/>
        <w:spacing w:before="93" w:line="560" w:lineRule="exact"/>
        <w:ind w:left="0" w:leftChars="0" w:firstLine="0" w:firstLineChars="0"/>
        <w:jc w:val="center"/>
        <w:rPr>
          <w:b/>
        </w:rPr>
      </w:pPr>
      <w:r>
        <w:rPr>
          <w:rFonts w:hint="eastAsia"/>
          <w:b/>
        </w:rPr>
        <w:t>2024年区级部门整体支出绩效评价指标体系</w:t>
      </w:r>
    </w:p>
    <w:tbl>
      <w:tblPr>
        <w:tblStyle w:val="18"/>
        <w:tblW w:w="5014" w:type="pct"/>
        <w:tblInd w:w="0" w:type="dxa"/>
        <w:tblLayout w:type="autofit"/>
        <w:tblCellMar>
          <w:top w:w="0" w:type="dxa"/>
          <w:left w:w="108" w:type="dxa"/>
          <w:bottom w:w="0" w:type="dxa"/>
          <w:right w:w="108" w:type="dxa"/>
        </w:tblCellMar>
      </w:tblPr>
      <w:tblGrid>
        <w:gridCol w:w="710"/>
        <w:gridCol w:w="729"/>
        <w:gridCol w:w="1018"/>
        <w:gridCol w:w="652"/>
        <w:gridCol w:w="1577"/>
        <w:gridCol w:w="2928"/>
        <w:gridCol w:w="758"/>
        <w:gridCol w:w="714"/>
      </w:tblGrid>
      <w:tr w14:paraId="3DE71E43">
        <w:tblPrEx>
          <w:tblCellMar>
            <w:top w:w="0" w:type="dxa"/>
            <w:left w:w="108" w:type="dxa"/>
            <w:bottom w:w="0" w:type="dxa"/>
            <w:right w:w="108" w:type="dxa"/>
          </w:tblCellMar>
        </w:tblPrEx>
        <w:trPr>
          <w:trHeight w:val="152" w:hRule="atLeast"/>
        </w:trPr>
        <w:tc>
          <w:tcPr>
            <w:tcW w:w="135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29BA8F">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绩效指标</w:t>
            </w:r>
          </w:p>
        </w:tc>
        <w:tc>
          <w:tcPr>
            <w:tcW w:w="3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E4366C">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指标分值</w:t>
            </w:r>
          </w:p>
        </w:tc>
        <w:tc>
          <w:tcPr>
            <w:tcW w:w="8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17D66B">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指标解释</w:t>
            </w:r>
          </w:p>
        </w:tc>
        <w:tc>
          <w:tcPr>
            <w:tcW w:w="1611" w:type="pct"/>
            <w:vMerge w:val="restart"/>
            <w:tcBorders>
              <w:top w:val="single" w:color="auto" w:sz="4" w:space="0"/>
              <w:left w:val="nil"/>
              <w:bottom w:val="single" w:color="000000" w:sz="4" w:space="0"/>
              <w:right w:val="single" w:color="auto" w:sz="4" w:space="0"/>
            </w:tcBorders>
            <w:shd w:val="clear" w:color="auto" w:fill="auto"/>
            <w:vAlign w:val="center"/>
          </w:tcPr>
          <w:p w14:paraId="119E54F3">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计分标准</w:t>
            </w:r>
          </w:p>
        </w:tc>
        <w:tc>
          <w:tcPr>
            <w:tcW w:w="417" w:type="pct"/>
            <w:vMerge w:val="restart"/>
            <w:tcBorders>
              <w:top w:val="single" w:color="auto" w:sz="4" w:space="0"/>
              <w:left w:val="nil"/>
              <w:bottom w:val="single" w:color="000000" w:sz="4" w:space="0"/>
              <w:right w:val="single" w:color="auto" w:sz="4" w:space="0"/>
            </w:tcBorders>
            <w:shd w:val="clear" w:color="auto" w:fill="auto"/>
            <w:vAlign w:val="center"/>
          </w:tcPr>
          <w:p w14:paraId="05757EDC">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自评得分</w:t>
            </w:r>
          </w:p>
        </w:tc>
        <w:tc>
          <w:tcPr>
            <w:tcW w:w="393"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B798A24">
            <w:pPr>
              <w:widowControl/>
              <w:spacing w:line="300" w:lineRule="exact"/>
              <w:jc w:val="center"/>
              <w:rPr>
                <w:rFonts w:ascii="宋体" w:hAnsi="宋体" w:cs="宋体"/>
                <w:b/>
                <w:bCs/>
                <w:kern w:val="0"/>
                <w:sz w:val="24"/>
              </w:rPr>
            </w:pPr>
            <w:r>
              <w:rPr>
                <w:rFonts w:hint="eastAsia" w:ascii="宋体" w:hAnsi="宋体" w:cs="宋体"/>
                <w:b/>
                <w:bCs/>
                <w:kern w:val="0"/>
                <w:sz w:val="16"/>
                <w:szCs w:val="16"/>
              </w:rPr>
              <w:t>备注</w:t>
            </w:r>
          </w:p>
        </w:tc>
      </w:tr>
      <w:tr w14:paraId="6E8432B2">
        <w:tblPrEx>
          <w:tblCellMar>
            <w:top w:w="0" w:type="dxa"/>
            <w:left w:w="108" w:type="dxa"/>
            <w:bottom w:w="0" w:type="dxa"/>
            <w:right w:w="108" w:type="dxa"/>
          </w:tblCellMar>
        </w:tblPrEx>
        <w:trPr>
          <w:trHeight w:val="128" w:hRule="atLeast"/>
        </w:trPr>
        <w:tc>
          <w:tcPr>
            <w:tcW w:w="391" w:type="pct"/>
            <w:tcBorders>
              <w:top w:val="nil"/>
              <w:left w:val="single" w:color="auto" w:sz="4" w:space="0"/>
              <w:bottom w:val="single" w:color="auto" w:sz="4" w:space="0"/>
              <w:right w:val="single" w:color="auto" w:sz="4" w:space="0"/>
            </w:tcBorders>
            <w:shd w:val="clear" w:color="auto" w:fill="auto"/>
            <w:vAlign w:val="center"/>
          </w:tcPr>
          <w:p w14:paraId="487748D9">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一级指标</w:t>
            </w:r>
          </w:p>
        </w:tc>
        <w:tc>
          <w:tcPr>
            <w:tcW w:w="401" w:type="pct"/>
            <w:tcBorders>
              <w:top w:val="nil"/>
              <w:left w:val="nil"/>
              <w:bottom w:val="single" w:color="auto" w:sz="4" w:space="0"/>
              <w:right w:val="single" w:color="auto" w:sz="4" w:space="0"/>
            </w:tcBorders>
            <w:shd w:val="clear" w:color="auto" w:fill="auto"/>
            <w:vAlign w:val="center"/>
          </w:tcPr>
          <w:p w14:paraId="0C796C09">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二级指标</w:t>
            </w:r>
          </w:p>
        </w:tc>
        <w:tc>
          <w:tcPr>
            <w:tcW w:w="559" w:type="pct"/>
            <w:tcBorders>
              <w:top w:val="nil"/>
              <w:left w:val="nil"/>
              <w:bottom w:val="single" w:color="auto" w:sz="4" w:space="0"/>
              <w:right w:val="single" w:color="auto" w:sz="4" w:space="0"/>
            </w:tcBorders>
            <w:shd w:val="clear" w:color="auto" w:fill="auto"/>
            <w:vAlign w:val="center"/>
          </w:tcPr>
          <w:p w14:paraId="0FE950A9">
            <w:pPr>
              <w:widowControl/>
              <w:spacing w:line="300" w:lineRule="exact"/>
              <w:jc w:val="center"/>
              <w:rPr>
                <w:rFonts w:ascii="宋体" w:hAnsi="宋体" w:cs="宋体"/>
                <w:b/>
                <w:bCs/>
                <w:kern w:val="0"/>
                <w:sz w:val="16"/>
                <w:szCs w:val="16"/>
              </w:rPr>
            </w:pPr>
            <w:r>
              <w:rPr>
                <w:rFonts w:hint="eastAsia" w:ascii="宋体" w:hAnsi="宋体" w:cs="宋体"/>
                <w:b/>
                <w:bCs/>
                <w:kern w:val="0"/>
                <w:sz w:val="16"/>
                <w:szCs w:val="16"/>
              </w:rPr>
              <w:t>三级指标</w:t>
            </w:r>
          </w:p>
        </w:tc>
        <w:tc>
          <w:tcPr>
            <w:tcW w:w="359" w:type="pct"/>
            <w:vMerge w:val="continue"/>
            <w:tcBorders>
              <w:top w:val="single" w:color="auto" w:sz="4" w:space="0"/>
              <w:left w:val="single" w:color="auto" w:sz="4" w:space="0"/>
              <w:bottom w:val="single" w:color="auto" w:sz="4" w:space="0"/>
              <w:right w:val="single" w:color="auto" w:sz="4" w:space="0"/>
            </w:tcBorders>
            <w:vAlign w:val="center"/>
          </w:tcPr>
          <w:p w14:paraId="3B29B16E">
            <w:pPr>
              <w:widowControl/>
              <w:spacing w:line="300" w:lineRule="exact"/>
              <w:jc w:val="left"/>
              <w:rPr>
                <w:rFonts w:ascii="宋体" w:hAnsi="宋体" w:cs="宋体"/>
                <w:b/>
                <w:bCs/>
                <w:kern w:val="0"/>
                <w:sz w:val="16"/>
                <w:szCs w:val="16"/>
              </w:rPr>
            </w:pPr>
          </w:p>
        </w:tc>
        <w:tc>
          <w:tcPr>
            <w:tcW w:w="868" w:type="pct"/>
            <w:vMerge w:val="continue"/>
            <w:tcBorders>
              <w:top w:val="single" w:color="auto" w:sz="4" w:space="0"/>
              <w:left w:val="single" w:color="auto" w:sz="4" w:space="0"/>
              <w:bottom w:val="single" w:color="auto" w:sz="4" w:space="0"/>
              <w:right w:val="single" w:color="auto" w:sz="4" w:space="0"/>
            </w:tcBorders>
            <w:vAlign w:val="center"/>
          </w:tcPr>
          <w:p w14:paraId="02C8D36E">
            <w:pPr>
              <w:widowControl/>
              <w:spacing w:line="300" w:lineRule="exact"/>
              <w:jc w:val="left"/>
              <w:rPr>
                <w:rFonts w:ascii="宋体" w:hAnsi="宋体" w:cs="宋体"/>
                <w:b/>
                <w:bCs/>
                <w:kern w:val="0"/>
                <w:sz w:val="16"/>
                <w:szCs w:val="16"/>
              </w:rPr>
            </w:pPr>
          </w:p>
        </w:tc>
        <w:tc>
          <w:tcPr>
            <w:tcW w:w="1611" w:type="pct"/>
            <w:vMerge w:val="continue"/>
            <w:tcBorders>
              <w:top w:val="single" w:color="auto" w:sz="4" w:space="0"/>
              <w:left w:val="nil"/>
              <w:bottom w:val="single" w:color="000000" w:sz="4" w:space="0"/>
              <w:right w:val="single" w:color="auto" w:sz="4" w:space="0"/>
            </w:tcBorders>
            <w:vAlign w:val="center"/>
          </w:tcPr>
          <w:p w14:paraId="6E139D7D">
            <w:pPr>
              <w:widowControl/>
              <w:spacing w:line="300" w:lineRule="exact"/>
              <w:jc w:val="left"/>
              <w:rPr>
                <w:rFonts w:ascii="宋体" w:hAnsi="宋体" w:cs="宋体"/>
                <w:b/>
                <w:bCs/>
                <w:kern w:val="0"/>
                <w:sz w:val="16"/>
                <w:szCs w:val="16"/>
              </w:rPr>
            </w:pPr>
          </w:p>
        </w:tc>
        <w:tc>
          <w:tcPr>
            <w:tcW w:w="417" w:type="pct"/>
            <w:vMerge w:val="continue"/>
            <w:tcBorders>
              <w:top w:val="single" w:color="auto" w:sz="4" w:space="0"/>
              <w:left w:val="nil"/>
              <w:bottom w:val="single" w:color="000000" w:sz="4" w:space="0"/>
              <w:right w:val="single" w:color="auto" w:sz="4" w:space="0"/>
            </w:tcBorders>
            <w:vAlign w:val="center"/>
          </w:tcPr>
          <w:p w14:paraId="418D03C7">
            <w:pPr>
              <w:widowControl/>
              <w:spacing w:line="300" w:lineRule="exact"/>
              <w:jc w:val="left"/>
              <w:rPr>
                <w:rFonts w:ascii="宋体" w:hAnsi="宋体" w:cs="宋体"/>
                <w:b/>
                <w:bCs/>
                <w:kern w:val="0"/>
                <w:sz w:val="16"/>
                <w:szCs w:val="16"/>
              </w:rPr>
            </w:pPr>
          </w:p>
        </w:tc>
        <w:tc>
          <w:tcPr>
            <w:tcW w:w="393" w:type="pct"/>
            <w:vMerge w:val="continue"/>
            <w:tcBorders>
              <w:top w:val="single" w:color="auto" w:sz="4" w:space="0"/>
              <w:left w:val="single" w:color="auto" w:sz="4" w:space="0"/>
              <w:bottom w:val="single" w:color="000000" w:sz="4" w:space="0"/>
              <w:right w:val="single" w:color="auto" w:sz="4" w:space="0"/>
            </w:tcBorders>
            <w:vAlign w:val="center"/>
          </w:tcPr>
          <w:p w14:paraId="6C24819D">
            <w:pPr>
              <w:widowControl/>
              <w:spacing w:line="300" w:lineRule="exact"/>
              <w:jc w:val="left"/>
              <w:rPr>
                <w:rFonts w:ascii="宋体" w:hAnsi="宋体" w:cs="宋体"/>
                <w:b/>
                <w:bCs/>
                <w:kern w:val="0"/>
                <w:sz w:val="24"/>
              </w:rPr>
            </w:pPr>
          </w:p>
        </w:tc>
      </w:tr>
      <w:tr w14:paraId="0F6F6D7F">
        <w:tblPrEx>
          <w:tblCellMar>
            <w:top w:w="0" w:type="dxa"/>
            <w:left w:w="108" w:type="dxa"/>
            <w:bottom w:w="0" w:type="dxa"/>
            <w:right w:w="108" w:type="dxa"/>
          </w:tblCellMar>
        </w:tblPrEx>
        <w:trPr>
          <w:trHeight w:val="671" w:hRule="atLeast"/>
        </w:trPr>
        <w:tc>
          <w:tcPr>
            <w:tcW w:w="391" w:type="pct"/>
            <w:vMerge w:val="restart"/>
            <w:tcBorders>
              <w:top w:val="nil"/>
              <w:left w:val="single" w:color="auto" w:sz="4" w:space="0"/>
              <w:bottom w:val="single" w:color="auto" w:sz="4" w:space="0"/>
              <w:right w:val="single" w:color="auto" w:sz="4" w:space="0"/>
            </w:tcBorders>
            <w:shd w:val="clear" w:color="auto" w:fill="auto"/>
            <w:vAlign w:val="center"/>
          </w:tcPr>
          <w:p w14:paraId="36343C39">
            <w:pPr>
              <w:widowControl/>
              <w:spacing w:line="300" w:lineRule="exact"/>
              <w:jc w:val="center"/>
              <w:rPr>
                <w:rFonts w:ascii="宋体" w:hAnsi="宋体" w:cs="宋体"/>
                <w:kern w:val="0"/>
                <w:sz w:val="16"/>
                <w:szCs w:val="16"/>
              </w:rPr>
            </w:pPr>
            <w:r>
              <w:rPr>
                <w:rFonts w:hint="eastAsia" w:ascii="宋体" w:hAnsi="宋体" w:cs="宋体"/>
                <w:kern w:val="0"/>
                <w:sz w:val="16"/>
                <w:szCs w:val="16"/>
              </w:rPr>
              <w:t>部门预算管理（80分）</w:t>
            </w:r>
          </w:p>
        </w:tc>
        <w:tc>
          <w:tcPr>
            <w:tcW w:w="401" w:type="pct"/>
            <w:vMerge w:val="restart"/>
            <w:tcBorders>
              <w:top w:val="nil"/>
              <w:left w:val="single" w:color="auto" w:sz="4" w:space="0"/>
              <w:bottom w:val="single" w:color="auto" w:sz="4" w:space="0"/>
              <w:right w:val="single" w:color="auto" w:sz="4" w:space="0"/>
            </w:tcBorders>
            <w:shd w:val="clear" w:color="auto" w:fill="auto"/>
            <w:vAlign w:val="center"/>
          </w:tcPr>
          <w:p w14:paraId="06E84B1F">
            <w:pPr>
              <w:widowControl/>
              <w:spacing w:line="300" w:lineRule="exact"/>
              <w:jc w:val="center"/>
              <w:rPr>
                <w:rFonts w:ascii="宋体" w:hAnsi="宋体" w:cs="宋体"/>
                <w:kern w:val="0"/>
                <w:sz w:val="16"/>
                <w:szCs w:val="16"/>
              </w:rPr>
            </w:pPr>
            <w:r>
              <w:rPr>
                <w:rFonts w:hint="eastAsia" w:ascii="宋体" w:hAnsi="宋体" w:cs="宋体"/>
                <w:kern w:val="0"/>
                <w:sz w:val="16"/>
                <w:szCs w:val="16"/>
              </w:rPr>
              <w:t>预算编制（30分）</w:t>
            </w:r>
          </w:p>
        </w:tc>
        <w:tc>
          <w:tcPr>
            <w:tcW w:w="559" w:type="pct"/>
            <w:tcBorders>
              <w:top w:val="nil"/>
              <w:left w:val="nil"/>
              <w:bottom w:val="single" w:color="auto" w:sz="4" w:space="0"/>
              <w:right w:val="single" w:color="auto" w:sz="4" w:space="0"/>
            </w:tcBorders>
            <w:shd w:val="clear" w:color="auto" w:fill="auto"/>
            <w:vAlign w:val="center"/>
          </w:tcPr>
          <w:p w14:paraId="42F8EBAD">
            <w:pPr>
              <w:widowControl/>
              <w:spacing w:line="300" w:lineRule="exact"/>
              <w:jc w:val="center"/>
              <w:rPr>
                <w:rFonts w:ascii="宋体" w:hAnsi="宋体" w:cs="宋体"/>
                <w:kern w:val="0"/>
                <w:sz w:val="16"/>
                <w:szCs w:val="16"/>
              </w:rPr>
            </w:pPr>
            <w:r>
              <w:rPr>
                <w:rFonts w:hint="eastAsia" w:ascii="宋体" w:hAnsi="宋体" w:cs="宋体"/>
                <w:kern w:val="0"/>
                <w:sz w:val="16"/>
                <w:szCs w:val="16"/>
              </w:rPr>
              <w:t>目标制定</w:t>
            </w:r>
          </w:p>
        </w:tc>
        <w:tc>
          <w:tcPr>
            <w:tcW w:w="359" w:type="pct"/>
            <w:tcBorders>
              <w:top w:val="nil"/>
              <w:left w:val="nil"/>
              <w:bottom w:val="single" w:color="auto" w:sz="4" w:space="0"/>
              <w:right w:val="single" w:color="auto" w:sz="4" w:space="0"/>
            </w:tcBorders>
            <w:shd w:val="clear" w:color="auto" w:fill="auto"/>
            <w:vAlign w:val="center"/>
          </w:tcPr>
          <w:p w14:paraId="361F830A">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0ED09A47">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评价部门绩效目标是否要素完整、细化量化。</w:t>
            </w:r>
          </w:p>
        </w:tc>
        <w:tc>
          <w:tcPr>
            <w:tcW w:w="1611" w:type="pct"/>
            <w:tcBorders>
              <w:top w:val="nil"/>
              <w:left w:val="nil"/>
              <w:bottom w:val="single" w:color="auto" w:sz="4" w:space="0"/>
              <w:right w:val="single" w:color="auto" w:sz="4" w:space="0"/>
            </w:tcBorders>
            <w:shd w:val="clear" w:color="auto" w:fill="auto"/>
            <w:vAlign w:val="center"/>
          </w:tcPr>
          <w:p w14:paraId="270D488F">
            <w:pPr>
              <w:widowControl/>
              <w:spacing w:line="300" w:lineRule="exact"/>
              <w:jc w:val="left"/>
              <w:rPr>
                <w:rFonts w:ascii="宋体" w:hAnsi="宋体" w:cs="宋体"/>
                <w:kern w:val="0"/>
                <w:sz w:val="16"/>
                <w:szCs w:val="16"/>
              </w:rPr>
            </w:pPr>
            <w:r>
              <w:rPr>
                <w:rFonts w:hint="eastAsia" w:ascii="宋体" w:hAnsi="宋体" w:cs="宋体"/>
                <w:kern w:val="0"/>
                <w:sz w:val="16"/>
                <w:szCs w:val="16"/>
              </w:rPr>
              <w:t>1.绩效目标编制要素完整的，得5分，否则酌情扣分。                                                    2.绩效指标细化量化的，得5分，否则酌情扣分。有项目绩效目标的部门（单位），根据项目绩效目标编制质量打分，无项目绩效目标的部门，根据部门整体支出绩效目标打分</w:t>
            </w:r>
            <w:r>
              <w:rPr>
                <w:rFonts w:hint="eastAsia" w:ascii="宋体" w:hAnsi="宋体" w:cs="宋体"/>
                <w:kern w:val="0"/>
                <w:sz w:val="16"/>
                <w:szCs w:val="16"/>
                <w:lang w:eastAsia="zh-CN"/>
              </w:rPr>
              <w:t>。</w:t>
            </w:r>
            <w:r>
              <w:rPr>
                <w:rFonts w:hint="eastAsia" w:ascii="宋体" w:hAnsi="宋体" w:cs="宋体"/>
                <w:kern w:val="0"/>
                <w:sz w:val="16"/>
                <w:szCs w:val="16"/>
              </w:rPr>
              <w:t xml:space="preserve">                                                                    </w:t>
            </w:r>
          </w:p>
        </w:tc>
        <w:tc>
          <w:tcPr>
            <w:tcW w:w="417" w:type="pct"/>
            <w:tcBorders>
              <w:top w:val="nil"/>
              <w:left w:val="nil"/>
              <w:bottom w:val="single" w:color="auto" w:sz="4" w:space="0"/>
              <w:right w:val="single" w:color="auto" w:sz="4" w:space="0"/>
            </w:tcBorders>
            <w:shd w:val="clear" w:color="auto" w:fill="auto"/>
            <w:vAlign w:val="center"/>
          </w:tcPr>
          <w:p w14:paraId="37BE3738">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36CD5CDA">
            <w:pPr>
              <w:widowControl/>
              <w:spacing w:line="300" w:lineRule="exact"/>
              <w:jc w:val="left"/>
              <w:rPr>
                <w:rFonts w:ascii="宋体" w:hAnsi="宋体" w:cs="宋体"/>
                <w:kern w:val="0"/>
                <w:sz w:val="28"/>
                <w:szCs w:val="28"/>
              </w:rPr>
            </w:pPr>
          </w:p>
        </w:tc>
      </w:tr>
      <w:tr w14:paraId="3565708F">
        <w:tblPrEx>
          <w:tblCellMar>
            <w:top w:w="0" w:type="dxa"/>
            <w:left w:w="108" w:type="dxa"/>
            <w:bottom w:w="0" w:type="dxa"/>
            <w:right w:w="108" w:type="dxa"/>
          </w:tblCellMar>
        </w:tblPrEx>
        <w:trPr>
          <w:trHeight w:val="671" w:hRule="atLeast"/>
        </w:trPr>
        <w:tc>
          <w:tcPr>
            <w:tcW w:w="391" w:type="pct"/>
            <w:vMerge w:val="continue"/>
            <w:tcBorders>
              <w:top w:val="nil"/>
              <w:left w:val="single" w:color="auto" w:sz="4" w:space="0"/>
              <w:bottom w:val="single" w:color="auto" w:sz="4" w:space="0"/>
              <w:right w:val="single" w:color="auto" w:sz="4" w:space="0"/>
            </w:tcBorders>
            <w:vAlign w:val="center"/>
          </w:tcPr>
          <w:p w14:paraId="74D8CEF5">
            <w:pPr>
              <w:widowControl/>
              <w:spacing w:line="300" w:lineRule="exact"/>
              <w:jc w:val="left"/>
              <w:rPr>
                <w:rFonts w:ascii="宋体" w:hAnsi="宋体" w:cs="宋体"/>
                <w:kern w:val="0"/>
                <w:sz w:val="16"/>
                <w:szCs w:val="16"/>
              </w:rPr>
            </w:pPr>
          </w:p>
        </w:tc>
        <w:tc>
          <w:tcPr>
            <w:tcW w:w="401" w:type="pct"/>
            <w:vMerge w:val="continue"/>
            <w:tcBorders>
              <w:top w:val="nil"/>
              <w:left w:val="single" w:color="auto" w:sz="4" w:space="0"/>
              <w:bottom w:val="single" w:color="auto" w:sz="4" w:space="0"/>
              <w:right w:val="single" w:color="auto" w:sz="4" w:space="0"/>
            </w:tcBorders>
            <w:vAlign w:val="center"/>
          </w:tcPr>
          <w:p w14:paraId="55A4474E">
            <w:pPr>
              <w:widowControl/>
              <w:spacing w:line="300" w:lineRule="exact"/>
              <w:jc w:val="left"/>
              <w:rPr>
                <w:rFonts w:ascii="宋体" w:hAnsi="宋体" w:cs="宋体"/>
                <w:kern w:val="0"/>
                <w:sz w:val="16"/>
                <w:szCs w:val="16"/>
              </w:rPr>
            </w:pPr>
          </w:p>
        </w:tc>
        <w:tc>
          <w:tcPr>
            <w:tcW w:w="559" w:type="pct"/>
            <w:tcBorders>
              <w:top w:val="nil"/>
              <w:left w:val="nil"/>
              <w:bottom w:val="single" w:color="auto" w:sz="4" w:space="0"/>
              <w:right w:val="single" w:color="auto" w:sz="4" w:space="0"/>
            </w:tcBorders>
            <w:shd w:val="clear" w:color="auto" w:fill="auto"/>
            <w:vAlign w:val="center"/>
          </w:tcPr>
          <w:p w14:paraId="4B5EAA71">
            <w:pPr>
              <w:widowControl/>
              <w:spacing w:line="300" w:lineRule="exact"/>
              <w:jc w:val="center"/>
              <w:rPr>
                <w:rFonts w:ascii="宋体" w:hAnsi="宋体" w:cs="宋体"/>
                <w:kern w:val="0"/>
                <w:sz w:val="16"/>
                <w:szCs w:val="16"/>
              </w:rPr>
            </w:pPr>
            <w:r>
              <w:rPr>
                <w:rFonts w:hint="eastAsia" w:ascii="宋体" w:hAnsi="宋体" w:cs="宋体"/>
                <w:kern w:val="0"/>
                <w:sz w:val="16"/>
                <w:szCs w:val="16"/>
              </w:rPr>
              <w:t>目标实现</w:t>
            </w:r>
          </w:p>
        </w:tc>
        <w:tc>
          <w:tcPr>
            <w:tcW w:w="359" w:type="pct"/>
            <w:tcBorders>
              <w:top w:val="nil"/>
              <w:left w:val="nil"/>
              <w:bottom w:val="single" w:color="auto" w:sz="4" w:space="0"/>
              <w:right w:val="single" w:color="auto" w:sz="4" w:space="0"/>
            </w:tcBorders>
            <w:shd w:val="clear" w:color="auto" w:fill="auto"/>
            <w:vAlign w:val="center"/>
          </w:tcPr>
          <w:p w14:paraId="3A6C58B2">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4FCD0B52">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评价部门绩效目标实际实现程度与预期目标的偏离度。</w:t>
            </w:r>
          </w:p>
        </w:tc>
        <w:tc>
          <w:tcPr>
            <w:tcW w:w="1611" w:type="pct"/>
            <w:tcBorders>
              <w:top w:val="nil"/>
              <w:left w:val="nil"/>
              <w:bottom w:val="single" w:color="auto" w:sz="4" w:space="0"/>
              <w:right w:val="single" w:color="auto" w:sz="4" w:space="0"/>
            </w:tcBorders>
            <w:shd w:val="clear" w:color="auto" w:fill="auto"/>
            <w:vAlign w:val="center"/>
          </w:tcPr>
          <w:p w14:paraId="554EABEA">
            <w:pPr>
              <w:widowControl/>
              <w:spacing w:line="300" w:lineRule="exact"/>
              <w:jc w:val="left"/>
              <w:rPr>
                <w:rFonts w:hint="eastAsia" w:ascii="宋体" w:hAnsi="宋体" w:eastAsia="宋体" w:cs="宋体"/>
                <w:color w:val="000000"/>
                <w:kern w:val="0"/>
                <w:sz w:val="16"/>
                <w:szCs w:val="16"/>
                <w:lang w:eastAsia="zh-CN"/>
              </w:rPr>
            </w:pPr>
            <w:r>
              <w:rPr>
                <w:rFonts w:hint="eastAsia" w:ascii="宋体" w:hAnsi="宋体" w:cs="宋体"/>
                <w:color w:val="000000"/>
                <w:kern w:val="0"/>
                <w:sz w:val="16"/>
                <w:szCs w:val="16"/>
              </w:rPr>
              <w:t>以项目完成数量为核心，评价项目实际完成情况与与预期绩效目标偏离度，单个数量指标实际完成未达到预期指标或超过预期指标30%以上的，均不计分。该项指标得分=达到预期值的数量指标个数/全部数量指标个数（即评价选取的项目绩效目标包含的所有数量指标）</w:t>
            </w:r>
            <w:r>
              <w:rPr>
                <w:rFonts w:hint="eastAsia" w:ascii="宋体" w:hAnsi="宋体" w:cs="宋体"/>
                <w:color w:val="000000"/>
                <w:kern w:val="0"/>
                <w:sz w:val="16"/>
                <w:szCs w:val="16"/>
                <w:lang w:eastAsia="zh-CN"/>
              </w:rPr>
              <w:t>。</w:t>
            </w:r>
          </w:p>
        </w:tc>
        <w:tc>
          <w:tcPr>
            <w:tcW w:w="417" w:type="pct"/>
            <w:tcBorders>
              <w:top w:val="nil"/>
              <w:left w:val="nil"/>
              <w:bottom w:val="single" w:color="auto" w:sz="4" w:space="0"/>
              <w:right w:val="single" w:color="auto" w:sz="4" w:space="0"/>
            </w:tcBorders>
            <w:shd w:val="clear" w:color="auto" w:fill="auto"/>
            <w:vAlign w:val="center"/>
          </w:tcPr>
          <w:p w14:paraId="3DBEB4DC">
            <w:pPr>
              <w:widowControl/>
              <w:spacing w:line="300" w:lineRule="exact"/>
              <w:jc w:val="center"/>
              <w:rPr>
                <w:rFonts w:ascii="宋体" w:hAnsi="宋体" w:cs="宋体"/>
                <w:color w:val="000000"/>
                <w:kern w:val="0"/>
                <w:sz w:val="16"/>
                <w:szCs w:val="16"/>
              </w:rPr>
            </w:pPr>
            <w:r>
              <w:rPr>
                <w:rFonts w:hint="eastAsia" w:ascii="宋体" w:hAnsi="宋体" w:cs="宋体"/>
                <w:color w:val="000000"/>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5C679B3B">
            <w:pPr>
              <w:widowControl/>
              <w:spacing w:line="300" w:lineRule="exact"/>
              <w:jc w:val="left"/>
              <w:rPr>
                <w:rFonts w:ascii="宋体" w:hAnsi="宋体" w:cs="宋体"/>
                <w:kern w:val="0"/>
                <w:sz w:val="28"/>
                <w:szCs w:val="28"/>
              </w:rPr>
            </w:pPr>
          </w:p>
        </w:tc>
      </w:tr>
      <w:tr w14:paraId="6A4EE39A">
        <w:tblPrEx>
          <w:tblCellMar>
            <w:top w:w="0" w:type="dxa"/>
            <w:left w:w="108" w:type="dxa"/>
            <w:bottom w:w="0" w:type="dxa"/>
            <w:right w:w="108" w:type="dxa"/>
          </w:tblCellMar>
        </w:tblPrEx>
        <w:trPr>
          <w:trHeight w:val="336" w:hRule="atLeast"/>
        </w:trPr>
        <w:tc>
          <w:tcPr>
            <w:tcW w:w="391" w:type="pct"/>
            <w:vMerge w:val="continue"/>
            <w:tcBorders>
              <w:top w:val="nil"/>
              <w:left w:val="single" w:color="auto" w:sz="4" w:space="0"/>
              <w:bottom w:val="single" w:color="auto" w:sz="4" w:space="0"/>
              <w:right w:val="single" w:color="auto" w:sz="4" w:space="0"/>
            </w:tcBorders>
            <w:vAlign w:val="center"/>
          </w:tcPr>
          <w:p w14:paraId="263DEF2C">
            <w:pPr>
              <w:widowControl/>
              <w:spacing w:line="300" w:lineRule="exact"/>
              <w:jc w:val="left"/>
              <w:rPr>
                <w:rFonts w:ascii="宋体" w:hAnsi="宋体" w:cs="宋体"/>
                <w:kern w:val="0"/>
                <w:sz w:val="16"/>
                <w:szCs w:val="16"/>
              </w:rPr>
            </w:pPr>
          </w:p>
        </w:tc>
        <w:tc>
          <w:tcPr>
            <w:tcW w:w="401" w:type="pct"/>
            <w:vMerge w:val="continue"/>
            <w:tcBorders>
              <w:top w:val="nil"/>
              <w:left w:val="single" w:color="auto" w:sz="4" w:space="0"/>
              <w:bottom w:val="single" w:color="auto" w:sz="4" w:space="0"/>
              <w:right w:val="single" w:color="auto" w:sz="4" w:space="0"/>
            </w:tcBorders>
            <w:vAlign w:val="center"/>
          </w:tcPr>
          <w:p w14:paraId="77BA3F45">
            <w:pPr>
              <w:widowControl/>
              <w:spacing w:line="300" w:lineRule="exact"/>
              <w:jc w:val="left"/>
              <w:rPr>
                <w:rFonts w:ascii="宋体" w:hAnsi="宋体" w:cs="宋体"/>
                <w:kern w:val="0"/>
                <w:sz w:val="16"/>
                <w:szCs w:val="16"/>
              </w:rPr>
            </w:pPr>
          </w:p>
        </w:tc>
        <w:tc>
          <w:tcPr>
            <w:tcW w:w="559" w:type="pct"/>
            <w:tcBorders>
              <w:top w:val="nil"/>
              <w:left w:val="nil"/>
              <w:bottom w:val="single" w:color="auto" w:sz="4" w:space="0"/>
              <w:right w:val="single" w:color="auto" w:sz="4" w:space="0"/>
            </w:tcBorders>
            <w:shd w:val="clear" w:color="auto" w:fill="auto"/>
            <w:vAlign w:val="center"/>
          </w:tcPr>
          <w:p w14:paraId="369968C0">
            <w:pPr>
              <w:widowControl/>
              <w:spacing w:line="300" w:lineRule="exact"/>
              <w:jc w:val="center"/>
              <w:rPr>
                <w:rFonts w:ascii="宋体" w:hAnsi="宋体" w:cs="宋体"/>
                <w:kern w:val="0"/>
                <w:sz w:val="16"/>
                <w:szCs w:val="16"/>
              </w:rPr>
            </w:pPr>
            <w:r>
              <w:rPr>
                <w:rFonts w:hint="eastAsia" w:ascii="宋体" w:hAnsi="宋体" w:cs="宋体"/>
                <w:kern w:val="0"/>
                <w:sz w:val="16"/>
                <w:szCs w:val="16"/>
              </w:rPr>
              <w:t>编制准确</w:t>
            </w:r>
          </w:p>
        </w:tc>
        <w:tc>
          <w:tcPr>
            <w:tcW w:w="359" w:type="pct"/>
            <w:tcBorders>
              <w:top w:val="nil"/>
              <w:left w:val="nil"/>
              <w:bottom w:val="single" w:color="auto" w:sz="4" w:space="0"/>
              <w:right w:val="single" w:color="auto" w:sz="4" w:space="0"/>
            </w:tcBorders>
            <w:shd w:val="clear" w:color="auto" w:fill="auto"/>
            <w:vAlign w:val="center"/>
          </w:tcPr>
          <w:p w14:paraId="7099271C">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3D276D76">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评价部门年初预算编制是否科学准确。</w:t>
            </w:r>
          </w:p>
        </w:tc>
        <w:tc>
          <w:tcPr>
            <w:tcW w:w="1611" w:type="pct"/>
            <w:tcBorders>
              <w:top w:val="nil"/>
              <w:left w:val="nil"/>
              <w:bottom w:val="single" w:color="auto" w:sz="4" w:space="0"/>
              <w:right w:val="single" w:color="auto" w:sz="4" w:space="0"/>
            </w:tcBorders>
            <w:shd w:val="clear" w:color="auto" w:fill="auto"/>
            <w:vAlign w:val="center"/>
          </w:tcPr>
          <w:p w14:paraId="36CEBB7F">
            <w:pPr>
              <w:widowControl/>
              <w:spacing w:line="300" w:lineRule="exact"/>
              <w:jc w:val="left"/>
              <w:rPr>
                <w:rFonts w:ascii="宋体" w:hAnsi="宋体" w:cs="宋体"/>
                <w:kern w:val="0"/>
                <w:sz w:val="16"/>
                <w:szCs w:val="16"/>
              </w:rPr>
            </w:pPr>
            <w:r>
              <w:rPr>
                <w:rFonts w:hint="eastAsia" w:ascii="宋体" w:hAnsi="宋体" w:cs="宋体"/>
                <w:kern w:val="0"/>
                <w:sz w:val="16"/>
                <w:szCs w:val="16"/>
              </w:rPr>
              <w:t>指标得分=（1-（10×部门全年预算调剂金额/年初部门预算数））*指标分值。其中：若部门全年预算调剂金额/年初部门预算数&gt;0.1，此项得0分。</w:t>
            </w:r>
          </w:p>
        </w:tc>
        <w:tc>
          <w:tcPr>
            <w:tcW w:w="417" w:type="pct"/>
            <w:tcBorders>
              <w:top w:val="nil"/>
              <w:left w:val="nil"/>
              <w:bottom w:val="single" w:color="auto" w:sz="4" w:space="0"/>
              <w:right w:val="single" w:color="auto" w:sz="4" w:space="0"/>
            </w:tcBorders>
            <w:shd w:val="clear" w:color="auto" w:fill="auto"/>
            <w:vAlign w:val="center"/>
          </w:tcPr>
          <w:p w14:paraId="1246A036">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4988B57B">
            <w:pPr>
              <w:widowControl/>
              <w:spacing w:line="300" w:lineRule="exact"/>
              <w:jc w:val="left"/>
              <w:rPr>
                <w:rFonts w:ascii="宋体" w:hAnsi="宋体" w:cs="宋体"/>
                <w:kern w:val="0"/>
                <w:sz w:val="28"/>
                <w:szCs w:val="28"/>
              </w:rPr>
            </w:pPr>
          </w:p>
        </w:tc>
      </w:tr>
      <w:tr w14:paraId="77846CFB">
        <w:tblPrEx>
          <w:tblCellMar>
            <w:top w:w="0" w:type="dxa"/>
            <w:left w:w="108" w:type="dxa"/>
            <w:bottom w:w="0" w:type="dxa"/>
            <w:right w:w="108" w:type="dxa"/>
          </w:tblCellMar>
        </w:tblPrEx>
        <w:trPr>
          <w:trHeight w:val="671" w:hRule="atLeast"/>
        </w:trPr>
        <w:tc>
          <w:tcPr>
            <w:tcW w:w="391" w:type="pct"/>
            <w:vMerge w:val="continue"/>
            <w:tcBorders>
              <w:top w:val="nil"/>
              <w:left w:val="single" w:color="auto" w:sz="4" w:space="0"/>
              <w:bottom w:val="single" w:color="auto" w:sz="4" w:space="0"/>
              <w:right w:val="single" w:color="auto" w:sz="4" w:space="0"/>
            </w:tcBorders>
            <w:vAlign w:val="center"/>
          </w:tcPr>
          <w:p w14:paraId="539E496D">
            <w:pPr>
              <w:widowControl/>
              <w:spacing w:line="300" w:lineRule="exact"/>
              <w:jc w:val="left"/>
              <w:rPr>
                <w:rFonts w:ascii="宋体" w:hAnsi="宋体" w:cs="宋体"/>
                <w:kern w:val="0"/>
                <w:sz w:val="16"/>
                <w:szCs w:val="16"/>
              </w:rPr>
            </w:pPr>
          </w:p>
        </w:tc>
        <w:tc>
          <w:tcPr>
            <w:tcW w:w="401" w:type="pct"/>
            <w:vMerge w:val="restart"/>
            <w:tcBorders>
              <w:top w:val="nil"/>
              <w:left w:val="single" w:color="auto" w:sz="4" w:space="0"/>
              <w:bottom w:val="single" w:color="000000" w:sz="4" w:space="0"/>
              <w:right w:val="single" w:color="auto" w:sz="4" w:space="0"/>
            </w:tcBorders>
            <w:shd w:val="clear" w:color="auto" w:fill="auto"/>
            <w:vAlign w:val="center"/>
          </w:tcPr>
          <w:p w14:paraId="4082F330">
            <w:pPr>
              <w:widowControl/>
              <w:spacing w:line="300" w:lineRule="exact"/>
              <w:jc w:val="center"/>
              <w:rPr>
                <w:rFonts w:ascii="宋体" w:hAnsi="宋体" w:cs="宋体"/>
                <w:kern w:val="0"/>
                <w:sz w:val="16"/>
                <w:szCs w:val="16"/>
              </w:rPr>
            </w:pPr>
            <w:r>
              <w:rPr>
                <w:rFonts w:hint="eastAsia" w:ascii="宋体" w:hAnsi="宋体" w:cs="宋体"/>
                <w:kern w:val="0"/>
                <w:sz w:val="16"/>
                <w:szCs w:val="16"/>
              </w:rPr>
              <w:t xml:space="preserve">                                                                             预算执行（30分）</w:t>
            </w:r>
          </w:p>
        </w:tc>
        <w:tc>
          <w:tcPr>
            <w:tcW w:w="559" w:type="pct"/>
            <w:tcBorders>
              <w:top w:val="nil"/>
              <w:left w:val="nil"/>
              <w:bottom w:val="single" w:color="auto" w:sz="4" w:space="0"/>
              <w:right w:val="single" w:color="auto" w:sz="4" w:space="0"/>
            </w:tcBorders>
            <w:shd w:val="clear" w:color="auto" w:fill="auto"/>
            <w:vAlign w:val="center"/>
          </w:tcPr>
          <w:p w14:paraId="5D38697E">
            <w:pPr>
              <w:widowControl/>
              <w:spacing w:line="300" w:lineRule="exact"/>
              <w:jc w:val="center"/>
              <w:rPr>
                <w:rFonts w:ascii="宋体" w:hAnsi="宋体" w:cs="宋体"/>
                <w:kern w:val="0"/>
                <w:sz w:val="16"/>
                <w:szCs w:val="16"/>
              </w:rPr>
            </w:pPr>
            <w:r>
              <w:rPr>
                <w:rFonts w:hint="eastAsia" w:ascii="宋体" w:hAnsi="宋体" w:cs="宋体"/>
                <w:kern w:val="0"/>
                <w:sz w:val="16"/>
                <w:szCs w:val="16"/>
              </w:rPr>
              <w:t>支出控制</w:t>
            </w:r>
          </w:p>
        </w:tc>
        <w:tc>
          <w:tcPr>
            <w:tcW w:w="359" w:type="pct"/>
            <w:tcBorders>
              <w:top w:val="nil"/>
              <w:left w:val="nil"/>
              <w:bottom w:val="single" w:color="auto" w:sz="4" w:space="0"/>
              <w:right w:val="single" w:color="auto" w:sz="4" w:space="0"/>
            </w:tcBorders>
            <w:shd w:val="clear" w:color="auto" w:fill="auto"/>
            <w:vAlign w:val="center"/>
          </w:tcPr>
          <w:p w14:paraId="30661BCC">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3764DC38">
            <w:pPr>
              <w:widowControl/>
              <w:spacing w:line="300" w:lineRule="exact"/>
              <w:jc w:val="left"/>
              <w:rPr>
                <w:rFonts w:ascii="宋体" w:hAnsi="宋体" w:cs="宋体"/>
                <w:kern w:val="0"/>
                <w:sz w:val="16"/>
                <w:szCs w:val="16"/>
              </w:rPr>
            </w:pPr>
            <w:r>
              <w:rPr>
                <w:rFonts w:hint="eastAsia" w:ascii="宋体" w:hAnsi="宋体" w:cs="宋体"/>
                <w:kern w:val="0"/>
                <w:sz w:val="16"/>
                <w:szCs w:val="16"/>
              </w:rPr>
              <w:t>部门公用经费及非定额公用支出控制情况。</w:t>
            </w:r>
          </w:p>
        </w:tc>
        <w:tc>
          <w:tcPr>
            <w:tcW w:w="1611" w:type="pct"/>
            <w:tcBorders>
              <w:top w:val="nil"/>
              <w:left w:val="nil"/>
              <w:bottom w:val="single" w:color="auto" w:sz="4" w:space="0"/>
              <w:right w:val="single" w:color="auto" w:sz="4" w:space="0"/>
            </w:tcBorders>
            <w:shd w:val="clear" w:color="auto" w:fill="auto"/>
            <w:vAlign w:val="center"/>
          </w:tcPr>
          <w:p w14:paraId="6C46BAF8">
            <w:pPr>
              <w:widowControl/>
              <w:spacing w:line="300" w:lineRule="exact"/>
              <w:jc w:val="left"/>
              <w:rPr>
                <w:rFonts w:ascii="宋体" w:hAnsi="宋体" w:cs="宋体"/>
                <w:kern w:val="0"/>
                <w:sz w:val="16"/>
                <w:szCs w:val="16"/>
              </w:rPr>
            </w:pPr>
            <w:r>
              <w:rPr>
                <w:rFonts w:hint="eastAsia" w:ascii="宋体" w:hAnsi="宋体" w:cs="宋体"/>
                <w:kern w:val="0"/>
                <w:sz w:val="16"/>
                <w:szCs w:val="16"/>
              </w:rPr>
              <w:t>计算部门日常公用经费、项目支出中“办公费、印刷费、水费、电费、物业管理费”等科目年初预算数与决算数偏差程度                                                            预决算偏差程度在10%以内的，得10分。偏差度在10%-20%之间的，得5分，偏差度超过20%的，不得分。</w:t>
            </w:r>
          </w:p>
        </w:tc>
        <w:tc>
          <w:tcPr>
            <w:tcW w:w="417" w:type="pct"/>
            <w:tcBorders>
              <w:top w:val="nil"/>
              <w:left w:val="nil"/>
              <w:bottom w:val="single" w:color="auto" w:sz="4" w:space="0"/>
              <w:right w:val="single" w:color="auto" w:sz="4" w:space="0"/>
            </w:tcBorders>
            <w:shd w:val="clear" w:color="auto" w:fill="auto"/>
            <w:vAlign w:val="center"/>
          </w:tcPr>
          <w:p w14:paraId="0604E137">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2410803B">
            <w:pPr>
              <w:widowControl/>
              <w:spacing w:line="300" w:lineRule="exact"/>
              <w:jc w:val="left"/>
              <w:rPr>
                <w:rFonts w:ascii="宋体" w:hAnsi="宋体" w:cs="宋体"/>
                <w:kern w:val="0"/>
                <w:sz w:val="28"/>
                <w:szCs w:val="28"/>
              </w:rPr>
            </w:pPr>
          </w:p>
        </w:tc>
      </w:tr>
      <w:tr w14:paraId="1CDB75A3">
        <w:tblPrEx>
          <w:tblCellMar>
            <w:top w:w="0" w:type="dxa"/>
            <w:left w:w="108" w:type="dxa"/>
            <w:bottom w:w="0" w:type="dxa"/>
            <w:right w:w="108" w:type="dxa"/>
          </w:tblCellMar>
        </w:tblPrEx>
        <w:trPr>
          <w:trHeight w:val="1007" w:hRule="atLeast"/>
        </w:trPr>
        <w:tc>
          <w:tcPr>
            <w:tcW w:w="391" w:type="pct"/>
            <w:vMerge w:val="continue"/>
            <w:tcBorders>
              <w:top w:val="nil"/>
              <w:left w:val="single" w:color="auto" w:sz="4" w:space="0"/>
              <w:bottom w:val="single" w:color="auto" w:sz="4" w:space="0"/>
              <w:right w:val="single" w:color="auto" w:sz="4" w:space="0"/>
            </w:tcBorders>
            <w:vAlign w:val="center"/>
          </w:tcPr>
          <w:p w14:paraId="3D19E7A9">
            <w:pPr>
              <w:widowControl/>
              <w:spacing w:line="300" w:lineRule="exact"/>
              <w:jc w:val="left"/>
              <w:rPr>
                <w:rFonts w:ascii="宋体" w:hAnsi="宋体" w:cs="宋体"/>
                <w:kern w:val="0"/>
                <w:sz w:val="16"/>
                <w:szCs w:val="16"/>
              </w:rPr>
            </w:pPr>
          </w:p>
        </w:tc>
        <w:tc>
          <w:tcPr>
            <w:tcW w:w="401" w:type="pct"/>
            <w:vMerge w:val="continue"/>
            <w:tcBorders>
              <w:top w:val="nil"/>
              <w:left w:val="single" w:color="auto" w:sz="4" w:space="0"/>
              <w:bottom w:val="single" w:color="000000" w:sz="4" w:space="0"/>
              <w:right w:val="single" w:color="auto" w:sz="4" w:space="0"/>
            </w:tcBorders>
            <w:vAlign w:val="center"/>
          </w:tcPr>
          <w:p w14:paraId="5552F82A">
            <w:pPr>
              <w:widowControl/>
              <w:spacing w:line="300" w:lineRule="exact"/>
              <w:jc w:val="left"/>
              <w:rPr>
                <w:rFonts w:ascii="宋体" w:hAnsi="宋体" w:cs="宋体"/>
                <w:kern w:val="0"/>
                <w:sz w:val="16"/>
                <w:szCs w:val="16"/>
              </w:rPr>
            </w:pPr>
          </w:p>
        </w:tc>
        <w:tc>
          <w:tcPr>
            <w:tcW w:w="559" w:type="pct"/>
            <w:tcBorders>
              <w:top w:val="nil"/>
              <w:left w:val="nil"/>
              <w:bottom w:val="single" w:color="auto" w:sz="4" w:space="0"/>
              <w:right w:val="single" w:color="auto" w:sz="4" w:space="0"/>
            </w:tcBorders>
            <w:shd w:val="clear" w:color="auto" w:fill="auto"/>
            <w:vAlign w:val="center"/>
          </w:tcPr>
          <w:p w14:paraId="26D95955">
            <w:pPr>
              <w:widowControl/>
              <w:spacing w:line="300" w:lineRule="exact"/>
              <w:jc w:val="center"/>
              <w:rPr>
                <w:rFonts w:ascii="宋体" w:hAnsi="宋体" w:cs="宋体"/>
                <w:kern w:val="0"/>
                <w:sz w:val="16"/>
                <w:szCs w:val="16"/>
              </w:rPr>
            </w:pPr>
            <w:r>
              <w:rPr>
                <w:rFonts w:hint="eastAsia" w:ascii="宋体" w:hAnsi="宋体" w:cs="宋体"/>
                <w:kern w:val="0"/>
                <w:sz w:val="16"/>
                <w:szCs w:val="16"/>
              </w:rPr>
              <w:t>动态调整</w:t>
            </w:r>
          </w:p>
        </w:tc>
        <w:tc>
          <w:tcPr>
            <w:tcW w:w="359" w:type="pct"/>
            <w:tcBorders>
              <w:top w:val="nil"/>
              <w:left w:val="nil"/>
              <w:bottom w:val="single" w:color="auto" w:sz="4" w:space="0"/>
              <w:right w:val="single" w:color="auto" w:sz="4" w:space="0"/>
            </w:tcBorders>
            <w:shd w:val="clear" w:color="auto" w:fill="auto"/>
            <w:vAlign w:val="center"/>
          </w:tcPr>
          <w:p w14:paraId="47CB139F">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61C7F0EE">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评价部门开展绩效运行监控后，将绩效监控结果应用到预算调整的情况。</w:t>
            </w:r>
          </w:p>
        </w:tc>
        <w:tc>
          <w:tcPr>
            <w:tcW w:w="1611" w:type="pct"/>
            <w:tcBorders>
              <w:top w:val="nil"/>
              <w:left w:val="nil"/>
              <w:bottom w:val="single" w:color="auto" w:sz="4" w:space="0"/>
              <w:right w:val="single" w:color="auto" w:sz="4" w:space="0"/>
            </w:tcBorders>
            <w:shd w:val="clear" w:color="auto" w:fill="auto"/>
            <w:vAlign w:val="center"/>
          </w:tcPr>
          <w:p w14:paraId="2E41A258">
            <w:pPr>
              <w:widowControl/>
              <w:spacing w:line="300" w:lineRule="exact"/>
              <w:jc w:val="left"/>
              <w:rPr>
                <w:rFonts w:ascii="宋体" w:hAnsi="宋体" w:cs="宋体"/>
                <w:kern w:val="0"/>
                <w:sz w:val="16"/>
                <w:szCs w:val="16"/>
              </w:rPr>
            </w:pPr>
            <w:r>
              <w:rPr>
                <w:rFonts w:hint="eastAsia" w:ascii="宋体" w:hAnsi="宋体" w:cs="宋体"/>
                <w:kern w:val="0"/>
                <w:sz w:val="16"/>
                <w:szCs w:val="16"/>
              </w:rPr>
              <w:t xml:space="preserve">1.当部门绩效监控调整取消额和结余注销额均不为零时，指标得分=部门项目支出绩效监控调整取消额÷(部门绩效监控调整取消额+预算结余注销额）*10                                                  2.当部门绩效监控调整取消额为零，结余注销额不为零时，指标得分=（1-10*结余注销额/年度预算总额）*10，结余注销额超过部门年度预算总额10%的，指标不得分。3.当部门绩效监控调整取消额与结余注销额均为零时，得满分。                                                             </w:t>
            </w:r>
          </w:p>
        </w:tc>
        <w:tc>
          <w:tcPr>
            <w:tcW w:w="417" w:type="pct"/>
            <w:tcBorders>
              <w:top w:val="nil"/>
              <w:left w:val="nil"/>
              <w:bottom w:val="single" w:color="auto" w:sz="4" w:space="0"/>
              <w:right w:val="single" w:color="auto" w:sz="4" w:space="0"/>
            </w:tcBorders>
            <w:shd w:val="clear" w:color="auto" w:fill="auto"/>
            <w:vAlign w:val="center"/>
          </w:tcPr>
          <w:p w14:paraId="01531218">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4FF6BE4F">
            <w:pPr>
              <w:widowControl/>
              <w:spacing w:line="300" w:lineRule="exact"/>
              <w:jc w:val="left"/>
              <w:rPr>
                <w:rFonts w:ascii="宋体" w:hAnsi="宋体" w:cs="宋体"/>
                <w:kern w:val="0"/>
                <w:sz w:val="28"/>
                <w:szCs w:val="28"/>
              </w:rPr>
            </w:pPr>
          </w:p>
        </w:tc>
      </w:tr>
      <w:tr w14:paraId="65C75BCB">
        <w:tblPrEx>
          <w:tblCellMar>
            <w:top w:w="0" w:type="dxa"/>
            <w:left w:w="108" w:type="dxa"/>
            <w:bottom w:w="0" w:type="dxa"/>
            <w:right w:w="108" w:type="dxa"/>
          </w:tblCellMar>
        </w:tblPrEx>
        <w:trPr>
          <w:trHeight w:val="671" w:hRule="atLeast"/>
        </w:trPr>
        <w:tc>
          <w:tcPr>
            <w:tcW w:w="391" w:type="pct"/>
            <w:vMerge w:val="continue"/>
            <w:tcBorders>
              <w:top w:val="nil"/>
              <w:left w:val="single" w:color="auto" w:sz="4" w:space="0"/>
              <w:bottom w:val="single" w:color="auto" w:sz="4" w:space="0"/>
              <w:right w:val="single" w:color="auto" w:sz="4" w:space="0"/>
            </w:tcBorders>
            <w:vAlign w:val="center"/>
          </w:tcPr>
          <w:p w14:paraId="73920AA8">
            <w:pPr>
              <w:widowControl/>
              <w:spacing w:line="300" w:lineRule="exact"/>
              <w:jc w:val="left"/>
              <w:rPr>
                <w:rFonts w:ascii="宋体" w:hAnsi="宋体" w:cs="宋体"/>
                <w:kern w:val="0"/>
                <w:sz w:val="16"/>
                <w:szCs w:val="16"/>
              </w:rPr>
            </w:pPr>
          </w:p>
        </w:tc>
        <w:tc>
          <w:tcPr>
            <w:tcW w:w="401" w:type="pct"/>
            <w:vMerge w:val="continue"/>
            <w:tcBorders>
              <w:top w:val="nil"/>
              <w:left w:val="single" w:color="auto" w:sz="4" w:space="0"/>
              <w:bottom w:val="single" w:color="000000" w:sz="4" w:space="0"/>
              <w:right w:val="single" w:color="auto" w:sz="4" w:space="0"/>
            </w:tcBorders>
            <w:vAlign w:val="center"/>
          </w:tcPr>
          <w:p w14:paraId="76A972DD">
            <w:pPr>
              <w:widowControl/>
              <w:spacing w:line="300" w:lineRule="exact"/>
              <w:jc w:val="left"/>
              <w:rPr>
                <w:rFonts w:ascii="宋体" w:hAnsi="宋体" w:cs="宋体"/>
                <w:kern w:val="0"/>
                <w:sz w:val="16"/>
                <w:szCs w:val="16"/>
              </w:rPr>
            </w:pPr>
          </w:p>
        </w:tc>
        <w:tc>
          <w:tcPr>
            <w:tcW w:w="559" w:type="pct"/>
            <w:tcBorders>
              <w:top w:val="nil"/>
              <w:left w:val="nil"/>
              <w:bottom w:val="single" w:color="auto" w:sz="4" w:space="0"/>
              <w:right w:val="single" w:color="auto" w:sz="4" w:space="0"/>
            </w:tcBorders>
            <w:shd w:val="clear" w:color="auto" w:fill="auto"/>
            <w:vAlign w:val="center"/>
          </w:tcPr>
          <w:p w14:paraId="3E62CB4B">
            <w:pPr>
              <w:widowControl/>
              <w:spacing w:line="300" w:lineRule="exact"/>
              <w:jc w:val="center"/>
              <w:rPr>
                <w:rFonts w:ascii="宋体" w:hAnsi="宋体" w:cs="宋体"/>
                <w:kern w:val="0"/>
                <w:sz w:val="16"/>
                <w:szCs w:val="16"/>
              </w:rPr>
            </w:pPr>
            <w:r>
              <w:rPr>
                <w:rFonts w:hint="eastAsia" w:ascii="宋体" w:hAnsi="宋体" w:cs="宋体"/>
                <w:kern w:val="0"/>
                <w:sz w:val="16"/>
                <w:szCs w:val="16"/>
              </w:rPr>
              <w:t>执行进度</w:t>
            </w:r>
          </w:p>
        </w:tc>
        <w:tc>
          <w:tcPr>
            <w:tcW w:w="359" w:type="pct"/>
            <w:tcBorders>
              <w:top w:val="nil"/>
              <w:left w:val="nil"/>
              <w:bottom w:val="single" w:color="auto" w:sz="4" w:space="0"/>
              <w:right w:val="single" w:color="auto" w:sz="4" w:space="0"/>
            </w:tcBorders>
            <w:shd w:val="clear" w:color="auto" w:fill="auto"/>
            <w:vAlign w:val="center"/>
          </w:tcPr>
          <w:p w14:paraId="64FFF9AF">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618ACACD">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评价部门在6、9、11月的预算执行情况。</w:t>
            </w:r>
          </w:p>
        </w:tc>
        <w:tc>
          <w:tcPr>
            <w:tcW w:w="1611" w:type="pct"/>
            <w:tcBorders>
              <w:top w:val="nil"/>
              <w:left w:val="nil"/>
              <w:bottom w:val="single" w:color="auto" w:sz="4" w:space="0"/>
              <w:right w:val="single" w:color="auto" w:sz="4" w:space="0"/>
            </w:tcBorders>
            <w:shd w:val="clear" w:color="auto" w:fill="auto"/>
            <w:vAlign w:val="center"/>
          </w:tcPr>
          <w:p w14:paraId="10F82569">
            <w:pPr>
              <w:widowControl/>
              <w:spacing w:line="300" w:lineRule="exact"/>
              <w:jc w:val="left"/>
              <w:rPr>
                <w:rFonts w:ascii="宋体" w:hAnsi="宋体" w:cs="宋体"/>
                <w:kern w:val="0"/>
                <w:sz w:val="16"/>
                <w:szCs w:val="16"/>
              </w:rPr>
            </w:pPr>
            <w:r>
              <w:rPr>
                <w:rFonts w:hint="eastAsia" w:ascii="宋体" w:hAnsi="宋体" w:cs="宋体"/>
                <w:kern w:val="0"/>
                <w:sz w:val="16"/>
                <w:szCs w:val="16"/>
              </w:rPr>
              <w:t xml:space="preserve">部门预算执行进度在6、9、11月应达到序时进度的80%、90%、90%，即实际支出进度分别达到40%、67.5%、82.5%。                                                     6、9、11月部门预算执行进度达到量化指标的分别得3、4、3分，未达到目标进度的的按其实际进度占目标进度的比重计算得分。                                             </w:t>
            </w:r>
          </w:p>
        </w:tc>
        <w:tc>
          <w:tcPr>
            <w:tcW w:w="417" w:type="pct"/>
            <w:tcBorders>
              <w:top w:val="nil"/>
              <w:left w:val="nil"/>
              <w:bottom w:val="single" w:color="auto" w:sz="4" w:space="0"/>
              <w:right w:val="single" w:color="auto" w:sz="4" w:space="0"/>
            </w:tcBorders>
            <w:shd w:val="clear" w:color="auto" w:fill="auto"/>
            <w:vAlign w:val="center"/>
          </w:tcPr>
          <w:p w14:paraId="5E77C14D">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717E107C">
            <w:pPr>
              <w:widowControl/>
              <w:spacing w:line="300" w:lineRule="exact"/>
              <w:jc w:val="left"/>
              <w:rPr>
                <w:rFonts w:ascii="宋体" w:hAnsi="宋体" w:cs="宋体"/>
                <w:kern w:val="0"/>
                <w:sz w:val="28"/>
                <w:szCs w:val="28"/>
              </w:rPr>
            </w:pPr>
          </w:p>
        </w:tc>
      </w:tr>
      <w:tr w14:paraId="2A6EA000">
        <w:tblPrEx>
          <w:tblCellMar>
            <w:top w:w="0" w:type="dxa"/>
            <w:left w:w="108" w:type="dxa"/>
            <w:bottom w:w="0" w:type="dxa"/>
            <w:right w:w="108" w:type="dxa"/>
          </w:tblCellMar>
        </w:tblPrEx>
        <w:trPr>
          <w:trHeight w:val="224" w:hRule="atLeast"/>
        </w:trPr>
        <w:tc>
          <w:tcPr>
            <w:tcW w:w="391" w:type="pct"/>
            <w:vMerge w:val="continue"/>
            <w:tcBorders>
              <w:top w:val="nil"/>
              <w:left w:val="single" w:color="auto" w:sz="4" w:space="0"/>
              <w:bottom w:val="single" w:color="auto" w:sz="4" w:space="0"/>
              <w:right w:val="single" w:color="auto" w:sz="4" w:space="0"/>
            </w:tcBorders>
            <w:vAlign w:val="center"/>
          </w:tcPr>
          <w:p w14:paraId="50DD52F8">
            <w:pPr>
              <w:widowControl/>
              <w:spacing w:line="300" w:lineRule="exact"/>
              <w:jc w:val="left"/>
              <w:rPr>
                <w:rFonts w:ascii="宋体" w:hAnsi="宋体" w:cs="宋体"/>
                <w:kern w:val="0"/>
                <w:sz w:val="16"/>
                <w:szCs w:val="16"/>
              </w:rPr>
            </w:pPr>
          </w:p>
        </w:tc>
        <w:tc>
          <w:tcPr>
            <w:tcW w:w="401" w:type="pct"/>
            <w:vMerge w:val="restart"/>
            <w:tcBorders>
              <w:top w:val="nil"/>
              <w:left w:val="single" w:color="auto" w:sz="4" w:space="0"/>
              <w:bottom w:val="single" w:color="auto" w:sz="4" w:space="0"/>
              <w:right w:val="single" w:color="auto" w:sz="4" w:space="0"/>
            </w:tcBorders>
            <w:shd w:val="clear" w:color="auto" w:fill="auto"/>
            <w:vAlign w:val="center"/>
          </w:tcPr>
          <w:p w14:paraId="3505FFFE">
            <w:pPr>
              <w:widowControl/>
              <w:spacing w:line="300" w:lineRule="exact"/>
              <w:jc w:val="center"/>
              <w:rPr>
                <w:rFonts w:ascii="宋体" w:hAnsi="宋体" w:cs="宋体"/>
                <w:kern w:val="0"/>
                <w:sz w:val="16"/>
                <w:szCs w:val="16"/>
              </w:rPr>
            </w:pPr>
            <w:r>
              <w:rPr>
                <w:rFonts w:hint="eastAsia" w:ascii="宋体" w:hAnsi="宋体" w:cs="宋体"/>
                <w:kern w:val="0"/>
                <w:sz w:val="16"/>
                <w:szCs w:val="16"/>
              </w:rPr>
              <w:t>完成结果（20分）</w:t>
            </w:r>
          </w:p>
        </w:tc>
        <w:tc>
          <w:tcPr>
            <w:tcW w:w="559" w:type="pct"/>
            <w:tcBorders>
              <w:top w:val="nil"/>
              <w:left w:val="nil"/>
              <w:bottom w:val="single" w:color="auto" w:sz="4" w:space="0"/>
              <w:right w:val="single" w:color="auto" w:sz="4" w:space="0"/>
            </w:tcBorders>
            <w:shd w:val="clear" w:color="auto" w:fill="auto"/>
            <w:vAlign w:val="center"/>
          </w:tcPr>
          <w:p w14:paraId="5F51570F">
            <w:pPr>
              <w:widowControl/>
              <w:spacing w:line="300" w:lineRule="exact"/>
              <w:jc w:val="center"/>
              <w:rPr>
                <w:rFonts w:ascii="宋体" w:hAnsi="宋体" w:cs="宋体"/>
                <w:kern w:val="0"/>
                <w:sz w:val="16"/>
                <w:szCs w:val="16"/>
              </w:rPr>
            </w:pPr>
            <w:r>
              <w:rPr>
                <w:rFonts w:hint="eastAsia" w:ascii="宋体" w:hAnsi="宋体" w:cs="宋体"/>
                <w:kern w:val="0"/>
                <w:sz w:val="16"/>
                <w:szCs w:val="16"/>
              </w:rPr>
              <w:t>预算完成</w:t>
            </w:r>
          </w:p>
        </w:tc>
        <w:tc>
          <w:tcPr>
            <w:tcW w:w="359" w:type="pct"/>
            <w:tcBorders>
              <w:top w:val="nil"/>
              <w:left w:val="nil"/>
              <w:bottom w:val="single" w:color="auto" w:sz="4" w:space="0"/>
              <w:right w:val="single" w:color="auto" w:sz="4" w:space="0"/>
            </w:tcBorders>
            <w:shd w:val="clear" w:color="auto" w:fill="auto"/>
            <w:vAlign w:val="center"/>
          </w:tcPr>
          <w:p w14:paraId="330F9B22">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65316AAF">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评价部门预算项目年终预算执行情况。</w:t>
            </w:r>
          </w:p>
        </w:tc>
        <w:tc>
          <w:tcPr>
            <w:tcW w:w="1611" w:type="pct"/>
            <w:tcBorders>
              <w:top w:val="nil"/>
              <w:left w:val="nil"/>
              <w:bottom w:val="single" w:color="auto" w:sz="4" w:space="0"/>
              <w:right w:val="single" w:color="auto" w:sz="4" w:space="0"/>
            </w:tcBorders>
            <w:shd w:val="clear" w:color="auto" w:fill="auto"/>
            <w:vAlign w:val="center"/>
          </w:tcPr>
          <w:p w14:paraId="3ECB8C02">
            <w:pPr>
              <w:widowControl/>
              <w:spacing w:line="300" w:lineRule="exact"/>
              <w:jc w:val="left"/>
              <w:rPr>
                <w:rFonts w:ascii="宋体" w:hAnsi="宋体" w:cs="宋体"/>
                <w:kern w:val="0"/>
                <w:sz w:val="16"/>
                <w:szCs w:val="16"/>
              </w:rPr>
            </w:pPr>
            <w:r>
              <w:rPr>
                <w:rFonts w:hint="eastAsia" w:ascii="宋体" w:hAnsi="宋体" w:cs="宋体"/>
                <w:kern w:val="0"/>
                <w:sz w:val="16"/>
                <w:szCs w:val="16"/>
              </w:rPr>
              <w:t>部门预算项目12月预算执行进度达到100%的，得10分，未达100%的，按照实际进度量化计算得分。</w:t>
            </w:r>
          </w:p>
        </w:tc>
        <w:tc>
          <w:tcPr>
            <w:tcW w:w="417" w:type="pct"/>
            <w:tcBorders>
              <w:top w:val="nil"/>
              <w:left w:val="nil"/>
              <w:bottom w:val="single" w:color="auto" w:sz="4" w:space="0"/>
              <w:right w:val="single" w:color="auto" w:sz="4" w:space="0"/>
            </w:tcBorders>
            <w:shd w:val="clear" w:color="auto" w:fill="auto"/>
            <w:vAlign w:val="center"/>
          </w:tcPr>
          <w:p w14:paraId="1C608AEE">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1FCDF5C2">
            <w:pPr>
              <w:widowControl/>
              <w:spacing w:line="300" w:lineRule="exact"/>
              <w:jc w:val="left"/>
              <w:rPr>
                <w:rFonts w:ascii="宋体" w:hAnsi="宋体" w:cs="宋体"/>
                <w:kern w:val="0"/>
                <w:sz w:val="28"/>
                <w:szCs w:val="28"/>
              </w:rPr>
            </w:pPr>
          </w:p>
        </w:tc>
      </w:tr>
      <w:tr w14:paraId="214BA163">
        <w:tblPrEx>
          <w:tblCellMar>
            <w:top w:w="0" w:type="dxa"/>
            <w:left w:w="108" w:type="dxa"/>
            <w:bottom w:w="0" w:type="dxa"/>
            <w:right w:w="108" w:type="dxa"/>
          </w:tblCellMar>
        </w:tblPrEx>
        <w:trPr>
          <w:trHeight w:val="336" w:hRule="atLeast"/>
        </w:trPr>
        <w:tc>
          <w:tcPr>
            <w:tcW w:w="391" w:type="pct"/>
            <w:vMerge w:val="continue"/>
            <w:tcBorders>
              <w:top w:val="nil"/>
              <w:left w:val="single" w:color="auto" w:sz="4" w:space="0"/>
              <w:bottom w:val="single" w:color="auto" w:sz="4" w:space="0"/>
              <w:right w:val="single" w:color="auto" w:sz="4" w:space="0"/>
            </w:tcBorders>
            <w:vAlign w:val="center"/>
          </w:tcPr>
          <w:p w14:paraId="3612EA4C">
            <w:pPr>
              <w:widowControl/>
              <w:spacing w:line="300" w:lineRule="exact"/>
              <w:jc w:val="left"/>
              <w:rPr>
                <w:rFonts w:ascii="宋体" w:hAnsi="宋体" w:cs="宋体"/>
                <w:kern w:val="0"/>
                <w:sz w:val="16"/>
                <w:szCs w:val="16"/>
              </w:rPr>
            </w:pPr>
          </w:p>
        </w:tc>
        <w:tc>
          <w:tcPr>
            <w:tcW w:w="401" w:type="pct"/>
            <w:vMerge w:val="continue"/>
            <w:tcBorders>
              <w:top w:val="nil"/>
              <w:left w:val="single" w:color="auto" w:sz="4" w:space="0"/>
              <w:bottom w:val="single" w:color="auto" w:sz="4" w:space="0"/>
              <w:right w:val="single" w:color="auto" w:sz="4" w:space="0"/>
            </w:tcBorders>
            <w:vAlign w:val="center"/>
          </w:tcPr>
          <w:p w14:paraId="699D6400">
            <w:pPr>
              <w:widowControl/>
              <w:spacing w:line="300" w:lineRule="exact"/>
              <w:jc w:val="left"/>
              <w:rPr>
                <w:rFonts w:ascii="宋体" w:hAnsi="宋体" w:cs="宋体"/>
                <w:kern w:val="0"/>
                <w:sz w:val="16"/>
                <w:szCs w:val="16"/>
              </w:rPr>
            </w:pPr>
          </w:p>
        </w:tc>
        <w:tc>
          <w:tcPr>
            <w:tcW w:w="559" w:type="pct"/>
            <w:tcBorders>
              <w:top w:val="nil"/>
              <w:left w:val="nil"/>
              <w:bottom w:val="single" w:color="auto" w:sz="4" w:space="0"/>
              <w:right w:val="single" w:color="auto" w:sz="4" w:space="0"/>
            </w:tcBorders>
            <w:shd w:val="clear" w:color="auto" w:fill="auto"/>
            <w:vAlign w:val="center"/>
          </w:tcPr>
          <w:p w14:paraId="16CD1ACF">
            <w:pPr>
              <w:widowControl/>
              <w:spacing w:line="300" w:lineRule="exact"/>
              <w:jc w:val="center"/>
              <w:rPr>
                <w:rFonts w:ascii="宋体" w:hAnsi="宋体" w:cs="宋体"/>
                <w:kern w:val="0"/>
                <w:sz w:val="16"/>
                <w:szCs w:val="16"/>
              </w:rPr>
            </w:pPr>
            <w:r>
              <w:rPr>
                <w:rFonts w:hint="eastAsia" w:ascii="宋体" w:hAnsi="宋体" w:cs="宋体"/>
                <w:kern w:val="0"/>
                <w:sz w:val="16"/>
                <w:szCs w:val="16"/>
              </w:rPr>
              <w:t>违规记录</w:t>
            </w:r>
          </w:p>
        </w:tc>
        <w:tc>
          <w:tcPr>
            <w:tcW w:w="359" w:type="pct"/>
            <w:tcBorders>
              <w:top w:val="nil"/>
              <w:left w:val="nil"/>
              <w:bottom w:val="single" w:color="auto" w:sz="4" w:space="0"/>
              <w:right w:val="single" w:color="auto" w:sz="4" w:space="0"/>
            </w:tcBorders>
            <w:shd w:val="clear" w:color="auto" w:fill="auto"/>
            <w:vAlign w:val="center"/>
          </w:tcPr>
          <w:p w14:paraId="6F4BD3EC">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3408F168">
            <w:pPr>
              <w:widowControl/>
              <w:spacing w:line="300" w:lineRule="exact"/>
              <w:jc w:val="left"/>
              <w:rPr>
                <w:rFonts w:ascii="宋体" w:hAnsi="宋体" w:cs="宋体"/>
                <w:kern w:val="0"/>
                <w:sz w:val="16"/>
                <w:szCs w:val="16"/>
              </w:rPr>
            </w:pPr>
            <w:r>
              <w:rPr>
                <w:rFonts w:hint="eastAsia" w:ascii="宋体" w:hAnsi="宋体" w:cs="宋体"/>
                <w:kern w:val="0"/>
                <w:sz w:val="16"/>
                <w:szCs w:val="16"/>
              </w:rPr>
              <w:t>根据审计监督、财政检查结果反映部门上一年度部门预算管理是否合规。</w:t>
            </w:r>
          </w:p>
        </w:tc>
        <w:tc>
          <w:tcPr>
            <w:tcW w:w="1611" w:type="pct"/>
            <w:tcBorders>
              <w:top w:val="nil"/>
              <w:left w:val="nil"/>
              <w:bottom w:val="single" w:color="auto" w:sz="4" w:space="0"/>
              <w:right w:val="single" w:color="auto" w:sz="4" w:space="0"/>
            </w:tcBorders>
            <w:shd w:val="clear" w:color="auto" w:fill="auto"/>
            <w:vAlign w:val="center"/>
          </w:tcPr>
          <w:p w14:paraId="58EF41F5">
            <w:pPr>
              <w:widowControl/>
              <w:spacing w:line="300" w:lineRule="exact"/>
              <w:jc w:val="left"/>
              <w:rPr>
                <w:rFonts w:ascii="宋体" w:hAnsi="宋体" w:cs="宋体"/>
                <w:kern w:val="0"/>
                <w:sz w:val="16"/>
                <w:szCs w:val="16"/>
              </w:rPr>
            </w:pPr>
            <w:r>
              <w:rPr>
                <w:rFonts w:hint="eastAsia" w:ascii="宋体" w:hAnsi="宋体" w:cs="宋体"/>
                <w:kern w:val="0"/>
                <w:sz w:val="16"/>
                <w:szCs w:val="16"/>
              </w:rPr>
              <w:t>依据评价年度审计监督、财政检查结果，出现部门预算管理方面违纪违规问题的，每个问题扣0.5分，直至扣完。</w:t>
            </w:r>
          </w:p>
        </w:tc>
        <w:tc>
          <w:tcPr>
            <w:tcW w:w="417" w:type="pct"/>
            <w:tcBorders>
              <w:top w:val="nil"/>
              <w:left w:val="nil"/>
              <w:bottom w:val="single" w:color="auto" w:sz="4" w:space="0"/>
              <w:right w:val="single" w:color="auto" w:sz="4" w:space="0"/>
            </w:tcBorders>
            <w:shd w:val="clear" w:color="auto" w:fill="auto"/>
            <w:vAlign w:val="center"/>
          </w:tcPr>
          <w:p w14:paraId="106E2591">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393" w:type="pct"/>
            <w:tcBorders>
              <w:top w:val="nil"/>
              <w:left w:val="nil"/>
              <w:bottom w:val="single" w:color="auto" w:sz="4" w:space="0"/>
              <w:right w:val="single" w:color="auto" w:sz="4" w:space="0"/>
            </w:tcBorders>
            <w:shd w:val="clear" w:color="auto" w:fill="auto"/>
            <w:vAlign w:val="center"/>
          </w:tcPr>
          <w:p w14:paraId="6F8E1452">
            <w:pPr>
              <w:widowControl/>
              <w:spacing w:line="300" w:lineRule="exact"/>
              <w:jc w:val="left"/>
              <w:rPr>
                <w:rFonts w:ascii="宋体" w:hAnsi="宋体" w:cs="宋体"/>
                <w:kern w:val="0"/>
                <w:sz w:val="28"/>
                <w:szCs w:val="28"/>
              </w:rPr>
            </w:pPr>
          </w:p>
        </w:tc>
      </w:tr>
      <w:tr w14:paraId="7E098402">
        <w:tblPrEx>
          <w:tblCellMar>
            <w:top w:w="0" w:type="dxa"/>
            <w:left w:w="108" w:type="dxa"/>
            <w:bottom w:w="0" w:type="dxa"/>
            <w:right w:w="108" w:type="dxa"/>
          </w:tblCellMar>
        </w:tblPrEx>
        <w:trPr>
          <w:trHeight w:val="336" w:hRule="atLeast"/>
        </w:trPr>
        <w:tc>
          <w:tcPr>
            <w:tcW w:w="391" w:type="pct"/>
            <w:vMerge w:val="restart"/>
            <w:tcBorders>
              <w:top w:val="nil"/>
              <w:left w:val="single" w:color="auto" w:sz="4" w:space="0"/>
              <w:bottom w:val="single" w:color="auto" w:sz="4" w:space="0"/>
              <w:right w:val="single" w:color="auto" w:sz="4" w:space="0"/>
            </w:tcBorders>
            <w:shd w:val="clear" w:color="auto" w:fill="auto"/>
            <w:vAlign w:val="center"/>
          </w:tcPr>
          <w:p w14:paraId="4A80CAD9">
            <w:pPr>
              <w:widowControl/>
              <w:spacing w:line="300" w:lineRule="exact"/>
              <w:jc w:val="center"/>
              <w:rPr>
                <w:rFonts w:ascii="宋体" w:hAnsi="宋体" w:cs="宋体"/>
                <w:kern w:val="0"/>
                <w:sz w:val="16"/>
                <w:szCs w:val="16"/>
              </w:rPr>
            </w:pPr>
            <w:r>
              <w:rPr>
                <w:rFonts w:hint="eastAsia" w:ascii="宋体" w:hAnsi="宋体" w:cs="宋体"/>
                <w:kern w:val="0"/>
                <w:sz w:val="16"/>
                <w:szCs w:val="16"/>
              </w:rPr>
              <w:t>绩效结果应用（10分）</w:t>
            </w:r>
          </w:p>
        </w:tc>
        <w:tc>
          <w:tcPr>
            <w:tcW w:w="401" w:type="pct"/>
            <w:tcBorders>
              <w:top w:val="nil"/>
              <w:left w:val="nil"/>
              <w:bottom w:val="single" w:color="auto" w:sz="4" w:space="0"/>
              <w:right w:val="single" w:color="auto" w:sz="4" w:space="0"/>
            </w:tcBorders>
            <w:shd w:val="clear" w:color="auto" w:fill="auto"/>
            <w:vAlign w:val="center"/>
          </w:tcPr>
          <w:p w14:paraId="3C6811B7">
            <w:pPr>
              <w:widowControl/>
              <w:spacing w:line="300" w:lineRule="exact"/>
              <w:jc w:val="center"/>
              <w:rPr>
                <w:rFonts w:ascii="宋体" w:hAnsi="宋体" w:cs="宋体"/>
                <w:kern w:val="0"/>
                <w:sz w:val="16"/>
                <w:szCs w:val="16"/>
              </w:rPr>
            </w:pPr>
            <w:r>
              <w:rPr>
                <w:rFonts w:hint="eastAsia" w:ascii="宋体" w:hAnsi="宋体" w:cs="宋体"/>
                <w:kern w:val="0"/>
                <w:sz w:val="16"/>
                <w:szCs w:val="16"/>
              </w:rPr>
              <w:t>信息公开（2分)</w:t>
            </w:r>
          </w:p>
        </w:tc>
        <w:tc>
          <w:tcPr>
            <w:tcW w:w="559" w:type="pct"/>
            <w:tcBorders>
              <w:top w:val="nil"/>
              <w:left w:val="nil"/>
              <w:bottom w:val="single" w:color="auto" w:sz="4" w:space="0"/>
              <w:right w:val="single" w:color="auto" w:sz="4" w:space="0"/>
            </w:tcBorders>
            <w:shd w:val="clear" w:color="auto" w:fill="auto"/>
            <w:vAlign w:val="center"/>
          </w:tcPr>
          <w:p w14:paraId="412E3015">
            <w:pPr>
              <w:widowControl/>
              <w:spacing w:line="300" w:lineRule="exact"/>
              <w:jc w:val="center"/>
              <w:rPr>
                <w:rFonts w:ascii="宋体" w:hAnsi="宋体" w:cs="宋体"/>
                <w:kern w:val="0"/>
                <w:sz w:val="16"/>
                <w:szCs w:val="16"/>
              </w:rPr>
            </w:pPr>
            <w:r>
              <w:rPr>
                <w:rFonts w:hint="eastAsia" w:ascii="宋体" w:hAnsi="宋体" w:cs="宋体"/>
                <w:kern w:val="0"/>
                <w:sz w:val="16"/>
                <w:szCs w:val="16"/>
              </w:rPr>
              <w:t>自评公开</w:t>
            </w:r>
          </w:p>
        </w:tc>
        <w:tc>
          <w:tcPr>
            <w:tcW w:w="359" w:type="pct"/>
            <w:tcBorders>
              <w:top w:val="nil"/>
              <w:left w:val="nil"/>
              <w:bottom w:val="single" w:color="auto" w:sz="4" w:space="0"/>
              <w:right w:val="single" w:color="auto" w:sz="4" w:space="0"/>
            </w:tcBorders>
            <w:shd w:val="clear" w:color="auto" w:fill="auto"/>
            <w:vAlign w:val="center"/>
          </w:tcPr>
          <w:p w14:paraId="7154F926">
            <w:pPr>
              <w:widowControl/>
              <w:spacing w:line="300" w:lineRule="exact"/>
              <w:jc w:val="center"/>
              <w:rPr>
                <w:rFonts w:ascii="宋体" w:hAnsi="宋体" w:cs="宋体"/>
                <w:kern w:val="0"/>
                <w:sz w:val="16"/>
                <w:szCs w:val="16"/>
              </w:rPr>
            </w:pPr>
            <w:r>
              <w:rPr>
                <w:rFonts w:hint="eastAsia" w:ascii="宋体" w:hAnsi="宋体" w:cs="宋体"/>
                <w:kern w:val="0"/>
                <w:sz w:val="16"/>
                <w:szCs w:val="16"/>
              </w:rPr>
              <w:t>2</w:t>
            </w:r>
          </w:p>
        </w:tc>
        <w:tc>
          <w:tcPr>
            <w:tcW w:w="868" w:type="pct"/>
            <w:tcBorders>
              <w:top w:val="nil"/>
              <w:left w:val="nil"/>
              <w:bottom w:val="single" w:color="auto" w:sz="4" w:space="0"/>
              <w:right w:val="single" w:color="auto" w:sz="4" w:space="0"/>
            </w:tcBorders>
            <w:shd w:val="clear" w:color="auto" w:fill="auto"/>
            <w:vAlign w:val="center"/>
          </w:tcPr>
          <w:p w14:paraId="41594C7C">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评价部门是否按要求将部门整体绩效自评情况和自行组织的评价情况向社会公开。</w:t>
            </w:r>
          </w:p>
        </w:tc>
        <w:tc>
          <w:tcPr>
            <w:tcW w:w="1611" w:type="pct"/>
            <w:tcBorders>
              <w:top w:val="nil"/>
              <w:left w:val="nil"/>
              <w:bottom w:val="single" w:color="auto" w:sz="4" w:space="0"/>
              <w:right w:val="single" w:color="auto" w:sz="4" w:space="0"/>
            </w:tcBorders>
            <w:shd w:val="clear" w:color="auto" w:fill="auto"/>
            <w:vAlign w:val="center"/>
          </w:tcPr>
          <w:p w14:paraId="15075F87">
            <w:pPr>
              <w:widowControl/>
              <w:spacing w:line="300" w:lineRule="exact"/>
              <w:jc w:val="left"/>
              <w:rPr>
                <w:rFonts w:ascii="宋体" w:hAnsi="宋体" w:cs="宋体"/>
                <w:kern w:val="0"/>
                <w:sz w:val="16"/>
                <w:szCs w:val="16"/>
              </w:rPr>
            </w:pPr>
            <w:r>
              <w:rPr>
                <w:rFonts w:hint="eastAsia" w:ascii="宋体" w:hAnsi="宋体" w:cs="宋体"/>
                <w:kern w:val="0"/>
                <w:sz w:val="16"/>
                <w:szCs w:val="16"/>
              </w:rPr>
              <w:t>按要求将相关绩效信息随同决算公开的，得2分，否则不得分。</w:t>
            </w:r>
          </w:p>
        </w:tc>
        <w:tc>
          <w:tcPr>
            <w:tcW w:w="417" w:type="pct"/>
            <w:tcBorders>
              <w:top w:val="nil"/>
              <w:left w:val="nil"/>
              <w:bottom w:val="single" w:color="auto" w:sz="4" w:space="0"/>
              <w:right w:val="single" w:color="auto" w:sz="4" w:space="0"/>
            </w:tcBorders>
            <w:shd w:val="clear" w:color="auto" w:fill="auto"/>
            <w:vAlign w:val="center"/>
          </w:tcPr>
          <w:p w14:paraId="0A0ED6DA">
            <w:pPr>
              <w:widowControl/>
              <w:spacing w:line="300" w:lineRule="exact"/>
              <w:jc w:val="center"/>
              <w:rPr>
                <w:rFonts w:ascii="宋体" w:hAnsi="宋体" w:cs="宋体"/>
                <w:kern w:val="0"/>
                <w:sz w:val="16"/>
                <w:szCs w:val="16"/>
              </w:rPr>
            </w:pPr>
            <w:r>
              <w:rPr>
                <w:rFonts w:hint="eastAsia" w:ascii="宋体" w:hAnsi="宋体" w:cs="宋体"/>
                <w:kern w:val="0"/>
                <w:sz w:val="16"/>
                <w:szCs w:val="16"/>
              </w:rPr>
              <w:t>2</w:t>
            </w:r>
          </w:p>
        </w:tc>
        <w:tc>
          <w:tcPr>
            <w:tcW w:w="393" w:type="pct"/>
            <w:tcBorders>
              <w:top w:val="nil"/>
              <w:left w:val="nil"/>
              <w:bottom w:val="single" w:color="auto" w:sz="4" w:space="0"/>
              <w:right w:val="single" w:color="auto" w:sz="4" w:space="0"/>
            </w:tcBorders>
            <w:shd w:val="clear" w:color="auto" w:fill="auto"/>
            <w:vAlign w:val="center"/>
          </w:tcPr>
          <w:p w14:paraId="1860257F">
            <w:pPr>
              <w:widowControl/>
              <w:spacing w:line="300" w:lineRule="exact"/>
              <w:jc w:val="left"/>
              <w:rPr>
                <w:rFonts w:ascii="宋体" w:hAnsi="宋体" w:cs="宋体"/>
                <w:kern w:val="0"/>
                <w:sz w:val="28"/>
                <w:szCs w:val="28"/>
              </w:rPr>
            </w:pPr>
          </w:p>
        </w:tc>
      </w:tr>
      <w:tr w14:paraId="39ED28CC">
        <w:tblPrEx>
          <w:tblCellMar>
            <w:top w:w="0" w:type="dxa"/>
            <w:left w:w="108" w:type="dxa"/>
            <w:bottom w:w="0" w:type="dxa"/>
            <w:right w:w="108" w:type="dxa"/>
          </w:tblCellMar>
        </w:tblPrEx>
        <w:trPr>
          <w:trHeight w:val="447" w:hRule="atLeast"/>
        </w:trPr>
        <w:tc>
          <w:tcPr>
            <w:tcW w:w="391" w:type="pct"/>
            <w:vMerge w:val="continue"/>
            <w:tcBorders>
              <w:top w:val="nil"/>
              <w:left w:val="single" w:color="auto" w:sz="4" w:space="0"/>
              <w:bottom w:val="single" w:color="auto" w:sz="4" w:space="0"/>
              <w:right w:val="single" w:color="auto" w:sz="4" w:space="0"/>
            </w:tcBorders>
            <w:vAlign w:val="center"/>
          </w:tcPr>
          <w:p w14:paraId="3FA3BEAA">
            <w:pPr>
              <w:widowControl/>
              <w:spacing w:line="300" w:lineRule="exact"/>
              <w:jc w:val="left"/>
              <w:rPr>
                <w:rFonts w:ascii="宋体" w:hAnsi="宋体" w:cs="宋体"/>
                <w:kern w:val="0"/>
                <w:sz w:val="16"/>
                <w:szCs w:val="16"/>
              </w:rPr>
            </w:pPr>
          </w:p>
        </w:tc>
        <w:tc>
          <w:tcPr>
            <w:tcW w:w="401" w:type="pct"/>
            <w:vMerge w:val="restart"/>
            <w:tcBorders>
              <w:top w:val="nil"/>
              <w:left w:val="single" w:color="auto" w:sz="4" w:space="0"/>
              <w:bottom w:val="single" w:color="auto" w:sz="4" w:space="0"/>
              <w:right w:val="single" w:color="auto" w:sz="4" w:space="0"/>
            </w:tcBorders>
            <w:shd w:val="clear" w:color="auto" w:fill="auto"/>
            <w:vAlign w:val="center"/>
          </w:tcPr>
          <w:p w14:paraId="6D80B298">
            <w:pPr>
              <w:widowControl/>
              <w:spacing w:line="300" w:lineRule="exact"/>
              <w:jc w:val="center"/>
              <w:rPr>
                <w:rFonts w:ascii="宋体" w:hAnsi="宋体" w:cs="宋体"/>
                <w:kern w:val="0"/>
                <w:sz w:val="16"/>
                <w:szCs w:val="16"/>
              </w:rPr>
            </w:pPr>
            <w:r>
              <w:rPr>
                <w:rFonts w:hint="eastAsia" w:ascii="宋体" w:hAnsi="宋体" w:cs="宋体"/>
                <w:kern w:val="0"/>
                <w:sz w:val="16"/>
                <w:szCs w:val="16"/>
              </w:rPr>
              <w:t>整改反馈（8分）</w:t>
            </w:r>
          </w:p>
        </w:tc>
        <w:tc>
          <w:tcPr>
            <w:tcW w:w="559" w:type="pct"/>
            <w:tcBorders>
              <w:top w:val="nil"/>
              <w:left w:val="nil"/>
              <w:bottom w:val="single" w:color="auto" w:sz="4" w:space="0"/>
              <w:right w:val="single" w:color="auto" w:sz="4" w:space="0"/>
            </w:tcBorders>
            <w:shd w:val="clear" w:color="auto" w:fill="auto"/>
            <w:vAlign w:val="center"/>
          </w:tcPr>
          <w:p w14:paraId="696EEE03">
            <w:pPr>
              <w:widowControl/>
              <w:spacing w:line="300" w:lineRule="exact"/>
              <w:jc w:val="center"/>
              <w:rPr>
                <w:rFonts w:ascii="宋体" w:hAnsi="宋体" w:cs="宋体"/>
                <w:kern w:val="0"/>
                <w:sz w:val="16"/>
                <w:szCs w:val="16"/>
              </w:rPr>
            </w:pPr>
            <w:r>
              <w:rPr>
                <w:rFonts w:hint="eastAsia" w:ascii="宋体" w:hAnsi="宋体" w:cs="宋体"/>
                <w:kern w:val="0"/>
                <w:sz w:val="16"/>
                <w:szCs w:val="16"/>
              </w:rPr>
              <w:t>结果整改</w:t>
            </w:r>
          </w:p>
        </w:tc>
        <w:tc>
          <w:tcPr>
            <w:tcW w:w="359" w:type="pct"/>
            <w:tcBorders>
              <w:top w:val="nil"/>
              <w:left w:val="nil"/>
              <w:bottom w:val="single" w:color="auto" w:sz="4" w:space="0"/>
              <w:right w:val="single" w:color="auto" w:sz="4" w:space="0"/>
            </w:tcBorders>
            <w:shd w:val="clear" w:color="auto" w:fill="auto"/>
            <w:vAlign w:val="center"/>
          </w:tcPr>
          <w:p w14:paraId="5E4BD416">
            <w:pPr>
              <w:widowControl/>
              <w:spacing w:line="300" w:lineRule="exact"/>
              <w:jc w:val="center"/>
              <w:rPr>
                <w:rFonts w:ascii="宋体" w:hAnsi="宋体" w:cs="宋体"/>
                <w:kern w:val="0"/>
                <w:sz w:val="16"/>
                <w:szCs w:val="16"/>
              </w:rPr>
            </w:pPr>
            <w:r>
              <w:rPr>
                <w:rFonts w:hint="eastAsia" w:ascii="宋体" w:hAnsi="宋体" w:cs="宋体"/>
                <w:kern w:val="0"/>
                <w:sz w:val="16"/>
                <w:szCs w:val="16"/>
              </w:rPr>
              <w:t>4</w:t>
            </w:r>
          </w:p>
        </w:tc>
        <w:tc>
          <w:tcPr>
            <w:tcW w:w="868" w:type="pct"/>
            <w:tcBorders>
              <w:top w:val="nil"/>
              <w:left w:val="nil"/>
              <w:bottom w:val="single" w:color="auto" w:sz="4" w:space="0"/>
              <w:right w:val="single" w:color="auto" w:sz="4" w:space="0"/>
            </w:tcBorders>
            <w:shd w:val="clear" w:color="auto" w:fill="auto"/>
            <w:vAlign w:val="center"/>
          </w:tcPr>
          <w:p w14:paraId="771BC88D">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评价部门根据绩效管理结果整改问题、完善政策、改进管理的情况。</w:t>
            </w:r>
          </w:p>
        </w:tc>
        <w:tc>
          <w:tcPr>
            <w:tcW w:w="1611" w:type="pct"/>
            <w:tcBorders>
              <w:top w:val="nil"/>
              <w:left w:val="nil"/>
              <w:bottom w:val="single" w:color="auto" w:sz="4" w:space="0"/>
              <w:right w:val="single" w:color="auto" w:sz="4" w:space="0"/>
            </w:tcBorders>
            <w:shd w:val="clear" w:color="auto" w:fill="auto"/>
            <w:vAlign w:val="center"/>
          </w:tcPr>
          <w:p w14:paraId="6A032165">
            <w:pPr>
              <w:widowControl/>
              <w:spacing w:line="300" w:lineRule="exact"/>
              <w:jc w:val="left"/>
              <w:rPr>
                <w:rFonts w:ascii="宋体" w:hAnsi="宋体" w:cs="宋体"/>
                <w:kern w:val="0"/>
                <w:sz w:val="16"/>
                <w:szCs w:val="16"/>
              </w:rPr>
            </w:pPr>
            <w:r>
              <w:rPr>
                <w:rFonts w:hint="eastAsia" w:ascii="宋体" w:hAnsi="宋体" w:cs="宋体"/>
                <w:kern w:val="0"/>
                <w:sz w:val="16"/>
                <w:szCs w:val="16"/>
              </w:rPr>
              <w:t>针对绩效管理过程中（包括绩效目标核查、绩效监控核查和重点绩效评价）提出的问题进行整改，将绩效管理结果应用于完善政策、改进管理、预算挂钩等的，得4分。否则，酌情扣分。</w:t>
            </w:r>
          </w:p>
        </w:tc>
        <w:tc>
          <w:tcPr>
            <w:tcW w:w="417" w:type="pct"/>
            <w:tcBorders>
              <w:top w:val="nil"/>
              <w:left w:val="nil"/>
              <w:bottom w:val="single" w:color="auto" w:sz="4" w:space="0"/>
              <w:right w:val="single" w:color="auto" w:sz="4" w:space="0"/>
            </w:tcBorders>
            <w:shd w:val="clear" w:color="auto" w:fill="auto"/>
            <w:vAlign w:val="center"/>
          </w:tcPr>
          <w:p w14:paraId="693E1B0B">
            <w:pPr>
              <w:widowControl/>
              <w:spacing w:line="300" w:lineRule="exact"/>
              <w:jc w:val="center"/>
              <w:rPr>
                <w:rFonts w:ascii="宋体" w:hAnsi="宋体" w:cs="宋体"/>
                <w:kern w:val="0"/>
                <w:sz w:val="16"/>
                <w:szCs w:val="16"/>
              </w:rPr>
            </w:pPr>
            <w:r>
              <w:rPr>
                <w:rFonts w:hint="eastAsia" w:ascii="宋体" w:hAnsi="宋体" w:cs="宋体"/>
                <w:kern w:val="0"/>
                <w:sz w:val="16"/>
                <w:szCs w:val="16"/>
              </w:rPr>
              <w:t>4</w:t>
            </w:r>
          </w:p>
        </w:tc>
        <w:tc>
          <w:tcPr>
            <w:tcW w:w="393" w:type="pct"/>
            <w:tcBorders>
              <w:top w:val="nil"/>
              <w:left w:val="nil"/>
              <w:bottom w:val="single" w:color="auto" w:sz="4" w:space="0"/>
              <w:right w:val="single" w:color="auto" w:sz="4" w:space="0"/>
            </w:tcBorders>
            <w:shd w:val="clear" w:color="auto" w:fill="auto"/>
            <w:vAlign w:val="center"/>
          </w:tcPr>
          <w:p w14:paraId="42ACFD78">
            <w:pPr>
              <w:widowControl/>
              <w:spacing w:line="300" w:lineRule="exact"/>
              <w:jc w:val="left"/>
              <w:rPr>
                <w:rFonts w:ascii="宋体" w:hAnsi="宋体" w:cs="宋体"/>
                <w:kern w:val="0"/>
                <w:sz w:val="28"/>
                <w:szCs w:val="28"/>
              </w:rPr>
            </w:pPr>
          </w:p>
        </w:tc>
      </w:tr>
      <w:tr w14:paraId="3B0F2DEF">
        <w:tblPrEx>
          <w:tblCellMar>
            <w:top w:w="0" w:type="dxa"/>
            <w:left w:w="108" w:type="dxa"/>
            <w:bottom w:w="0" w:type="dxa"/>
            <w:right w:w="108" w:type="dxa"/>
          </w:tblCellMar>
        </w:tblPrEx>
        <w:trPr>
          <w:trHeight w:val="224" w:hRule="atLeast"/>
        </w:trPr>
        <w:tc>
          <w:tcPr>
            <w:tcW w:w="391" w:type="pct"/>
            <w:vMerge w:val="continue"/>
            <w:tcBorders>
              <w:top w:val="nil"/>
              <w:left w:val="single" w:color="auto" w:sz="4" w:space="0"/>
              <w:bottom w:val="single" w:color="auto" w:sz="4" w:space="0"/>
              <w:right w:val="single" w:color="auto" w:sz="4" w:space="0"/>
            </w:tcBorders>
            <w:vAlign w:val="center"/>
          </w:tcPr>
          <w:p w14:paraId="72BF507F">
            <w:pPr>
              <w:widowControl/>
              <w:spacing w:line="300" w:lineRule="exact"/>
              <w:jc w:val="left"/>
              <w:rPr>
                <w:rFonts w:ascii="宋体" w:hAnsi="宋体" w:cs="宋体"/>
                <w:kern w:val="0"/>
                <w:sz w:val="16"/>
                <w:szCs w:val="16"/>
              </w:rPr>
            </w:pPr>
          </w:p>
        </w:tc>
        <w:tc>
          <w:tcPr>
            <w:tcW w:w="401" w:type="pct"/>
            <w:vMerge w:val="continue"/>
            <w:tcBorders>
              <w:top w:val="nil"/>
              <w:left w:val="single" w:color="auto" w:sz="4" w:space="0"/>
              <w:bottom w:val="single" w:color="auto" w:sz="4" w:space="0"/>
              <w:right w:val="single" w:color="auto" w:sz="4" w:space="0"/>
            </w:tcBorders>
            <w:vAlign w:val="center"/>
          </w:tcPr>
          <w:p w14:paraId="03FD3F19">
            <w:pPr>
              <w:widowControl/>
              <w:spacing w:line="300" w:lineRule="exact"/>
              <w:jc w:val="left"/>
              <w:rPr>
                <w:rFonts w:ascii="宋体" w:hAnsi="宋体" w:cs="宋体"/>
                <w:kern w:val="0"/>
                <w:sz w:val="16"/>
                <w:szCs w:val="16"/>
              </w:rPr>
            </w:pPr>
          </w:p>
        </w:tc>
        <w:tc>
          <w:tcPr>
            <w:tcW w:w="559" w:type="pct"/>
            <w:tcBorders>
              <w:top w:val="nil"/>
              <w:left w:val="nil"/>
              <w:bottom w:val="single" w:color="auto" w:sz="4" w:space="0"/>
              <w:right w:val="single" w:color="auto" w:sz="4" w:space="0"/>
            </w:tcBorders>
            <w:shd w:val="clear" w:color="auto" w:fill="auto"/>
            <w:vAlign w:val="center"/>
          </w:tcPr>
          <w:p w14:paraId="12DC2B0F">
            <w:pPr>
              <w:widowControl/>
              <w:spacing w:line="300" w:lineRule="exact"/>
              <w:jc w:val="center"/>
              <w:rPr>
                <w:rFonts w:ascii="宋体" w:hAnsi="宋体" w:cs="宋体"/>
                <w:kern w:val="0"/>
                <w:sz w:val="16"/>
                <w:szCs w:val="16"/>
              </w:rPr>
            </w:pPr>
            <w:r>
              <w:rPr>
                <w:rFonts w:hint="eastAsia" w:ascii="宋体" w:hAnsi="宋体" w:cs="宋体"/>
                <w:kern w:val="0"/>
                <w:sz w:val="16"/>
                <w:szCs w:val="16"/>
              </w:rPr>
              <w:t>应用反馈</w:t>
            </w:r>
          </w:p>
        </w:tc>
        <w:tc>
          <w:tcPr>
            <w:tcW w:w="359" w:type="pct"/>
            <w:tcBorders>
              <w:top w:val="nil"/>
              <w:left w:val="nil"/>
              <w:bottom w:val="single" w:color="auto" w:sz="4" w:space="0"/>
              <w:right w:val="single" w:color="auto" w:sz="4" w:space="0"/>
            </w:tcBorders>
            <w:shd w:val="clear" w:color="auto" w:fill="auto"/>
            <w:vAlign w:val="center"/>
          </w:tcPr>
          <w:p w14:paraId="22C2D698">
            <w:pPr>
              <w:widowControl/>
              <w:spacing w:line="300" w:lineRule="exact"/>
              <w:jc w:val="center"/>
              <w:rPr>
                <w:rFonts w:ascii="宋体" w:hAnsi="宋体" w:cs="宋体"/>
                <w:kern w:val="0"/>
                <w:sz w:val="16"/>
                <w:szCs w:val="16"/>
              </w:rPr>
            </w:pPr>
            <w:r>
              <w:rPr>
                <w:rFonts w:hint="eastAsia" w:ascii="宋体" w:hAnsi="宋体" w:cs="宋体"/>
                <w:kern w:val="0"/>
                <w:sz w:val="16"/>
                <w:szCs w:val="16"/>
              </w:rPr>
              <w:t>4</w:t>
            </w:r>
          </w:p>
        </w:tc>
        <w:tc>
          <w:tcPr>
            <w:tcW w:w="868" w:type="pct"/>
            <w:tcBorders>
              <w:top w:val="nil"/>
              <w:left w:val="nil"/>
              <w:bottom w:val="single" w:color="auto" w:sz="4" w:space="0"/>
              <w:right w:val="single" w:color="auto" w:sz="4" w:space="0"/>
            </w:tcBorders>
            <w:shd w:val="clear" w:color="auto" w:fill="auto"/>
            <w:vAlign w:val="center"/>
          </w:tcPr>
          <w:p w14:paraId="1E7C4B8A">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评价部门按要求及时向财政部门反馈结果应用情况。</w:t>
            </w:r>
          </w:p>
        </w:tc>
        <w:tc>
          <w:tcPr>
            <w:tcW w:w="1611" w:type="pct"/>
            <w:tcBorders>
              <w:top w:val="nil"/>
              <w:left w:val="nil"/>
              <w:bottom w:val="single" w:color="auto" w:sz="4" w:space="0"/>
              <w:right w:val="single" w:color="auto" w:sz="4" w:space="0"/>
            </w:tcBorders>
            <w:shd w:val="clear" w:color="auto" w:fill="auto"/>
            <w:vAlign w:val="center"/>
          </w:tcPr>
          <w:p w14:paraId="70B801D7">
            <w:pPr>
              <w:widowControl/>
              <w:spacing w:line="300" w:lineRule="exact"/>
              <w:jc w:val="left"/>
              <w:rPr>
                <w:rFonts w:ascii="宋体" w:hAnsi="宋体" w:cs="宋体"/>
                <w:kern w:val="0"/>
                <w:sz w:val="16"/>
                <w:szCs w:val="16"/>
              </w:rPr>
            </w:pPr>
            <w:r>
              <w:rPr>
                <w:rFonts w:hint="eastAsia" w:ascii="宋体" w:hAnsi="宋体" w:cs="宋体"/>
                <w:kern w:val="0"/>
                <w:sz w:val="16"/>
                <w:szCs w:val="16"/>
              </w:rPr>
              <w:t>部门在规定时间内向财政部门反馈应用绩效结果报告的，得满分，否则不得分。</w:t>
            </w:r>
          </w:p>
        </w:tc>
        <w:tc>
          <w:tcPr>
            <w:tcW w:w="417" w:type="pct"/>
            <w:tcBorders>
              <w:top w:val="nil"/>
              <w:left w:val="nil"/>
              <w:bottom w:val="single" w:color="auto" w:sz="4" w:space="0"/>
              <w:right w:val="single" w:color="auto" w:sz="4" w:space="0"/>
            </w:tcBorders>
            <w:shd w:val="clear" w:color="auto" w:fill="auto"/>
            <w:vAlign w:val="center"/>
          </w:tcPr>
          <w:p w14:paraId="3840D8F2">
            <w:pPr>
              <w:widowControl/>
              <w:spacing w:line="300" w:lineRule="exact"/>
              <w:jc w:val="center"/>
              <w:rPr>
                <w:rFonts w:ascii="宋体" w:hAnsi="宋体" w:cs="宋体"/>
                <w:kern w:val="0"/>
                <w:sz w:val="16"/>
                <w:szCs w:val="16"/>
              </w:rPr>
            </w:pPr>
            <w:r>
              <w:rPr>
                <w:rFonts w:hint="eastAsia" w:ascii="宋体" w:hAnsi="宋体" w:cs="宋体"/>
                <w:kern w:val="0"/>
                <w:sz w:val="16"/>
                <w:szCs w:val="16"/>
              </w:rPr>
              <w:t>4</w:t>
            </w:r>
          </w:p>
        </w:tc>
        <w:tc>
          <w:tcPr>
            <w:tcW w:w="393" w:type="pct"/>
            <w:tcBorders>
              <w:top w:val="nil"/>
              <w:left w:val="nil"/>
              <w:bottom w:val="single" w:color="auto" w:sz="4" w:space="0"/>
              <w:right w:val="single" w:color="auto" w:sz="4" w:space="0"/>
            </w:tcBorders>
            <w:shd w:val="clear" w:color="auto" w:fill="auto"/>
            <w:vAlign w:val="center"/>
          </w:tcPr>
          <w:p w14:paraId="50B67569">
            <w:pPr>
              <w:widowControl/>
              <w:spacing w:line="300" w:lineRule="exact"/>
              <w:jc w:val="left"/>
              <w:rPr>
                <w:rFonts w:ascii="宋体" w:hAnsi="宋体" w:cs="宋体"/>
                <w:kern w:val="0"/>
                <w:sz w:val="28"/>
                <w:szCs w:val="28"/>
              </w:rPr>
            </w:pPr>
          </w:p>
        </w:tc>
      </w:tr>
      <w:tr w14:paraId="2110F76D">
        <w:tblPrEx>
          <w:tblCellMar>
            <w:top w:w="0" w:type="dxa"/>
            <w:left w:w="108" w:type="dxa"/>
            <w:bottom w:w="0" w:type="dxa"/>
            <w:right w:w="108" w:type="dxa"/>
          </w:tblCellMar>
        </w:tblPrEx>
        <w:trPr>
          <w:trHeight w:val="559" w:hRule="atLeast"/>
        </w:trPr>
        <w:tc>
          <w:tcPr>
            <w:tcW w:w="391" w:type="pct"/>
            <w:tcBorders>
              <w:top w:val="nil"/>
              <w:left w:val="single" w:color="auto" w:sz="4" w:space="0"/>
              <w:bottom w:val="single" w:color="auto" w:sz="4" w:space="0"/>
              <w:right w:val="single" w:color="auto" w:sz="4" w:space="0"/>
            </w:tcBorders>
            <w:shd w:val="clear" w:color="auto" w:fill="auto"/>
            <w:vAlign w:val="center"/>
          </w:tcPr>
          <w:p w14:paraId="35316AD2">
            <w:pPr>
              <w:widowControl/>
              <w:spacing w:line="300" w:lineRule="exact"/>
              <w:jc w:val="left"/>
              <w:rPr>
                <w:rFonts w:ascii="宋体" w:hAnsi="宋体" w:cs="宋体"/>
                <w:kern w:val="0"/>
                <w:sz w:val="16"/>
                <w:szCs w:val="16"/>
              </w:rPr>
            </w:pPr>
            <w:r>
              <w:rPr>
                <w:rFonts w:hint="eastAsia" w:ascii="宋体" w:hAnsi="宋体" w:cs="宋体"/>
                <w:kern w:val="0"/>
                <w:sz w:val="16"/>
                <w:szCs w:val="16"/>
              </w:rPr>
              <w:t>自评质量（10分）</w:t>
            </w:r>
          </w:p>
        </w:tc>
        <w:tc>
          <w:tcPr>
            <w:tcW w:w="401" w:type="pct"/>
            <w:tcBorders>
              <w:top w:val="nil"/>
              <w:left w:val="nil"/>
              <w:bottom w:val="single" w:color="auto" w:sz="4" w:space="0"/>
              <w:right w:val="single" w:color="auto" w:sz="4" w:space="0"/>
            </w:tcBorders>
            <w:shd w:val="clear" w:color="auto" w:fill="auto"/>
            <w:vAlign w:val="center"/>
          </w:tcPr>
          <w:p w14:paraId="319AC851">
            <w:pPr>
              <w:widowControl/>
              <w:spacing w:line="300" w:lineRule="exact"/>
              <w:jc w:val="center"/>
              <w:rPr>
                <w:rFonts w:ascii="宋体" w:hAnsi="宋体" w:cs="宋体"/>
                <w:kern w:val="0"/>
                <w:sz w:val="16"/>
                <w:szCs w:val="16"/>
              </w:rPr>
            </w:pPr>
            <w:r>
              <w:rPr>
                <w:rFonts w:hint="eastAsia" w:ascii="宋体" w:hAnsi="宋体" w:cs="宋体"/>
                <w:kern w:val="0"/>
                <w:sz w:val="16"/>
                <w:szCs w:val="16"/>
              </w:rPr>
              <w:t>自评质量（10分）</w:t>
            </w:r>
          </w:p>
        </w:tc>
        <w:tc>
          <w:tcPr>
            <w:tcW w:w="559" w:type="pct"/>
            <w:tcBorders>
              <w:top w:val="nil"/>
              <w:left w:val="nil"/>
              <w:bottom w:val="single" w:color="auto" w:sz="4" w:space="0"/>
              <w:right w:val="single" w:color="auto" w:sz="4" w:space="0"/>
            </w:tcBorders>
            <w:shd w:val="clear" w:color="auto" w:fill="auto"/>
            <w:vAlign w:val="center"/>
          </w:tcPr>
          <w:p w14:paraId="09206B32">
            <w:pPr>
              <w:widowControl/>
              <w:spacing w:line="300" w:lineRule="exact"/>
              <w:jc w:val="center"/>
              <w:rPr>
                <w:rFonts w:ascii="宋体" w:hAnsi="宋体" w:cs="宋体"/>
                <w:kern w:val="0"/>
                <w:sz w:val="16"/>
                <w:szCs w:val="16"/>
              </w:rPr>
            </w:pPr>
            <w:r>
              <w:rPr>
                <w:rFonts w:hint="eastAsia" w:ascii="宋体" w:hAnsi="宋体" w:cs="宋体"/>
                <w:kern w:val="0"/>
                <w:sz w:val="16"/>
                <w:szCs w:val="16"/>
              </w:rPr>
              <w:t>自评准确</w:t>
            </w:r>
          </w:p>
        </w:tc>
        <w:tc>
          <w:tcPr>
            <w:tcW w:w="359" w:type="pct"/>
            <w:tcBorders>
              <w:top w:val="nil"/>
              <w:left w:val="nil"/>
              <w:bottom w:val="single" w:color="auto" w:sz="4" w:space="0"/>
              <w:right w:val="single" w:color="auto" w:sz="4" w:space="0"/>
            </w:tcBorders>
            <w:shd w:val="clear" w:color="auto" w:fill="auto"/>
            <w:vAlign w:val="center"/>
          </w:tcPr>
          <w:p w14:paraId="0F861E15">
            <w:pPr>
              <w:widowControl/>
              <w:spacing w:line="300" w:lineRule="exact"/>
              <w:jc w:val="center"/>
              <w:rPr>
                <w:rFonts w:ascii="宋体" w:hAnsi="宋体" w:cs="宋体"/>
                <w:kern w:val="0"/>
                <w:sz w:val="16"/>
                <w:szCs w:val="16"/>
              </w:rPr>
            </w:pPr>
            <w:r>
              <w:rPr>
                <w:rFonts w:hint="eastAsia" w:ascii="宋体" w:hAnsi="宋体" w:cs="宋体"/>
                <w:kern w:val="0"/>
                <w:sz w:val="16"/>
                <w:szCs w:val="16"/>
              </w:rPr>
              <w:t>10</w:t>
            </w:r>
          </w:p>
        </w:tc>
        <w:tc>
          <w:tcPr>
            <w:tcW w:w="868" w:type="pct"/>
            <w:tcBorders>
              <w:top w:val="nil"/>
              <w:left w:val="nil"/>
              <w:bottom w:val="single" w:color="auto" w:sz="4" w:space="0"/>
              <w:right w:val="single" w:color="auto" w:sz="4" w:space="0"/>
            </w:tcBorders>
            <w:shd w:val="clear" w:color="auto" w:fill="auto"/>
            <w:vAlign w:val="center"/>
          </w:tcPr>
          <w:p w14:paraId="6E78B376">
            <w:pPr>
              <w:widowControl/>
              <w:spacing w:line="300" w:lineRule="exact"/>
              <w:jc w:val="left"/>
              <w:rPr>
                <w:rFonts w:ascii="宋体" w:hAnsi="宋体" w:cs="宋体"/>
                <w:kern w:val="0"/>
                <w:sz w:val="16"/>
                <w:szCs w:val="16"/>
              </w:rPr>
            </w:pPr>
            <w:r>
              <w:rPr>
                <w:rFonts w:hint="eastAsia" w:ascii="宋体" w:hAnsi="宋体" w:cs="宋体"/>
                <w:kern w:val="0"/>
                <w:sz w:val="16"/>
                <w:szCs w:val="16"/>
              </w:rPr>
              <w:t>评价部门整体支出自评准确率。</w:t>
            </w:r>
          </w:p>
        </w:tc>
        <w:tc>
          <w:tcPr>
            <w:tcW w:w="1611" w:type="pct"/>
            <w:tcBorders>
              <w:top w:val="nil"/>
              <w:left w:val="nil"/>
              <w:bottom w:val="single" w:color="auto" w:sz="4" w:space="0"/>
              <w:right w:val="single" w:color="auto" w:sz="4" w:space="0"/>
            </w:tcBorders>
            <w:shd w:val="clear" w:color="auto" w:fill="auto"/>
            <w:vAlign w:val="center"/>
          </w:tcPr>
          <w:p w14:paraId="13C6E0B9">
            <w:pPr>
              <w:widowControl/>
              <w:spacing w:line="300" w:lineRule="exact"/>
              <w:jc w:val="left"/>
              <w:rPr>
                <w:rFonts w:ascii="宋体" w:hAnsi="宋体" w:cs="宋体"/>
                <w:kern w:val="0"/>
                <w:sz w:val="16"/>
                <w:szCs w:val="16"/>
              </w:rPr>
            </w:pPr>
            <w:r>
              <w:rPr>
                <w:rFonts w:hint="eastAsia" w:ascii="宋体" w:hAnsi="宋体" w:cs="宋体"/>
                <w:kern w:val="0"/>
                <w:sz w:val="16"/>
                <w:szCs w:val="16"/>
              </w:rPr>
              <w:t>部门整体支出自评得分与评价组抽查得分差异在5%以内的，不扣分；在5%-10%之间的，扣4分，在10%-20%的，扣8分，在20%以上的，扣10分。（部门在自评时，此项指标无需打分，部门自评满分为90分）</w:t>
            </w:r>
          </w:p>
        </w:tc>
        <w:tc>
          <w:tcPr>
            <w:tcW w:w="417" w:type="pct"/>
            <w:tcBorders>
              <w:top w:val="nil"/>
              <w:left w:val="nil"/>
              <w:bottom w:val="single" w:color="auto" w:sz="4" w:space="0"/>
              <w:right w:val="single" w:color="auto" w:sz="4" w:space="0"/>
            </w:tcBorders>
            <w:shd w:val="clear" w:color="auto" w:fill="auto"/>
            <w:vAlign w:val="center"/>
          </w:tcPr>
          <w:p w14:paraId="2DD8104C">
            <w:pPr>
              <w:widowControl/>
              <w:spacing w:line="300" w:lineRule="exact"/>
              <w:jc w:val="center"/>
              <w:rPr>
                <w:rFonts w:ascii="宋体" w:hAnsi="宋体" w:cs="宋体"/>
                <w:kern w:val="0"/>
                <w:sz w:val="16"/>
                <w:szCs w:val="16"/>
              </w:rPr>
            </w:pPr>
          </w:p>
        </w:tc>
        <w:tc>
          <w:tcPr>
            <w:tcW w:w="393" w:type="pct"/>
            <w:tcBorders>
              <w:top w:val="nil"/>
              <w:left w:val="nil"/>
              <w:bottom w:val="single" w:color="auto" w:sz="4" w:space="0"/>
              <w:right w:val="single" w:color="auto" w:sz="4" w:space="0"/>
            </w:tcBorders>
            <w:shd w:val="clear" w:color="auto" w:fill="auto"/>
            <w:vAlign w:val="center"/>
          </w:tcPr>
          <w:p w14:paraId="4E3E0754">
            <w:pPr>
              <w:widowControl/>
              <w:spacing w:line="300" w:lineRule="exact"/>
              <w:jc w:val="left"/>
              <w:rPr>
                <w:rFonts w:ascii="宋体" w:hAnsi="宋体" w:cs="宋体"/>
                <w:kern w:val="0"/>
                <w:sz w:val="28"/>
                <w:szCs w:val="28"/>
              </w:rPr>
            </w:pPr>
          </w:p>
        </w:tc>
      </w:tr>
      <w:tr w14:paraId="08C2AFED">
        <w:tblPrEx>
          <w:tblCellMar>
            <w:top w:w="0" w:type="dxa"/>
            <w:left w:w="108" w:type="dxa"/>
            <w:bottom w:w="0" w:type="dxa"/>
            <w:right w:w="108" w:type="dxa"/>
          </w:tblCellMar>
        </w:tblPrEx>
        <w:trPr>
          <w:trHeight w:val="216"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2D5BB899">
            <w:pPr>
              <w:widowControl/>
              <w:spacing w:line="300" w:lineRule="exact"/>
              <w:jc w:val="center"/>
              <w:rPr>
                <w:rFonts w:ascii="宋体" w:hAnsi="宋体" w:cs="宋体"/>
                <w:b/>
                <w:bCs/>
                <w:kern w:val="0"/>
                <w:sz w:val="18"/>
                <w:szCs w:val="18"/>
              </w:rPr>
            </w:pPr>
            <w:r>
              <w:rPr>
                <w:rFonts w:hint="eastAsia" w:ascii="宋体" w:hAnsi="宋体" w:cs="宋体"/>
                <w:b/>
                <w:bCs/>
                <w:kern w:val="0"/>
                <w:sz w:val="18"/>
                <w:szCs w:val="18"/>
              </w:rPr>
              <w:t>总得分：90分</w:t>
            </w:r>
          </w:p>
        </w:tc>
      </w:tr>
    </w:tbl>
    <w:p w14:paraId="1C947556">
      <w:pPr>
        <w:pStyle w:val="3"/>
        <w:spacing w:before="93" w:line="560" w:lineRule="exact"/>
        <w:ind w:left="0" w:leftChars="0" w:firstLine="0" w:firstLineChars="0"/>
      </w:pPr>
    </w:p>
    <w:p w14:paraId="4D8D68CC">
      <w:pPr>
        <w:pStyle w:val="3"/>
        <w:spacing w:before="93" w:line="560" w:lineRule="exact"/>
        <w:ind w:left="0" w:leftChars="0" w:firstLine="0" w:firstLineChars="0"/>
      </w:pPr>
    </w:p>
    <w:p w14:paraId="25550A01">
      <w:r>
        <w:rPr>
          <w:rFonts w:hint="eastAsia"/>
        </w:rPr>
        <w:br w:type="page"/>
      </w:r>
    </w:p>
    <w:tbl>
      <w:tblPr>
        <w:tblStyle w:val="18"/>
        <w:tblW w:w="0" w:type="auto"/>
        <w:tblInd w:w="93" w:type="dxa"/>
        <w:tblLayout w:type="autofit"/>
        <w:tblCellMar>
          <w:top w:w="0" w:type="dxa"/>
          <w:left w:w="108" w:type="dxa"/>
          <w:bottom w:w="0" w:type="dxa"/>
          <w:right w:w="108" w:type="dxa"/>
        </w:tblCellMar>
      </w:tblPr>
      <w:tblGrid>
        <w:gridCol w:w="727"/>
        <w:gridCol w:w="761"/>
        <w:gridCol w:w="849"/>
        <w:gridCol w:w="892"/>
        <w:gridCol w:w="483"/>
        <w:gridCol w:w="726"/>
        <w:gridCol w:w="484"/>
        <w:gridCol w:w="1555"/>
        <w:gridCol w:w="713"/>
        <w:gridCol w:w="713"/>
        <w:gridCol w:w="1065"/>
      </w:tblGrid>
      <w:tr w14:paraId="51109301">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C86FE83">
            <w:pPr>
              <w:widowControl/>
              <w:jc w:val="center"/>
              <w:textAlignment w:val="center"/>
              <w:rPr>
                <w:rFonts w:ascii="黑体" w:hAnsi="宋体" w:eastAsia="黑体" w:cs="黑体"/>
                <w:b/>
                <w:bCs/>
                <w:color w:val="000000"/>
                <w:sz w:val="30"/>
                <w:szCs w:val="30"/>
              </w:rPr>
            </w:pPr>
            <w:bookmarkStart w:id="46" w:name="_Toc15396618"/>
            <w:r>
              <w:rPr>
                <w:rFonts w:ascii="黑体" w:hAnsi="宋体" w:eastAsia="黑体" w:cs="黑体"/>
                <w:b/>
                <w:bCs/>
                <w:color w:val="000000"/>
                <w:kern w:val="0"/>
                <w:sz w:val="30"/>
                <w:szCs w:val="30"/>
                <w:lang w:bidi="ar"/>
              </w:rPr>
              <w:t>部门预算项目支出绩效自评表（2023年度）</w:t>
            </w:r>
          </w:p>
        </w:tc>
      </w:tr>
      <w:tr w14:paraId="5764C474">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9B86A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3BB35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51090423T000007747267-2023年环境卫生整治经费</w:t>
            </w:r>
          </w:p>
        </w:tc>
      </w:tr>
      <w:tr w14:paraId="57920DCF">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62DC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29403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118FF374">
            <w:pPr>
              <w:widowControl/>
              <w:jc w:val="left"/>
              <w:textAlignment w:val="center"/>
              <w:rPr>
                <w:rFonts w:ascii="黑体" w:hAnsi="黑体" w:eastAsia="黑体" w:cs="黑体"/>
                <w:color w:val="000000"/>
                <w:sz w:val="18"/>
                <w:szCs w:val="18"/>
              </w:rPr>
            </w:pPr>
            <w:r>
              <w:rPr>
                <w:rFonts w:ascii="宋体" w:hAnsi="宋体" w:cs="宋体"/>
                <w:color w:val="000000"/>
                <w:kern w:val="0"/>
                <w:sz w:val="18"/>
                <w:szCs w:val="18"/>
                <w:lang w:bidi="ar"/>
              </w:rPr>
              <w:t>实施单位（盖章）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71D1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17723970">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C8A1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00844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2983F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A53428">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08AD0265">
        <w:tblPrEx>
          <w:tblCellMar>
            <w:top w:w="0" w:type="dxa"/>
            <w:left w:w="108" w:type="dxa"/>
            <w:bottom w:w="0" w:type="dxa"/>
            <w:right w:w="108" w:type="dxa"/>
          </w:tblCellMar>
        </w:tblPrEx>
        <w:trPr>
          <w:trHeight w:val="115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3E776">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A1061">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09EBDF">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全面开展村庄清洁行动,切实改善农村人居环境，从根本上解决农村环境卫生脏、乱、差的问题，建立环境整治长效机制</w:t>
            </w:r>
            <w:r>
              <w:rPr>
                <w:rFonts w:hint="eastAsia" w:ascii="宋体" w:hAnsi="宋体" w:cs="宋体"/>
                <w:color w:val="000000"/>
                <w:kern w:val="0"/>
                <w:sz w:val="18"/>
                <w:szCs w:val="18"/>
                <w:lang w:eastAsia="zh-CN" w:bidi="ar"/>
              </w:rPr>
              <w:t>。</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3A375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环境卫生整治经费使用目标完成情况总体良好，但仍需继续努力和改进。我们将继续加强项目管理和监督力度，提高经费使用效率和效果；同时加强环保宣传教育工作力度，提高公众的环保意识和参与度；努力打造更加宜居、美丽的城市环境。</w:t>
            </w:r>
          </w:p>
        </w:tc>
      </w:tr>
      <w:tr w14:paraId="40B05061">
        <w:tblPrEx>
          <w:tblCellMar>
            <w:top w:w="0" w:type="dxa"/>
            <w:left w:w="108" w:type="dxa"/>
            <w:bottom w:w="0" w:type="dxa"/>
            <w:right w:w="108" w:type="dxa"/>
          </w:tblCellMar>
        </w:tblPrEx>
        <w:trPr>
          <w:trHeight w:val="9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E4A9A">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D953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216A6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环境卫生整治经费项目的实施内容及过程，是一个综合性的工作体系，旨在改善和提升城乡环境卫生状况。通过污水处理设施、公共厕所等的建设和改造及开展环境卫生教育，提高公众的环境保护意识参与度。不断完善和优化经费使用机制和管理体系，确保环境卫生整治工作的顺利推进和取得实效。</w:t>
            </w:r>
          </w:p>
        </w:tc>
      </w:tr>
      <w:tr w14:paraId="202BB907">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B2B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753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248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70D9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CF1E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883D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6F8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DFC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875F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54DDE5F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B813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0396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AAD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E6F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8.13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D0F3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E29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F2CB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27F5F">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80346">
            <w:pPr>
              <w:rPr>
                <w:rFonts w:ascii="黑体" w:hAnsi="黑体" w:eastAsia="黑体" w:cs="黑体"/>
                <w:i/>
                <w:iCs/>
                <w:color w:val="000000"/>
                <w:sz w:val="18"/>
                <w:szCs w:val="18"/>
              </w:rPr>
            </w:pPr>
          </w:p>
        </w:tc>
      </w:tr>
      <w:tr w14:paraId="62063684">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52FC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A7B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A1BD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66A4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8.13</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D4DC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CCE5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13B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44B2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E0DCE">
            <w:pPr>
              <w:rPr>
                <w:rFonts w:ascii="黑体" w:hAnsi="黑体" w:eastAsia="黑体" w:cs="黑体"/>
                <w:i/>
                <w:iCs/>
                <w:color w:val="000000"/>
                <w:sz w:val="18"/>
                <w:szCs w:val="18"/>
              </w:rPr>
            </w:pPr>
          </w:p>
        </w:tc>
      </w:tr>
      <w:tr w14:paraId="72E98A32">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2D16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9D5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B3AA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C01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3A28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A999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8814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ACA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86CB0">
            <w:pPr>
              <w:rPr>
                <w:rFonts w:ascii="黑体" w:hAnsi="黑体" w:eastAsia="黑体" w:cs="黑体"/>
                <w:i/>
                <w:iCs/>
                <w:color w:val="000000"/>
                <w:sz w:val="18"/>
                <w:szCs w:val="18"/>
              </w:rPr>
            </w:pPr>
          </w:p>
        </w:tc>
      </w:tr>
      <w:tr w14:paraId="588AFFB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E48B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3FE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311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3EE2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7586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132B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4D68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7EC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010B3">
            <w:pPr>
              <w:rPr>
                <w:rFonts w:ascii="黑体" w:hAnsi="黑体" w:eastAsia="黑体" w:cs="黑体"/>
                <w:i/>
                <w:iCs/>
                <w:color w:val="000000"/>
                <w:sz w:val="18"/>
                <w:szCs w:val="18"/>
              </w:rPr>
            </w:pPr>
          </w:p>
        </w:tc>
      </w:tr>
      <w:tr w14:paraId="357E25EB">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9D30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26E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A7277">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B2A0AB">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C00963">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CA4CC4">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8E0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C7BA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BFC92">
            <w:pPr>
              <w:rPr>
                <w:rFonts w:ascii="黑体" w:hAnsi="黑体" w:eastAsia="黑体" w:cs="黑体"/>
                <w:i/>
                <w:iCs/>
                <w:color w:val="000000"/>
                <w:sz w:val="18"/>
                <w:szCs w:val="18"/>
              </w:rPr>
            </w:pPr>
          </w:p>
        </w:tc>
      </w:tr>
      <w:tr w14:paraId="03A56AE1">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7BAE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620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62D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DE6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120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0AAD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F33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9A6D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231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5E1B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7B1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1AB3569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8FB2D">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830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18D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65D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12个村及1个社区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89AC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A69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59FE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A1572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76B4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369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87EC0">
            <w:pPr>
              <w:jc w:val="center"/>
              <w:rPr>
                <w:rFonts w:ascii="微软雅黑" w:hAnsi="微软雅黑" w:eastAsia="微软雅黑" w:cs="微软雅黑"/>
                <w:i/>
                <w:iCs/>
                <w:color w:val="000000"/>
                <w:sz w:val="16"/>
                <w:szCs w:val="16"/>
              </w:rPr>
            </w:pPr>
          </w:p>
        </w:tc>
      </w:tr>
      <w:tr w14:paraId="26FCA6D3">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71D24">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2B82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65AF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D024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改善农村人居环境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8E8E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7DB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FFDB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DE1E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987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EF3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DA9771">
            <w:pPr>
              <w:jc w:val="center"/>
              <w:rPr>
                <w:rFonts w:ascii="微软雅黑" w:hAnsi="微软雅黑" w:eastAsia="微软雅黑" w:cs="微软雅黑"/>
                <w:i/>
                <w:iCs/>
                <w:color w:val="000000"/>
                <w:sz w:val="16"/>
                <w:szCs w:val="16"/>
              </w:rPr>
            </w:pPr>
          </w:p>
        </w:tc>
      </w:tr>
      <w:tr w14:paraId="16A371C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3316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D93D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75E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C869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9BA6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F98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330F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D637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954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68B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52B0F0">
            <w:pPr>
              <w:jc w:val="center"/>
              <w:rPr>
                <w:rFonts w:ascii="微软雅黑" w:hAnsi="微软雅黑" w:eastAsia="微软雅黑" w:cs="微软雅黑"/>
                <w:i/>
                <w:iCs/>
                <w:color w:val="000000"/>
                <w:sz w:val="16"/>
                <w:szCs w:val="16"/>
              </w:rPr>
            </w:pPr>
          </w:p>
        </w:tc>
      </w:tr>
      <w:tr w14:paraId="34773F6C">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BEB5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E383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9EA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14D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极引导农户垃圾分类减量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247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6B07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7C98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FC8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26DA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70B2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FD4476">
            <w:pPr>
              <w:jc w:val="center"/>
              <w:rPr>
                <w:rFonts w:ascii="微软雅黑" w:hAnsi="微软雅黑" w:eastAsia="微软雅黑" w:cs="微软雅黑"/>
                <w:i/>
                <w:iCs/>
                <w:color w:val="000000"/>
                <w:sz w:val="16"/>
                <w:szCs w:val="16"/>
              </w:rPr>
            </w:pPr>
          </w:p>
        </w:tc>
      </w:tr>
      <w:tr w14:paraId="353B3851">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61C03">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43CD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AA22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FB1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通过项目实施产，减少环境污染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3E0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55B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环境优良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09F2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5211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环境优良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05B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6857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B990A0">
            <w:pPr>
              <w:jc w:val="center"/>
              <w:rPr>
                <w:rFonts w:ascii="微软雅黑" w:hAnsi="微软雅黑" w:eastAsia="微软雅黑" w:cs="微软雅黑"/>
                <w:i/>
                <w:iCs/>
                <w:color w:val="000000"/>
                <w:sz w:val="16"/>
                <w:szCs w:val="16"/>
              </w:rPr>
            </w:pPr>
          </w:p>
        </w:tc>
      </w:tr>
      <w:tr w14:paraId="5473DD8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1534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EA1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791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F20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E4C2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5E98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25DA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2A29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680D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6223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9ACCD4">
            <w:pPr>
              <w:jc w:val="center"/>
              <w:rPr>
                <w:rFonts w:ascii="微软雅黑" w:hAnsi="微软雅黑" w:eastAsia="微软雅黑" w:cs="微软雅黑"/>
                <w:i/>
                <w:iCs/>
                <w:color w:val="000000"/>
                <w:sz w:val="16"/>
                <w:szCs w:val="16"/>
              </w:rPr>
            </w:pPr>
          </w:p>
        </w:tc>
      </w:tr>
      <w:tr w14:paraId="2A63259E">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D6A09">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AF3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E8A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CE0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环境整治劳务费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6F7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2B81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9522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F790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41700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EB8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2213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BC12F">
            <w:pPr>
              <w:jc w:val="center"/>
              <w:rPr>
                <w:rFonts w:ascii="微软雅黑" w:hAnsi="微软雅黑" w:eastAsia="微软雅黑" w:cs="微软雅黑"/>
                <w:i/>
                <w:iCs/>
                <w:color w:val="000000"/>
                <w:sz w:val="16"/>
                <w:szCs w:val="16"/>
              </w:rPr>
            </w:pPr>
          </w:p>
        </w:tc>
      </w:tr>
      <w:tr w14:paraId="24FF40D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3C70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1A05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DA15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A059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垃圾转运费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20D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296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43000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223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C97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43000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DEF3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4EA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8F0C7">
            <w:pPr>
              <w:jc w:val="center"/>
              <w:rPr>
                <w:rFonts w:ascii="微软雅黑" w:hAnsi="微软雅黑" w:eastAsia="微软雅黑" w:cs="微软雅黑"/>
                <w:i/>
                <w:iCs/>
                <w:color w:val="000000"/>
                <w:sz w:val="16"/>
                <w:szCs w:val="16"/>
              </w:rPr>
            </w:pPr>
          </w:p>
        </w:tc>
      </w:tr>
      <w:tr w14:paraId="4A79FB8C">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0C136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FBE2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B35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28ABC">
            <w:pPr>
              <w:rPr>
                <w:rFonts w:ascii="宋体" w:hAnsi="宋体" w:cs="宋体"/>
                <w:color w:val="000000"/>
                <w:sz w:val="18"/>
                <w:szCs w:val="18"/>
              </w:rPr>
            </w:pPr>
          </w:p>
        </w:tc>
      </w:tr>
      <w:tr w14:paraId="0D1E6DB8">
        <w:tblPrEx>
          <w:tblCellMar>
            <w:top w:w="0" w:type="dxa"/>
            <w:left w:w="108" w:type="dxa"/>
            <w:bottom w:w="0" w:type="dxa"/>
            <w:right w:w="108" w:type="dxa"/>
          </w:tblCellMar>
        </w:tblPrEx>
        <w:trPr>
          <w:trHeight w:val="6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DAED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585D64">
            <w:pPr>
              <w:widowControl/>
              <w:spacing w:after="180"/>
              <w:jc w:val="left"/>
              <w:textAlignment w:val="center"/>
              <w:rPr>
                <w:rFonts w:ascii="宋体" w:hAnsi="宋体" w:cs="宋体"/>
                <w:color w:val="000000"/>
                <w:sz w:val="18"/>
                <w:szCs w:val="18"/>
              </w:rPr>
            </w:pPr>
            <w:r>
              <w:rPr>
                <w:rFonts w:ascii="宋体" w:hAnsi="宋体" w:cs="宋体"/>
                <w:color w:val="000000"/>
                <w:kern w:val="0"/>
                <w:sz w:val="18"/>
                <w:szCs w:val="18"/>
                <w:lang w:bidi="ar"/>
              </w:rPr>
              <w:t>环境卫生状况显著改善：通过经费的投入农村地区的垃圾处理、污水处理、绿化美化等环境卫生工作取得了明显成效，环境面貌焕然一新。</w:t>
            </w:r>
          </w:p>
        </w:tc>
      </w:tr>
      <w:tr w14:paraId="405A38AD">
        <w:tblPrEx>
          <w:tblCellMar>
            <w:top w:w="0" w:type="dxa"/>
            <w:left w:w="108" w:type="dxa"/>
            <w:bottom w:w="0" w:type="dxa"/>
            <w:right w:w="108" w:type="dxa"/>
          </w:tblCellMar>
        </w:tblPrEx>
        <w:trPr>
          <w:trHeight w:val="9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5D26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9FB1D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环境卫生整治经费的使用取得了一定的成效，但在实际过程中仍然存在一些问题，主要包括：资金缺口大：随着乡镇街道进程的加快和居民生活水平的提高，环境卫生整治工作的需求也在不断增加，但经费来源有限，难以满足所有需求。居民参与度低：环境卫生整治工作需要广大居民的积极参与和支持，但部分居民对此认识不足，参与度不高，影响了整治工作的效果。</w:t>
            </w:r>
          </w:p>
        </w:tc>
      </w:tr>
      <w:tr w14:paraId="386D5227">
        <w:tblPrEx>
          <w:tblCellMar>
            <w:top w:w="0" w:type="dxa"/>
            <w:left w:w="108" w:type="dxa"/>
            <w:bottom w:w="0" w:type="dxa"/>
            <w:right w:w="108" w:type="dxa"/>
          </w:tblCellMar>
        </w:tblPrEx>
        <w:trPr>
          <w:trHeight w:val="9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BAC0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tcPr>
          <w:p w14:paraId="1AC77790">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通过政府投入、社会捐赠、等多种方式拓宽资金来源，确保环境卫生整治工作有足够的经费支持。加强宣传教育力度，提高居民对环境卫生整治工作的认识和支持度。鼓励居民积极参与环境卫生整治工作，形成全社会共同参与的良好氛围。</w:t>
            </w:r>
          </w:p>
        </w:tc>
      </w:tr>
      <w:tr w14:paraId="1416C0EB">
        <w:tblPrEx>
          <w:tblCellMar>
            <w:top w:w="0" w:type="dxa"/>
            <w:left w:w="108" w:type="dxa"/>
            <w:bottom w:w="0" w:type="dxa"/>
            <w:right w:w="108" w:type="dxa"/>
          </w:tblCellMar>
        </w:tblPrEx>
        <w:trPr>
          <w:trHeight w:val="62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C12DFF">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项目负责人：贺鹏航</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55704E">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w:t>
            </w:r>
            <w:r>
              <w:rPr>
                <w:rFonts w:hint="eastAsia" w:ascii="黑体" w:hAnsi="黑体" w:eastAsia="黑体" w:cs="黑体"/>
                <w:color w:val="000000"/>
                <w:kern w:val="0"/>
                <w:sz w:val="18"/>
                <w:szCs w:val="18"/>
                <w:lang w:val="en-US" w:eastAsia="zh-CN" w:bidi="ar"/>
              </w:rPr>
              <w:t>俊</w:t>
            </w:r>
            <w:r>
              <w:rPr>
                <w:rFonts w:ascii="黑体" w:hAnsi="黑体" w:eastAsia="黑体" w:cs="黑体"/>
                <w:color w:val="000000"/>
                <w:kern w:val="0"/>
                <w:sz w:val="18"/>
                <w:szCs w:val="18"/>
                <w:lang w:bidi="ar"/>
              </w:rPr>
              <w:t>钦</w:t>
            </w:r>
          </w:p>
        </w:tc>
      </w:tr>
    </w:tbl>
    <w:p w14:paraId="332D1204">
      <w:pPr>
        <w:rPr>
          <w:rFonts w:ascii="仿宋_GB2312" w:hAnsi="仿宋_GB2312" w:eastAsia="仿宋_GB2312" w:cs="仿宋_GB2312"/>
          <w:sz w:val="32"/>
          <w:szCs w:val="32"/>
        </w:rPr>
      </w:pPr>
    </w:p>
    <w:p w14:paraId="465C574D">
      <w:pPr>
        <w:rPr>
          <w:rFonts w:ascii="仿宋_GB2312" w:hAnsi="仿宋_GB2312" w:eastAsia="仿宋_GB2312" w:cs="仿宋_GB2312"/>
          <w:sz w:val="32"/>
          <w:szCs w:val="32"/>
        </w:rPr>
      </w:pPr>
    </w:p>
    <w:p w14:paraId="4E89F0F5">
      <w:pPr>
        <w:rPr>
          <w:rFonts w:ascii="仿宋_GB2312" w:hAnsi="仿宋_GB2312" w:eastAsia="仿宋_GB2312" w:cs="仿宋_GB2312"/>
          <w:sz w:val="32"/>
          <w:szCs w:val="32"/>
        </w:rPr>
      </w:pPr>
    </w:p>
    <w:p w14:paraId="71F1E8FD">
      <w:pPr>
        <w:rPr>
          <w:rFonts w:ascii="仿宋_GB2312" w:hAnsi="仿宋_GB2312" w:eastAsia="仿宋_GB2312" w:cs="仿宋_GB2312"/>
          <w:sz w:val="32"/>
          <w:szCs w:val="32"/>
        </w:rPr>
      </w:pPr>
    </w:p>
    <w:tbl>
      <w:tblPr>
        <w:tblStyle w:val="18"/>
        <w:tblW w:w="0" w:type="auto"/>
        <w:tblInd w:w="93" w:type="dxa"/>
        <w:tblLayout w:type="autofit"/>
        <w:tblCellMar>
          <w:top w:w="0" w:type="dxa"/>
          <w:left w:w="108" w:type="dxa"/>
          <w:bottom w:w="0" w:type="dxa"/>
          <w:right w:w="108" w:type="dxa"/>
        </w:tblCellMar>
      </w:tblPr>
      <w:tblGrid>
        <w:gridCol w:w="735"/>
        <w:gridCol w:w="769"/>
        <w:gridCol w:w="826"/>
        <w:gridCol w:w="1042"/>
        <w:gridCol w:w="578"/>
        <w:gridCol w:w="776"/>
        <w:gridCol w:w="578"/>
        <w:gridCol w:w="1258"/>
        <w:gridCol w:w="693"/>
        <w:gridCol w:w="693"/>
        <w:gridCol w:w="1020"/>
      </w:tblGrid>
      <w:tr w14:paraId="73250D70">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4993F55">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55AB9241">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78FAD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4EC2D8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51090423T000007747317-2023年乡镇监察工作经费</w:t>
            </w:r>
          </w:p>
        </w:tc>
      </w:tr>
      <w:tr w14:paraId="4D48D9A6">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5EF03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CE3048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41CE4047">
            <w:pPr>
              <w:widowControl/>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实施单位</w:t>
            </w:r>
          </w:p>
          <w:p w14:paraId="4A2E5A30">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F5C3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2C3E095E">
        <w:tblPrEx>
          <w:tblCellMar>
            <w:top w:w="0" w:type="dxa"/>
            <w:left w:w="108" w:type="dxa"/>
            <w:bottom w:w="0" w:type="dxa"/>
            <w:right w:w="108" w:type="dxa"/>
          </w:tblCellMar>
        </w:tblPrEx>
        <w:trPr>
          <w:trHeight w:val="3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5341D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AEC6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F14A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42B77A">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7A5AA571">
        <w:tblPrEx>
          <w:tblCellMar>
            <w:top w:w="0" w:type="dxa"/>
            <w:left w:w="108" w:type="dxa"/>
            <w:bottom w:w="0" w:type="dxa"/>
            <w:right w:w="108" w:type="dxa"/>
          </w:tblCellMar>
        </w:tblPrEx>
        <w:trPr>
          <w:trHeight w:val="9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401ED">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59C9F">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E3AF5B1">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加强农村党风建设和组织协调反腐败工作，有效解决群众身边腐败和作风问题，打通群众直接反映问题通道，增强监督实效。做好党风廉政建设宣传教育，全面从严治党</w:t>
            </w:r>
            <w:r>
              <w:rPr>
                <w:rFonts w:hint="eastAsia" w:ascii="宋体" w:hAnsi="宋体" w:cs="宋体"/>
                <w:color w:val="000000"/>
                <w:kern w:val="0"/>
                <w:sz w:val="18"/>
                <w:szCs w:val="18"/>
                <w:lang w:eastAsia="zh-CN" w:bidi="ar"/>
              </w:rPr>
              <w:t>。</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7B3E6CC">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2023年我镇加强农村党风建设和组织协调反腐败工作，有效解决群众身边腐败和作风问题，打通群众直接反映问题通道，增强监督实效。做好党风廉政建设宣传教育，全面从严治党对照年度目标</w:t>
            </w:r>
            <w:r>
              <w:rPr>
                <w:rFonts w:hint="eastAsia" w:ascii="宋体" w:hAnsi="宋体" w:cs="宋体"/>
                <w:color w:val="000000"/>
                <w:kern w:val="0"/>
                <w:sz w:val="18"/>
                <w:szCs w:val="18"/>
                <w:lang w:eastAsia="zh-CN" w:bidi="ar"/>
              </w:rPr>
              <w:t>。</w:t>
            </w:r>
          </w:p>
        </w:tc>
      </w:tr>
      <w:tr w14:paraId="339DCFED">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EC31A">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17B4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45B7ED3">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组织监察人员参加业务培训、政策学习等，提升监察队伍的专业素养和业务能力</w:t>
            </w:r>
            <w:r>
              <w:rPr>
                <w:rFonts w:hint="eastAsia" w:ascii="宋体" w:hAnsi="宋体" w:cs="宋体"/>
                <w:color w:val="000000"/>
                <w:kern w:val="0"/>
                <w:sz w:val="18"/>
                <w:szCs w:val="18"/>
                <w:lang w:eastAsia="zh-CN" w:bidi="ar"/>
              </w:rPr>
              <w:t>。</w:t>
            </w:r>
          </w:p>
        </w:tc>
      </w:tr>
      <w:tr w14:paraId="0A9276CF">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D0C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0EE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28E5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C7CE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6EDB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138E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DED1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022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9C2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284C56DA">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11DA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EDC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2717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687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3FD3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4915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74FE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F9E262">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418958">
            <w:pPr>
              <w:rPr>
                <w:rFonts w:ascii="黑体" w:hAnsi="黑体" w:eastAsia="黑体" w:cs="黑体"/>
                <w:i/>
                <w:iCs/>
                <w:color w:val="000000"/>
                <w:sz w:val="18"/>
                <w:szCs w:val="18"/>
              </w:rPr>
            </w:pPr>
          </w:p>
        </w:tc>
      </w:tr>
      <w:tr w14:paraId="7B05F6A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5213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114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AF40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CB9A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A5F9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4F8AF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C1A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AFF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D412D">
            <w:pPr>
              <w:rPr>
                <w:rFonts w:ascii="黑体" w:hAnsi="黑体" w:eastAsia="黑体" w:cs="黑体"/>
                <w:i/>
                <w:iCs/>
                <w:color w:val="000000"/>
                <w:sz w:val="18"/>
                <w:szCs w:val="18"/>
              </w:rPr>
            </w:pPr>
          </w:p>
        </w:tc>
      </w:tr>
      <w:tr w14:paraId="0F1521CD">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7A2A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263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C4A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D0A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115E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4F4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A34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4C4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1BFB8">
            <w:pPr>
              <w:rPr>
                <w:rFonts w:ascii="黑体" w:hAnsi="黑体" w:eastAsia="黑体" w:cs="黑体"/>
                <w:i/>
                <w:iCs/>
                <w:color w:val="000000"/>
                <w:sz w:val="18"/>
                <w:szCs w:val="18"/>
              </w:rPr>
            </w:pPr>
          </w:p>
        </w:tc>
      </w:tr>
      <w:tr w14:paraId="516547F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0736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44B8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669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139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2EE5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DCBE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3003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F62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C17BE">
            <w:pPr>
              <w:rPr>
                <w:rFonts w:ascii="黑体" w:hAnsi="黑体" w:eastAsia="黑体" w:cs="黑体"/>
                <w:i/>
                <w:iCs/>
                <w:color w:val="000000"/>
                <w:sz w:val="18"/>
                <w:szCs w:val="18"/>
              </w:rPr>
            </w:pPr>
          </w:p>
        </w:tc>
      </w:tr>
      <w:tr w14:paraId="22950A30">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7549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797C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5EFA9">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7604FE">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873847">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8EE85">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9244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C83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4925C">
            <w:pPr>
              <w:rPr>
                <w:rFonts w:ascii="黑体" w:hAnsi="黑体" w:eastAsia="黑体" w:cs="黑体"/>
                <w:i/>
                <w:iCs/>
                <w:color w:val="000000"/>
                <w:sz w:val="18"/>
                <w:szCs w:val="18"/>
              </w:rPr>
            </w:pPr>
          </w:p>
        </w:tc>
      </w:tr>
      <w:tr w14:paraId="6D688E4E">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52DE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F77F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4B8D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034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F79A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F40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35E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ADD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6BB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1F7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01C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72933BD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DDEA5">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F18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224E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A41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纪检办案工作人员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E93F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1DD3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1764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F41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6F6F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555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365EB">
            <w:pPr>
              <w:jc w:val="center"/>
              <w:rPr>
                <w:rFonts w:ascii="微软雅黑" w:hAnsi="微软雅黑" w:eastAsia="微软雅黑" w:cs="微软雅黑"/>
                <w:i/>
                <w:iCs/>
                <w:color w:val="000000"/>
                <w:sz w:val="16"/>
                <w:szCs w:val="16"/>
              </w:rPr>
            </w:pPr>
          </w:p>
        </w:tc>
      </w:tr>
      <w:tr w14:paraId="6F1A28B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0FC1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67E3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E688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D68A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乡镇监察室设施数量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480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753D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FECF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228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8EFE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63F8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76F0FA">
            <w:pPr>
              <w:jc w:val="center"/>
              <w:rPr>
                <w:rFonts w:ascii="微软雅黑" w:hAnsi="微软雅黑" w:eastAsia="微软雅黑" w:cs="微软雅黑"/>
                <w:i/>
                <w:iCs/>
                <w:color w:val="000000"/>
                <w:sz w:val="16"/>
                <w:szCs w:val="16"/>
              </w:rPr>
            </w:pPr>
          </w:p>
        </w:tc>
      </w:tr>
      <w:tr w14:paraId="00E9A012">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851B3">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335E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AB6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EF05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违纪违法处查率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B2A6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1E6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558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1A6A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26D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51D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5DD13">
            <w:pPr>
              <w:jc w:val="center"/>
              <w:rPr>
                <w:rFonts w:ascii="微软雅黑" w:hAnsi="微软雅黑" w:eastAsia="微软雅黑" w:cs="微软雅黑"/>
                <w:i/>
                <w:iCs/>
                <w:color w:val="000000"/>
                <w:sz w:val="16"/>
                <w:szCs w:val="16"/>
              </w:rPr>
            </w:pPr>
          </w:p>
        </w:tc>
      </w:tr>
      <w:tr w14:paraId="4EC9546D">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1044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78B6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FF1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019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D86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2991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359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947C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A8C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21D1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3EFFB">
            <w:pPr>
              <w:jc w:val="center"/>
              <w:rPr>
                <w:rFonts w:ascii="微软雅黑" w:hAnsi="微软雅黑" w:eastAsia="微软雅黑" w:cs="微软雅黑"/>
                <w:i/>
                <w:iCs/>
                <w:color w:val="000000"/>
                <w:sz w:val="16"/>
                <w:szCs w:val="16"/>
              </w:rPr>
            </w:pPr>
          </w:p>
        </w:tc>
      </w:tr>
      <w:tr w14:paraId="507352B9">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F46C9">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46D9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BB22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069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营造风清气正的环境氛围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354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1F6F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A504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F64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7EE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1185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C995D">
            <w:pPr>
              <w:jc w:val="center"/>
              <w:rPr>
                <w:rFonts w:ascii="微软雅黑" w:hAnsi="微软雅黑" w:eastAsia="微软雅黑" w:cs="微软雅黑"/>
                <w:i/>
                <w:iCs/>
                <w:color w:val="000000"/>
                <w:sz w:val="16"/>
                <w:szCs w:val="16"/>
              </w:rPr>
            </w:pPr>
          </w:p>
        </w:tc>
      </w:tr>
      <w:tr w14:paraId="44141702">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9651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6CD8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DC6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D60E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政治生态建设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FB3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CAB6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4CFE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F31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313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942E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880CE">
            <w:pPr>
              <w:jc w:val="center"/>
              <w:rPr>
                <w:rFonts w:ascii="微软雅黑" w:hAnsi="微软雅黑" w:eastAsia="微软雅黑" w:cs="微软雅黑"/>
                <w:i/>
                <w:iCs/>
                <w:color w:val="000000"/>
                <w:sz w:val="16"/>
                <w:szCs w:val="16"/>
              </w:rPr>
            </w:pPr>
          </w:p>
        </w:tc>
      </w:tr>
      <w:tr w14:paraId="07C077E8">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3F3C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DF1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6682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5C84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4794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427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341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6556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E85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484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3CB68">
            <w:pPr>
              <w:jc w:val="center"/>
              <w:rPr>
                <w:rFonts w:ascii="微软雅黑" w:hAnsi="微软雅黑" w:eastAsia="微软雅黑" w:cs="微软雅黑"/>
                <w:i/>
                <w:iCs/>
                <w:color w:val="000000"/>
                <w:sz w:val="16"/>
                <w:szCs w:val="16"/>
              </w:rPr>
            </w:pPr>
          </w:p>
        </w:tc>
      </w:tr>
      <w:tr w14:paraId="7A80BE62">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402A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F15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5DF5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E3E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乡镇监察室办公用品费用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395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A589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912F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C003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ACD9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1A51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62178">
            <w:pPr>
              <w:jc w:val="center"/>
              <w:rPr>
                <w:rFonts w:ascii="微软雅黑" w:hAnsi="微软雅黑" w:eastAsia="微软雅黑" w:cs="微软雅黑"/>
                <w:i/>
                <w:iCs/>
                <w:color w:val="000000"/>
                <w:sz w:val="16"/>
                <w:szCs w:val="16"/>
              </w:rPr>
            </w:pPr>
          </w:p>
        </w:tc>
      </w:tr>
      <w:tr w14:paraId="005B5529">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46A3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9EE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EFA2B2">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F2778">
            <w:pPr>
              <w:rPr>
                <w:rFonts w:ascii="宋体" w:hAnsi="宋体" w:cs="宋体"/>
                <w:color w:val="000000"/>
                <w:sz w:val="18"/>
                <w:szCs w:val="18"/>
              </w:rPr>
            </w:pPr>
          </w:p>
        </w:tc>
      </w:tr>
      <w:tr w14:paraId="1ADF0B4B">
        <w:tblPrEx>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6274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80CB40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总体上看，项目目标明确、资金到位率高、组织监管体系完善。我镇乡镇监察工作等项目资金较好地实现了绩效目标。</w:t>
            </w:r>
          </w:p>
        </w:tc>
      </w:tr>
      <w:tr w14:paraId="3AB63C78">
        <w:tblPrEx>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E7F8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893A2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项目资金缺乏，不能满足正常工作需要。</w:t>
            </w:r>
          </w:p>
        </w:tc>
      </w:tr>
      <w:tr w14:paraId="152736F3">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FBE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65B27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争取节约工作经费，全面开展好工作，不断提高工作科学化、规范化、法治化水平；建议上级财政或上级相关部门提供资金支持，帮助解决乡镇监察工作项目资金短缺问题。</w:t>
            </w:r>
          </w:p>
        </w:tc>
      </w:tr>
      <w:tr w14:paraId="52933C3B">
        <w:tblPrEx>
          <w:tblCellMar>
            <w:top w:w="0" w:type="dxa"/>
            <w:left w:w="108" w:type="dxa"/>
            <w:bottom w:w="0" w:type="dxa"/>
            <w:right w:w="108" w:type="dxa"/>
          </w:tblCellMar>
        </w:tblPrEx>
        <w:trPr>
          <w:trHeight w:val="42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57A545">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项目负责人：舒永红</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533E7F1">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2AED0724">
      <w:pPr>
        <w:rPr>
          <w:rFonts w:ascii="仿宋_GB2312" w:hAnsi="仿宋_GB2312" w:eastAsia="仿宋_GB2312" w:cs="仿宋_GB2312"/>
          <w:sz w:val="32"/>
          <w:szCs w:val="32"/>
        </w:rPr>
      </w:pPr>
      <w:r>
        <w:rPr>
          <w:rFonts w:ascii="仿宋_GB2312" w:hAnsi="仿宋_GB2312" w:eastAsia="仿宋_GB2312" w:cs="仿宋_GB2312"/>
          <w:sz w:val="32"/>
          <w:szCs w:val="32"/>
        </w:rPr>
        <w:br w:type="page"/>
      </w:r>
    </w:p>
    <w:tbl>
      <w:tblPr>
        <w:tblStyle w:val="18"/>
        <w:tblW w:w="0" w:type="auto"/>
        <w:tblInd w:w="93" w:type="dxa"/>
        <w:tblLayout w:type="autofit"/>
        <w:tblCellMar>
          <w:top w:w="0" w:type="dxa"/>
          <w:left w:w="108" w:type="dxa"/>
          <w:bottom w:w="0" w:type="dxa"/>
          <w:right w:w="108" w:type="dxa"/>
        </w:tblCellMar>
      </w:tblPr>
      <w:tblGrid>
        <w:gridCol w:w="842"/>
        <w:gridCol w:w="898"/>
        <w:gridCol w:w="738"/>
        <w:gridCol w:w="1386"/>
        <w:gridCol w:w="493"/>
        <w:gridCol w:w="609"/>
        <w:gridCol w:w="493"/>
        <w:gridCol w:w="1198"/>
        <w:gridCol w:w="659"/>
        <w:gridCol w:w="659"/>
        <w:gridCol w:w="993"/>
      </w:tblGrid>
      <w:tr w14:paraId="79A1B5AD">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FFF3CF5">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129538B1">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1BBF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30963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51090423T000007748490-2023年乡镇武装部工作经费（含征兵工作经费）</w:t>
            </w:r>
          </w:p>
        </w:tc>
      </w:tr>
      <w:tr w14:paraId="3BE14A88">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36E5E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5576F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050891A8">
            <w:pPr>
              <w:widowControl/>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实施单位</w:t>
            </w:r>
          </w:p>
          <w:p w14:paraId="461ABB89">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4B41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75A68CF1">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1DA8A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4A46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05A7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1F9CA0">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0EC13BA6">
        <w:tblPrEx>
          <w:tblCellMar>
            <w:top w:w="0" w:type="dxa"/>
            <w:left w:w="108" w:type="dxa"/>
            <w:bottom w:w="0" w:type="dxa"/>
            <w:right w:w="108"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4A865">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63E3A">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A069BF">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积极宣传，完成上级下达年度征兵任务，严密组织国防教育，民兵整组，民兵训练，加强基层武装部规范化建设</w:t>
            </w:r>
            <w:r>
              <w:rPr>
                <w:rFonts w:hint="eastAsia" w:ascii="宋体" w:hAnsi="宋体" w:cs="宋体"/>
                <w:color w:val="000000"/>
                <w:kern w:val="0"/>
                <w:sz w:val="18"/>
                <w:szCs w:val="18"/>
                <w:lang w:eastAsia="zh-CN" w:bidi="ar"/>
              </w:rPr>
              <w:t>。</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C85063F">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2023年度我镇完成上级下达年度征兵任务，严密组织国防教育，民兵整组，民兵训练，加强基层武装部规范化建设</w:t>
            </w:r>
            <w:r>
              <w:rPr>
                <w:rFonts w:hint="eastAsia" w:ascii="宋体" w:hAnsi="宋体" w:cs="宋体"/>
                <w:color w:val="000000"/>
                <w:kern w:val="0"/>
                <w:sz w:val="18"/>
                <w:szCs w:val="18"/>
                <w:lang w:eastAsia="zh-CN" w:bidi="ar"/>
              </w:rPr>
              <w:t>。</w:t>
            </w:r>
          </w:p>
        </w:tc>
      </w:tr>
      <w:tr w14:paraId="5C718975">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7C2EE">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39BB0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7AB19B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武装部工作经费项目的实施内容及过程是一个复杂而系统的工程，需要多个部门和单位的共同努力和协作。通过科学编制预算、合理分配资金、加强项目管理和监督检查等措施，可以确保项目顺利实施并取得预期效果。</w:t>
            </w:r>
          </w:p>
        </w:tc>
      </w:tr>
      <w:tr w14:paraId="04B7FB82">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3CF3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ED8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FAE2C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8253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4162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DA51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19D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974D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E421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0A68065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BFA0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3D9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6A55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E305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35F1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61E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B826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8653CF">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4D5CE0">
            <w:pPr>
              <w:rPr>
                <w:rFonts w:ascii="黑体" w:hAnsi="黑体" w:eastAsia="黑体" w:cs="黑体"/>
                <w:i/>
                <w:iCs/>
                <w:color w:val="000000"/>
                <w:sz w:val="18"/>
                <w:szCs w:val="18"/>
              </w:rPr>
            </w:pPr>
          </w:p>
        </w:tc>
      </w:tr>
      <w:tr w14:paraId="053E184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66CA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469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5F03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E5D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2301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6794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9C6B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6CB8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FBE02">
            <w:pPr>
              <w:rPr>
                <w:rFonts w:ascii="黑体" w:hAnsi="黑体" w:eastAsia="黑体" w:cs="黑体"/>
                <w:i/>
                <w:iCs/>
                <w:color w:val="000000"/>
                <w:sz w:val="18"/>
                <w:szCs w:val="18"/>
              </w:rPr>
            </w:pPr>
          </w:p>
        </w:tc>
      </w:tr>
      <w:tr w14:paraId="3577E08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7DE9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A39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0FF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F173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53D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EB7E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0D66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19F3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E7241">
            <w:pPr>
              <w:rPr>
                <w:rFonts w:ascii="黑体" w:hAnsi="黑体" w:eastAsia="黑体" w:cs="黑体"/>
                <w:i/>
                <w:iCs/>
                <w:color w:val="000000"/>
                <w:sz w:val="18"/>
                <w:szCs w:val="18"/>
              </w:rPr>
            </w:pPr>
          </w:p>
        </w:tc>
      </w:tr>
      <w:tr w14:paraId="7F2079F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9F6F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6F4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004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7B2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7BF4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7FF1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FB0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0F6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2C348">
            <w:pPr>
              <w:rPr>
                <w:rFonts w:ascii="黑体" w:hAnsi="黑体" w:eastAsia="黑体" w:cs="黑体"/>
                <w:i/>
                <w:iCs/>
                <w:color w:val="000000"/>
                <w:sz w:val="18"/>
                <w:szCs w:val="18"/>
              </w:rPr>
            </w:pPr>
          </w:p>
        </w:tc>
      </w:tr>
      <w:tr w14:paraId="355E709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7E5A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2C5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452502">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28FC71">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A24FE8">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83D9A">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D79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AB0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81F369">
            <w:pPr>
              <w:rPr>
                <w:rFonts w:ascii="黑体" w:hAnsi="黑体" w:eastAsia="黑体" w:cs="黑体"/>
                <w:i/>
                <w:iCs/>
                <w:color w:val="000000"/>
                <w:sz w:val="18"/>
                <w:szCs w:val="18"/>
              </w:rPr>
            </w:pPr>
          </w:p>
        </w:tc>
      </w:tr>
      <w:tr w14:paraId="60BDB8C4">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66E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7D9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A6D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B4E7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3D65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DB0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153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FB7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C43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CF9D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EC15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6CB00543">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DF32A">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9C7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262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1963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完成年度征兵人数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BC59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6666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484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CA97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E237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9E64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0BBE2C">
            <w:pPr>
              <w:jc w:val="center"/>
              <w:rPr>
                <w:rFonts w:ascii="微软雅黑" w:hAnsi="微软雅黑" w:eastAsia="微软雅黑" w:cs="微软雅黑"/>
                <w:i/>
                <w:iCs/>
                <w:color w:val="000000"/>
                <w:sz w:val="16"/>
                <w:szCs w:val="16"/>
              </w:rPr>
            </w:pPr>
          </w:p>
        </w:tc>
      </w:tr>
      <w:tr w14:paraId="3E9A1FC6">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4D1D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A60EF">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2AB7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6172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12个村及1个社区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A39C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95B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455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B15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310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EBB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F6FF2">
            <w:pPr>
              <w:jc w:val="center"/>
              <w:rPr>
                <w:rFonts w:ascii="微软雅黑" w:hAnsi="微软雅黑" w:eastAsia="微软雅黑" w:cs="微软雅黑"/>
                <w:i/>
                <w:iCs/>
                <w:color w:val="000000"/>
                <w:sz w:val="16"/>
                <w:szCs w:val="16"/>
              </w:rPr>
            </w:pPr>
          </w:p>
        </w:tc>
      </w:tr>
      <w:tr w14:paraId="71E3C4F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8DAD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953B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5178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66DB0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为部队输送合格兵员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4F44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43F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CB8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525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103E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677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475B0">
            <w:pPr>
              <w:jc w:val="center"/>
              <w:rPr>
                <w:rFonts w:ascii="微软雅黑" w:hAnsi="微软雅黑" w:eastAsia="微软雅黑" w:cs="微软雅黑"/>
                <w:i/>
                <w:iCs/>
                <w:color w:val="000000"/>
                <w:sz w:val="16"/>
                <w:szCs w:val="16"/>
              </w:rPr>
            </w:pPr>
          </w:p>
        </w:tc>
      </w:tr>
      <w:tr w14:paraId="0086B60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D9A9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2299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9CB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2B6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6E7A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EFCA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5651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AC9A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9918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3FA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6D09AA">
            <w:pPr>
              <w:jc w:val="center"/>
              <w:rPr>
                <w:rFonts w:ascii="微软雅黑" w:hAnsi="微软雅黑" w:eastAsia="微软雅黑" w:cs="微软雅黑"/>
                <w:i/>
                <w:iCs/>
                <w:color w:val="000000"/>
                <w:sz w:val="16"/>
                <w:szCs w:val="16"/>
              </w:rPr>
            </w:pPr>
          </w:p>
        </w:tc>
      </w:tr>
      <w:tr w14:paraId="519A8EE6">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8F678">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714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CE7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9D2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通过兵役登记，掌握了全县适龄青年的底数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0504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D76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73E0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ED1B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6119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27E4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2500F4">
            <w:pPr>
              <w:jc w:val="center"/>
              <w:rPr>
                <w:rFonts w:ascii="微软雅黑" w:hAnsi="微软雅黑" w:eastAsia="微软雅黑" w:cs="微软雅黑"/>
                <w:i/>
                <w:iCs/>
                <w:color w:val="000000"/>
                <w:sz w:val="16"/>
                <w:szCs w:val="16"/>
              </w:rPr>
            </w:pPr>
          </w:p>
        </w:tc>
      </w:tr>
      <w:tr w14:paraId="4B3AF10E">
        <w:tblPrEx>
          <w:tblCellMar>
            <w:top w:w="0" w:type="dxa"/>
            <w:left w:w="108" w:type="dxa"/>
            <w:bottom w:w="0" w:type="dxa"/>
            <w:right w:w="108"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60765">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14A5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7062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0C9B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做好兵役登记，做好征兵宣传，为明年征集优秀兵员做好工作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420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B89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A56A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044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947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7A5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4A205">
            <w:pPr>
              <w:jc w:val="center"/>
              <w:rPr>
                <w:rFonts w:ascii="微软雅黑" w:hAnsi="微软雅黑" w:eastAsia="微软雅黑" w:cs="微软雅黑"/>
                <w:i/>
                <w:iCs/>
                <w:color w:val="000000"/>
                <w:sz w:val="16"/>
                <w:szCs w:val="16"/>
              </w:rPr>
            </w:pPr>
          </w:p>
        </w:tc>
      </w:tr>
      <w:tr w14:paraId="36D841D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1562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1BA3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FCC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FC9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14B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724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205F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AA4C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76D1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4545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D4BC2">
            <w:pPr>
              <w:jc w:val="center"/>
              <w:rPr>
                <w:rFonts w:ascii="微软雅黑" w:hAnsi="微软雅黑" w:eastAsia="微软雅黑" w:cs="微软雅黑"/>
                <w:i/>
                <w:iCs/>
                <w:color w:val="000000"/>
                <w:sz w:val="16"/>
                <w:szCs w:val="16"/>
              </w:rPr>
            </w:pPr>
          </w:p>
        </w:tc>
      </w:tr>
      <w:tr w14:paraId="78EA92AE">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35B2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969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3548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31C36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武装部设备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E95E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3E2F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D1A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36ED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02F4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7474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7CF3D8">
            <w:pPr>
              <w:jc w:val="center"/>
              <w:rPr>
                <w:rFonts w:ascii="微软雅黑" w:hAnsi="微软雅黑" w:eastAsia="微软雅黑" w:cs="微软雅黑"/>
                <w:i/>
                <w:iCs/>
                <w:color w:val="000000"/>
                <w:sz w:val="16"/>
                <w:szCs w:val="16"/>
              </w:rPr>
            </w:pPr>
          </w:p>
        </w:tc>
      </w:tr>
      <w:tr w14:paraId="533CF5D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61C1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E116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7126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B26D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民兵应急演练劳务费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687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3FDA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47D3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06E1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1BA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6C9E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DF385">
            <w:pPr>
              <w:jc w:val="center"/>
              <w:rPr>
                <w:rFonts w:ascii="微软雅黑" w:hAnsi="微软雅黑" w:eastAsia="微软雅黑" w:cs="微软雅黑"/>
                <w:i/>
                <w:iCs/>
                <w:color w:val="000000"/>
                <w:sz w:val="16"/>
                <w:szCs w:val="16"/>
              </w:rPr>
            </w:pPr>
          </w:p>
        </w:tc>
      </w:tr>
      <w:tr w14:paraId="5CA67E8E">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BAB7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3DF6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8276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6E2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新兵体检费及住宿费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4D8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2DF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90C9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5CD3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B736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AA3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04A4AE">
            <w:pPr>
              <w:jc w:val="center"/>
              <w:rPr>
                <w:rFonts w:ascii="微软雅黑" w:hAnsi="微软雅黑" w:eastAsia="微软雅黑" w:cs="微软雅黑"/>
                <w:i/>
                <w:iCs/>
                <w:color w:val="000000"/>
                <w:sz w:val="16"/>
                <w:szCs w:val="16"/>
              </w:rPr>
            </w:pPr>
          </w:p>
        </w:tc>
      </w:tr>
      <w:tr w14:paraId="03004D7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7FEC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EEC1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949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28C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武装部办公用品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085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7E2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225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662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C8E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74A57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54FE53">
            <w:pPr>
              <w:jc w:val="center"/>
              <w:rPr>
                <w:rFonts w:ascii="微软雅黑" w:hAnsi="微软雅黑" w:eastAsia="微软雅黑" w:cs="微软雅黑"/>
                <w:i/>
                <w:iCs/>
                <w:color w:val="000000"/>
                <w:sz w:val="16"/>
                <w:szCs w:val="16"/>
              </w:rPr>
            </w:pPr>
          </w:p>
        </w:tc>
      </w:tr>
      <w:tr w14:paraId="4A8F7E4E">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92310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93B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12C7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D80F3F">
            <w:pPr>
              <w:rPr>
                <w:rFonts w:ascii="宋体" w:hAnsi="宋体" w:cs="宋体"/>
                <w:color w:val="000000"/>
                <w:sz w:val="18"/>
                <w:szCs w:val="18"/>
              </w:rPr>
            </w:pPr>
          </w:p>
        </w:tc>
      </w:tr>
      <w:tr w14:paraId="723C5762">
        <w:tblPrEx>
          <w:tblCellMar>
            <w:top w:w="0" w:type="dxa"/>
            <w:left w:w="108" w:type="dxa"/>
            <w:bottom w:w="0" w:type="dxa"/>
            <w:right w:w="108" w:type="dxa"/>
          </w:tblCellMar>
        </w:tblPrEx>
        <w:trPr>
          <w:trHeight w:val="7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81D2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8BF54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项目目标明确、资金到位率高、组织监管体系完善。我镇武装部工作（含征兵工作）等项目资金较好地实现了绩效目标。</w:t>
            </w:r>
          </w:p>
        </w:tc>
      </w:tr>
      <w:tr w14:paraId="5B424D9E">
        <w:tblPrEx>
          <w:tblCellMar>
            <w:top w:w="0" w:type="dxa"/>
            <w:left w:w="108" w:type="dxa"/>
            <w:bottom w:w="0" w:type="dxa"/>
            <w:right w:w="108" w:type="dxa"/>
          </w:tblCellMar>
        </w:tblPrEx>
        <w:trPr>
          <w:trHeight w:val="7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6C7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17CB82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一是群众参与积极性有待加强；二是项目资金缺乏，不能满足正常工作需要。</w:t>
            </w:r>
          </w:p>
        </w:tc>
      </w:tr>
      <w:tr w14:paraId="0B51D401">
        <w:tblPrEx>
          <w:tblCellMar>
            <w:top w:w="0" w:type="dxa"/>
            <w:left w:w="108" w:type="dxa"/>
            <w:bottom w:w="0" w:type="dxa"/>
            <w:right w:w="108" w:type="dxa"/>
          </w:tblCellMar>
        </w:tblPrEx>
        <w:trPr>
          <w:trHeight w:val="70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7D88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8A5104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一是大力宣传当兵光荣，提升民兵预备役队伍建设。二是争取节约工作经费，全面开展好工作，不断提高工作科学化、规范化、法治化水平；建议上级财政或上级相关部门提供资金支持，帮助解决乡镇武装部工作（含征兵工作）项目资金短缺问题。</w:t>
            </w:r>
          </w:p>
        </w:tc>
      </w:tr>
      <w:tr w14:paraId="5DBCA787">
        <w:tblPrEx>
          <w:tblCellMar>
            <w:top w:w="0" w:type="dxa"/>
            <w:left w:w="108" w:type="dxa"/>
            <w:bottom w:w="0" w:type="dxa"/>
            <w:right w:w="108" w:type="dxa"/>
          </w:tblCellMar>
        </w:tblPrEx>
        <w:trPr>
          <w:trHeight w:val="48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3716D5C">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项目负责人：谢荣丞</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B5EBB4">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5670346D">
      <w:pPr>
        <w:pStyle w:val="2"/>
      </w:pPr>
    </w:p>
    <w:p w14:paraId="76E7FE1A">
      <w:pPr>
        <w:spacing w:line="560" w:lineRule="exact"/>
        <w:jc w:val="center"/>
        <w:rPr>
          <w:rFonts w:ascii="方正小标宋简体" w:hAnsi="宋体" w:eastAsia="方正小标宋简体"/>
          <w:color w:val="000000"/>
          <w:kern w:val="0"/>
          <w:sz w:val="44"/>
          <w:szCs w:val="44"/>
        </w:rPr>
      </w:pPr>
    </w:p>
    <w:p w14:paraId="5CA29D43">
      <w:pPr>
        <w:spacing w:line="560" w:lineRule="exact"/>
        <w:jc w:val="center"/>
        <w:rPr>
          <w:rFonts w:ascii="方正小标宋简体" w:hAnsi="宋体" w:eastAsia="方正小标宋简体"/>
          <w:color w:val="000000"/>
          <w:kern w:val="0"/>
          <w:sz w:val="44"/>
          <w:szCs w:val="44"/>
        </w:rPr>
      </w:pPr>
    </w:p>
    <w:p w14:paraId="157021AA">
      <w:pPr>
        <w:spacing w:line="560" w:lineRule="exact"/>
        <w:jc w:val="center"/>
        <w:rPr>
          <w:rFonts w:ascii="方正小标宋简体" w:hAnsi="宋体" w:eastAsia="方正小标宋简体"/>
          <w:color w:val="000000"/>
          <w:kern w:val="0"/>
          <w:sz w:val="44"/>
          <w:szCs w:val="44"/>
        </w:rPr>
      </w:pPr>
    </w:p>
    <w:p w14:paraId="411D66A2">
      <w:pPr>
        <w:spacing w:line="560" w:lineRule="exact"/>
        <w:jc w:val="center"/>
        <w:rPr>
          <w:rFonts w:ascii="方正小标宋简体" w:hAnsi="宋体" w:eastAsia="方正小标宋简体"/>
          <w:color w:val="000000"/>
          <w:kern w:val="0"/>
          <w:sz w:val="44"/>
          <w:szCs w:val="44"/>
        </w:rPr>
      </w:pPr>
    </w:p>
    <w:p w14:paraId="36F3C6D9">
      <w:pPr>
        <w:spacing w:line="560" w:lineRule="exact"/>
        <w:jc w:val="center"/>
        <w:rPr>
          <w:rFonts w:ascii="方正小标宋简体" w:hAnsi="宋体" w:eastAsia="方正小标宋简体"/>
          <w:color w:val="000000"/>
          <w:kern w:val="0"/>
          <w:sz w:val="44"/>
          <w:szCs w:val="44"/>
        </w:rPr>
      </w:pPr>
    </w:p>
    <w:p w14:paraId="7C918AF3">
      <w:pPr>
        <w:spacing w:line="560" w:lineRule="exact"/>
        <w:jc w:val="center"/>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890"/>
        <w:gridCol w:w="956"/>
        <w:gridCol w:w="909"/>
        <w:gridCol w:w="1265"/>
        <w:gridCol w:w="544"/>
        <w:gridCol w:w="712"/>
        <w:gridCol w:w="544"/>
        <w:gridCol w:w="1227"/>
        <w:gridCol w:w="568"/>
        <w:gridCol w:w="568"/>
        <w:gridCol w:w="785"/>
      </w:tblGrid>
      <w:tr w14:paraId="4FE4DA10">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507FAF">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12C8B81F">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623F7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6B79B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51090423T000007748503-2023年乡镇人大代表经费</w:t>
            </w:r>
          </w:p>
        </w:tc>
      </w:tr>
      <w:tr w14:paraId="7A62D448">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A958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3DEF1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26B368E8">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9643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27CCA5E7">
        <w:tblPrEx>
          <w:tblCellMar>
            <w:top w:w="0" w:type="dxa"/>
            <w:left w:w="108" w:type="dxa"/>
            <w:bottom w:w="0" w:type="dxa"/>
            <w:right w:w="108" w:type="dxa"/>
          </w:tblCellMar>
        </w:tblPrEx>
        <w:trPr>
          <w:trHeight w:val="57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0CF6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FC84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8598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0FD1DF">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3804FF78">
        <w:tblPrEx>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F3C65">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C29CC">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A1BA1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保障人大代表活动经费，密切联系群众，认真履行代表职责，发挥代表作用。积极提出建议。</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1B44B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2023年度我镇人大代表认真履行职责，及时反应了群众意见和诉求。</w:t>
            </w:r>
          </w:p>
        </w:tc>
      </w:tr>
      <w:tr w14:paraId="78976287">
        <w:tblPrEx>
          <w:tblCellMar>
            <w:top w:w="0" w:type="dxa"/>
            <w:left w:w="108" w:type="dxa"/>
            <w:bottom w:w="0" w:type="dxa"/>
            <w:right w:w="108" w:type="dxa"/>
          </w:tblCellMar>
        </w:tblPrEx>
        <w:trPr>
          <w:trHeight w:val="6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1271D">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9F6D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E0C90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在年初或项目开始前，根据人大代表履职活动的实际需要和财政部门的预算安排，编制详细的经费预算。预算需明确经费的使用方向、金额和具体用途，并经过人大机构和相关部门的审批后生效。</w:t>
            </w:r>
          </w:p>
        </w:tc>
      </w:tr>
      <w:tr w14:paraId="71261A93">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9AB5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AE9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22F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074C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5D4A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911A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176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13A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884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091EAEF5">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6276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83E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4FE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FA0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1.15</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5849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378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8799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8768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0745BB">
            <w:pPr>
              <w:rPr>
                <w:rFonts w:ascii="黑体" w:hAnsi="黑体" w:eastAsia="黑体" w:cs="黑体"/>
                <w:i/>
                <w:iCs/>
                <w:color w:val="000000"/>
                <w:sz w:val="18"/>
                <w:szCs w:val="18"/>
              </w:rPr>
            </w:pPr>
          </w:p>
        </w:tc>
      </w:tr>
      <w:tr w14:paraId="2677BE0B">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CF16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CED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C36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864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1.15</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0EE4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720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575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D7B8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2A604">
            <w:pPr>
              <w:rPr>
                <w:rFonts w:ascii="黑体" w:hAnsi="黑体" w:eastAsia="黑体" w:cs="黑体"/>
                <w:i/>
                <w:iCs/>
                <w:color w:val="000000"/>
                <w:sz w:val="18"/>
                <w:szCs w:val="18"/>
              </w:rPr>
            </w:pPr>
          </w:p>
        </w:tc>
      </w:tr>
      <w:tr w14:paraId="05B7E9A2">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EC29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B9CC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1AB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984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F56D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5CBB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C51B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330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89EE4">
            <w:pPr>
              <w:rPr>
                <w:rFonts w:ascii="黑体" w:hAnsi="黑体" w:eastAsia="黑体" w:cs="黑体"/>
                <w:i/>
                <w:iCs/>
                <w:color w:val="000000"/>
                <w:sz w:val="18"/>
                <w:szCs w:val="18"/>
              </w:rPr>
            </w:pPr>
          </w:p>
        </w:tc>
      </w:tr>
      <w:tr w14:paraId="4833AECE">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43FE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6A8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E8AE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46C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2CD1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C12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F1D6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D585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8F56A">
            <w:pPr>
              <w:rPr>
                <w:rFonts w:ascii="黑体" w:hAnsi="黑体" w:eastAsia="黑体" w:cs="黑体"/>
                <w:i/>
                <w:iCs/>
                <w:color w:val="000000"/>
                <w:sz w:val="18"/>
                <w:szCs w:val="18"/>
              </w:rPr>
            </w:pPr>
          </w:p>
        </w:tc>
      </w:tr>
      <w:tr w14:paraId="053B6D5F">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5865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53A1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0E124">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911C05">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CDA826">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9187D3">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FE30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9116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F3C2C">
            <w:pPr>
              <w:rPr>
                <w:rFonts w:ascii="黑体" w:hAnsi="黑体" w:eastAsia="黑体" w:cs="黑体"/>
                <w:i/>
                <w:iCs/>
                <w:color w:val="000000"/>
                <w:sz w:val="18"/>
                <w:szCs w:val="18"/>
              </w:rPr>
            </w:pPr>
          </w:p>
        </w:tc>
      </w:tr>
      <w:tr w14:paraId="71BACC75">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3E5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0E8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198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EBB1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35CB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88A5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801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EB4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AA1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F4C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408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781887FE">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351E6">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4B9B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1B35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B1B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F26E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43CB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2A6F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3BB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FEAB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CC7C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BFF1A">
            <w:pPr>
              <w:jc w:val="center"/>
              <w:rPr>
                <w:rFonts w:ascii="微软雅黑" w:hAnsi="微软雅黑" w:eastAsia="微软雅黑" w:cs="微软雅黑"/>
                <w:i/>
                <w:iCs/>
                <w:color w:val="000000"/>
                <w:sz w:val="16"/>
                <w:szCs w:val="16"/>
              </w:rPr>
            </w:pPr>
          </w:p>
        </w:tc>
      </w:tr>
      <w:tr w14:paraId="4258A230">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5139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EAAC5">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45DB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9E9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代表人数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B31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A72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DE47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EDDE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828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793C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4EF0A4">
            <w:pPr>
              <w:jc w:val="center"/>
              <w:rPr>
                <w:rFonts w:ascii="微软雅黑" w:hAnsi="微软雅黑" w:eastAsia="微软雅黑" w:cs="微软雅黑"/>
                <w:i/>
                <w:iCs/>
                <w:color w:val="000000"/>
                <w:sz w:val="16"/>
                <w:szCs w:val="16"/>
              </w:rPr>
            </w:pPr>
          </w:p>
        </w:tc>
      </w:tr>
      <w:tr w14:paraId="6BE38349">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E8A8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AF0D8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3FA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9BF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依法、依规</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74F4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55B2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37B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ECE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5E4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1167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FDFDFD">
            <w:pPr>
              <w:jc w:val="center"/>
              <w:rPr>
                <w:rFonts w:ascii="微软雅黑" w:hAnsi="微软雅黑" w:eastAsia="微软雅黑" w:cs="微软雅黑"/>
                <w:i/>
                <w:iCs/>
                <w:color w:val="000000"/>
                <w:sz w:val="16"/>
                <w:szCs w:val="16"/>
              </w:rPr>
            </w:pPr>
          </w:p>
        </w:tc>
      </w:tr>
      <w:tr w14:paraId="4A22C08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5F7DE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DCC8E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914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E384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201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A5A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9062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AB90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DD2E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6F47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4864A">
            <w:pPr>
              <w:jc w:val="center"/>
              <w:rPr>
                <w:rFonts w:ascii="微软雅黑" w:hAnsi="微软雅黑" w:eastAsia="微软雅黑" w:cs="微软雅黑"/>
                <w:i/>
                <w:iCs/>
                <w:color w:val="000000"/>
                <w:sz w:val="16"/>
                <w:szCs w:val="16"/>
              </w:rPr>
            </w:pPr>
          </w:p>
        </w:tc>
      </w:tr>
      <w:tr w14:paraId="6176FFA9">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D3001">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CFDF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2E48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18F7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解决群众困难，促进地方经济发展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4C3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7F0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9EB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7011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B66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D99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0E1D4">
            <w:pPr>
              <w:jc w:val="center"/>
              <w:rPr>
                <w:rFonts w:ascii="微软雅黑" w:hAnsi="微软雅黑" w:eastAsia="微软雅黑" w:cs="微软雅黑"/>
                <w:i/>
                <w:iCs/>
                <w:color w:val="000000"/>
                <w:sz w:val="16"/>
                <w:szCs w:val="16"/>
              </w:rPr>
            </w:pPr>
          </w:p>
        </w:tc>
      </w:tr>
      <w:tr w14:paraId="608D3634">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E6DF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9022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83F7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CC24E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eastAsia="zh-CN" w:bidi="ar"/>
              </w:rPr>
              <w:t>及时反映社情民意</w:t>
            </w:r>
            <w:r>
              <w:rPr>
                <w:rFonts w:ascii="宋体" w:hAnsi="宋体" w:cs="宋体"/>
                <w:color w:val="000000"/>
                <w:kern w:val="0"/>
                <w:sz w:val="18"/>
                <w:szCs w:val="18"/>
                <w:lang w:bidi="ar"/>
              </w:rPr>
              <w:t>，促进社会安全稳定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7E4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7CD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F45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6BEB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9170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0B56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99626">
            <w:pPr>
              <w:jc w:val="center"/>
              <w:rPr>
                <w:rFonts w:ascii="微软雅黑" w:hAnsi="微软雅黑" w:eastAsia="微软雅黑" w:cs="微软雅黑"/>
                <w:i/>
                <w:iCs/>
                <w:color w:val="000000"/>
                <w:sz w:val="16"/>
                <w:szCs w:val="16"/>
              </w:rPr>
            </w:pPr>
          </w:p>
        </w:tc>
      </w:tr>
      <w:tr w14:paraId="1C9B04A3">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894F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7E45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FB8A3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7EF7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209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5E6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B12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6187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297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79A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36F692">
            <w:pPr>
              <w:jc w:val="center"/>
              <w:rPr>
                <w:rFonts w:ascii="微软雅黑" w:hAnsi="微软雅黑" w:eastAsia="微软雅黑" w:cs="微软雅黑"/>
                <w:i/>
                <w:iCs/>
                <w:color w:val="000000"/>
                <w:sz w:val="16"/>
                <w:szCs w:val="16"/>
              </w:rPr>
            </w:pPr>
          </w:p>
        </w:tc>
      </w:tr>
      <w:tr w14:paraId="5BA7618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88C2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76B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BE4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BE4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工作经费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A57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7878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31500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3FA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E5E72">
            <w:pPr>
              <w:widowControl/>
              <w:jc w:val="center"/>
              <w:textAlignment w:val="center"/>
              <w:rPr>
                <w:rFonts w:ascii="微软雅黑" w:hAnsi="微软雅黑" w:eastAsia="微软雅黑" w:cs="微软雅黑"/>
                <w:i/>
                <w:iCs/>
                <w:color w:val="000000"/>
                <w:sz w:val="16"/>
                <w:szCs w:val="16"/>
              </w:rPr>
            </w:pPr>
            <w:r>
              <w:rPr>
                <w:rFonts w:hint="eastAsia" w:ascii="宋体" w:hAnsi="宋体" w:eastAsia="宋体" w:cs="宋体"/>
                <w:i w:val="0"/>
                <w:iCs w:val="0"/>
                <w:color w:val="000000"/>
                <w:kern w:val="0"/>
                <w:sz w:val="18"/>
                <w:szCs w:val="18"/>
                <w:lang w:bidi="ar"/>
              </w:rPr>
              <w:t>11500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F269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5EB8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54AA10">
            <w:pPr>
              <w:jc w:val="center"/>
              <w:rPr>
                <w:rFonts w:ascii="微软雅黑" w:hAnsi="微软雅黑" w:eastAsia="微软雅黑" w:cs="微软雅黑"/>
                <w:i/>
                <w:iCs/>
                <w:color w:val="000000"/>
                <w:sz w:val="16"/>
                <w:szCs w:val="16"/>
              </w:rPr>
            </w:pPr>
          </w:p>
        </w:tc>
      </w:tr>
      <w:tr w14:paraId="7C0B0102">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57C1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5A24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7C1ED">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D3AE09">
            <w:pPr>
              <w:rPr>
                <w:rFonts w:ascii="宋体" w:hAnsi="宋体" w:cs="宋体"/>
                <w:color w:val="000000"/>
                <w:sz w:val="18"/>
                <w:szCs w:val="18"/>
              </w:rPr>
            </w:pPr>
          </w:p>
        </w:tc>
      </w:tr>
      <w:tr w14:paraId="5594844C">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59C4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6010BE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项目目标明确、组织监管体系完善。我镇人大代表经费项目资金较好地实现了绩效目标。</w:t>
            </w:r>
          </w:p>
        </w:tc>
      </w:tr>
      <w:tr w14:paraId="6932081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F93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802ED2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项目资金缺乏，不能满足人大代表经费工作需要。</w:t>
            </w:r>
          </w:p>
        </w:tc>
      </w:tr>
      <w:tr w14:paraId="3315DC99">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40F0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tcPr>
          <w:p w14:paraId="57699A56">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争取节约工作经费，全面开展好工作，不断提高工作科学化、规范化、法治化水平。</w:t>
            </w:r>
          </w:p>
        </w:tc>
      </w:tr>
      <w:tr w14:paraId="118551B9">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6C3E7D">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项目负责人：彭伟</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E04DB9">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7839C556">
      <w:pPr>
        <w:spacing w:line="560" w:lineRule="exact"/>
        <w:jc w:val="center"/>
        <w:rPr>
          <w:rFonts w:ascii="方正小标宋简体" w:hAnsi="宋体" w:eastAsia="方正小标宋简体"/>
          <w:color w:val="000000"/>
          <w:kern w:val="0"/>
          <w:sz w:val="44"/>
          <w:szCs w:val="44"/>
        </w:rPr>
      </w:pPr>
    </w:p>
    <w:p w14:paraId="7CEDC6DC">
      <w:pPr>
        <w:spacing w:line="560" w:lineRule="exact"/>
        <w:jc w:val="center"/>
        <w:rPr>
          <w:rFonts w:ascii="方正小标宋简体" w:hAnsi="宋体" w:eastAsia="方正小标宋简体"/>
          <w:color w:val="000000"/>
          <w:kern w:val="0"/>
          <w:sz w:val="44"/>
          <w:szCs w:val="44"/>
        </w:rPr>
      </w:pPr>
    </w:p>
    <w:p w14:paraId="53B88B47">
      <w:pPr>
        <w:spacing w:line="560" w:lineRule="exact"/>
        <w:jc w:val="center"/>
        <w:rPr>
          <w:rFonts w:ascii="方正小标宋简体" w:hAnsi="宋体" w:eastAsia="方正小标宋简体"/>
          <w:color w:val="000000"/>
          <w:kern w:val="0"/>
          <w:sz w:val="44"/>
          <w:szCs w:val="44"/>
        </w:rPr>
      </w:pPr>
    </w:p>
    <w:p w14:paraId="225BB13F">
      <w:pPr>
        <w:spacing w:line="560" w:lineRule="exact"/>
        <w:jc w:val="center"/>
        <w:rPr>
          <w:rFonts w:ascii="方正小标宋简体" w:hAnsi="宋体" w:eastAsia="方正小标宋简体"/>
          <w:color w:val="000000"/>
          <w:kern w:val="0"/>
          <w:sz w:val="44"/>
          <w:szCs w:val="44"/>
        </w:rPr>
      </w:pPr>
    </w:p>
    <w:p w14:paraId="1FA3BB80">
      <w:pPr>
        <w:spacing w:line="560" w:lineRule="exact"/>
        <w:jc w:val="center"/>
        <w:rPr>
          <w:rFonts w:ascii="方正小标宋简体" w:hAnsi="宋体" w:eastAsia="方正小标宋简体"/>
          <w:color w:val="000000"/>
          <w:kern w:val="0"/>
          <w:sz w:val="44"/>
          <w:szCs w:val="44"/>
        </w:rPr>
      </w:pPr>
    </w:p>
    <w:p w14:paraId="6A69C3C7">
      <w:pPr>
        <w:spacing w:line="560" w:lineRule="exact"/>
        <w:jc w:val="center"/>
        <w:rPr>
          <w:rFonts w:ascii="方正小标宋简体" w:hAnsi="宋体" w:eastAsia="方正小标宋简体"/>
          <w:color w:val="000000"/>
          <w:kern w:val="0"/>
          <w:sz w:val="44"/>
          <w:szCs w:val="44"/>
        </w:rPr>
      </w:pPr>
    </w:p>
    <w:p w14:paraId="1DF6D9D8">
      <w:pPr>
        <w:spacing w:line="560" w:lineRule="exact"/>
        <w:jc w:val="center"/>
        <w:rPr>
          <w:rFonts w:ascii="方正小标宋简体" w:hAnsi="宋体" w:eastAsia="方正小标宋简体"/>
          <w:color w:val="000000"/>
          <w:kern w:val="0"/>
          <w:sz w:val="44"/>
          <w:szCs w:val="44"/>
        </w:rPr>
      </w:pPr>
    </w:p>
    <w:p w14:paraId="5BA55F96">
      <w:pPr>
        <w:spacing w:line="560" w:lineRule="exact"/>
        <w:jc w:val="center"/>
        <w:rPr>
          <w:rFonts w:ascii="方正小标宋简体" w:hAnsi="宋体" w:eastAsia="方正小标宋简体"/>
          <w:color w:val="000000"/>
          <w:kern w:val="0"/>
          <w:sz w:val="44"/>
          <w:szCs w:val="44"/>
        </w:rPr>
      </w:pPr>
    </w:p>
    <w:p w14:paraId="48F9F2D7">
      <w:pPr>
        <w:spacing w:line="560" w:lineRule="exact"/>
        <w:jc w:val="center"/>
        <w:rPr>
          <w:rFonts w:ascii="方正小标宋简体" w:hAnsi="宋体" w:eastAsia="方正小标宋简体"/>
          <w:color w:val="000000"/>
          <w:kern w:val="0"/>
          <w:sz w:val="44"/>
          <w:szCs w:val="44"/>
        </w:rPr>
      </w:pPr>
    </w:p>
    <w:p w14:paraId="6AAB3B72">
      <w:pPr>
        <w:spacing w:line="560" w:lineRule="exact"/>
        <w:jc w:val="center"/>
        <w:rPr>
          <w:rFonts w:ascii="方正小标宋简体" w:hAnsi="宋体" w:eastAsia="方正小标宋简体"/>
          <w:color w:val="000000"/>
          <w:kern w:val="0"/>
          <w:sz w:val="44"/>
          <w:szCs w:val="44"/>
        </w:rPr>
      </w:pPr>
    </w:p>
    <w:p w14:paraId="05A11C15">
      <w:pPr>
        <w:spacing w:line="560" w:lineRule="exact"/>
        <w:jc w:val="center"/>
        <w:rPr>
          <w:rFonts w:ascii="方正小标宋简体" w:hAnsi="宋体" w:eastAsia="方正小标宋简体"/>
          <w:color w:val="000000"/>
          <w:kern w:val="0"/>
          <w:sz w:val="44"/>
          <w:szCs w:val="44"/>
        </w:rPr>
      </w:pPr>
    </w:p>
    <w:p w14:paraId="4B59062F">
      <w:pPr>
        <w:spacing w:line="560" w:lineRule="exact"/>
        <w:jc w:val="center"/>
        <w:rPr>
          <w:rFonts w:ascii="方正小标宋简体" w:hAnsi="宋体" w:eastAsia="方正小标宋简体"/>
          <w:color w:val="000000"/>
          <w:kern w:val="0"/>
          <w:sz w:val="44"/>
          <w:szCs w:val="44"/>
        </w:rPr>
      </w:pPr>
    </w:p>
    <w:p w14:paraId="014AB973">
      <w:pPr>
        <w:spacing w:line="560" w:lineRule="exact"/>
        <w:jc w:val="center"/>
        <w:rPr>
          <w:rFonts w:ascii="方正小标宋简体" w:hAnsi="宋体" w:eastAsia="方正小标宋简体"/>
          <w:color w:val="000000"/>
          <w:kern w:val="0"/>
          <w:sz w:val="44"/>
          <w:szCs w:val="44"/>
        </w:rPr>
      </w:pPr>
    </w:p>
    <w:p w14:paraId="39907F54">
      <w:pPr>
        <w:spacing w:line="560" w:lineRule="exact"/>
        <w:jc w:val="center"/>
        <w:rPr>
          <w:rFonts w:ascii="方正小标宋简体" w:hAnsi="宋体" w:eastAsia="方正小标宋简体"/>
          <w:color w:val="000000"/>
          <w:kern w:val="0"/>
          <w:sz w:val="44"/>
          <w:szCs w:val="44"/>
        </w:rPr>
      </w:pPr>
    </w:p>
    <w:p w14:paraId="09F7195F">
      <w:pPr>
        <w:spacing w:line="560" w:lineRule="exact"/>
        <w:jc w:val="center"/>
        <w:rPr>
          <w:rFonts w:ascii="方正小标宋简体" w:hAnsi="宋体" w:eastAsia="方正小标宋简体"/>
          <w:color w:val="000000"/>
          <w:kern w:val="0"/>
          <w:sz w:val="44"/>
          <w:szCs w:val="44"/>
        </w:rPr>
      </w:pPr>
    </w:p>
    <w:p w14:paraId="01DE40B6">
      <w:pPr>
        <w:spacing w:line="560" w:lineRule="exact"/>
        <w:jc w:val="center"/>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747"/>
        <w:gridCol w:w="784"/>
        <w:gridCol w:w="849"/>
        <w:gridCol w:w="1452"/>
        <w:gridCol w:w="523"/>
        <w:gridCol w:w="729"/>
        <w:gridCol w:w="523"/>
        <w:gridCol w:w="1166"/>
        <w:gridCol w:w="646"/>
        <w:gridCol w:w="646"/>
        <w:gridCol w:w="903"/>
      </w:tblGrid>
      <w:tr w14:paraId="51E663B6">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1CB0E30">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26DBD778">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00E02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D6D25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51090423T000007747257-2023年维稳信访调解经费</w:t>
            </w:r>
          </w:p>
        </w:tc>
      </w:tr>
      <w:tr w14:paraId="6E28C670">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A729E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53ECA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5253263E">
            <w:pPr>
              <w:widowControl/>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实施单位</w:t>
            </w:r>
          </w:p>
          <w:p w14:paraId="56F9114E">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62DA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552BF7C2">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3983F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A974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78192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20A558D">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2FB08CE5">
        <w:tblPrEx>
          <w:tblCellMar>
            <w:top w:w="0" w:type="dxa"/>
            <w:left w:w="108" w:type="dxa"/>
            <w:bottom w:w="0" w:type="dxa"/>
            <w:right w:w="108" w:type="dxa"/>
          </w:tblCellMar>
        </w:tblPrEx>
        <w:trPr>
          <w:trHeight w:val="7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E33C4">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CDA9B">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6539A7">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认真贯彻落实上级有关信访工作会议精神，切实抓好信访工作，及时排查不安定因素，及时解决群众反映的“热点”、“难点”问题，确保社会稳定，构建和谐社会营造良好的环境</w:t>
            </w:r>
            <w:r>
              <w:rPr>
                <w:rFonts w:hint="eastAsia" w:ascii="宋体" w:hAnsi="宋体" w:cs="宋体"/>
                <w:color w:val="000000"/>
                <w:kern w:val="0"/>
                <w:sz w:val="18"/>
                <w:szCs w:val="18"/>
                <w:lang w:eastAsia="zh-CN" w:bidi="ar"/>
              </w:rPr>
              <w:t>。</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6E28BE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2023年，镇开展矛盾纠纷排查调处工作，按时办结上级交办的信访维稳案件，及时化解群体性事件隐患和处理重大疑难信访问题，维护了社会的稳定。</w:t>
            </w:r>
          </w:p>
        </w:tc>
      </w:tr>
      <w:tr w14:paraId="6BE21349">
        <w:tblPrEx>
          <w:tblCellMar>
            <w:top w:w="0" w:type="dxa"/>
            <w:left w:w="108" w:type="dxa"/>
            <w:bottom w:w="0" w:type="dxa"/>
            <w:right w:w="108" w:type="dxa"/>
          </w:tblCellMar>
        </w:tblPrEx>
        <w:trPr>
          <w:trHeight w:val="8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BA5AF">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A89A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63DB4D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使用经费组织调解员进行专业培训，提升调解员的专业素养和调解技能，确保他们能够有效处理各类信访矛盾纠纷。加强调解员队伍建设，为信访调解工作提供有力的人才保障。通过以上内容的实施和过程的推进，维稳信访调解经费项目能够有效提升信访调解工作的效能和质量，为维护社会稳定和谐发挥积极作用。</w:t>
            </w:r>
          </w:p>
        </w:tc>
      </w:tr>
      <w:tr w14:paraId="705067AA">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DD65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2E0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DD0A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24ED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715A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043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FEB7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03A3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235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2C5D70AB">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9D89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5EC3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065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FA5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6075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8BEB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F135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A6939">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441E6">
            <w:pPr>
              <w:rPr>
                <w:rFonts w:ascii="黑体" w:hAnsi="黑体" w:eastAsia="黑体" w:cs="黑体"/>
                <w:i/>
                <w:iCs/>
                <w:color w:val="000000"/>
                <w:sz w:val="18"/>
                <w:szCs w:val="18"/>
              </w:rPr>
            </w:pPr>
          </w:p>
        </w:tc>
      </w:tr>
      <w:tr w14:paraId="1E8CA1A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3BB2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FD0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3A0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9F0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455F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9A6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C5F2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8634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BE5E2">
            <w:pPr>
              <w:rPr>
                <w:rFonts w:ascii="黑体" w:hAnsi="黑体" w:eastAsia="黑体" w:cs="黑体"/>
                <w:i/>
                <w:iCs/>
                <w:color w:val="000000"/>
                <w:sz w:val="18"/>
                <w:szCs w:val="18"/>
              </w:rPr>
            </w:pPr>
          </w:p>
        </w:tc>
      </w:tr>
      <w:tr w14:paraId="199619F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260B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4895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ED8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184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A82B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D59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CED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058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029B4">
            <w:pPr>
              <w:rPr>
                <w:rFonts w:ascii="黑体" w:hAnsi="黑体" w:eastAsia="黑体" w:cs="黑体"/>
                <w:i/>
                <w:iCs/>
                <w:color w:val="000000"/>
                <w:sz w:val="18"/>
                <w:szCs w:val="18"/>
              </w:rPr>
            </w:pPr>
          </w:p>
        </w:tc>
      </w:tr>
      <w:tr w14:paraId="5FC11550">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6695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C3F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E82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7D5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CBDE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A050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D28C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9020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AE23E">
            <w:pPr>
              <w:rPr>
                <w:rFonts w:ascii="黑体" w:hAnsi="黑体" w:eastAsia="黑体" w:cs="黑体"/>
                <w:i/>
                <w:iCs/>
                <w:color w:val="000000"/>
                <w:sz w:val="18"/>
                <w:szCs w:val="18"/>
              </w:rPr>
            </w:pPr>
          </w:p>
        </w:tc>
      </w:tr>
      <w:tr w14:paraId="33DA592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12F0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7D5B4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662C9">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6A0A1A">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3FE440">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7E187">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AE37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714C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9C95AB">
            <w:pPr>
              <w:rPr>
                <w:rFonts w:ascii="黑体" w:hAnsi="黑体" w:eastAsia="黑体" w:cs="黑体"/>
                <w:i/>
                <w:iCs/>
                <w:color w:val="000000"/>
                <w:sz w:val="18"/>
                <w:szCs w:val="18"/>
              </w:rPr>
            </w:pPr>
          </w:p>
        </w:tc>
      </w:tr>
      <w:tr w14:paraId="52B23747">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10E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F486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ABC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806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8299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A7D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77D0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E778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931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D4E5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D56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41722216">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5DDB2">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2F4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8BF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6B46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信访办公室办公用品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CB7D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838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0F2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430E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86A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F142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33BF5">
            <w:pPr>
              <w:jc w:val="center"/>
              <w:rPr>
                <w:rFonts w:ascii="微软雅黑" w:hAnsi="微软雅黑" w:eastAsia="微软雅黑" w:cs="微软雅黑"/>
                <w:i/>
                <w:iCs/>
                <w:color w:val="000000"/>
                <w:sz w:val="16"/>
                <w:szCs w:val="16"/>
              </w:rPr>
            </w:pPr>
          </w:p>
        </w:tc>
      </w:tr>
      <w:tr w14:paraId="039E96B9">
        <w:tblPrEx>
          <w:tblCellMar>
            <w:top w:w="0" w:type="dxa"/>
            <w:left w:w="108" w:type="dxa"/>
            <w:bottom w:w="0" w:type="dxa"/>
            <w:right w:w="108" w:type="dxa"/>
          </w:tblCellMar>
        </w:tblPrEx>
        <w:trPr>
          <w:trHeight w:val="12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06C0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2EBD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A9DC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377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信访专职大调解中心副主任，12345接听人员、综治人员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16E8F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BC3A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570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641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28A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4BF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1D391B">
            <w:pPr>
              <w:jc w:val="center"/>
              <w:rPr>
                <w:rFonts w:ascii="微软雅黑" w:hAnsi="微软雅黑" w:eastAsia="微软雅黑" w:cs="微软雅黑"/>
                <w:i/>
                <w:iCs/>
                <w:color w:val="000000"/>
                <w:sz w:val="16"/>
                <w:szCs w:val="16"/>
              </w:rPr>
            </w:pPr>
          </w:p>
        </w:tc>
      </w:tr>
      <w:tr w14:paraId="38ADFD64">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74644">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CAA5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7E50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6CA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息诉息访率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4CB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D90A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F41A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800B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2EC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AF8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5A3965">
            <w:pPr>
              <w:jc w:val="center"/>
              <w:rPr>
                <w:rFonts w:ascii="微软雅黑" w:hAnsi="微软雅黑" w:eastAsia="微软雅黑" w:cs="微软雅黑"/>
                <w:i/>
                <w:iCs/>
                <w:color w:val="000000"/>
                <w:sz w:val="16"/>
                <w:szCs w:val="16"/>
              </w:rPr>
            </w:pPr>
          </w:p>
        </w:tc>
      </w:tr>
      <w:tr w14:paraId="3E94284B">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C0F00">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7352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AE2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A6406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78A2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E0B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DEFB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711F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5A80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32C0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4438C3">
            <w:pPr>
              <w:jc w:val="center"/>
              <w:rPr>
                <w:rFonts w:ascii="微软雅黑" w:hAnsi="微软雅黑" w:eastAsia="微软雅黑" w:cs="微软雅黑"/>
                <w:i/>
                <w:iCs/>
                <w:color w:val="000000"/>
                <w:sz w:val="16"/>
                <w:szCs w:val="16"/>
              </w:rPr>
            </w:pPr>
          </w:p>
        </w:tc>
      </w:tr>
      <w:tr w14:paraId="753FE15C">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DE96B">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501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0CE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887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解决问题化解矛盾，维护社会稳定和谐发展</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98E3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0C65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E6D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E56A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923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7173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44C51">
            <w:pPr>
              <w:jc w:val="center"/>
              <w:rPr>
                <w:rFonts w:ascii="微软雅黑" w:hAnsi="微软雅黑" w:eastAsia="微软雅黑" w:cs="微软雅黑"/>
                <w:i/>
                <w:iCs/>
                <w:color w:val="000000"/>
                <w:sz w:val="16"/>
                <w:szCs w:val="16"/>
              </w:rPr>
            </w:pPr>
          </w:p>
        </w:tc>
      </w:tr>
      <w:tr w14:paraId="586EE12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FFF9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2B960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6EF7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3727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信访总量同比下降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F6EF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AB6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3CD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4564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4EC2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E8D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15C9C7">
            <w:pPr>
              <w:jc w:val="center"/>
              <w:rPr>
                <w:rFonts w:ascii="微软雅黑" w:hAnsi="微软雅黑" w:eastAsia="微软雅黑" w:cs="微软雅黑"/>
                <w:i/>
                <w:iCs/>
                <w:color w:val="000000"/>
                <w:sz w:val="16"/>
                <w:szCs w:val="16"/>
              </w:rPr>
            </w:pPr>
          </w:p>
        </w:tc>
      </w:tr>
      <w:tr w14:paraId="6B91FC54">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1719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B05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AD7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98FC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87B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21D0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AB4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4611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936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B427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E8E8F">
            <w:pPr>
              <w:jc w:val="center"/>
              <w:rPr>
                <w:rFonts w:ascii="微软雅黑" w:hAnsi="微软雅黑" w:eastAsia="微软雅黑" w:cs="微软雅黑"/>
                <w:i/>
                <w:iCs/>
                <w:color w:val="000000"/>
                <w:sz w:val="16"/>
                <w:szCs w:val="16"/>
              </w:rPr>
            </w:pPr>
          </w:p>
        </w:tc>
      </w:tr>
      <w:tr w14:paraId="21E6A3DD">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7CDF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AD9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4C89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E91B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出差费用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FBA5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E10A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949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6245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8253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63E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CE8D9">
            <w:pPr>
              <w:jc w:val="center"/>
              <w:rPr>
                <w:rFonts w:ascii="微软雅黑" w:hAnsi="微软雅黑" w:eastAsia="微软雅黑" w:cs="微软雅黑"/>
                <w:i/>
                <w:iCs/>
                <w:color w:val="000000"/>
                <w:sz w:val="16"/>
                <w:szCs w:val="16"/>
              </w:rPr>
            </w:pPr>
          </w:p>
        </w:tc>
      </w:tr>
      <w:tr w14:paraId="18C7C184">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B440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97680">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B854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31E9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信访办公室办公用品费用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5B3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A20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A21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7A15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41F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8C22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ED9318">
            <w:pPr>
              <w:jc w:val="center"/>
              <w:rPr>
                <w:rFonts w:ascii="微软雅黑" w:hAnsi="微软雅黑" w:eastAsia="微软雅黑" w:cs="微软雅黑"/>
                <w:i/>
                <w:iCs/>
                <w:color w:val="000000"/>
                <w:sz w:val="16"/>
                <w:szCs w:val="16"/>
              </w:rPr>
            </w:pPr>
          </w:p>
        </w:tc>
      </w:tr>
      <w:tr w14:paraId="176CEF39">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16B5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3D59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42699">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FAEB23">
            <w:pPr>
              <w:rPr>
                <w:rFonts w:ascii="宋体" w:hAnsi="宋体" w:cs="宋体"/>
                <w:color w:val="000000"/>
                <w:sz w:val="18"/>
                <w:szCs w:val="18"/>
              </w:rPr>
            </w:pPr>
          </w:p>
        </w:tc>
      </w:tr>
      <w:tr w14:paraId="4349EB6B">
        <w:tblPrEx>
          <w:tblCellMar>
            <w:top w:w="0" w:type="dxa"/>
            <w:left w:w="108" w:type="dxa"/>
            <w:bottom w:w="0" w:type="dxa"/>
            <w:right w:w="108" w:type="dxa"/>
          </w:tblCellMar>
        </w:tblPrEx>
        <w:trPr>
          <w:trHeight w:val="5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C18F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tcPr>
          <w:p w14:paraId="45AC228E">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宣传与引导活动的开展有效提升了公众对信访调解工作的知晓率和认可度，增强了群众依法维权的意识。但宣传方式和手段仍需进一步创新和完善，以更好地吸引公众的关注和参与。</w:t>
            </w:r>
          </w:p>
        </w:tc>
      </w:tr>
      <w:tr w14:paraId="5D16B02F">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E378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43713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宣传内容单一、形式呆板；宣传渠道有限，难以覆盖所有目标群体；部分群众对信访调解工作的认知仍存在误区。</w:t>
            </w:r>
          </w:p>
        </w:tc>
      </w:tr>
      <w:tr w14:paraId="02BF482A">
        <w:tblPrEx>
          <w:tblCellMar>
            <w:top w:w="0" w:type="dxa"/>
            <w:left w:w="108" w:type="dxa"/>
            <w:bottom w:w="0" w:type="dxa"/>
            <w:right w:w="108" w:type="dxa"/>
          </w:tblCellMar>
        </w:tblPrEx>
        <w:trPr>
          <w:trHeight w:val="5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1293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E69E44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创新宣传方式和手段，采用更加生动、形象、贴近群众的方式开展宣传工作；拓宽宣传渠道，利用新媒体等现代传播手段扩大宣传覆盖面；加强信访调解工作的政策解读和案例分析工作，帮助群众更好地理解信访调解工作的意义和价值。</w:t>
            </w:r>
          </w:p>
        </w:tc>
      </w:tr>
      <w:tr w14:paraId="3E6308BB">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2365E71">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w:t>
            </w:r>
            <w:r>
              <w:rPr>
                <w:rFonts w:hint="eastAsia" w:ascii="黑体" w:hAnsi="黑体" w:eastAsia="黑体" w:cs="黑体"/>
                <w:color w:val="000000"/>
                <w:kern w:val="0"/>
                <w:sz w:val="18"/>
                <w:szCs w:val="18"/>
                <w:lang w:bidi="ar"/>
              </w:rPr>
              <w:t>徐文辉</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9AF763">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70D1B745">
      <w:pPr>
        <w:spacing w:line="560" w:lineRule="exact"/>
        <w:jc w:val="center"/>
        <w:rPr>
          <w:rFonts w:ascii="方正小标宋简体" w:hAnsi="宋体" w:eastAsia="方正小标宋简体"/>
          <w:color w:val="000000"/>
          <w:kern w:val="0"/>
          <w:sz w:val="44"/>
          <w:szCs w:val="44"/>
        </w:rPr>
      </w:pPr>
    </w:p>
    <w:p w14:paraId="4668DB8F">
      <w:pPr>
        <w:spacing w:line="560" w:lineRule="exact"/>
        <w:jc w:val="center"/>
        <w:rPr>
          <w:rFonts w:ascii="方正小标宋简体" w:hAnsi="宋体" w:eastAsia="方正小标宋简体"/>
          <w:color w:val="000000"/>
          <w:kern w:val="0"/>
          <w:sz w:val="44"/>
          <w:szCs w:val="44"/>
        </w:rPr>
      </w:pPr>
    </w:p>
    <w:p w14:paraId="7BBD148D">
      <w:pPr>
        <w:spacing w:line="560" w:lineRule="exact"/>
        <w:jc w:val="center"/>
        <w:rPr>
          <w:rFonts w:ascii="方正小标宋简体" w:hAnsi="宋体" w:eastAsia="方正小标宋简体"/>
          <w:color w:val="000000"/>
          <w:kern w:val="0"/>
          <w:sz w:val="44"/>
          <w:szCs w:val="44"/>
        </w:rPr>
      </w:pPr>
    </w:p>
    <w:p w14:paraId="4FB72175">
      <w:pPr>
        <w:spacing w:line="560" w:lineRule="exact"/>
        <w:jc w:val="center"/>
        <w:rPr>
          <w:rFonts w:ascii="方正小标宋简体" w:hAnsi="宋体" w:eastAsia="方正小标宋简体"/>
          <w:color w:val="000000"/>
          <w:kern w:val="0"/>
          <w:sz w:val="44"/>
          <w:szCs w:val="44"/>
        </w:rPr>
      </w:pPr>
    </w:p>
    <w:p w14:paraId="5829500F">
      <w:pPr>
        <w:spacing w:line="560" w:lineRule="exact"/>
        <w:jc w:val="center"/>
        <w:rPr>
          <w:rFonts w:ascii="方正小标宋简体" w:hAnsi="宋体" w:eastAsia="方正小标宋简体"/>
          <w:color w:val="000000"/>
          <w:kern w:val="0"/>
          <w:sz w:val="44"/>
          <w:szCs w:val="44"/>
        </w:rPr>
      </w:pPr>
    </w:p>
    <w:p w14:paraId="53BF8B70">
      <w:pPr>
        <w:spacing w:line="560" w:lineRule="exact"/>
        <w:jc w:val="center"/>
        <w:rPr>
          <w:rFonts w:ascii="方正小标宋简体" w:hAnsi="宋体" w:eastAsia="方正小标宋简体"/>
          <w:color w:val="000000"/>
          <w:kern w:val="0"/>
          <w:sz w:val="44"/>
          <w:szCs w:val="44"/>
        </w:rPr>
      </w:pPr>
    </w:p>
    <w:p w14:paraId="32D6BB5E">
      <w:pPr>
        <w:spacing w:line="560" w:lineRule="exact"/>
        <w:jc w:val="center"/>
        <w:rPr>
          <w:rFonts w:ascii="方正小标宋简体" w:hAnsi="宋体" w:eastAsia="方正小标宋简体"/>
          <w:color w:val="000000"/>
          <w:kern w:val="0"/>
          <w:sz w:val="44"/>
          <w:szCs w:val="44"/>
        </w:rPr>
      </w:pPr>
    </w:p>
    <w:p w14:paraId="1D174C48">
      <w:pPr>
        <w:spacing w:line="560" w:lineRule="exact"/>
        <w:jc w:val="center"/>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928"/>
        <w:gridCol w:w="1003"/>
        <w:gridCol w:w="877"/>
        <w:gridCol w:w="1220"/>
        <w:gridCol w:w="525"/>
        <w:gridCol w:w="688"/>
        <w:gridCol w:w="525"/>
        <w:gridCol w:w="1249"/>
        <w:gridCol w:w="570"/>
        <w:gridCol w:w="570"/>
        <w:gridCol w:w="813"/>
      </w:tblGrid>
      <w:tr w14:paraId="5C429554">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FEBF968">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12121339">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49C2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B2BD9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51090423T000007747284-2023年关心下一代工作专项经费</w:t>
            </w:r>
          </w:p>
        </w:tc>
      </w:tr>
      <w:tr w14:paraId="243F3572">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C4442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4776D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05097E2F">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98D0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75726215">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D6C5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6052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1EE3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A0E206">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2FC20324">
        <w:tblPrEx>
          <w:tblCellMar>
            <w:top w:w="0" w:type="dxa"/>
            <w:left w:w="108" w:type="dxa"/>
            <w:bottom w:w="0" w:type="dxa"/>
            <w:right w:w="108" w:type="dxa"/>
          </w:tblCellMar>
        </w:tblPrEx>
        <w:trPr>
          <w:trHeight w:val="5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08CFD">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488B7">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1777A7">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参与关心下一代工作保障经费及对留守儿童关爱保护保障经费，实现让事业留人，用感情留人</w:t>
            </w:r>
            <w:r>
              <w:rPr>
                <w:rFonts w:hint="eastAsia" w:ascii="宋体" w:hAnsi="宋体" w:cs="宋体"/>
                <w:color w:val="000000"/>
                <w:kern w:val="0"/>
                <w:sz w:val="18"/>
                <w:szCs w:val="18"/>
                <w:lang w:eastAsia="zh-CN" w:bidi="ar"/>
              </w:rPr>
              <w:t>。</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C1B8F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2023年度我镇对留守儿童进行关爱保护及对青少年思想道德教育进行了普及。</w:t>
            </w:r>
          </w:p>
        </w:tc>
      </w:tr>
      <w:tr w14:paraId="4B3BB2FD">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2B402F">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071F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0C1BE6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通过开展心理健康教育活动，提供心理咨询和心理疏导服务，帮助青少年解决心理问题。</w:t>
            </w:r>
          </w:p>
        </w:tc>
      </w:tr>
      <w:tr w14:paraId="7A2D4A6A">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4C22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09BF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CBCF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2AAA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DD7C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CE2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4FB2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EE3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BA4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673DAF41">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4847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1F28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905E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5C9E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E7F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E0A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7EEA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119B9">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ADB076">
            <w:pPr>
              <w:rPr>
                <w:rFonts w:ascii="黑体" w:hAnsi="黑体" w:eastAsia="黑体" w:cs="黑体"/>
                <w:i/>
                <w:iCs/>
                <w:color w:val="000000"/>
                <w:sz w:val="18"/>
                <w:szCs w:val="18"/>
              </w:rPr>
            </w:pPr>
          </w:p>
        </w:tc>
      </w:tr>
      <w:tr w14:paraId="66B24471">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7872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9F14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586A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9477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FA1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971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4553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596D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C4433">
            <w:pPr>
              <w:rPr>
                <w:rFonts w:ascii="黑体" w:hAnsi="黑体" w:eastAsia="黑体" w:cs="黑体"/>
                <w:i/>
                <w:iCs/>
                <w:color w:val="000000"/>
                <w:sz w:val="18"/>
                <w:szCs w:val="18"/>
              </w:rPr>
            </w:pPr>
          </w:p>
        </w:tc>
      </w:tr>
      <w:tr w14:paraId="679C913B">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EE96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8D81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0A3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6E8B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C38D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684A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A125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F72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50A1B8">
            <w:pPr>
              <w:rPr>
                <w:rFonts w:ascii="黑体" w:hAnsi="黑体" w:eastAsia="黑体" w:cs="黑体"/>
                <w:i/>
                <w:iCs/>
                <w:color w:val="000000"/>
                <w:sz w:val="18"/>
                <w:szCs w:val="18"/>
              </w:rPr>
            </w:pPr>
          </w:p>
        </w:tc>
      </w:tr>
      <w:tr w14:paraId="6F0BCB7C">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2F74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794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BA8F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547B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7C7A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B851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762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FFA0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C7D95">
            <w:pPr>
              <w:rPr>
                <w:rFonts w:ascii="黑体" w:hAnsi="黑体" w:eastAsia="黑体" w:cs="黑体"/>
                <w:i/>
                <w:iCs/>
                <w:color w:val="000000"/>
                <w:sz w:val="18"/>
                <w:szCs w:val="18"/>
              </w:rPr>
            </w:pPr>
          </w:p>
        </w:tc>
      </w:tr>
      <w:tr w14:paraId="6B37459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E962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615C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753CD4">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07FE8">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D5A195">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3081EC">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9F23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598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833AC">
            <w:pPr>
              <w:rPr>
                <w:rFonts w:ascii="黑体" w:hAnsi="黑体" w:eastAsia="黑体" w:cs="黑体"/>
                <w:i/>
                <w:iCs/>
                <w:color w:val="000000"/>
                <w:sz w:val="18"/>
                <w:szCs w:val="18"/>
              </w:rPr>
            </w:pPr>
          </w:p>
        </w:tc>
      </w:tr>
      <w:tr w14:paraId="140C8970">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0746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0F94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953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4A9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FD7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F08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E3B0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8F67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5F0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2665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B02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43FAEAB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F9077">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D1E6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86A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141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开展三八节活动次数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C20E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F4B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0CB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39D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7B5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08AA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538954">
            <w:pPr>
              <w:jc w:val="center"/>
              <w:rPr>
                <w:rFonts w:ascii="微软雅黑" w:hAnsi="微软雅黑" w:eastAsia="微软雅黑" w:cs="微软雅黑"/>
                <w:i/>
                <w:iCs/>
                <w:color w:val="000000"/>
                <w:sz w:val="16"/>
                <w:szCs w:val="16"/>
              </w:rPr>
            </w:pPr>
          </w:p>
        </w:tc>
      </w:tr>
      <w:tr w14:paraId="04979C64">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145A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B8CBB">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5244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158C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保障儿童之家开展活动次数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FE8F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4EE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1E01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0B3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27D0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2061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317430">
            <w:pPr>
              <w:jc w:val="center"/>
              <w:rPr>
                <w:rFonts w:ascii="微软雅黑" w:hAnsi="微软雅黑" w:eastAsia="微软雅黑" w:cs="微软雅黑"/>
                <w:i/>
                <w:iCs/>
                <w:color w:val="000000"/>
                <w:sz w:val="16"/>
                <w:szCs w:val="16"/>
              </w:rPr>
            </w:pPr>
          </w:p>
        </w:tc>
      </w:tr>
      <w:tr w14:paraId="070F31B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504E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F6E8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1AFE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3A73C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资金支付准确率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CCED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3090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CA6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F85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5D03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870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FC282">
            <w:pPr>
              <w:jc w:val="center"/>
              <w:rPr>
                <w:rFonts w:ascii="微软雅黑" w:hAnsi="微软雅黑" w:eastAsia="微软雅黑" w:cs="微软雅黑"/>
                <w:i/>
                <w:iCs/>
                <w:color w:val="000000"/>
                <w:sz w:val="16"/>
                <w:szCs w:val="16"/>
              </w:rPr>
            </w:pPr>
          </w:p>
        </w:tc>
      </w:tr>
      <w:tr w14:paraId="29756A1C">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613B3">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E8DF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76C9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F7B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39F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54B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704F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AB7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8625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CA5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466A5D">
            <w:pPr>
              <w:jc w:val="center"/>
              <w:rPr>
                <w:rFonts w:ascii="微软雅黑" w:hAnsi="微软雅黑" w:eastAsia="微软雅黑" w:cs="微软雅黑"/>
                <w:i/>
                <w:iCs/>
                <w:color w:val="000000"/>
                <w:sz w:val="16"/>
                <w:szCs w:val="16"/>
              </w:rPr>
            </w:pPr>
          </w:p>
        </w:tc>
      </w:tr>
      <w:tr w14:paraId="4B2F7487">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6562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05B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E2F5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166E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通过项目实施，关怀保护妇女儿童权益</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B37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313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94F0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A0D3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BB30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E37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ABA01D">
            <w:pPr>
              <w:jc w:val="center"/>
              <w:rPr>
                <w:rFonts w:ascii="微软雅黑" w:hAnsi="微软雅黑" w:eastAsia="微软雅黑" w:cs="微软雅黑"/>
                <w:i/>
                <w:iCs/>
                <w:color w:val="000000"/>
                <w:sz w:val="16"/>
                <w:szCs w:val="16"/>
              </w:rPr>
            </w:pPr>
          </w:p>
        </w:tc>
      </w:tr>
      <w:tr w14:paraId="647FECE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62DB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C35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6B74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4ACD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受益人满意度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BE9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023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D40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5FE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D01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98E3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B6F06">
            <w:pPr>
              <w:jc w:val="center"/>
              <w:rPr>
                <w:rFonts w:ascii="微软雅黑" w:hAnsi="微软雅黑" w:eastAsia="微软雅黑" w:cs="微软雅黑"/>
                <w:i/>
                <w:iCs/>
                <w:color w:val="000000"/>
                <w:sz w:val="16"/>
                <w:szCs w:val="16"/>
              </w:rPr>
            </w:pPr>
          </w:p>
        </w:tc>
      </w:tr>
      <w:tr w14:paraId="59DA3F2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E768C">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8F82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E49C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224B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慰问妇女儿童费用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EDAF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043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19000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B85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E4F5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A619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EE2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B5B963">
            <w:pPr>
              <w:jc w:val="center"/>
              <w:rPr>
                <w:rFonts w:ascii="微软雅黑" w:hAnsi="微软雅黑" w:eastAsia="微软雅黑" w:cs="微软雅黑"/>
                <w:i/>
                <w:iCs/>
                <w:color w:val="000000"/>
                <w:sz w:val="16"/>
                <w:szCs w:val="16"/>
              </w:rPr>
            </w:pPr>
          </w:p>
        </w:tc>
      </w:tr>
      <w:tr w14:paraId="32A1831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B4EC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2B1E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6EC1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8CC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购置文具图书费用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846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55B9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4838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CAF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BFE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14C1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12B0EC">
            <w:pPr>
              <w:jc w:val="center"/>
              <w:rPr>
                <w:rFonts w:ascii="微软雅黑" w:hAnsi="微软雅黑" w:eastAsia="微软雅黑" w:cs="微软雅黑"/>
                <w:i/>
                <w:iCs/>
                <w:color w:val="000000"/>
                <w:sz w:val="16"/>
                <w:szCs w:val="16"/>
              </w:rPr>
            </w:pPr>
          </w:p>
        </w:tc>
      </w:tr>
      <w:tr w14:paraId="5E0312E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B02E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1907E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10BC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58F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报刊杂志费用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4AE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0DC4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DE00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57C9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DF2B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C3F5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65571">
            <w:pPr>
              <w:jc w:val="center"/>
              <w:rPr>
                <w:rFonts w:ascii="微软雅黑" w:hAnsi="微软雅黑" w:eastAsia="微软雅黑" w:cs="微软雅黑"/>
                <w:i/>
                <w:iCs/>
                <w:color w:val="000000"/>
                <w:sz w:val="16"/>
                <w:szCs w:val="16"/>
              </w:rPr>
            </w:pPr>
          </w:p>
        </w:tc>
      </w:tr>
      <w:tr w14:paraId="26717110">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4F69F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853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5BDCD">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5CEAA">
            <w:pPr>
              <w:rPr>
                <w:rFonts w:ascii="宋体" w:hAnsi="宋体" w:cs="宋体"/>
                <w:color w:val="000000"/>
                <w:sz w:val="18"/>
                <w:szCs w:val="18"/>
              </w:rPr>
            </w:pPr>
          </w:p>
        </w:tc>
      </w:tr>
      <w:tr w14:paraId="5E3649A3">
        <w:tblPrEx>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A58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89FFC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关心下一代工作专项经费的年度目标中，资金到位情况是关键指标之一。本年度，专项经费未按照预算计划及时、足额到位，直接影响到各项工作的顺利开展。</w:t>
            </w:r>
          </w:p>
        </w:tc>
      </w:tr>
      <w:tr w14:paraId="1F5492C4">
        <w:tblPrEx>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4FF8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D8B983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关心下一代工作专项经费资金不能及时到位，导致很多工作不能顺利开展。</w:t>
            </w:r>
          </w:p>
        </w:tc>
      </w:tr>
      <w:tr w14:paraId="0F5179FE">
        <w:tblPrEx>
          <w:tblCellMar>
            <w:top w:w="0" w:type="dxa"/>
            <w:left w:w="108" w:type="dxa"/>
            <w:bottom w:w="0" w:type="dxa"/>
            <w:right w:w="108" w:type="dxa"/>
          </w:tblCellMar>
        </w:tblPrEx>
        <w:trPr>
          <w:trHeight w:val="51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DA0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75199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加强对资金使用的监管和评估，确保资金使用的透明度和有效性。</w:t>
            </w:r>
          </w:p>
        </w:tc>
      </w:tr>
      <w:tr w14:paraId="3110C6B7">
        <w:tblPrEx>
          <w:tblCellMar>
            <w:top w:w="0" w:type="dxa"/>
            <w:left w:w="108" w:type="dxa"/>
            <w:bottom w:w="0" w:type="dxa"/>
            <w:right w:w="108" w:type="dxa"/>
          </w:tblCellMar>
        </w:tblPrEx>
        <w:trPr>
          <w:trHeight w:val="51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B22EAF">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项目负责人：谭瑶</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773CCA">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284F9A96">
      <w:pPr>
        <w:spacing w:line="560" w:lineRule="exact"/>
        <w:rPr>
          <w:rFonts w:ascii="方正小标宋简体" w:hAnsi="宋体" w:eastAsia="方正小标宋简体"/>
          <w:color w:val="000000"/>
          <w:kern w:val="0"/>
          <w:sz w:val="44"/>
          <w:szCs w:val="44"/>
        </w:rPr>
      </w:pPr>
    </w:p>
    <w:p w14:paraId="2CFBDC0B">
      <w:pPr>
        <w:spacing w:line="560" w:lineRule="exact"/>
        <w:rPr>
          <w:rFonts w:ascii="方正小标宋简体" w:hAnsi="宋体" w:eastAsia="方正小标宋简体"/>
          <w:color w:val="000000"/>
          <w:kern w:val="0"/>
          <w:sz w:val="44"/>
          <w:szCs w:val="44"/>
        </w:rPr>
      </w:pPr>
    </w:p>
    <w:p w14:paraId="771597F4">
      <w:pPr>
        <w:spacing w:line="560" w:lineRule="exact"/>
        <w:rPr>
          <w:rFonts w:ascii="方正小标宋简体" w:hAnsi="宋体" w:eastAsia="方正小标宋简体"/>
          <w:color w:val="000000"/>
          <w:kern w:val="0"/>
          <w:sz w:val="44"/>
          <w:szCs w:val="44"/>
        </w:rPr>
      </w:pPr>
    </w:p>
    <w:p w14:paraId="201C3873">
      <w:pPr>
        <w:spacing w:line="560" w:lineRule="exact"/>
        <w:rPr>
          <w:rFonts w:ascii="方正小标宋简体" w:hAnsi="宋体" w:eastAsia="方正小标宋简体"/>
          <w:color w:val="000000"/>
          <w:kern w:val="0"/>
          <w:sz w:val="44"/>
          <w:szCs w:val="44"/>
        </w:rPr>
      </w:pPr>
    </w:p>
    <w:p w14:paraId="4B13623B">
      <w:pPr>
        <w:spacing w:line="560" w:lineRule="exact"/>
        <w:rPr>
          <w:rFonts w:ascii="方正小标宋简体" w:hAnsi="宋体" w:eastAsia="方正小标宋简体"/>
          <w:color w:val="000000"/>
          <w:kern w:val="0"/>
          <w:sz w:val="44"/>
          <w:szCs w:val="44"/>
        </w:rPr>
      </w:pPr>
    </w:p>
    <w:p w14:paraId="2482FC39">
      <w:pPr>
        <w:spacing w:line="560" w:lineRule="exact"/>
        <w:rPr>
          <w:rFonts w:ascii="方正小标宋简体" w:hAnsi="宋体" w:eastAsia="方正小标宋简体"/>
          <w:color w:val="000000"/>
          <w:kern w:val="0"/>
          <w:sz w:val="44"/>
          <w:szCs w:val="44"/>
        </w:rPr>
      </w:pPr>
    </w:p>
    <w:p w14:paraId="50CB7BD5">
      <w:pPr>
        <w:spacing w:line="560" w:lineRule="exact"/>
        <w:rPr>
          <w:rFonts w:ascii="方正小标宋简体" w:hAnsi="宋体" w:eastAsia="方正小标宋简体"/>
          <w:color w:val="000000"/>
          <w:kern w:val="0"/>
          <w:sz w:val="44"/>
          <w:szCs w:val="44"/>
        </w:rPr>
      </w:pPr>
    </w:p>
    <w:p w14:paraId="3CC00178">
      <w:pPr>
        <w:spacing w:line="560" w:lineRule="exact"/>
        <w:rPr>
          <w:rFonts w:ascii="方正小标宋简体" w:hAnsi="宋体" w:eastAsia="方正小标宋简体"/>
          <w:color w:val="000000"/>
          <w:kern w:val="0"/>
          <w:sz w:val="44"/>
          <w:szCs w:val="44"/>
        </w:rPr>
      </w:pPr>
    </w:p>
    <w:p w14:paraId="0A46D6E1">
      <w:pPr>
        <w:spacing w:line="560" w:lineRule="exact"/>
        <w:rPr>
          <w:rFonts w:ascii="方正小标宋简体" w:hAnsi="宋体" w:eastAsia="方正小标宋简体"/>
          <w:color w:val="000000"/>
          <w:kern w:val="0"/>
          <w:sz w:val="44"/>
          <w:szCs w:val="44"/>
        </w:rPr>
      </w:pPr>
    </w:p>
    <w:p w14:paraId="46938E75">
      <w:pPr>
        <w:spacing w:line="560" w:lineRule="exact"/>
        <w:rPr>
          <w:rFonts w:ascii="方正小标宋简体" w:hAnsi="宋体" w:eastAsia="方正小标宋简体"/>
          <w:color w:val="000000"/>
          <w:kern w:val="0"/>
          <w:sz w:val="44"/>
          <w:szCs w:val="44"/>
        </w:rPr>
      </w:pPr>
    </w:p>
    <w:p w14:paraId="07FD4858">
      <w:pPr>
        <w:spacing w:line="560" w:lineRule="exact"/>
        <w:rPr>
          <w:rFonts w:ascii="方正小标宋简体" w:hAnsi="宋体" w:eastAsia="方正小标宋简体"/>
          <w:color w:val="000000"/>
          <w:kern w:val="0"/>
          <w:sz w:val="44"/>
          <w:szCs w:val="44"/>
        </w:rPr>
      </w:pPr>
    </w:p>
    <w:p w14:paraId="12CD59A8">
      <w:pPr>
        <w:spacing w:line="560" w:lineRule="exact"/>
        <w:rPr>
          <w:rFonts w:ascii="方正小标宋简体" w:hAnsi="宋体" w:eastAsia="方正小标宋简体"/>
          <w:color w:val="000000"/>
          <w:kern w:val="0"/>
          <w:sz w:val="44"/>
          <w:szCs w:val="44"/>
        </w:rPr>
      </w:pPr>
    </w:p>
    <w:p w14:paraId="59237C06">
      <w:pPr>
        <w:spacing w:line="560" w:lineRule="exact"/>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860"/>
        <w:gridCol w:w="920"/>
        <w:gridCol w:w="843"/>
        <w:gridCol w:w="1138"/>
        <w:gridCol w:w="513"/>
        <w:gridCol w:w="621"/>
        <w:gridCol w:w="513"/>
        <w:gridCol w:w="1212"/>
        <w:gridCol w:w="665"/>
        <w:gridCol w:w="665"/>
        <w:gridCol w:w="1018"/>
      </w:tblGrid>
      <w:tr w14:paraId="3F223412">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414B8DE">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06215B38">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E67E7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77E159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51090423T000007747290-2023年乡镇便民服务大厅维护费及农村“三资”集体管理经费</w:t>
            </w:r>
          </w:p>
        </w:tc>
      </w:tr>
      <w:tr w14:paraId="4EBBF567">
        <w:tblPrEx>
          <w:tblCellMar>
            <w:top w:w="0" w:type="dxa"/>
            <w:left w:w="108" w:type="dxa"/>
            <w:bottom w:w="0" w:type="dxa"/>
            <w:right w:w="108" w:type="dxa"/>
          </w:tblCellMar>
        </w:tblPrEx>
        <w:trPr>
          <w:trHeight w:val="45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58EAD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5CF2F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39B0FFE3">
            <w:pPr>
              <w:widowControl/>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实施单位</w:t>
            </w:r>
          </w:p>
          <w:p w14:paraId="56A9212B">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F2F24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10863790">
        <w:tblPrEx>
          <w:tblCellMar>
            <w:top w:w="0" w:type="dxa"/>
            <w:left w:w="108" w:type="dxa"/>
            <w:bottom w:w="0" w:type="dxa"/>
            <w:right w:w="108" w:type="dxa"/>
          </w:tblCellMar>
        </w:tblPrEx>
        <w:trPr>
          <w:trHeight w:val="66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8003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6BE9C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5819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97115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年度目标完成情况</w:t>
            </w:r>
          </w:p>
        </w:tc>
      </w:tr>
      <w:tr w14:paraId="30CC58AF">
        <w:tblPrEx>
          <w:tblCellMar>
            <w:top w:w="0" w:type="dxa"/>
            <w:left w:w="108" w:type="dxa"/>
            <w:bottom w:w="0" w:type="dxa"/>
            <w:right w:w="108"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8AA33">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EE018">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F6E69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公开办事流程，简化办事程序，提高便民大厅服务功能。定期对村三资进行公示公开，实行阳光操作。</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96A14D">
            <w:pPr>
              <w:keepNext w:val="0"/>
              <w:keepLines w:val="0"/>
              <w:pageBreakBefore w:val="0"/>
              <w:widowControl/>
              <w:kinsoku/>
              <w:wordWrap/>
              <w:overflowPunct/>
              <w:topLinePunct w:val="0"/>
              <w:autoSpaceDE/>
              <w:autoSpaceDN/>
              <w:bidi w:val="0"/>
              <w:adjustRightInd/>
              <w:snapToGrid/>
              <w:jc w:val="left"/>
              <w:textAlignment w:val="center"/>
              <w:rPr>
                <w:rFonts w:ascii="宋体" w:hAnsi="宋体" w:cs="宋体"/>
                <w:color w:val="000000"/>
                <w:sz w:val="18"/>
                <w:szCs w:val="18"/>
              </w:rPr>
            </w:pPr>
            <w:r>
              <w:rPr>
                <w:rFonts w:ascii="宋体" w:hAnsi="宋体" w:cs="宋体"/>
                <w:color w:val="000000"/>
                <w:kern w:val="0"/>
                <w:sz w:val="18"/>
                <w:szCs w:val="18"/>
                <w:lang w:bidi="ar"/>
              </w:rPr>
              <w:t>2023年我镇公开办事流程，简化办事程序，提高便民大厅服务功能</w:t>
            </w:r>
            <w:r>
              <w:rPr>
                <w:rFonts w:hint="eastAsia" w:ascii="宋体" w:hAnsi="宋体" w:cs="宋体"/>
                <w:color w:val="000000"/>
                <w:kern w:val="0"/>
                <w:sz w:val="18"/>
                <w:szCs w:val="18"/>
                <w:lang w:eastAsia="zh-CN" w:bidi="ar"/>
              </w:rPr>
              <w:t>。</w:t>
            </w:r>
            <w:r>
              <w:rPr>
                <w:rFonts w:ascii="宋体" w:hAnsi="宋体" w:cs="宋体"/>
                <w:color w:val="000000"/>
                <w:kern w:val="0"/>
                <w:sz w:val="18"/>
                <w:szCs w:val="18"/>
                <w:lang w:bidi="ar"/>
              </w:rPr>
              <w:t>定期对村三资进行公示公开，实行阳光操作。</w:t>
            </w:r>
          </w:p>
        </w:tc>
      </w:tr>
      <w:tr w14:paraId="24E4E923">
        <w:tblPrEx>
          <w:tblCellMar>
            <w:top w:w="0" w:type="dxa"/>
            <w:left w:w="108" w:type="dxa"/>
            <w:bottom w:w="0" w:type="dxa"/>
            <w:right w:w="108" w:type="dxa"/>
          </w:tblCellMar>
        </w:tblPrEx>
        <w:trPr>
          <w:trHeight w:val="6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56C56">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F9953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676E5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乡镇便民服务大厅维护费项目旨在保障便民服务大厅的正常运转和持续优化服务环境，提升居民办事的便捷性和满意度。</w:t>
            </w:r>
          </w:p>
        </w:tc>
      </w:tr>
      <w:tr w14:paraId="776EAF53">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8AA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FD5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A5A0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403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60D0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8E2C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1A3F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7F9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60F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3D85954F">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31202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01B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D9C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8B00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351D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D16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29D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F94894">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32999F">
            <w:pPr>
              <w:rPr>
                <w:rFonts w:ascii="黑体" w:hAnsi="黑体" w:eastAsia="黑体" w:cs="黑体"/>
                <w:i/>
                <w:iCs/>
                <w:color w:val="000000"/>
                <w:sz w:val="18"/>
                <w:szCs w:val="18"/>
              </w:rPr>
            </w:pPr>
          </w:p>
        </w:tc>
      </w:tr>
      <w:tr w14:paraId="7DFDF1C2">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547F7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7CC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DEF2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45B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90AF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0D2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AB4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CA01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18E89">
            <w:pPr>
              <w:rPr>
                <w:rFonts w:ascii="黑体" w:hAnsi="黑体" w:eastAsia="黑体" w:cs="黑体"/>
                <w:i/>
                <w:iCs/>
                <w:color w:val="000000"/>
                <w:sz w:val="18"/>
                <w:szCs w:val="18"/>
              </w:rPr>
            </w:pPr>
          </w:p>
        </w:tc>
      </w:tr>
      <w:tr w14:paraId="0CF39B84">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3EC1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F238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A53C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D03A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841F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5F92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C9E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9FE9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2C4D6">
            <w:pPr>
              <w:rPr>
                <w:rFonts w:ascii="黑体" w:hAnsi="黑体" w:eastAsia="黑体" w:cs="黑体"/>
                <w:i/>
                <w:iCs/>
                <w:color w:val="000000"/>
                <w:sz w:val="18"/>
                <w:szCs w:val="18"/>
              </w:rPr>
            </w:pPr>
          </w:p>
        </w:tc>
      </w:tr>
      <w:tr w14:paraId="26B6109C">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3EF1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D53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75F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09B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9FE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1CE2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BE8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EFDF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BFF23">
            <w:pPr>
              <w:rPr>
                <w:rFonts w:ascii="黑体" w:hAnsi="黑体" w:eastAsia="黑体" w:cs="黑体"/>
                <w:i/>
                <w:iCs/>
                <w:color w:val="000000"/>
                <w:sz w:val="18"/>
                <w:szCs w:val="18"/>
              </w:rPr>
            </w:pPr>
          </w:p>
        </w:tc>
      </w:tr>
      <w:tr w14:paraId="29EEB3A8">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05FD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2B6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A372B6">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14975D">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BE0260">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C88CA0">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53B6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0E39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7C41F">
            <w:pPr>
              <w:rPr>
                <w:rFonts w:ascii="黑体" w:hAnsi="黑体" w:eastAsia="黑体" w:cs="黑体"/>
                <w:i/>
                <w:iCs/>
                <w:color w:val="000000"/>
                <w:sz w:val="18"/>
                <w:szCs w:val="18"/>
              </w:rPr>
            </w:pPr>
          </w:p>
        </w:tc>
      </w:tr>
      <w:tr w14:paraId="6565070B">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670F9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2C6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AD85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CB60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C386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B2B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1F77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B81F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A71A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2BB9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DC6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005246D0">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656B6">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983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6A3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D98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印刷办事简介流程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F9C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962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AE1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374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BBA1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4FC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F8F3A">
            <w:pPr>
              <w:jc w:val="center"/>
              <w:rPr>
                <w:rFonts w:ascii="微软雅黑" w:hAnsi="微软雅黑" w:eastAsia="微软雅黑" w:cs="微软雅黑"/>
                <w:i/>
                <w:iCs/>
                <w:color w:val="000000"/>
                <w:sz w:val="16"/>
                <w:szCs w:val="16"/>
              </w:rPr>
            </w:pPr>
          </w:p>
        </w:tc>
      </w:tr>
      <w:tr w14:paraId="0B03B96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219D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D345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197B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DFAA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新增办事服务窗口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FF36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7D2A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46F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3435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157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6431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7DC4D4">
            <w:pPr>
              <w:jc w:val="center"/>
              <w:rPr>
                <w:rFonts w:ascii="微软雅黑" w:hAnsi="微软雅黑" w:eastAsia="微软雅黑" w:cs="微软雅黑"/>
                <w:i/>
                <w:iCs/>
                <w:color w:val="000000"/>
                <w:sz w:val="16"/>
                <w:szCs w:val="16"/>
              </w:rPr>
            </w:pPr>
          </w:p>
        </w:tc>
      </w:tr>
      <w:tr w14:paraId="3C932565">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F50E6">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5ED7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A1B0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D7B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办事群众投诉率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A77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D667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13E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E1F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FFEC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7B9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250D3">
            <w:pPr>
              <w:jc w:val="center"/>
              <w:rPr>
                <w:rFonts w:ascii="微软雅黑" w:hAnsi="微软雅黑" w:eastAsia="微软雅黑" w:cs="微软雅黑"/>
                <w:i/>
                <w:iCs/>
                <w:color w:val="000000"/>
                <w:sz w:val="16"/>
                <w:szCs w:val="16"/>
              </w:rPr>
            </w:pPr>
          </w:p>
        </w:tc>
      </w:tr>
      <w:tr w14:paraId="29491D0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D07C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8B25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7F31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33F2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DBC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FF2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6DA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9ABF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09DC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8418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A55B59">
            <w:pPr>
              <w:jc w:val="center"/>
              <w:rPr>
                <w:rFonts w:ascii="微软雅黑" w:hAnsi="微软雅黑" w:eastAsia="微软雅黑" w:cs="微软雅黑"/>
                <w:i/>
                <w:iCs/>
                <w:color w:val="000000"/>
                <w:sz w:val="16"/>
                <w:szCs w:val="16"/>
              </w:rPr>
            </w:pPr>
          </w:p>
        </w:tc>
      </w:tr>
      <w:tr w14:paraId="080706E6">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69B8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8065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5DC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54A7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节省群众等待办事时间，服务效率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A56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94C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9D6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955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9B4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92E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2706D">
            <w:pPr>
              <w:jc w:val="center"/>
              <w:rPr>
                <w:rFonts w:ascii="微软雅黑" w:hAnsi="微软雅黑" w:eastAsia="微软雅黑" w:cs="微软雅黑"/>
                <w:i/>
                <w:iCs/>
                <w:color w:val="000000"/>
                <w:sz w:val="16"/>
                <w:szCs w:val="16"/>
              </w:rPr>
            </w:pPr>
          </w:p>
        </w:tc>
      </w:tr>
      <w:tr w14:paraId="0E9E4D5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F7B5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11E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515F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D709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0B7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7AC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235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7C91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C9A2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F7DC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BBA0F">
            <w:pPr>
              <w:jc w:val="center"/>
              <w:rPr>
                <w:rFonts w:ascii="微软雅黑" w:hAnsi="微软雅黑" w:eastAsia="微软雅黑" w:cs="微软雅黑"/>
                <w:i/>
                <w:iCs/>
                <w:color w:val="000000"/>
                <w:sz w:val="16"/>
                <w:szCs w:val="16"/>
              </w:rPr>
            </w:pPr>
          </w:p>
        </w:tc>
      </w:tr>
      <w:tr w14:paraId="10C70FA0">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1CB67">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7286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ED3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D9613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印刷办事简介流程劳务费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DE1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523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565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5AF0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8B87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2BE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266DA4">
            <w:pPr>
              <w:jc w:val="center"/>
              <w:rPr>
                <w:rFonts w:ascii="微软雅黑" w:hAnsi="微软雅黑" w:eastAsia="微软雅黑" w:cs="微软雅黑"/>
                <w:i/>
                <w:iCs/>
                <w:color w:val="000000"/>
                <w:sz w:val="16"/>
                <w:szCs w:val="16"/>
              </w:rPr>
            </w:pPr>
          </w:p>
        </w:tc>
      </w:tr>
      <w:tr w14:paraId="0BA9C63D">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D7D8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D9C02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49442">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C71C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新增办事服务窗口购置办公设备等费用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B10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35E0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294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669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E8A1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AF4D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9DE47C">
            <w:pPr>
              <w:jc w:val="center"/>
              <w:rPr>
                <w:rFonts w:ascii="微软雅黑" w:hAnsi="微软雅黑" w:eastAsia="微软雅黑" w:cs="微软雅黑"/>
                <w:i/>
                <w:iCs/>
                <w:color w:val="000000"/>
                <w:sz w:val="16"/>
                <w:szCs w:val="16"/>
              </w:rPr>
            </w:pPr>
          </w:p>
        </w:tc>
      </w:tr>
      <w:tr w14:paraId="3A46FAB3">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2FE87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008A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62456F">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B138E1">
            <w:pPr>
              <w:rPr>
                <w:rFonts w:ascii="宋体" w:hAnsi="宋体" w:cs="宋体"/>
                <w:color w:val="000000"/>
                <w:sz w:val="18"/>
                <w:szCs w:val="18"/>
              </w:rPr>
            </w:pPr>
          </w:p>
        </w:tc>
      </w:tr>
      <w:tr w14:paraId="4110740B">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3753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4633B6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总体上看，项目目标明确、资金到位率高、组织监管体系完善。我镇便民服务大厅维护及农村“三资”集体管理等项目资金较好地实现了绩效目标。</w:t>
            </w:r>
          </w:p>
        </w:tc>
      </w:tr>
      <w:tr w14:paraId="54F7B76E">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E0A6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F438C6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乡镇便民服务大厅维护及农村“三资”集体管理工作经费，不能满足实际工作需要。</w:t>
            </w:r>
          </w:p>
        </w:tc>
      </w:tr>
      <w:tr w14:paraId="7CD9F237">
        <w:tblPrEx>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FC4A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F7C4E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一是加强资金统筹管理，完善多部门联动机制；二是建议增加乡镇便民服务大厅维护及农村“三资”集体管理工作资金投入，保障工作开展。</w:t>
            </w:r>
          </w:p>
        </w:tc>
      </w:tr>
      <w:tr w14:paraId="22FE18E1">
        <w:tblPrEx>
          <w:tblCellMar>
            <w:top w:w="0" w:type="dxa"/>
            <w:left w:w="108" w:type="dxa"/>
            <w:bottom w:w="0" w:type="dxa"/>
            <w:right w:w="108" w:type="dxa"/>
          </w:tblCellMar>
        </w:tblPrEx>
        <w:trPr>
          <w:trHeight w:val="46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EC10CC">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项目负责人：谢荣丞</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E554E6">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5A760BB7">
      <w:pPr>
        <w:spacing w:line="560" w:lineRule="exact"/>
        <w:rPr>
          <w:rFonts w:ascii="方正小标宋简体" w:hAnsi="宋体" w:eastAsia="方正小标宋简体"/>
          <w:color w:val="000000"/>
          <w:kern w:val="0"/>
          <w:sz w:val="44"/>
          <w:szCs w:val="44"/>
        </w:rPr>
      </w:pPr>
    </w:p>
    <w:p w14:paraId="709BFD27">
      <w:pPr>
        <w:spacing w:line="560" w:lineRule="exact"/>
        <w:rPr>
          <w:rFonts w:ascii="方正小标宋简体" w:hAnsi="宋体" w:eastAsia="方正小标宋简体"/>
          <w:color w:val="000000"/>
          <w:kern w:val="0"/>
          <w:sz w:val="44"/>
          <w:szCs w:val="44"/>
        </w:rPr>
      </w:pPr>
    </w:p>
    <w:p w14:paraId="1CF7C9D2">
      <w:pPr>
        <w:spacing w:line="560" w:lineRule="exact"/>
        <w:rPr>
          <w:rFonts w:ascii="方正小标宋简体" w:hAnsi="宋体" w:eastAsia="方正小标宋简体"/>
          <w:color w:val="000000"/>
          <w:kern w:val="0"/>
          <w:sz w:val="44"/>
          <w:szCs w:val="44"/>
        </w:rPr>
      </w:pPr>
    </w:p>
    <w:p w14:paraId="032263D0">
      <w:pPr>
        <w:spacing w:line="560" w:lineRule="exact"/>
        <w:rPr>
          <w:rFonts w:ascii="方正小标宋简体" w:hAnsi="宋体" w:eastAsia="方正小标宋简体"/>
          <w:color w:val="000000"/>
          <w:kern w:val="0"/>
          <w:sz w:val="44"/>
          <w:szCs w:val="44"/>
        </w:rPr>
      </w:pPr>
    </w:p>
    <w:p w14:paraId="002A2459">
      <w:pPr>
        <w:spacing w:line="560" w:lineRule="exact"/>
        <w:rPr>
          <w:rFonts w:ascii="方正小标宋简体" w:hAnsi="宋体" w:eastAsia="方正小标宋简体"/>
          <w:color w:val="000000"/>
          <w:kern w:val="0"/>
          <w:sz w:val="44"/>
          <w:szCs w:val="44"/>
        </w:rPr>
      </w:pPr>
    </w:p>
    <w:p w14:paraId="77E10F9C">
      <w:pPr>
        <w:spacing w:line="560" w:lineRule="exact"/>
        <w:rPr>
          <w:rFonts w:ascii="方正小标宋简体" w:hAnsi="宋体" w:eastAsia="方正小标宋简体"/>
          <w:color w:val="000000"/>
          <w:kern w:val="0"/>
          <w:sz w:val="44"/>
          <w:szCs w:val="44"/>
        </w:rPr>
      </w:pPr>
    </w:p>
    <w:p w14:paraId="2EC63E94">
      <w:pPr>
        <w:spacing w:line="560" w:lineRule="exact"/>
        <w:rPr>
          <w:rFonts w:ascii="方正小标宋简体" w:hAnsi="宋体" w:eastAsia="方正小标宋简体"/>
          <w:color w:val="000000"/>
          <w:kern w:val="0"/>
          <w:sz w:val="44"/>
          <w:szCs w:val="44"/>
        </w:rPr>
      </w:pPr>
    </w:p>
    <w:p w14:paraId="1E338683">
      <w:pPr>
        <w:spacing w:line="560" w:lineRule="exact"/>
        <w:rPr>
          <w:rFonts w:ascii="方正小标宋简体" w:hAnsi="宋体" w:eastAsia="方正小标宋简体"/>
          <w:color w:val="000000"/>
          <w:kern w:val="0"/>
          <w:sz w:val="44"/>
          <w:szCs w:val="44"/>
        </w:rPr>
      </w:pPr>
    </w:p>
    <w:p w14:paraId="42698F98">
      <w:pPr>
        <w:spacing w:line="560" w:lineRule="exact"/>
        <w:rPr>
          <w:rFonts w:ascii="方正小标宋简体" w:hAnsi="宋体" w:eastAsia="方正小标宋简体"/>
          <w:color w:val="000000"/>
          <w:kern w:val="0"/>
          <w:sz w:val="44"/>
          <w:szCs w:val="44"/>
        </w:rPr>
      </w:pPr>
    </w:p>
    <w:p w14:paraId="45C933A1">
      <w:pPr>
        <w:spacing w:line="560" w:lineRule="exact"/>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831"/>
        <w:gridCol w:w="885"/>
        <w:gridCol w:w="957"/>
        <w:gridCol w:w="1240"/>
        <w:gridCol w:w="573"/>
        <w:gridCol w:w="750"/>
        <w:gridCol w:w="894"/>
        <w:gridCol w:w="1101"/>
        <w:gridCol w:w="535"/>
        <w:gridCol w:w="535"/>
        <w:gridCol w:w="667"/>
      </w:tblGrid>
      <w:tr w14:paraId="183FFD5A">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6E54F4E">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6C0C0FA7">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24494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CD2FE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51090423T000007748589-2023年驻村工作队工作经费</w:t>
            </w:r>
          </w:p>
        </w:tc>
      </w:tr>
      <w:tr w14:paraId="4E140ED7">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DCFF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F1368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7CC68D2B">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BF43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7004FC73">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6E8B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E09B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AB1F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72CF3D">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30712334">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66A78">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DFF73">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44552B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开展扶贫济困活动，为困难群众提供必要的帮助和支持。组织工作队成员参加各类培训，提升政策理解、项目管理、农村工作等方面的能力。</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DBD9E82">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2023年度我镇对驻村工作队员进行培训、提升农村工作等方面的能力</w:t>
            </w:r>
            <w:r>
              <w:rPr>
                <w:rFonts w:hint="eastAsia" w:ascii="宋体" w:hAnsi="宋体" w:cs="宋体"/>
                <w:color w:val="000000"/>
                <w:kern w:val="0"/>
                <w:sz w:val="18"/>
                <w:szCs w:val="18"/>
                <w:lang w:eastAsia="zh-CN" w:bidi="ar"/>
              </w:rPr>
              <w:t>。</w:t>
            </w:r>
          </w:p>
        </w:tc>
      </w:tr>
      <w:tr w14:paraId="05AB1A54">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E628F">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CF2A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5CE563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组织工作队成员参加各类培训，提升政策理解、项目管理、农村工作等方面的能力。</w:t>
            </w:r>
          </w:p>
        </w:tc>
      </w:tr>
      <w:tr w14:paraId="2D434E72">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4FCA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246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4AC5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4E42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E8A2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2885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D3D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CA8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ADB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7BE2186E">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1A8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39B6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1585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C3DF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9DE6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5F97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F4F2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6E6FE">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3DF75E">
            <w:pPr>
              <w:rPr>
                <w:rFonts w:ascii="黑体" w:hAnsi="黑体" w:eastAsia="黑体" w:cs="黑体"/>
                <w:i/>
                <w:iCs/>
                <w:color w:val="000000"/>
                <w:sz w:val="18"/>
                <w:szCs w:val="18"/>
              </w:rPr>
            </w:pPr>
          </w:p>
        </w:tc>
      </w:tr>
      <w:tr w14:paraId="020B3B6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EAC3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EF9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989C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9F52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77E74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E81B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C86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D0B6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37550">
            <w:pPr>
              <w:rPr>
                <w:rFonts w:ascii="黑体" w:hAnsi="黑体" w:eastAsia="黑体" w:cs="黑体"/>
                <w:i/>
                <w:iCs/>
                <w:color w:val="000000"/>
                <w:sz w:val="18"/>
                <w:szCs w:val="18"/>
              </w:rPr>
            </w:pPr>
          </w:p>
        </w:tc>
      </w:tr>
      <w:tr w14:paraId="4CD6616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357B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D1C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01F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F7F3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A3DD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9A1C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CBA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F9F6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64BF7">
            <w:pPr>
              <w:rPr>
                <w:rFonts w:ascii="黑体" w:hAnsi="黑体" w:eastAsia="黑体" w:cs="黑体"/>
                <w:i/>
                <w:iCs/>
                <w:color w:val="000000"/>
                <w:sz w:val="18"/>
                <w:szCs w:val="18"/>
              </w:rPr>
            </w:pPr>
          </w:p>
        </w:tc>
      </w:tr>
      <w:tr w14:paraId="01D1132F">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2FF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400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25F1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1C2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7345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1680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7526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2A16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8A8D7">
            <w:pPr>
              <w:rPr>
                <w:rFonts w:ascii="黑体" w:hAnsi="黑体" w:eastAsia="黑体" w:cs="黑体"/>
                <w:i/>
                <w:iCs/>
                <w:color w:val="000000"/>
                <w:sz w:val="18"/>
                <w:szCs w:val="18"/>
              </w:rPr>
            </w:pPr>
          </w:p>
        </w:tc>
      </w:tr>
      <w:tr w14:paraId="5F1B574E">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5859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6197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D4CEF">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52F2D">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A87B4B">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C19C3">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27E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8052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E9E26">
            <w:pPr>
              <w:rPr>
                <w:rFonts w:ascii="黑体" w:hAnsi="黑体" w:eastAsia="黑体" w:cs="黑体"/>
                <w:i/>
                <w:iCs/>
                <w:color w:val="000000"/>
                <w:sz w:val="18"/>
                <w:szCs w:val="18"/>
              </w:rPr>
            </w:pPr>
          </w:p>
        </w:tc>
      </w:tr>
      <w:tr w14:paraId="11ABA683">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3803C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EA4C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EA3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A936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DBF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9B06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570F1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7C3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23F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F0D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2F27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10FFA59B">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DCDF">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396A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D42C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633D0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9个驻村工作队队员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C297A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9E0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D91A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2347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80E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A9F0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EB3B78">
            <w:pPr>
              <w:jc w:val="center"/>
              <w:rPr>
                <w:rFonts w:ascii="微软雅黑" w:hAnsi="微软雅黑" w:eastAsia="微软雅黑" w:cs="微软雅黑"/>
                <w:i/>
                <w:iCs/>
                <w:color w:val="000000"/>
                <w:sz w:val="16"/>
                <w:szCs w:val="16"/>
              </w:rPr>
            </w:pPr>
          </w:p>
        </w:tc>
      </w:tr>
      <w:tr w14:paraId="57024BE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3F5B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8C6FF">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866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2FBAE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资金到位率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BAA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E2C3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4215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BF80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9EBB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ED44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11DE4">
            <w:pPr>
              <w:jc w:val="center"/>
              <w:rPr>
                <w:rFonts w:ascii="微软雅黑" w:hAnsi="微软雅黑" w:eastAsia="微软雅黑" w:cs="微软雅黑"/>
                <w:i/>
                <w:iCs/>
                <w:color w:val="000000"/>
                <w:sz w:val="16"/>
                <w:szCs w:val="16"/>
              </w:rPr>
            </w:pPr>
          </w:p>
        </w:tc>
      </w:tr>
      <w:tr w14:paraId="2613B7A0">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01AA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0909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74E5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82A5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50B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A04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8C7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A2E3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1F9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780CD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6B8E9">
            <w:pPr>
              <w:jc w:val="center"/>
              <w:rPr>
                <w:rFonts w:ascii="微软雅黑" w:hAnsi="微软雅黑" w:eastAsia="微软雅黑" w:cs="微软雅黑"/>
                <w:i/>
                <w:iCs/>
                <w:color w:val="000000"/>
                <w:sz w:val="16"/>
                <w:szCs w:val="16"/>
              </w:rPr>
            </w:pPr>
          </w:p>
        </w:tc>
      </w:tr>
      <w:tr w14:paraId="2C270E17">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E396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E710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04DC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AFFF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觖决贫困村驻村工作队员工作费用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727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D90CB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92B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B1A7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92D5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09F9A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6C1CF9">
            <w:pPr>
              <w:jc w:val="center"/>
              <w:rPr>
                <w:rFonts w:ascii="微软雅黑" w:hAnsi="微软雅黑" w:eastAsia="微软雅黑" w:cs="微软雅黑"/>
                <w:i/>
                <w:iCs/>
                <w:color w:val="000000"/>
                <w:sz w:val="16"/>
                <w:szCs w:val="16"/>
              </w:rPr>
            </w:pPr>
          </w:p>
        </w:tc>
      </w:tr>
      <w:tr w14:paraId="71F5DE9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D46DF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ABB4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3D3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C47D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CCAD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CD2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03151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C76B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BFE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182E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E8E99">
            <w:pPr>
              <w:jc w:val="center"/>
              <w:rPr>
                <w:rFonts w:ascii="微软雅黑" w:hAnsi="微软雅黑" w:eastAsia="微软雅黑" w:cs="微软雅黑"/>
                <w:i/>
                <w:iCs/>
                <w:color w:val="000000"/>
                <w:sz w:val="16"/>
                <w:szCs w:val="16"/>
              </w:rPr>
            </w:pPr>
          </w:p>
        </w:tc>
      </w:tr>
      <w:tr w14:paraId="0D06B0C3">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04380">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A40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BF2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D24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驻村工作队员5000元/人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C088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2D7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0071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元/人·次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0F9B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BC6F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31C2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2673C5">
            <w:pPr>
              <w:jc w:val="center"/>
              <w:rPr>
                <w:rFonts w:ascii="微软雅黑" w:hAnsi="微软雅黑" w:eastAsia="微软雅黑" w:cs="微软雅黑"/>
                <w:i/>
                <w:iCs/>
                <w:color w:val="000000"/>
                <w:sz w:val="16"/>
                <w:szCs w:val="16"/>
              </w:rPr>
            </w:pPr>
          </w:p>
        </w:tc>
      </w:tr>
      <w:tr w14:paraId="4E45C443">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2FB0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D5438">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F0309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4271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驻村工作队工作经费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DDB6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0A1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5C86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1149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45000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939E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AFA7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DD29B">
            <w:pPr>
              <w:jc w:val="center"/>
              <w:rPr>
                <w:rFonts w:ascii="微软雅黑" w:hAnsi="微软雅黑" w:eastAsia="微软雅黑" w:cs="微软雅黑"/>
                <w:i/>
                <w:iCs/>
                <w:color w:val="000000"/>
                <w:sz w:val="16"/>
                <w:szCs w:val="16"/>
              </w:rPr>
            </w:pPr>
          </w:p>
        </w:tc>
      </w:tr>
      <w:tr w14:paraId="4A617C27">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4361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1CED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C9F8E7">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464978">
            <w:pPr>
              <w:rPr>
                <w:rFonts w:ascii="宋体" w:hAnsi="宋体" w:cs="宋体"/>
                <w:color w:val="000000"/>
                <w:sz w:val="18"/>
                <w:szCs w:val="18"/>
              </w:rPr>
            </w:pPr>
          </w:p>
        </w:tc>
      </w:tr>
      <w:tr w14:paraId="07D7E1A8">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D5F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3C9AC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驻村工作队工作经费能够合理规划、高效使用，并达到预期的目标和效果，同时严格遵守相关财务规定和法律法规。</w:t>
            </w:r>
          </w:p>
        </w:tc>
      </w:tr>
      <w:tr w14:paraId="3CAE557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B5B9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D872F1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部分工作队成员可能缺乏项目管理经验，导致项目推进缓慢、效果不佳。</w:t>
            </w:r>
          </w:p>
        </w:tc>
      </w:tr>
      <w:tr w14:paraId="55365EC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C94C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tcPr>
          <w:p w14:paraId="6E46A2BB">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加强工作队成员的培训和教育，提高其项目管理能力和综合素质。</w:t>
            </w:r>
          </w:p>
        </w:tc>
      </w:tr>
      <w:tr w14:paraId="6A1ABD5E">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A34452">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125614">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23B66027">
      <w:pPr>
        <w:spacing w:line="560" w:lineRule="exact"/>
        <w:rPr>
          <w:rFonts w:ascii="方正小标宋简体" w:hAnsi="宋体" w:eastAsia="方正小标宋简体"/>
          <w:color w:val="000000"/>
          <w:kern w:val="0"/>
          <w:sz w:val="44"/>
          <w:szCs w:val="44"/>
        </w:rPr>
      </w:pPr>
    </w:p>
    <w:p w14:paraId="21BC0246">
      <w:pPr>
        <w:spacing w:line="560" w:lineRule="exact"/>
        <w:rPr>
          <w:rFonts w:ascii="方正小标宋简体" w:hAnsi="宋体" w:eastAsia="方正小标宋简体"/>
          <w:color w:val="000000"/>
          <w:kern w:val="0"/>
          <w:sz w:val="44"/>
          <w:szCs w:val="44"/>
        </w:rPr>
      </w:pPr>
    </w:p>
    <w:p w14:paraId="6AE1AD25">
      <w:pPr>
        <w:spacing w:line="560" w:lineRule="exact"/>
        <w:rPr>
          <w:rFonts w:ascii="方正小标宋简体" w:hAnsi="宋体" w:eastAsia="方正小标宋简体"/>
          <w:color w:val="000000"/>
          <w:kern w:val="0"/>
          <w:sz w:val="44"/>
          <w:szCs w:val="44"/>
        </w:rPr>
      </w:pPr>
    </w:p>
    <w:p w14:paraId="46312D4D">
      <w:pPr>
        <w:spacing w:line="560" w:lineRule="exact"/>
        <w:rPr>
          <w:rFonts w:ascii="方正小标宋简体" w:hAnsi="宋体" w:eastAsia="方正小标宋简体"/>
          <w:color w:val="000000"/>
          <w:kern w:val="0"/>
          <w:sz w:val="44"/>
          <w:szCs w:val="44"/>
        </w:rPr>
      </w:pPr>
    </w:p>
    <w:p w14:paraId="4727A61A">
      <w:pPr>
        <w:spacing w:line="560" w:lineRule="exact"/>
        <w:rPr>
          <w:rFonts w:ascii="方正小标宋简体" w:hAnsi="宋体" w:eastAsia="方正小标宋简体"/>
          <w:color w:val="000000"/>
          <w:kern w:val="0"/>
          <w:sz w:val="44"/>
          <w:szCs w:val="44"/>
        </w:rPr>
      </w:pPr>
    </w:p>
    <w:p w14:paraId="6674D7DA">
      <w:pPr>
        <w:spacing w:line="560" w:lineRule="exact"/>
        <w:rPr>
          <w:rFonts w:ascii="方正小标宋简体" w:hAnsi="宋体" w:eastAsia="方正小标宋简体"/>
          <w:color w:val="000000"/>
          <w:kern w:val="0"/>
          <w:sz w:val="44"/>
          <w:szCs w:val="44"/>
        </w:rPr>
      </w:pPr>
    </w:p>
    <w:p w14:paraId="014208F8">
      <w:pPr>
        <w:spacing w:line="560" w:lineRule="exact"/>
        <w:rPr>
          <w:rFonts w:ascii="方正小标宋简体" w:hAnsi="宋体" w:eastAsia="方正小标宋简体"/>
          <w:color w:val="000000"/>
          <w:kern w:val="0"/>
          <w:sz w:val="44"/>
          <w:szCs w:val="44"/>
        </w:rPr>
      </w:pPr>
    </w:p>
    <w:p w14:paraId="1233FA65">
      <w:pPr>
        <w:spacing w:line="560" w:lineRule="exact"/>
        <w:rPr>
          <w:rFonts w:ascii="方正小标宋简体" w:hAnsi="宋体" w:eastAsia="方正小标宋简体"/>
          <w:color w:val="000000"/>
          <w:kern w:val="0"/>
          <w:sz w:val="44"/>
          <w:szCs w:val="44"/>
        </w:rPr>
      </w:pPr>
    </w:p>
    <w:p w14:paraId="56923F25">
      <w:pPr>
        <w:spacing w:line="560" w:lineRule="exact"/>
        <w:rPr>
          <w:rFonts w:ascii="方正小标宋简体" w:hAnsi="宋体" w:eastAsia="方正小标宋简体"/>
          <w:color w:val="000000"/>
          <w:kern w:val="0"/>
          <w:sz w:val="44"/>
          <w:szCs w:val="44"/>
        </w:rPr>
      </w:pPr>
    </w:p>
    <w:p w14:paraId="68DB6E45">
      <w:pPr>
        <w:spacing w:line="560" w:lineRule="exact"/>
        <w:rPr>
          <w:rFonts w:ascii="方正小标宋简体" w:hAnsi="宋体" w:eastAsia="方正小标宋简体"/>
          <w:color w:val="000000"/>
          <w:kern w:val="0"/>
          <w:sz w:val="44"/>
          <w:szCs w:val="44"/>
        </w:rPr>
      </w:pPr>
    </w:p>
    <w:p w14:paraId="51F00694">
      <w:pPr>
        <w:spacing w:line="560" w:lineRule="exact"/>
        <w:rPr>
          <w:rFonts w:ascii="方正小标宋简体" w:hAnsi="宋体" w:eastAsia="方正小标宋简体"/>
          <w:color w:val="000000"/>
          <w:kern w:val="0"/>
          <w:sz w:val="44"/>
          <w:szCs w:val="44"/>
        </w:rPr>
      </w:pPr>
    </w:p>
    <w:p w14:paraId="0C7A6856">
      <w:pPr>
        <w:spacing w:line="560" w:lineRule="exact"/>
        <w:rPr>
          <w:rFonts w:ascii="方正小标宋简体" w:hAnsi="宋体" w:eastAsia="方正小标宋简体"/>
          <w:color w:val="000000"/>
          <w:kern w:val="0"/>
          <w:sz w:val="44"/>
          <w:szCs w:val="44"/>
        </w:rPr>
      </w:pPr>
    </w:p>
    <w:p w14:paraId="081410FE">
      <w:pPr>
        <w:spacing w:line="560" w:lineRule="exact"/>
        <w:rPr>
          <w:rFonts w:ascii="方正小标宋简体" w:hAnsi="宋体" w:eastAsia="方正小标宋简体"/>
          <w:color w:val="000000"/>
          <w:kern w:val="0"/>
          <w:sz w:val="44"/>
          <w:szCs w:val="44"/>
        </w:rPr>
      </w:pPr>
    </w:p>
    <w:p w14:paraId="2D06ED70">
      <w:pPr>
        <w:spacing w:line="560" w:lineRule="exact"/>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778"/>
        <w:gridCol w:w="821"/>
        <w:gridCol w:w="981"/>
        <w:gridCol w:w="981"/>
        <w:gridCol w:w="588"/>
        <w:gridCol w:w="775"/>
        <w:gridCol w:w="588"/>
        <w:gridCol w:w="1191"/>
        <w:gridCol w:w="657"/>
        <w:gridCol w:w="657"/>
        <w:gridCol w:w="951"/>
      </w:tblGrid>
      <w:tr w14:paraId="69DD3607">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5EADC65">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10636769">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448F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42B30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51090423T000007747279-2023年镇（街道）统计工作经费</w:t>
            </w:r>
          </w:p>
        </w:tc>
      </w:tr>
      <w:tr w14:paraId="77A68391">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E112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74EDDF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1FDED56B">
            <w:pPr>
              <w:widowControl/>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实施单位</w:t>
            </w:r>
          </w:p>
          <w:p w14:paraId="7E0BAA69">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57ED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1EE7A3EC">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71F7B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B20B0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3160E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1C432B0">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2AFF4BB0">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7C1A3">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7BA07">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9EFA74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严格执行《中华人民共和国统计法》如实提供统计调查资料，确保统计数据准确性，认真完成2023年统计年报及各项调查任务，精准数据，如实上报。</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A4ED29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2023年我镇严格执行《中华人民共和国统计法》如实提供统计调查资料，确保统计数据准确性，认真完成2023年统计年报及各项调查任务。</w:t>
            </w:r>
          </w:p>
        </w:tc>
      </w:tr>
      <w:tr w14:paraId="6EA12B50">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9506D">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A398F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86C88C">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根据统计工作的实际需求，合理编制经费预算，包括人员经费、设备购置与维护费、数据采集与处理费、培训费、会议费、差旅费等各项支出。</w:t>
            </w:r>
            <w:r>
              <w:rPr>
                <w:rFonts w:ascii="宋体" w:hAnsi="宋体" w:cs="宋体"/>
                <w:color w:val="000000"/>
                <w:kern w:val="0"/>
                <w:sz w:val="18"/>
                <w:szCs w:val="18"/>
                <w:lang w:bidi="ar"/>
              </w:rPr>
              <w:br w:type="textWrapping"/>
            </w:r>
            <w:r>
              <w:rPr>
                <w:rFonts w:ascii="宋体" w:hAnsi="宋体" w:cs="宋体"/>
                <w:color w:val="000000"/>
                <w:kern w:val="0"/>
                <w:sz w:val="18"/>
                <w:szCs w:val="18"/>
                <w:lang w:bidi="ar"/>
              </w:rPr>
              <w:t>预算需经过财务部门审核，并报上级部门审批，确保经费使用的合理性和科学性。成立项目实施小组，明确各成员职责和任务分工。召开项目启动会议，明确项目目标、实施计划和经费预算等内容</w:t>
            </w:r>
            <w:r>
              <w:rPr>
                <w:rFonts w:hint="eastAsia" w:ascii="宋体" w:hAnsi="宋体" w:cs="宋体"/>
                <w:color w:val="000000"/>
                <w:kern w:val="0"/>
                <w:sz w:val="18"/>
                <w:szCs w:val="18"/>
                <w:lang w:eastAsia="zh-CN" w:bidi="ar"/>
              </w:rPr>
              <w:t>。</w:t>
            </w:r>
          </w:p>
        </w:tc>
      </w:tr>
      <w:tr w14:paraId="03BDE1B9">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D3A1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3DC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D24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E9ED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CE65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3AA3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86A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A03A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8F65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334C34D5">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46D2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6EF5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7D95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661D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D931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F3AC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9E3F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3499A4">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80A964">
            <w:pPr>
              <w:rPr>
                <w:rFonts w:ascii="黑体" w:hAnsi="黑体" w:eastAsia="黑体" w:cs="黑体"/>
                <w:i/>
                <w:iCs/>
                <w:color w:val="000000"/>
                <w:sz w:val="18"/>
                <w:szCs w:val="18"/>
              </w:rPr>
            </w:pPr>
          </w:p>
        </w:tc>
      </w:tr>
      <w:tr w14:paraId="0CB69FC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61890">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8AE1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6F10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4DB2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95F3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E939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90E0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4EE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A7B1A">
            <w:pPr>
              <w:rPr>
                <w:rFonts w:ascii="黑体" w:hAnsi="黑体" w:eastAsia="黑体" w:cs="黑体"/>
                <w:i/>
                <w:iCs/>
                <w:color w:val="000000"/>
                <w:sz w:val="18"/>
                <w:szCs w:val="18"/>
              </w:rPr>
            </w:pPr>
          </w:p>
        </w:tc>
      </w:tr>
      <w:tr w14:paraId="2A69D09E">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BEBC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DFAC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C52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8C95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9F8F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F6F3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CBAF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7E17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933EA">
            <w:pPr>
              <w:rPr>
                <w:rFonts w:ascii="黑体" w:hAnsi="黑体" w:eastAsia="黑体" w:cs="黑体"/>
                <w:i/>
                <w:iCs/>
                <w:color w:val="000000"/>
                <w:sz w:val="18"/>
                <w:szCs w:val="18"/>
              </w:rPr>
            </w:pPr>
          </w:p>
        </w:tc>
      </w:tr>
      <w:tr w14:paraId="312554C2">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756A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00A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85C9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581C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3833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157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484BD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95B0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DBF4D">
            <w:pPr>
              <w:rPr>
                <w:rFonts w:ascii="黑体" w:hAnsi="黑体" w:eastAsia="黑体" w:cs="黑体"/>
                <w:i/>
                <w:iCs/>
                <w:color w:val="000000"/>
                <w:sz w:val="18"/>
                <w:szCs w:val="18"/>
              </w:rPr>
            </w:pPr>
          </w:p>
        </w:tc>
      </w:tr>
      <w:tr w14:paraId="0AA357B3">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FE0C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4D59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A91158">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EE0D14">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F42CED">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B45A5">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47F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A31A2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105AF">
            <w:pPr>
              <w:rPr>
                <w:rFonts w:ascii="黑体" w:hAnsi="黑体" w:eastAsia="黑体" w:cs="黑体"/>
                <w:i/>
                <w:iCs/>
                <w:color w:val="000000"/>
                <w:sz w:val="18"/>
                <w:szCs w:val="18"/>
              </w:rPr>
            </w:pPr>
          </w:p>
        </w:tc>
      </w:tr>
      <w:tr w14:paraId="0F6710BA">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70C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8B70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7B30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B3B6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4E4D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9DC7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5AA3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0BEF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CB9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1DD1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7D57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231BD4F5">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5A585">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E903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A7CF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DDA1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统计资料印制费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99E7B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6F955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2F4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95B90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14D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DCC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0F1E3B">
            <w:pPr>
              <w:jc w:val="center"/>
              <w:rPr>
                <w:rFonts w:ascii="微软雅黑" w:hAnsi="微软雅黑" w:eastAsia="微软雅黑" w:cs="微软雅黑"/>
                <w:i/>
                <w:iCs/>
                <w:color w:val="000000"/>
                <w:sz w:val="16"/>
                <w:szCs w:val="16"/>
              </w:rPr>
            </w:pPr>
          </w:p>
        </w:tc>
      </w:tr>
      <w:tr w14:paraId="1AABAD5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42D55">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DBE1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89F9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A6E8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统计工作会议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D390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F9009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6AC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C046F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0814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E09E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E19319">
            <w:pPr>
              <w:jc w:val="center"/>
              <w:rPr>
                <w:rFonts w:ascii="微软雅黑" w:hAnsi="微软雅黑" w:eastAsia="微软雅黑" w:cs="微软雅黑"/>
                <w:i/>
                <w:iCs/>
                <w:color w:val="000000"/>
                <w:sz w:val="16"/>
                <w:szCs w:val="16"/>
              </w:rPr>
            </w:pPr>
          </w:p>
        </w:tc>
      </w:tr>
      <w:tr w14:paraId="220421E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AC8D1">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A133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FBB4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5826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住户调查人员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8B9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D0D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37EE8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0041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C462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7A9C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26223E">
            <w:pPr>
              <w:jc w:val="center"/>
              <w:rPr>
                <w:rFonts w:ascii="微软雅黑" w:hAnsi="微软雅黑" w:eastAsia="微软雅黑" w:cs="微软雅黑"/>
                <w:i/>
                <w:iCs/>
                <w:color w:val="000000"/>
                <w:sz w:val="16"/>
                <w:szCs w:val="16"/>
              </w:rPr>
            </w:pPr>
          </w:p>
        </w:tc>
      </w:tr>
      <w:tr w14:paraId="407C696D">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5C4B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DA34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28D21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DF2E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各项普查数据准确率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3A79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1E3B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428C0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9DA7C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72800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D3EB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0BFBF">
            <w:pPr>
              <w:jc w:val="center"/>
              <w:rPr>
                <w:rFonts w:ascii="微软雅黑" w:hAnsi="微软雅黑" w:eastAsia="微软雅黑" w:cs="微软雅黑"/>
                <w:i/>
                <w:iCs/>
                <w:color w:val="000000"/>
                <w:sz w:val="16"/>
                <w:szCs w:val="16"/>
              </w:rPr>
            </w:pPr>
          </w:p>
        </w:tc>
      </w:tr>
      <w:tr w14:paraId="5417EC9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A447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C633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D2A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24F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CCFE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628F2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2CC3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FA02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543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668B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39E153">
            <w:pPr>
              <w:jc w:val="center"/>
              <w:rPr>
                <w:rFonts w:ascii="微软雅黑" w:hAnsi="微软雅黑" w:eastAsia="微软雅黑" w:cs="微软雅黑"/>
                <w:i/>
                <w:iCs/>
                <w:color w:val="000000"/>
                <w:sz w:val="16"/>
                <w:szCs w:val="16"/>
              </w:rPr>
            </w:pPr>
          </w:p>
        </w:tc>
      </w:tr>
      <w:tr w14:paraId="4EC9D341">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BB0B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BB1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029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88C8D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数据正确率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E751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D56C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F5C8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26A9B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D62C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F9A85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283214">
            <w:pPr>
              <w:jc w:val="center"/>
              <w:rPr>
                <w:rFonts w:ascii="微软雅黑" w:hAnsi="微软雅黑" w:eastAsia="微软雅黑" w:cs="微软雅黑"/>
                <w:i/>
                <w:iCs/>
                <w:color w:val="000000"/>
                <w:sz w:val="16"/>
                <w:szCs w:val="16"/>
              </w:rPr>
            </w:pPr>
          </w:p>
        </w:tc>
      </w:tr>
      <w:tr w14:paraId="7F957EC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5F30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05BA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AA9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067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7765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B17F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C40C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EA1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FC9F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11DCE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C8118">
            <w:pPr>
              <w:jc w:val="center"/>
              <w:rPr>
                <w:rFonts w:ascii="微软雅黑" w:hAnsi="微软雅黑" w:eastAsia="微软雅黑" w:cs="微软雅黑"/>
                <w:i/>
                <w:iCs/>
                <w:color w:val="000000"/>
                <w:sz w:val="16"/>
                <w:szCs w:val="16"/>
              </w:rPr>
            </w:pPr>
          </w:p>
        </w:tc>
      </w:tr>
      <w:tr w14:paraId="2E8C50B0">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2A4F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FD81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B97B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1410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住户调查人员劳务费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046F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DFE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049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89C7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AF68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6A83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C769E">
            <w:pPr>
              <w:jc w:val="center"/>
              <w:rPr>
                <w:rFonts w:ascii="微软雅黑" w:hAnsi="微软雅黑" w:eastAsia="微软雅黑" w:cs="微软雅黑"/>
                <w:i/>
                <w:iCs/>
                <w:color w:val="000000"/>
                <w:sz w:val="16"/>
                <w:szCs w:val="16"/>
              </w:rPr>
            </w:pPr>
          </w:p>
        </w:tc>
      </w:tr>
      <w:tr w14:paraId="415E9619">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C0EC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5DD5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D2019">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9D23F4">
            <w:pPr>
              <w:rPr>
                <w:rFonts w:ascii="宋体" w:hAnsi="宋体" w:cs="宋体"/>
                <w:color w:val="000000"/>
                <w:sz w:val="18"/>
                <w:szCs w:val="18"/>
              </w:rPr>
            </w:pPr>
          </w:p>
        </w:tc>
      </w:tr>
      <w:tr w14:paraId="450E3532">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BC37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D746A9D">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总体上看，项目目标明确、资金到位率高、组织监管体系完善。我镇（街道）统计工作经费项目资金较好地实现了绩效目标</w:t>
            </w:r>
            <w:r>
              <w:rPr>
                <w:rFonts w:hint="eastAsia" w:ascii="宋体" w:hAnsi="宋体" w:cs="宋体"/>
                <w:color w:val="000000"/>
                <w:kern w:val="0"/>
                <w:sz w:val="18"/>
                <w:szCs w:val="18"/>
                <w:lang w:eastAsia="zh-CN" w:bidi="ar"/>
              </w:rPr>
              <w:t>。</w:t>
            </w:r>
          </w:p>
        </w:tc>
      </w:tr>
      <w:tr w14:paraId="0D5C27EA">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C8166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9EB863">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部分统计人员专业素质不高，对统计制度和方法理解不透彻，加上工作量大、时间紧迫等因素，导致数据质量难以保证。</w:t>
            </w:r>
          </w:p>
        </w:tc>
      </w:tr>
      <w:tr w14:paraId="21307066">
        <w:tblPrEx>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1E903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3937D1">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加强统计人员的培训和管理，提高其专业素质和业务能力</w:t>
            </w:r>
            <w:r>
              <w:rPr>
                <w:rFonts w:hint="eastAsia" w:ascii="宋体" w:hAnsi="宋体" w:cs="宋体"/>
                <w:color w:val="000000"/>
                <w:kern w:val="0"/>
                <w:sz w:val="18"/>
                <w:szCs w:val="18"/>
                <w:lang w:eastAsia="zh-CN" w:bidi="ar"/>
              </w:rPr>
              <w:t>。</w:t>
            </w:r>
          </w:p>
        </w:tc>
      </w:tr>
      <w:tr w14:paraId="75E5CAC0">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6667E6">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项目负责人：贺鹏航</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AF4026A">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72462E41">
      <w:pPr>
        <w:spacing w:line="560" w:lineRule="exact"/>
        <w:rPr>
          <w:rFonts w:ascii="方正小标宋简体" w:hAnsi="宋体" w:eastAsia="方正小标宋简体"/>
          <w:color w:val="000000"/>
          <w:kern w:val="0"/>
          <w:sz w:val="44"/>
          <w:szCs w:val="44"/>
        </w:rPr>
      </w:pPr>
    </w:p>
    <w:p w14:paraId="60C94E07">
      <w:pPr>
        <w:spacing w:line="560" w:lineRule="exact"/>
        <w:rPr>
          <w:rFonts w:ascii="方正小标宋简体" w:hAnsi="宋体" w:eastAsia="方正小标宋简体"/>
          <w:color w:val="000000"/>
          <w:kern w:val="0"/>
          <w:sz w:val="44"/>
          <w:szCs w:val="44"/>
        </w:rPr>
      </w:pPr>
    </w:p>
    <w:p w14:paraId="6A18957C">
      <w:pPr>
        <w:spacing w:line="560" w:lineRule="exact"/>
        <w:rPr>
          <w:rFonts w:ascii="方正小标宋简体" w:hAnsi="宋体" w:eastAsia="方正小标宋简体"/>
          <w:color w:val="000000"/>
          <w:kern w:val="0"/>
          <w:sz w:val="44"/>
          <w:szCs w:val="44"/>
        </w:rPr>
      </w:pPr>
    </w:p>
    <w:p w14:paraId="187E2023">
      <w:pPr>
        <w:spacing w:line="560" w:lineRule="exact"/>
        <w:rPr>
          <w:rFonts w:ascii="方正小标宋简体" w:hAnsi="宋体" w:eastAsia="方正小标宋简体"/>
          <w:color w:val="000000"/>
          <w:kern w:val="0"/>
          <w:sz w:val="44"/>
          <w:szCs w:val="44"/>
        </w:rPr>
      </w:pPr>
    </w:p>
    <w:p w14:paraId="65D328BA">
      <w:pPr>
        <w:spacing w:line="560" w:lineRule="exact"/>
        <w:rPr>
          <w:rFonts w:ascii="方正小标宋简体" w:hAnsi="宋体" w:eastAsia="方正小标宋简体"/>
          <w:color w:val="000000"/>
          <w:kern w:val="0"/>
          <w:sz w:val="44"/>
          <w:szCs w:val="44"/>
        </w:rPr>
      </w:pPr>
    </w:p>
    <w:p w14:paraId="594E58D0">
      <w:pPr>
        <w:spacing w:line="560" w:lineRule="exact"/>
        <w:rPr>
          <w:rFonts w:ascii="方正小标宋简体" w:hAnsi="宋体" w:eastAsia="方正小标宋简体"/>
          <w:color w:val="000000"/>
          <w:kern w:val="0"/>
          <w:sz w:val="44"/>
          <w:szCs w:val="44"/>
        </w:rPr>
      </w:pPr>
    </w:p>
    <w:p w14:paraId="54E01399">
      <w:pPr>
        <w:spacing w:line="560" w:lineRule="exact"/>
        <w:rPr>
          <w:rFonts w:ascii="方正小标宋简体" w:hAnsi="宋体" w:eastAsia="方正小标宋简体"/>
          <w:color w:val="000000"/>
          <w:kern w:val="0"/>
          <w:sz w:val="44"/>
          <w:szCs w:val="44"/>
        </w:rPr>
      </w:pPr>
    </w:p>
    <w:p w14:paraId="7930916D">
      <w:pPr>
        <w:spacing w:line="560" w:lineRule="exact"/>
        <w:rPr>
          <w:rFonts w:ascii="方正小标宋简体" w:hAnsi="宋体" w:eastAsia="方正小标宋简体"/>
          <w:color w:val="000000"/>
          <w:kern w:val="0"/>
          <w:sz w:val="44"/>
          <w:szCs w:val="44"/>
        </w:rPr>
      </w:pPr>
    </w:p>
    <w:p w14:paraId="5490F289">
      <w:pPr>
        <w:spacing w:line="560" w:lineRule="exact"/>
        <w:rPr>
          <w:rFonts w:ascii="方正小标宋简体" w:hAnsi="宋体" w:eastAsia="方正小标宋简体"/>
          <w:color w:val="000000"/>
          <w:kern w:val="0"/>
          <w:sz w:val="44"/>
          <w:szCs w:val="44"/>
        </w:rPr>
      </w:pPr>
    </w:p>
    <w:p w14:paraId="411F9252">
      <w:pPr>
        <w:pStyle w:val="2"/>
        <w:rPr>
          <w:rFonts w:ascii="方正小标宋简体" w:hAnsi="宋体" w:eastAsia="方正小标宋简体"/>
          <w:color w:val="000000"/>
          <w:kern w:val="0"/>
          <w:sz w:val="44"/>
          <w:szCs w:val="44"/>
        </w:rPr>
      </w:pPr>
    </w:p>
    <w:p w14:paraId="79955FDA">
      <w:pPr>
        <w:pStyle w:val="3"/>
      </w:pPr>
    </w:p>
    <w:p w14:paraId="4D4B8775">
      <w:pPr>
        <w:spacing w:line="560" w:lineRule="exact"/>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730"/>
        <w:gridCol w:w="764"/>
        <w:gridCol w:w="756"/>
        <w:gridCol w:w="922"/>
        <w:gridCol w:w="528"/>
        <w:gridCol w:w="736"/>
        <w:gridCol w:w="528"/>
        <w:gridCol w:w="1539"/>
        <w:gridCol w:w="707"/>
        <w:gridCol w:w="707"/>
        <w:gridCol w:w="1051"/>
      </w:tblGrid>
      <w:tr w14:paraId="7994141C">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6239636">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0E151220">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4DD2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15E40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51090423T000007747241-2023年乡镇人大代表监督、视察等经费</w:t>
            </w:r>
          </w:p>
        </w:tc>
      </w:tr>
      <w:tr w14:paraId="024C7650">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CDA82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E577A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5AF40587">
            <w:pPr>
              <w:widowControl/>
              <w:jc w:val="left"/>
              <w:textAlignment w:val="center"/>
              <w:rPr>
                <w:rFonts w:ascii="黑体" w:hAnsi="黑体" w:eastAsia="黑体" w:cs="黑体"/>
                <w:color w:val="000000"/>
                <w:sz w:val="18"/>
                <w:szCs w:val="18"/>
              </w:rPr>
            </w:pPr>
            <w:r>
              <w:rPr>
                <w:rFonts w:ascii="宋体" w:hAnsi="宋体" w:cs="宋体"/>
                <w:color w:val="000000"/>
                <w:kern w:val="0"/>
                <w:sz w:val="18"/>
                <w:szCs w:val="18"/>
                <w:lang w:bidi="ar"/>
              </w:rPr>
              <w:t>实施单位（盖章）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DBB3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76ED2B7D">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627C4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84C4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E41B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879AED">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4B338F47">
        <w:tblPrEx>
          <w:tblCellMar>
            <w:top w:w="0" w:type="dxa"/>
            <w:left w:w="108" w:type="dxa"/>
            <w:bottom w:w="0" w:type="dxa"/>
            <w:right w:w="108" w:type="dxa"/>
          </w:tblCellMar>
        </w:tblPrEx>
        <w:trPr>
          <w:trHeight w:val="115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403D8">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CE078">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4D8D9E">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围绕群众切身利益，坚持对民生实事开展检查，履行好监督职责。掌握各项工作推进情况，听取基层人民群众心声，并提出工作建议</w:t>
            </w:r>
            <w:r>
              <w:rPr>
                <w:rFonts w:hint="eastAsia" w:ascii="宋体" w:hAnsi="宋体" w:cs="宋体"/>
                <w:color w:val="000000"/>
                <w:kern w:val="0"/>
                <w:sz w:val="18"/>
                <w:szCs w:val="18"/>
                <w:lang w:eastAsia="zh-CN" w:bidi="ar"/>
              </w:rPr>
              <w:t>。</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17D7D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2023年度，镇人大代表坚决履行职能职责，围绕群众切身利益，听取基层人民群众心声，并提出工作建议及时处理答复人</w:t>
            </w:r>
            <w:r>
              <w:rPr>
                <w:rFonts w:hint="eastAsia" w:ascii="宋体" w:hAnsi="宋体" w:cs="宋体"/>
                <w:color w:val="000000"/>
                <w:kern w:val="0"/>
                <w:sz w:val="18"/>
                <w:szCs w:val="18"/>
                <w:lang w:eastAsia="zh-CN" w:bidi="ar"/>
              </w:rPr>
              <w:t>大</w:t>
            </w:r>
            <w:r>
              <w:rPr>
                <w:rFonts w:ascii="宋体" w:hAnsi="宋体" w:cs="宋体"/>
                <w:color w:val="000000"/>
                <w:kern w:val="0"/>
                <w:sz w:val="18"/>
                <w:szCs w:val="18"/>
                <w:lang w:bidi="ar"/>
              </w:rPr>
              <w:t>代表提出的建议和意见。坚持对民生实事开展调研，协助党委政府推进工作，绩效明显，有效完成了本年度绩效目标。</w:t>
            </w:r>
          </w:p>
        </w:tc>
      </w:tr>
      <w:tr w14:paraId="02B4E67F">
        <w:tblPrEx>
          <w:tblCellMar>
            <w:top w:w="0" w:type="dxa"/>
            <w:left w:w="108" w:type="dxa"/>
            <w:bottom w:w="0" w:type="dxa"/>
            <w:right w:w="108" w:type="dxa"/>
          </w:tblCellMar>
        </w:tblPrEx>
        <w:trPr>
          <w:trHeight w:val="115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FBA4D">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5E036">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9149B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人大代表监督视察等经费项目的实施内容和过程都体现了对乡镇人大代表履职活动的支持和保障作用。通过科学合理的经费管理和有效的监督视察活动开展，可以推动政府工作改进和民生问题解决，促进地方经济社会持续健康发展。</w:t>
            </w:r>
          </w:p>
        </w:tc>
      </w:tr>
      <w:tr w14:paraId="355EC63C">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3007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0E6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8B3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EC7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1747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ABE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E241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AB7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B898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069C22D2">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93209B">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2E7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F67B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F88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E01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C928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F01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320444">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A776EE">
            <w:pPr>
              <w:rPr>
                <w:rFonts w:ascii="黑体" w:hAnsi="黑体" w:eastAsia="黑体" w:cs="黑体"/>
                <w:i/>
                <w:iCs/>
                <w:color w:val="000000"/>
                <w:sz w:val="18"/>
                <w:szCs w:val="18"/>
              </w:rPr>
            </w:pPr>
          </w:p>
        </w:tc>
      </w:tr>
      <w:tr w14:paraId="4E69109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5B57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543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9F0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7AC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CF8C4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445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CCE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1395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46580">
            <w:pPr>
              <w:rPr>
                <w:rFonts w:ascii="黑体" w:hAnsi="黑体" w:eastAsia="黑体" w:cs="黑体"/>
                <w:i/>
                <w:iCs/>
                <w:color w:val="000000"/>
                <w:sz w:val="18"/>
                <w:szCs w:val="18"/>
              </w:rPr>
            </w:pPr>
          </w:p>
        </w:tc>
      </w:tr>
      <w:tr w14:paraId="0E9A8B9D">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79BD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E776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3BEB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52D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9C0C2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E637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C69C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ED9B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ACBC3">
            <w:pPr>
              <w:rPr>
                <w:rFonts w:ascii="黑体" w:hAnsi="黑体" w:eastAsia="黑体" w:cs="黑体"/>
                <w:i/>
                <w:iCs/>
                <w:color w:val="000000"/>
                <w:sz w:val="18"/>
                <w:szCs w:val="18"/>
              </w:rPr>
            </w:pPr>
          </w:p>
        </w:tc>
      </w:tr>
      <w:tr w14:paraId="1BFFF075">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9821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03DC4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F8CF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A4662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AFC91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178A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913A9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9EF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65858">
            <w:pPr>
              <w:rPr>
                <w:rFonts w:ascii="黑体" w:hAnsi="黑体" w:eastAsia="黑体" w:cs="黑体"/>
                <w:i/>
                <w:iCs/>
                <w:color w:val="000000"/>
                <w:sz w:val="18"/>
                <w:szCs w:val="18"/>
              </w:rPr>
            </w:pPr>
          </w:p>
        </w:tc>
      </w:tr>
      <w:tr w14:paraId="6E55B630">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0F07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0336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920C0E">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02CA8">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2FE167">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211F4F">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E6B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550B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1C0FA">
            <w:pPr>
              <w:rPr>
                <w:rFonts w:ascii="黑体" w:hAnsi="黑体" w:eastAsia="黑体" w:cs="黑体"/>
                <w:i/>
                <w:iCs/>
                <w:color w:val="000000"/>
                <w:sz w:val="18"/>
                <w:szCs w:val="18"/>
              </w:rPr>
            </w:pPr>
          </w:p>
        </w:tc>
      </w:tr>
      <w:tr w14:paraId="21CCF6D2">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A03D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72EF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D99D5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C0F5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B10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3B49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FEB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739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E159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97A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EA9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3E3214A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BDAF">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9B3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3DDF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7E66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人大代表人数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0E16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43E6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00CB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36FCD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D49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00786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C56B58">
            <w:pPr>
              <w:jc w:val="center"/>
              <w:rPr>
                <w:rFonts w:ascii="微软雅黑" w:hAnsi="微软雅黑" w:eastAsia="微软雅黑" w:cs="微软雅黑"/>
                <w:i/>
                <w:iCs/>
                <w:color w:val="000000"/>
                <w:sz w:val="16"/>
                <w:szCs w:val="16"/>
              </w:rPr>
            </w:pPr>
          </w:p>
        </w:tc>
      </w:tr>
      <w:tr w14:paraId="70E5B362">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BFCB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903F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7BD35">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A9D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监察、视察次数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E0BA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DDC6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8C62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2B8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A77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6778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7D63C5">
            <w:pPr>
              <w:jc w:val="center"/>
              <w:rPr>
                <w:rFonts w:ascii="微软雅黑" w:hAnsi="微软雅黑" w:eastAsia="微软雅黑" w:cs="微软雅黑"/>
                <w:i/>
                <w:iCs/>
                <w:color w:val="000000"/>
                <w:sz w:val="16"/>
                <w:szCs w:val="16"/>
              </w:rPr>
            </w:pPr>
          </w:p>
        </w:tc>
      </w:tr>
      <w:tr w14:paraId="2FA5FF91">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4003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7932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B36C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3D2C0D">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eastAsia="zh-CN" w:bidi="ar"/>
              </w:rPr>
              <w:t>人大代表</w:t>
            </w:r>
            <w:r>
              <w:rPr>
                <w:rFonts w:ascii="宋体" w:hAnsi="宋体" w:cs="宋体"/>
                <w:color w:val="000000"/>
                <w:kern w:val="0"/>
                <w:sz w:val="18"/>
                <w:szCs w:val="18"/>
                <w:lang w:bidi="ar"/>
              </w:rPr>
              <w:t>会议开展次数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C8A8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524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59B01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86A0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BF436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6A8EF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FA16B">
            <w:pPr>
              <w:jc w:val="center"/>
              <w:rPr>
                <w:rFonts w:ascii="微软雅黑" w:hAnsi="微软雅黑" w:eastAsia="微软雅黑" w:cs="微软雅黑"/>
                <w:i/>
                <w:iCs/>
                <w:color w:val="000000"/>
                <w:sz w:val="16"/>
                <w:szCs w:val="16"/>
              </w:rPr>
            </w:pPr>
          </w:p>
        </w:tc>
      </w:tr>
      <w:tr w14:paraId="0A656A66">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8E37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87D8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ACC27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EB22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人大工作知晓率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F4AB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FDA6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0DC2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002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2934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87358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1609FA">
            <w:pPr>
              <w:jc w:val="center"/>
              <w:rPr>
                <w:rFonts w:ascii="微软雅黑" w:hAnsi="微软雅黑" w:eastAsia="微软雅黑" w:cs="微软雅黑"/>
                <w:i/>
                <w:iCs/>
                <w:color w:val="000000"/>
                <w:sz w:val="16"/>
                <w:szCs w:val="16"/>
              </w:rPr>
            </w:pPr>
          </w:p>
        </w:tc>
      </w:tr>
      <w:tr w14:paraId="502DD6C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F65CB">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9CA3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93F3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45C04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20E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3EB0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766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4E7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B7F7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B3B6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BAB906">
            <w:pPr>
              <w:jc w:val="center"/>
              <w:rPr>
                <w:rFonts w:ascii="微软雅黑" w:hAnsi="微软雅黑" w:eastAsia="微软雅黑" w:cs="微软雅黑"/>
                <w:i/>
                <w:iCs/>
                <w:color w:val="000000"/>
                <w:sz w:val="16"/>
                <w:szCs w:val="16"/>
              </w:rPr>
            </w:pPr>
          </w:p>
        </w:tc>
      </w:tr>
      <w:tr w14:paraId="1F2E2CB1">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5987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91FA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C659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B064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提高社会代表素质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0713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0C63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3BF5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45AA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5DE6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E3FC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787F71">
            <w:pPr>
              <w:jc w:val="center"/>
              <w:rPr>
                <w:rFonts w:ascii="微软雅黑" w:hAnsi="微软雅黑" w:eastAsia="微软雅黑" w:cs="微软雅黑"/>
                <w:i/>
                <w:iCs/>
                <w:color w:val="000000"/>
                <w:sz w:val="16"/>
                <w:szCs w:val="16"/>
              </w:rPr>
            </w:pPr>
          </w:p>
        </w:tc>
      </w:tr>
      <w:tr w14:paraId="37CBE344">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B822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417A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62E9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FFE4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参会人员满意度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7DA2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7B02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7C48A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A1EA9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057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B46B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B4F26F">
            <w:pPr>
              <w:jc w:val="center"/>
              <w:rPr>
                <w:rFonts w:ascii="微软雅黑" w:hAnsi="微软雅黑" w:eastAsia="微软雅黑" w:cs="微软雅黑"/>
                <w:i/>
                <w:iCs/>
                <w:color w:val="000000"/>
                <w:sz w:val="16"/>
                <w:szCs w:val="16"/>
              </w:rPr>
            </w:pPr>
          </w:p>
        </w:tc>
      </w:tr>
      <w:tr w14:paraId="6D67F2FD">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29D6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BE577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FB7B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78F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监察、视察次数所需费用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33E82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87E6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F9B5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52E1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7D1F7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023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1A70EF">
            <w:pPr>
              <w:jc w:val="center"/>
              <w:rPr>
                <w:rFonts w:ascii="微软雅黑" w:hAnsi="微软雅黑" w:eastAsia="微软雅黑" w:cs="微软雅黑"/>
                <w:i/>
                <w:iCs/>
                <w:color w:val="000000"/>
                <w:sz w:val="16"/>
                <w:szCs w:val="16"/>
              </w:rPr>
            </w:pPr>
          </w:p>
        </w:tc>
      </w:tr>
      <w:tr w14:paraId="67DBA1EF">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2907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9BB50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53179F">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ED7B5">
            <w:pPr>
              <w:rPr>
                <w:rFonts w:ascii="宋体" w:hAnsi="宋体" w:cs="宋体"/>
                <w:color w:val="000000"/>
                <w:sz w:val="18"/>
                <w:szCs w:val="18"/>
              </w:rPr>
            </w:pPr>
          </w:p>
        </w:tc>
      </w:tr>
      <w:tr w14:paraId="1F6A27BF">
        <w:tblPrEx>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2A4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593AD7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乡镇人大代表监督视察等经费项目的实施，有效保障了乡镇人大代表依法履行监督职责，推动了政府工作的透明度和公开性。通过监督视察活动，人大代表能够深入了解政府工作执行情况和民生实事项目推进情况，为政府决策提供了有力的参考依据。同时，视察活动也促进了政府与人民群众之间的沟通和联系，增强了人民群众对政府工作的信任和支持。</w:t>
            </w:r>
          </w:p>
        </w:tc>
      </w:tr>
      <w:tr w14:paraId="04C7CDA6">
        <w:tblPrEx>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2130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2AD838B">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尽管乡镇人大代表监督视察等经费项目取得了显著成效，但在实施过程中仍存在一些问题。乡镇在经费使用上仍存在不规范现象；部分人大代表在履行监督职责时缺乏足够的专业知识和能力等</w:t>
            </w:r>
            <w:r>
              <w:rPr>
                <w:rFonts w:hint="eastAsia" w:ascii="宋体" w:hAnsi="宋体" w:cs="宋体"/>
                <w:color w:val="000000"/>
                <w:kern w:val="0"/>
                <w:sz w:val="18"/>
                <w:szCs w:val="18"/>
                <w:lang w:eastAsia="zh-CN" w:bidi="ar"/>
              </w:rPr>
              <w:t>。</w:t>
            </w:r>
          </w:p>
        </w:tc>
      </w:tr>
      <w:tr w14:paraId="007CAC1D">
        <w:tblPrEx>
          <w:tblCellMar>
            <w:top w:w="0" w:type="dxa"/>
            <w:left w:w="108" w:type="dxa"/>
            <w:bottom w:w="0" w:type="dxa"/>
            <w:right w:w="108" w:type="dxa"/>
          </w:tblCellMar>
        </w:tblPrEx>
        <w:trPr>
          <w:trHeight w:val="76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1DA2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06A3F6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经费使用的监督和审计力度，确保经费使用的合规性和透明度；优化视察活动的组织方式和内容安排，提高视察活动的针对性和实效性；加强人大代表的培训和指导力度，提高其履行监督职责的能力和水平；建立健全人大代表与人民群众之间的沟通联系机制，及时了解人民群众的意见和建议。</w:t>
            </w:r>
          </w:p>
        </w:tc>
      </w:tr>
      <w:tr w14:paraId="1B2D7D65">
        <w:tblPrEx>
          <w:tblCellMar>
            <w:top w:w="0" w:type="dxa"/>
            <w:left w:w="108" w:type="dxa"/>
            <w:bottom w:w="0" w:type="dxa"/>
            <w:right w:w="108" w:type="dxa"/>
          </w:tblCellMar>
        </w:tblPrEx>
        <w:trPr>
          <w:trHeight w:val="400"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F00B21">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项目负责人：彭伟</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396AFB">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2EA44C6C">
      <w:pPr>
        <w:spacing w:line="560" w:lineRule="exact"/>
        <w:rPr>
          <w:rFonts w:ascii="方正小标宋简体" w:hAnsi="宋体" w:eastAsia="方正小标宋简体"/>
          <w:color w:val="000000"/>
          <w:kern w:val="0"/>
          <w:sz w:val="44"/>
          <w:szCs w:val="44"/>
        </w:rPr>
      </w:pPr>
    </w:p>
    <w:p w14:paraId="517D9791">
      <w:pPr>
        <w:spacing w:line="560" w:lineRule="exact"/>
        <w:rPr>
          <w:rFonts w:ascii="方正小标宋简体" w:hAnsi="宋体" w:eastAsia="方正小标宋简体"/>
          <w:color w:val="000000"/>
          <w:kern w:val="0"/>
          <w:sz w:val="44"/>
          <w:szCs w:val="44"/>
        </w:rPr>
      </w:pPr>
    </w:p>
    <w:p w14:paraId="37F8644D">
      <w:pPr>
        <w:spacing w:line="560" w:lineRule="exact"/>
        <w:rPr>
          <w:rFonts w:ascii="方正小标宋简体" w:hAnsi="宋体" w:eastAsia="方正小标宋简体"/>
          <w:color w:val="000000"/>
          <w:kern w:val="0"/>
          <w:sz w:val="44"/>
          <w:szCs w:val="44"/>
        </w:rPr>
      </w:pPr>
    </w:p>
    <w:p w14:paraId="21184BAA">
      <w:pPr>
        <w:spacing w:line="560" w:lineRule="exact"/>
        <w:rPr>
          <w:rFonts w:ascii="方正小标宋简体" w:hAnsi="宋体" w:eastAsia="方正小标宋简体"/>
          <w:color w:val="000000"/>
          <w:kern w:val="0"/>
          <w:sz w:val="44"/>
          <w:szCs w:val="44"/>
        </w:rPr>
      </w:pPr>
    </w:p>
    <w:p w14:paraId="51A5C933">
      <w:pPr>
        <w:spacing w:line="560" w:lineRule="exact"/>
        <w:rPr>
          <w:rFonts w:ascii="方正小标宋简体" w:hAnsi="宋体" w:eastAsia="方正小标宋简体"/>
          <w:color w:val="000000"/>
          <w:kern w:val="0"/>
          <w:sz w:val="44"/>
          <w:szCs w:val="44"/>
        </w:rPr>
      </w:pPr>
    </w:p>
    <w:p w14:paraId="1CAD520D">
      <w:pPr>
        <w:spacing w:line="560" w:lineRule="exact"/>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841"/>
        <w:gridCol w:w="898"/>
        <w:gridCol w:w="1048"/>
        <w:gridCol w:w="1499"/>
        <w:gridCol w:w="618"/>
        <w:gridCol w:w="710"/>
        <w:gridCol w:w="618"/>
        <w:gridCol w:w="1061"/>
        <w:gridCol w:w="520"/>
        <w:gridCol w:w="520"/>
        <w:gridCol w:w="635"/>
      </w:tblGrid>
      <w:tr w14:paraId="0389F77E">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5999793">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78A34B4F">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49FAA">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A499A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51090423T000007748554-2023年防灾应急救助经费</w:t>
            </w:r>
          </w:p>
        </w:tc>
      </w:tr>
      <w:tr w14:paraId="6F56527E">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6211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883885">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4F6EE5BD">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实施单位 （盖章）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CBE65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173B4B22">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C0F1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AAC74">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05E6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AC2A51">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7ADC4306">
        <w:tblPrEx>
          <w:tblCellMar>
            <w:top w:w="0" w:type="dxa"/>
            <w:left w:w="108" w:type="dxa"/>
            <w:bottom w:w="0" w:type="dxa"/>
            <w:right w:w="108" w:type="dxa"/>
          </w:tblCellMar>
        </w:tblPrEx>
        <w:trPr>
          <w:trHeight w:val="79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FEC3A1">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2A75B">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67C5E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保障人民群众生命财产安全，进一步建立健全应对突发重大自然灾害紧急救助体系和运行机制，提高紧急救助能力，迅速、有序、高效地实施紧急救助，维护社会稳定。</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D71EE1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2023年度我镇做好防灾应急准备工作，为群众减少很多损失。</w:t>
            </w:r>
          </w:p>
        </w:tc>
      </w:tr>
      <w:tr w14:paraId="49E3599A">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C56AB">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9FC23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C8D643B">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建立应急物资储备库，储备必要的救援物资，如食品、饮用水、药品、帐篷、救生器材等，确保在紧急情况下能够迅速调拨使用。组建专业的应急救助队伍，包括救援人员、医疗人员、后勤保障人员等，确保队伍的专业性和战斗力。</w:t>
            </w:r>
          </w:p>
        </w:tc>
      </w:tr>
      <w:tr w14:paraId="437A6CCE">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8C6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E73F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17945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BCC8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499CB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0E8B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302B2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0316E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8D1CB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1091F77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5EAF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FB48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1FBCB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3636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D492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288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7338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3578C0">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54DE8">
            <w:pPr>
              <w:rPr>
                <w:rFonts w:ascii="黑体" w:hAnsi="黑体" w:eastAsia="黑体" w:cs="黑体"/>
                <w:i/>
                <w:iCs/>
                <w:color w:val="000000"/>
                <w:sz w:val="18"/>
                <w:szCs w:val="18"/>
              </w:rPr>
            </w:pPr>
          </w:p>
        </w:tc>
      </w:tr>
      <w:tr w14:paraId="6F1C51CE">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1AC1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1A4C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895A7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6DD3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6CD47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F902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CD3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382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4F637">
            <w:pPr>
              <w:rPr>
                <w:rFonts w:ascii="黑体" w:hAnsi="黑体" w:eastAsia="黑体" w:cs="黑体"/>
                <w:i/>
                <w:iCs/>
                <w:color w:val="000000"/>
                <w:sz w:val="18"/>
                <w:szCs w:val="18"/>
              </w:rPr>
            </w:pPr>
          </w:p>
        </w:tc>
      </w:tr>
      <w:tr w14:paraId="076EFC3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5742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9A522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8E16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93802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EEBD1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48DA1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205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D2FE1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69E16">
            <w:pPr>
              <w:rPr>
                <w:rFonts w:ascii="黑体" w:hAnsi="黑体" w:eastAsia="黑体" w:cs="黑体"/>
                <w:i/>
                <w:iCs/>
                <w:color w:val="000000"/>
                <w:sz w:val="18"/>
                <w:szCs w:val="18"/>
              </w:rPr>
            </w:pPr>
          </w:p>
        </w:tc>
      </w:tr>
      <w:tr w14:paraId="64349DA9">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395E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5B31F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47B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A863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5A28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0B064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4D3A9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794E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510C8">
            <w:pPr>
              <w:rPr>
                <w:rFonts w:ascii="黑体" w:hAnsi="黑体" w:eastAsia="黑体" w:cs="黑体"/>
                <w:i/>
                <w:iCs/>
                <w:color w:val="000000"/>
                <w:sz w:val="18"/>
                <w:szCs w:val="18"/>
              </w:rPr>
            </w:pPr>
          </w:p>
        </w:tc>
      </w:tr>
      <w:tr w14:paraId="2B82CC4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670F1C">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4B11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66FDD">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238D8A">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28B93D">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A24940">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F47BE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FA29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9BFF6">
            <w:pPr>
              <w:rPr>
                <w:rFonts w:ascii="黑体" w:hAnsi="黑体" w:eastAsia="黑体" w:cs="黑体"/>
                <w:i/>
                <w:iCs/>
                <w:color w:val="000000"/>
                <w:sz w:val="18"/>
                <w:szCs w:val="18"/>
              </w:rPr>
            </w:pPr>
          </w:p>
        </w:tc>
      </w:tr>
      <w:tr w14:paraId="204844DA">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5DCF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CE3D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853C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D7A78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2930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74508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E1E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9B567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2374D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FEA8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2839E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66F7C331">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BC40A">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16234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5AB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55C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组织开展应急演练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76D8C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05B92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4CB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C93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7F17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9FF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23AD7D">
            <w:pPr>
              <w:jc w:val="center"/>
              <w:rPr>
                <w:rFonts w:ascii="微软雅黑" w:hAnsi="微软雅黑" w:eastAsia="微软雅黑" w:cs="微软雅黑"/>
                <w:i/>
                <w:iCs/>
                <w:color w:val="000000"/>
                <w:sz w:val="16"/>
                <w:szCs w:val="16"/>
              </w:rPr>
            </w:pPr>
          </w:p>
        </w:tc>
      </w:tr>
      <w:tr w14:paraId="284B6F3F">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24B9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7907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E93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8D2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让群众免受困难之忧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6A5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EAC8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47A5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51A7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BFCA1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6CC98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ADB93E">
            <w:pPr>
              <w:jc w:val="center"/>
              <w:rPr>
                <w:rFonts w:ascii="微软雅黑" w:hAnsi="微软雅黑" w:eastAsia="微软雅黑" w:cs="微软雅黑"/>
                <w:i/>
                <w:iCs/>
                <w:color w:val="000000"/>
                <w:sz w:val="16"/>
                <w:szCs w:val="16"/>
              </w:rPr>
            </w:pPr>
          </w:p>
        </w:tc>
      </w:tr>
      <w:tr w14:paraId="676EFF94">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B6DB3">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FF049">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80D7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A641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2023年全年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523C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05BB8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4ADB0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BCC0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01C01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F917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F61698">
            <w:pPr>
              <w:jc w:val="center"/>
              <w:rPr>
                <w:rFonts w:ascii="微软雅黑" w:hAnsi="微软雅黑" w:eastAsia="微软雅黑" w:cs="微软雅黑"/>
                <w:i/>
                <w:iCs/>
                <w:color w:val="000000"/>
                <w:sz w:val="16"/>
                <w:szCs w:val="16"/>
              </w:rPr>
            </w:pPr>
          </w:p>
        </w:tc>
      </w:tr>
      <w:tr w14:paraId="67F7FFC3">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EC728">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3C5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292D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AE874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确保人民生命财产安全，降低灾害损失</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16197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A2DA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63C5C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164B4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F1D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B4FEC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A98A5">
            <w:pPr>
              <w:jc w:val="center"/>
              <w:rPr>
                <w:rFonts w:ascii="微软雅黑" w:hAnsi="微软雅黑" w:eastAsia="微软雅黑" w:cs="微软雅黑"/>
                <w:i/>
                <w:iCs/>
                <w:color w:val="000000"/>
                <w:sz w:val="16"/>
                <w:szCs w:val="16"/>
              </w:rPr>
            </w:pPr>
          </w:p>
        </w:tc>
      </w:tr>
      <w:tr w14:paraId="0B63BF1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DAF04">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AEB9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2341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73B83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解群众受困之忧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9FE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FCA3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49D73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5BF4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57F58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F521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8D1A7">
            <w:pPr>
              <w:jc w:val="center"/>
              <w:rPr>
                <w:rFonts w:ascii="微软雅黑" w:hAnsi="微软雅黑" w:eastAsia="微软雅黑" w:cs="微软雅黑"/>
                <w:i/>
                <w:iCs/>
                <w:color w:val="000000"/>
                <w:sz w:val="16"/>
                <w:szCs w:val="16"/>
              </w:rPr>
            </w:pPr>
          </w:p>
        </w:tc>
      </w:tr>
      <w:tr w14:paraId="0F982768">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2EE9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8BEA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09A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898F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受益群众满意度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01CF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9BF0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B120A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A00DA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4860A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04A9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0324D4">
            <w:pPr>
              <w:jc w:val="center"/>
              <w:rPr>
                <w:rFonts w:ascii="微软雅黑" w:hAnsi="微软雅黑" w:eastAsia="微软雅黑" w:cs="微软雅黑"/>
                <w:i/>
                <w:iCs/>
                <w:color w:val="000000"/>
                <w:sz w:val="16"/>
                <w:szCs w:val="16"/>
              </w:rPr>
            </w:pPr>
          </w:p>
        </w:tc>
      </w:tr>
      <w:tr w14:paraId="6E1CB38B">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EEB4D">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AFFBF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1A0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B94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组织开展应急演练劳务费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95548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BEA8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77E9F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C56A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6E31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7110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DFB21D">
            <w:pPr>
              <w:jc w:val="center"/>
              <w:rPr>
                <w:rFonts w:ascii="微软雅黑" w:hAnsi="微软雅黑" w:eastAsia="微软雅黑" w:cs="微软雅黑"/>
                <w:i/>
                <w:iCs/>
                <w:color w:val="000000"/>
                <w:sz w:val="16"/>
                <w:szCs w:val="16"/>
              </w:rPr>
            </w:pPr>
          </w:p>
        </w:tc>
      </w:tr>
      <w:tr w14:paraId="28F52785">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4423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8DD1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63213">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7F5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防灾应急宣传手册费用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D62D6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DE3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BBF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C6EC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8454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7E7B8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4FED2C">
            <w:pPr>
              <w:jc w:val="center"/>
              <w:rPr>
                <w:rFonts w:ascii="微软雅黑" w:hAnsi="微软雅黑" w:eastAsia="微软雅黑" w:cs="微软雅黑"/>
                <w:i/>
                <w:iCs/>
                <w:color w:val="000000"/>
                <w:sz w:val="16"/>
                <w:szCs w:val="16"/>
              </w:rPr>
            </w:pPr>
          </w:p>
        </w:tc>
      </w:tr>
      <w:tr w14:paraId="38984A5E">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BB0B00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BE965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2B2C78">
            <w:pPr>
              <w:widowControl/>
              <w:jc w:val="right"/>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09AEF1">
            <w:pPr>
              <w:rPr>
                <w:rFonts w:ascii="宋体" w:hAnsi="宋体" w:cs="宋体"/>
                <w:color w:val="000000"/>
                <w:sz w:val="18"/>
                <w:szCs w:val="18"/>
              </w:rPr>
            </w:pPr>
          </w:p>
        </w:tc>
      </w:tr>
      <w:tr w14:paraId="2DB151BB">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BC80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1B260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项目目标明确、资金到位率高、组织监管体系完善。我镇防灾应急管理救助项目资金较好地实现了绩效目标。</w:t>
            </w:r>
          </w:p>
        </w:tc>
      </w:tr>
      <w:tr w14:paraId="0A922C17">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1C43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60B4AA">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项目资金缺乏</w:t>
            </w:r>
            <w:r>
              <w:rPr>
                <w:rFonts w:hint="eastAsia" w:ascii="宋体" w:hAnsi="宋体" w:cs="宋体"/>
                <w:color w:val="000000"/>
                <w:kern w:val="0"/>
                <w:sz w:val="18"/>
                <w:szCs w:val="18"/>
                <w:lang w:eastAsia="zh-CN" w:bidi="ar"/>
              </w:rPr>
              <w:t>。</w:t>
            </w:r>
          </w:p>
        </w:tc>
      </w:tr>
      <w:tr w14:paraId="24592B6E">
        <w:tblPrEx>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54F9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tcPr>
          <w:p w14:paraId="5A21EF0E">
            <w:pPr>
              <w:widowControl/>
              <w:jc w:val="left"/>
              <w:textAlignment w:val="top"/>
              <w:rPr>
                <w:rFonts w:ascii="宋体" w:hAnsi="宋体" w:cs="宋体"/>
                <w:color w:val="000000"/>
                <w:sz w:val="18"/>
                <w:szCs w:val="18"/>
              </w:rPr>
            </w:pPr>
            <w:r>
              <w:rPr>
                <w:rFonts w:ascii="宋体" w:hAnsi="宋体" w:cs="宋体"/>
                <w:color w:val="000000"/>
                <w:kern w:val="0"/>
                <w:sz w:val="18"/>
                <w:szCs w:val="18"/>
                <w:lang w:bidi="ar"/>
              </w:rPr>
              <w:t>增加防灾应急救助工作经费，全面开展好工作，确保资金使用的针对性和有效性。</w:t>
            </w:r>
          </w:p>
        </w:tc>
      </w:tr>
      <w:tr w14:paraId="685A2DB3">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55F67E">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项目负责人：徐文辉</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F1B74AC">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5DC432A5">
      <w:pPr>
        <w:spacing w:line="560" w:lineRule="exact"/>
        <w:rPr>
          <w:rFonts w:ascii="方正小标宋简体" w:hAnsi="宋体" w:eastAsia="方正小标宋简体"/>
          <w:color w:val="000000"/>
          <w:kern w:val="0"/>
          <w:sz w:val="44"/>
          <w:szCs w:val="44"/>
        </w:rPr>
      </w:pPr>
    </w:p>
    <w:p w14:paraId="48EC4218">
      <w:pPr>
        <w:spacing w:line="560" w:lineRule="exact"/>
        <w:rPr>
          <w:rFonts w:ascii="方正小标宋简体" w:hAnsi="宋体" w:eastAsia="方正小标宋简体"/>
          <w:color w:val="000000"/>
          <w:kern w:val="0"/>
          <w:sz w:val="44"/>
          <w:szCs w:val="44"/>
        </w:rPr>
      </w:pPr>
    </w:p>
    <w:p w14:paraId="2D6B43AE">
      <w:pPr>
        <w:spacing w:line="560" w:lineRule="exact"/>
        <w:rPr>
          <w:rFonts w:ascii="方正小标宋简体" w:hAnsi="宋体" w:eastAsia="方正小标宋简体"/>
          <w:color w:val="000000"/>
          <w:kern w:val="0"/>
          <w:sz w:val="44"/>
          <w:szCs w:val="44"/>
        </w:rPr>
      </w:pPr>
    </w:p>
    <w:p w14:paraId="0041FB23">
      <w:pPr>
        <w:spacing w:line="560" w:lineRule="exact"/>
        <w:rPr>
          <w:rFonts w:ascii="方正小标宋简体" w:hAnsi="宋体" w:eastAsia="方正小标宋简体"/>
          <w:color w:val="000000"/>
          <w:kern w:val="0"/>
          <w:sz w:val="44"/>
          <w:szCs w:val="44"/>
        </w:rPr>
      </w:pPr>
    </w:p>
    <w:p w14:paraId="251038E0">
      <w:pPr>
        <w:spacing w:line="560" w:lineRule="exact"/>
        <w:rPr>
          <w:rFonts w:ascii="方正小标宋简体" w:hAnsi="宋体" w:eastAsia="方正小标宋简体"/>
          <w:color w:val="000000"/>
          <w:kern w:val="0"/>
          <w:sz w:val="44"/>
          <w:szCs w:val="44"/>
        </w:rPr>
      </w:pPr>
    </w:p>
    <w:p w14:paraId="77F673AE">
      <w:pPr>
        <w:spacing w:line="560" w:lineRule="exact"/>
        <w:rPr>
          <w:rFonts w:ascii="方正小标宋简体" w:hAnsi="宋体" w:eastAsia="方正小标宋简体"/>
          <w:color w:val="000000"/>
          <w:kern w:val="0"/>
          <w:sz w:val="44"/>
          <w:szCs w:val="44"/>
        </w:rPr>
      </w:pPr>
    </w:p>
    <w:p w14:paraId="18B40DA7">
      <w:pPr>
        <w:spacing w:line="560" w:lineRule="exact"/>
        <w:rPr>
          <w:rFonts w:ascii="方正小标宋简体" w:hAnsi="宋体" w:eastAsia="方正小标宋简体"/>
          <w:color w:val="000000"/>
          <w:kern w:val="0"/>
          <w:sz w:val="44"/>
          <w:szCs w:val="44"/>
        </w:rPr>
      </w:pPr>
    </w:p>
    <w:p w14:paraId="3A070981">
      <w:pPr>
        <w:spacing w:line="560" w:lineRule="exact"/>
        <w:rPr>
          <w:rFonts w:ascii="方正小标宋简体" w:hAnsi="宋体" w:eastAsia="方正小标宋简体"/>
          <w:color w:val="000000"/>
          <w:kern w:val="0"/>
          <w:sz w:val="44"/>
          <w:szCs w:val="44"/>
        </w:rPr>
      </w:pPr>
    </w:p>
    <w:p w14:paraId="02E966E1">
      <w:pPr>
        <w:spacing w:line="560" w:lineRule="exact"/>
        <w:rPr>
          <w:rFonts w:ascii="方正小标宋简体" w:hAnsi="宋体" w:eastAsia="方正小标宋简体"/>
          <w:color w:val="000000"/>
          <w:kern w:val="0"/>
          <w:sz w:val="44"/>
          <w:szCs w:val="44"/>
        </w:rPr>
      </w:pPr>
    </w:p>
    <w:p w14:paraId="60916155">
      <w:pPr>
        <w:spacing w:line="560" w:lineRule="exact"/>
        <w:rPr>
          <w:rFonts w:ascii="方正小标宋简体" w:hAnsi="宋体" w:eastAsia="方正小标宋简体"/>
          <w:color w:val="000000"/>
          <w:kern w:val="0"/>
          <w:sz w:val="44"/>
          <w:szCs w:val="44"/>
        </w:rPr>
      </w:pPr>
    </w:p>
    <w:p w14:paraId="72D3EF19">
      <w:pPr>
        <w:spacing w:line="560" w:lineRule="exact"/>
        <w:rPr>
          <w:rFonts w:ascii="方正小标宋简体" w:hAnsi="宋体" w:eastAsia="方正小标宋简体"/>
          <w:color w:val="000000"/>
          <w:kern w:val="0"/>
          <w:sz w:val="44"/>
          <w:szCs w:val="44"/>
        </w:rPr>
      </w:pPr>
    </w:p>
    <w:p w14:paraId="3EB44850">
      <w:pPr>
        <w:spacing w:line="560" w:lineRule="exact"/>
        <w:rPr>
          <w:rFonts w:ascii="方正小标宋简体" w:hAnsi="宋体" w:eastAsia="方正小标宋简体"/>
          <w:color w:val="000000"/>
          <w:kern w:val="0"/>
          <w:sz w:val="44"/>
          <w:szCs w:val="44"/>
        </w:rPr>
      </w:pPr>
    </w:p>
    <w:tbl>
      <w:tblPr>
        <w:tblStyle w:val="18"/>
        <w:tblW w:w="0" w:type="auto"/>
        <w:tblInd w:w="93" w:type="dxa"/>
        <w:tblLayout w:type="autofit"/>
        <w:tblCellMar>
          <w:top w:w="0" w:type="dxa"/>
          <w:left w:w="108" w:type="dxa"/>
          <w:bottom w:w="0" w:type="dxa"/>
          <w:right w:w="108" w:type="dxa"/>
        </w:tblCellMar>
      </w:tblPr>
      <w:tblGrid>
        <w:gridCol w:w="764"/>
        <w:gridCol w:w="804"/>
        <w:gridCol w:w="804"/>
        <w:gridCol w:w="1305"/>
        <w:gridCol w:w="499"/>
        <w:gridCol w:w="705"/>
        <w:gridCol w:w="499"/>
        <w:gridCol w:w="1232"/>
        <w:gridCol w:w="679"/>
        <w:gridCol w:w="679"/>
        <w:gridCol w:w="998"/>
      </w:tblGrid>
      <w:tr w14:paraId="64DA4E73">
        <w:tblPrEx>
          <w:tblCellMar>
            <w:top w:w="0" w:type="dxa"/>
            <w:left w:w="108" w:type="dxa"/>
            <w:bottom w:w="0" w:type="dxa"/>
            <w:right w:w="108" w:type="dxa"/>
          </w:tblCellMar>
        </w:tblPrEx>
        <w:trPr>
          <w:trHeight w:val="375" w:hRule="atLeast"/>
        </w:trPr>
        <w:tc>
          <w:tcPr>
            <w:tcW w:w="0" w:type="auto"/>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B14D092">
            <w:pPr>
              <w:widowControl/>
              <w:jc w:val="center"/>
              <w:textAlignment w:val="center"/>
              <w:rPr>
                <w:rFonts w:ascii="黑体" w:hAnsi="宋体" w:eastAsia="黑体" w:cs="黑体"/>
                <w:b/>
                <w:bCs/>
                <w:color w:val="000000"/>
                <w:sz w:val="30"/>
                <w:szCs w:val="30"/>
              </w:rPr>
            </w:pPr>
            <w:r>
              <w:rPr>
                <w:rFonts w:ascii="黑体" w:hAnsi="宋体" w:eastAsia="黑体" w:cs="黑体"/>
                <w:b/>
                <w:bCs/>
                <w:color w:val="000000"/>
                <w:kern w:val="0"/>
                <w:sz w:val="30"/>
                <w:szCs w:val="30"/>
                <w:lang w:bidi="ar"/>
              </w:rPr>
              <w:t>部门预算项目支出绩效自评表（2023年度）</w:t>
            </w:r>
          </w:p>
        </w:tc>
      </w:tr>
      <w:tr w14:paraId="222DF853">
        <w:tblPrEx>
          <w:tblCellMar>
            <w:top w:w="0" w:type="dxa"/>
            <w:left w:w="108" w:type="dxa"/>
            <w:bottom w:w="0" w:type="dxa"/>
            <w:right w:w="108" w:type="dxa"/>
          </w:tblCellMar>
        </w:tblPrEx>
        <w:trPr>
          <w:trHeight w:val="285"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FD673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项目名称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56D95D7">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51090423T000007747275-2023年安全生产监管（森林防火、食品安全）等经费</w:t>
            </w:r>
          </w:p>
        </w:tc>
      </w:tr>
      <w:tr w14:paraId="2446E466">
        <w:tblPrEx>
          <w:tblCellMar>
            <w:top w:w="0" w:type="dxa"/>
            <w:left w:w="108" w:type="dxa"/>
            <w:bottom w:w="0" w:type="dxa"/>
            <w:right w:w="108" w:type="dxa"/>
          </w:tblCellMar>
        </w:tblPrEx>
        <w:trPr>
          <w:trHeight w:val="48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B455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主管部门</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5F0882">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遂宁市安居区常理镇人民政府部门</w:t>
            </w:r>
          </w:p>
        </w:tc>
        <w:tc>
          <w:tcPr>
            <w:tcW w:w="0" w:type="auto"/>
            <w:tcBorders>
              <w:top w:val="nil"/>
              <w:left w:val="nil"/>
              <w:bottom w:val="nil"/>
              <w:right w:val="nil"/>
            </w:tcBorders>
            <w:shd w:val="clear" w:color="auto" w:fill="auto"/>
            <w:vAlign w:val="center"/>
          </w:tcPr>
          <w:p w14:paraId="1E396B91">
            <w:pPr>
              <w:widowControl/>
              <w:jc w:val="center"/>
              <w:textAlignment w:val="center"/>
              <w:rPr>
                <w:rFonts w:ascii="宋体" w:hAnsi="宋体" w:cs="宋体"/>
                <w:color w:val="000000"/>
                <w:kern w:val="0"/>
                <w:sz w:val="18"/>
                <w:szCs w:val="18"/>
                <w:lang w:bidi="ar"/>
              </w:rPr>
            </w:pPr>
            <w:r>
              <w:rPr>
                <w:rFonts w:ascii="宋体" w:hAnsi="宋体" w:cs="宋体"/>
                <w:color w:val="000000"/>
                <w:kern w:val="0"/>
                <w:sz w:val="18"/>
                <w:szCs w:val="18"/>
                <w:lang w:bidi="ar"/>
              </w:rPr>
              <w:t>实施单位</w:t>
            </w:r>
          </w:p>
          <w:p w14:paraId="5DE8D997">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（盖章）</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6E03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遂宁市安居区常理镇人民政府</w:t>
            </w:r>
          </w:p>
        </w:tc>
      </w:tr>
      <w:tr w14:paraId="5CCAD194">
        <w:tblPrEx>
          <w:tblCellMar>
            <w:top w:w="0" w:type="dxa"/>
            <w:left w:w="108" w:type="dxa"/>
            <w:bottom w:w="0" w:type="dxa"/>
            <w:right w:w="108" w:type="dxa"/>
          </w:tblCellMar>
        </w:tblPrEx>
        <w:trPr>
          <w:trHeight w:val="2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AE6A9">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项目基本情况</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90921F">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1.项目年度目标完成情况</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64C4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项目年度目标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6CF6D4">
            <w:pPr>
              <w:widowControl/>
              <w:jc w:val="center"/>
              <w:textAlignment w:val="center"/>
              <w:rPr>
                <w:rFonts w:ascii="黑体" w:hAnsi="黑体" w:eastAsia="黑体" w:cs="黑体"/>
                <w:color w:val="000000"/>
                <w:sz w:val="18"/>
                <w:szCs w:val="18"/>
              </w:rPr>
            </w:pPr>
            <w:r>
              <w:rPr>
                <w:rFonts w:ascii="宋体" w:hAnsi="宋体" w:cs="宋体"/>
                <w:color w:val="000000"/>
                <w:kern w:val="0"/>
                <w:sz w:val="18"/>
                <w:szCs w:val="18"/>
                <w:lang w:bidi="ar"/>
              </w:rPr>
              <w:t>年度目标完成情况</w:t>
            </w:r>
          </w:p>
        </w:tc>
      </w:tr>
      <w:tr w14:paraId="09340399">
        <w:tblPrEx>
          <w:tblCellMar>
            <w:top w:w="0" w:type="dxa"/>
            <w:left w:w="108" w:type="dxa"/>
            <w:bottom w:w="0" w:type="dxa"/>
            <w:right w:w="108" w:type="dxa"/>
          </w:tblCellMar>
        </w:tblPrEx>
        <w:trPr>
          <w:trHeight w:val="8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59927">
            <w:pP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6DB24">
            <w:pPr>
              <w:rPr>
                <w:rFonts w:ascii="宋体" w:hAnsi="宋体" w:cs="宋体"/>
                <w:color w:val="000000"/>
                <w:sz w:val="18"/>
                <w:szCs w:val="18"/>
              </w:rPr>
            </w:pP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DC5D1D">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加强安全生产政策法规宣传，强化安全生产培训工作，提高安全生产管理水平，加强日常监管工作，加强惩治治理安全生产隐患，减少灾害事故发生。</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9A53A1">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2023年我镇加强安全生产政策法规宣传，强化安全生产培训工作，提高安全生产管理水平，加强日常监管工作，加强惩治治理安全生产隐患，减少灾害事故发生。</w:t>
            </w:r>
          </w:p>
        </w:tc>
      </w:tr>
      <w:tr w14:paraId="49F27517">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57677">
            <w:pP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D0DD8C">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2.项目实施内容及过程概述</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6C9270">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安全生产监管经费项目旨在通过专项资金的投入，加强安全生产监管工作，提升安全生产水平，预防和减少生产安全事故的发生。该项目的实施对于保障人民群众生命财产安全、维护社会稳定和促进经济可持续发展具有重要意义。</w:t>
            </w:r>
          </w:p>
        </w:tc>
      </w:tr>
      <w:tr w14:paraId="05E87341">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3833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预算执行情况（10分）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2CF5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年度预算数（万元）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BF6C4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年初预算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03037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调整后预算数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C2B5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76334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预算执行率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EFF7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C335B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2AC13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原因</w:t>
            </w:r>
          </w:p>
        </w:tc>
      </w:tr>
      <w:tr w14:paraId="57381096">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F6BAA">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64A5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总额</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21165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7C5AE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4E875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674E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605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228A46">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337DD5">
            <w:pPr>
              <w:rPr>
                <w:rFonts w:ascii="黑体" w:hAnsi="黑体" w:eastAsia="黑体" w:cs="黑体"/>
                <w:i/>
                <w:iCs/>
                <w:color w:val="000000"/>
                <w:sz w:val="18"/>
                <w:szCs w:val="18"/>
              </w:rPr>
            </w:pPr>
          </w:p>
        </w:tc>
      </w:tr>
      <w:tr w14:paraId="13E3E7F9">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0849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DFA99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其中：财政资金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5448D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1E8CA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C8E5C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3.50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A7E4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31497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D7BA9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C0076">
            <w:pPr>
              <w:rPr>
                <w:rFonts w:ascii="黑体" w:hAnsi="黑体" w:eastAsia="黑体" w:cs="黑体"/>
                <w:i/>
                <w:iCs/>
                <w:color w:val="000000"/>
                <w:sz w:val="18"/>
                <w:szCs w:val="18"/>
              </w:rPr>
            </w:pPr>
          </w:p>
        </w:tc>
      </w:tr>
      <w:tr w14:paraId="02BCA89A">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FFA5E">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458D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EC21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2DE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BE62F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FFE03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BE2F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B7CE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8192E">
            <w:pPr>
              <w:rPr>
                <w:rFonts w:ascii="黑体" w:hAnsi="黑体" w:eastAsia="黑体" w:cs="黑体"/>
                <w:i/>
                <w:iCs/>
                <w:color w:val="000000"/>
                <w:sz w:val="18"/>
                <w:szCs w:val="18"/>
              </w:rPr>
            </w:pPr>
          </w:p>
        </w:tc>
      </w:tr>
      <w:tr w14:paraId="5DFF41B2">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E0F3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5D3AF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单位资金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BE88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031D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1866B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CF210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AD47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22C1D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4E0A6">
            <w:pPr>
              <w:rPr>
                <w:rFonts w:ascii="黑体" w:hAnsi="黑体" w:eastAsia="黑体" w:cs="黑体"/>
                <w:i/>
                <w:iCs/>
                <w:color w:val="000000"/>
                <w:sz w:val="18"/>
                <w:szCs w:val="18"/>
              </w:rPr>
            </w:pPr>
          </w:p>
        </w:tc>
      </w:tr>
      <w:tr w14:paraId="5AE8BC92">
        <w:tblPrEx>
          <w:tblCellMar>
            <w:top w:w="0" w:type="dxa"/>
            <w:left w:w="108" w:type="dxa"/>
            <w:bottom w:w="0" w:type="dxa"/>
            <w:right w:w="108" w:type="dxa"/>
          </w:tblCellMar>
        </w:tblPrEx>
        <w:trPr>
          <w:trHeight w:val="2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AFDD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3BD4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其他资金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FEA00">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3F1B00">
            <w:pPr>
              <w:jc w:val="center"/>
              <w:rPr>
                <w:rFonts w:ascii="微软雅黑" w:hAnsi="微软雅黑" w:eastAsia="微软雅黑" w:cs="微软雅黑"/>
                <w:i/>
                <w:iCs/>
                <w:color w:val="000000"/>
                <w:sz w:val="16"/>
                <w:szCs w:val="16"/>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AE6266">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006BA">
            <w:pPr>
              <w:jc w:val="center"/>
              <w:rPr>
                <w:rFonts w:ascii="微软雅黑" w:hAnsi="微软雅黑" w:eastAsia="微软雅黑" w:cs="微软雅黑"/>
                <w:i/>
                <w:iCs/>
                <w:color w:val="000000"/>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2F1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A8E9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FA991">
            <w:pPr>
              <w:rPr>
                <w:rFonts w:ascii="黑体" w:hAnsi="黑体" w:eastAsia="黑体" w:cs="黑体"/>
                <w:i/>
                <w:iCs/>
                <w:color w:val="000000"/>
                <w:sz w:val="18"/>
                <w:szCs w:val="18"/>
              </w:rPr>
            </w:pPr>
          </w:p>
        </w:tc>
      </w:tr>
      <w:tr w14:paraId="23F2D239">
        <w:tblPrEx>
          <w:tblCellMar>
            <w:top w:w="0" w:type="dxa"/>
            <w:left w:w="108" w:type="dxa"/>
            <w:bottom w:w="0" w:type="dxa"/>
            <w:right w:w="108" w:type="dxa"/>
          </w:tblCellMar>
        </w:tblPrEx>
        <w:trPr>
          <w:trHeight w:val="48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4CD1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绩效指标（90分）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B1CF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3B632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E9BAAA">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D23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7FEE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指标值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F7EA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度量单位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D426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完成值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A987D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2D8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得分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9E59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未完成原因分析</w:t>
            </w:r>
          </w:p>
        </w:tc>
      </w:tr>
      <w:tr w14:paraId="0C1DE110">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80C03">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E343E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产出指标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225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8C80B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12个村及1个社区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A96F6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36A32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C45A6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061DB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EB30A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88759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928B74">
            <w:pPr>
              <w:jc w:val="center"/>
              <w:rPr>
                <w:rFonts w:ascii="微软雅黑" w:hAnsi="微软雅黑" w:eastAsia="微软雅黑" w:cs="微软雅黑"/>
                <w:i/>
                <w:iCs/>
                <w:color w:val="000000"/>
                <w:sz w:val="16"/>
                <w:szCs w:val="16"/>
              </w:rPr>
            </w:pPr>
          </w:p>
        </w:tc>
      </w:tr>
      <w:tr w14:paraId="244AE318">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7791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70C3E">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F0FE8">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5C01D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发放各村森林防火宣传横幅、明白卡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0B17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4D48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A120D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3F40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6E9FB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04E4E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497E9">
            <w:pPr>
              <w:jc w:val="center"/>
              <w:rPr>
                <w:rFonts w:ascii="微软雅黑" w:hAnsi="微软雅黑" w:eastAsia="微软雅黑" w:cs="微软雅黑"/>
                <w:i/>
                <w:iCs/>
                <w:color w:val="000000"/>
                <w:sz w:val="16"/>
                <w:szCs w:val="16"/>
              </w:rPr>
            </w:pPr>
          </w:p>
        </w:tc>
      </w:tr>
      <w:tr w14:paraId="2E473C2B">
        <w:tblPrEx>
          <w:tblCellMar>
            <w:top w:w="0" w:type="dxa"/>
            <w:left w:w="108" w:type="dxa"/>
            <w:bottom w:w="0" w:type="dxa"/>
            <w:right w:w="108" w:type="dxa"/>
          </w:tblCellMar>
        </w:tblPrEx>
        <w:trPr>
          <w:trHeight w:val="96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75CD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240B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5B6C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17E1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安全生产、森林防火会议及宣传次数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288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54292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01318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F07F4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E4B9D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DBAE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F9801">
            <w:pPr>
              <w:jc w:val="center"/>
              <w:rPr>
                <w:rFonts w:ascii="微软雅黑" w:hAnsi="微软雅黑" w:eastAsia="微软雅黑" w:cs="微软雅黑"/>
                <w:i/>
                <w:iCs/>
                <w:color w:val="000000"/>
                <w:sz w:val="16"/>
                <w:szCs w:val="16"/>
              </w:rPr>
            </w:pPr>
          </w:p>
        </w:tc>
      </w:tr>
      <w:tr w14:paraId="48B4EE33">
        <w:tblPrEx>
          <w:tblCellMar>
            <w:top w:w="0" w:type="dxa"/>
            <w:left w:w="108" w:type="dxa"/>
            <w:bottom w:w="0" w:type="dxa"/>
            <w:right w:w="108" w:type="dxa"/>
          </w:tblCellMar>
        </w:tblPrEx>
        <w:trPr>
          <w:trHeight w:val="7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2386D">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080FC">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07F57">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B983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加强治理，减少安全生产隐患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71C81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C9EB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6B33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B0F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7E0B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78733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C7E1E9">
            <w:pPr>
              <w:jc w:val="center"/>
              <w:rPr>
                <w:rFonts w:ascii="微软雅黑" w:hAnsi="微软雅黑" w:eastAsia="微软雅黑" w:cs="微软雅黑"/>
                <w:i/>
                <w:iCs/>
                <w:color w:val="000000"/>
                <w:sz w:val="16"/>
                <w:szCs w:val="16"/>
              </w:rPr>
            </w:pPr>
          </w:p>
        </w:tc>
      </w:tr>
      <w:tr w14:paraId="787AAC5C">
        <w:tblPrEx>
          <w:tblCellMar>
            <w:top w:w="0" w:type="dxa"/>
            <w:left w:w="108" w:type="dxa"/>
            <w:bottom w:w="0" w:type="dxa"/>
            <w:right w:w="108" w:type="dxa"/>
          </w:tblCellMar>
        </w:tblPrEx>
        <w:trPr>
          <w:trHeight w:val="1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2278A">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85BF1">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DE9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4EB2E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危险道路、水域、林地、地质灾害点等安全警示立牌覆盖率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8D8F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B269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0DA6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92193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8600B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8299CB">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E5C6E">
            <w:pPr>
              <w:jc w:val="center"/>
              <w:rPr>
                <w:rFonts w:ascii="微软雅黑" w:hAnsi="微软雅黑" w:eastAsia="微软雅黑" w:cs="微软雅黑"/>
                <w:i/>
                <w:iCs/>
                <w:color w:val="000000"/>
                <w:sz w:val="16"/>
                <w:szCs w:val="16"/>
              </w:rPr>
            </w:pPr>
          </w:p>
        </w:tc>
      </w:tr>
      <w:tr w14:paraId="5FBEFE9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19629">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9664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6568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D94F5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2023年1-12月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2837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786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C5280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0C1D8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4954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B9BC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AC100E">
            <w:pPr>
              <w:jc w:val="center"/>
              <w:rPr>
                <w:rFonts w:ascii="微软雅黑" w:hAnsi="微软雅黑" w:eastAsia="微软雅黑" w:cs="微软雅黑"/>
                <w:i/>
                <w:iCs/>
                <w:color w:val="000000"/>
                <w:sz w:val="16"/>
                <w:szCs w:val="16"/>
              </w:rPr>
            </w:pPr>
          </w:p>
        </w:tc>
      </w:tr>
      <w:tr w14:paraId="0CA8A49D">
        <w:tblPrEx>
          <w:tblCellMar>
            <w:top w:w="0" w:type="dxa"/>
            <w:left w:w="108" w:type="dxa"/>
            <w:bottom w:w="0" w:type="dxa"/>
            <w:right w:w="108" w:type="dxa"/>
          </w:tblCellMar>
        </w:tblPrEx>
        <w:trPr>
          <w:trHeight w:val="44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B8016">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ABAD9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2161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5D2CF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严控生产危害物排放，保护生态环境。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06D30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E19E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2E0F5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0A8088">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5C049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9C616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8FAC9">
            <w:pPr>
              <w:jc w:val="center"/>
              <w:rPr>
                <w:rFonts w:ascii="微软雅黑" w:hAnsi="微软雅黑" w:eastAsia="微软雅黑" w:cs="微软雅黑"/>
                <w:i/>
                <w:iCs/>
                <w:color w:val="000000"/>
                <w:sz w:val="16"/>
                <w:szCs w:val="16"/>
              </w:rPr>
            </w:pPr>
          </w:p>
        </w:tc>
      </w:tr>
      <w:tr w14:paraId="65554D5C">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247AD">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AC0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70BF6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FC3C0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AC07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5FBD4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6DC4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3F933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A219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BE7F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E5FDEB">
            <w:pPr>
              <w:jc w:val="center"/>
              <w:rPr>
                <w:rFonts w:ascii="微软雅黑" w:hAnsi="微软雅黑" w:eastAsia="微软雅黑" w:cs="微软雅黑"/>
                <w:i/>
                <w:iCs/>
                <w:color w:val="000000"/>
                <w:sz w:val="16"/>
                <w:szCs w:val="16"/>
              </w:rPr>
            </w:pPr>
          </w:p>
        </w:tc>
      </w:tr>
      <w:tr w14:paraId="76C19DC8">
        <w:tblPrEx>
          <w:tblCellMar>
            <w:top w:w="0" w:type="dxa"/>
            <w:left w:w="108" w:type="dxa"/>
            <w:bottom w:w="0" w:type="dxa"/>
            <w:right w:w="108" w:type="dxa"/>
          </w:tblCellMar>
        </w:tblPrEx>
        <w:trPr>
          <w:trHeight w:val="7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E710C7">
            <w:pPr>
              <w:jc w:val="center"/>
              <w:rPr>
                <w:rFonts w:ascii="宋体" w:hAnsi="宋体" w:cs="宋体"/>
                <w:color w:val="000000"/>
                <w:sz w:val="18"/>
                <w:szCs w:val="18"/>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FD23E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成本指标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5057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经济成本指标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1877D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安全生产、森林防火食品安全等广告印刷费用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5CA7A6">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4CE1A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10A4A0">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CC541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6C711">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4BA65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63018B">
            <w:pPr>
              <w:jc w:val="center"/>
              <w:rPr>
                <w:rFonts w:ascii="微软雅黑" w:hAnsi="微软雅黑" w:eastAsia="微软雅黑" w:cs="微软雅黑"/>
                <w:i/>
                <w:iCs/>
                <w:color w:val="000000"/>
                <w:sz w:val="16"/>
                <w:szCs w:val="16"/>
              </w:rPr>
            </w:pPr>
          </w:p>
        </w:tc>
      </w:tr>
      <w:tr w14:paraId="734413D7">
        <w:tblPrEx>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4E7B87">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EE362">
            <w:pPr>
              <w:jc w:val="center"/>
              <w:rPr>
                <w:rFonts w:ascii="宋体" w:hAnsi="宋体" w:cs="宋体"/>
                <w:color w:val="000000"/>
                <w:sz w:val="18"/>
                <w:szCs w:val="18"/>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040B4">
            <w:pPr>
              <w:jc w:val="center"/>
              <w:rPr>
                <w:rFonts w:ascii="宋体" w:hAnsi="宋体" w:cs="宋体"/>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4DFCE">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安全警示牌制作费用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3AF0B9">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2BEF0D">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70B87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7510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63455">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A524C7">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EB41F">
            <w:pPr>
              <w:jc w:val="center"/>
              <w:rPr>
                <w:rFonts w:ascii="微软雅黑" w:hAnsi="微软雅黑" w:eastAsia="微软雅黑" w:cs="微软雅黑"/>
                <w:i/>
                <w:iCs/>
                <w:color w:val="000000"/>
                <w:sz w:val="16"/>
                <w:szCs w:val="16"/>
              </w:rPr>
            </w:pPr>
          </w:p>
        </w:tc>
      </w:tr>
      <w:tr w14:paraId="7B3D7E7B">
        <w:tblPrEx>
          <w:tblCellMar>
            <w:top w:w="0" w:type="dxa"/>
            <w:left w:w="108" w:type="dxa"/>
            <w:bottom w:w="0" w:type="dxa"/>
            <w:right w:w="108" w:type="dxa"/>
          </w:tblCellMar>
        </w:tblPrEx>
        <w:trPr>
          <w:trHeight w:val="28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E1122F">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CEDA2">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9A943">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C6E4A2">
            <w:pPr>
              <w:rPr>
                <w:rFonts w:ascii="宋体" w:hAnsi="宋体" w:cs="宋体"/>
                <w:color w:val="000000"/>
                <w:sz w:val="18"/>
                <w:szCs w:val="18"/>
              </w:rPr>
            </w:pPr>
          </w:p>
        </w:tc>
      </w:tr>
      <w:tr w14:paraId="3D27C062">
        <w:tblPrEx>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73531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评价结论</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56FDCD">
            <w:pPr>
              <w:widowControl/>
              <w:jc w:val="left"/>
              <w:textAlignment w:val="center"/>
              <w:rPr>
                <w:rFonts w:hint="eastAsia" w:ascii="宋体" w:hAnsi="宋体" w:eastAsia="宋体" w:cs="宋体"/>
                <w:color w:val="000000"/>
                <w:sz w:val="18"/>
                <w:szCs w:val="18"/>
                <w:lang w:eastAsia="zh-CN"/>
              </w:rPr>
            </w:pPr>
            <w:r>
              <w:rPr>
                <w:rFonts w:ascii="宋体" w:hAnsi="宋体" w:cs="宋体"/>
                <w:color w:val="000000"/>
                <w:kern w:val="0"/>
                <w:sz w:val="18"/>
                <w:szCs w:val="18"/>
                <w:lang w:bidi="ar"/>
              </w:rPr>
              <w:t>安全生产监管经费项目的实施能够取得积极的评价结论,这些结论通常基于项目的实际成效，如安全生产水平的提升、事故率的下降、安全隐患的有效治理等</w:t>
            </w:r>
            <w:r>
              <w:rPr>
                <w:rFonts w:hint="eastAsia" w:ascii="宋体" w:hAnsi="宋体" w:cs="宋体"/>
                <w:color w:val="000000"/>
                <w:kern w:val="0"/>
                <w:sz w:val="18"/>
                <w:szCs w:val="18"/>
                <w:lang w:eastAsia="zh-CN" w:bidi="ar"/>
              </w:rPr>
              <w:t>。</w:t>
            </w:r>
          </w:p>
        </w:tc>
      </w:tr>
      <w:tr w14:paraId="386B1EF6">
        <w:tblPrEx>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D4F08C">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存在问题</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52ECBBE">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在实际执行过程中，可能存在经费使用不规范的情况,对经费使用的监管可能存在不足，导致资金使用的效率和效果受到影响。</w:t>
            </w:r>
          </w:p>
        </w:tc>
      </w:tr>
      <w:tr w14:paraId="3C58BD6D">
        <w:tblPrEx>
          <w:tblCellMar>
            <w:top w:w="0" w:type="dxa"/>
            <w:left w:w="108" w:type="dxa"/>
            <w:bottom w:w="0" w:type="dxa"/>
            <w:right w:w="108" w:type="dxa"/>
          </w:tblCellMar>
        </w:tblPrEx>
        <w:trPr>
          <w:trHeight w:val="3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279A64">
            <w:pPr>
              <w:widowControl/>
              <w:jc w:val="center"/>
              <w:textAlignment w:val="center"/>
              <w:rPr>
                <w:rFonts w:ascii="宋体" w:hAnsi="宋体" w:cs="宋体"/>
                <w:color w:val="000000"/>
                <w:sz w:val="18"/>
                <w:szCs w:val="18"/>
              </w:rPr>
            </w:pPr>
            <w:r>
              <w:rPr>
                <w:rFonts w:ascii="宋体" w:hAnsi="宋体" w:cs="宋体"/>
                <w:color w:val="000000"/>
                <w:kern w:val="0"/>
                <w:sz w:val="18"/>
                <w:szCs w:val="18"/>
                <w:lang w:bidi="ar"/>
              </w:rPr>
              <w:t>改进措施</w:t>
            </w:r>
          </w:p>
        </w:tc>
        <w:tc>
          <w:tcPr>
            <w:tcW w:w="0" w:type="auto"/>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0E53148">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在预算制定过程中，应充分考虑实际工作需要和资金状况，确保预算的合理性和科学性。同时，建立预算调整机制，根据实际情况及时调整预算。</w:t>
            </w:r>
          </w:p>
        </w:tc>
      </w:tr>
      <w:tr w14:paraId="644B2326">
        <w:tblPrEx>
          <w:tblCellMar>
            <w:top w:w="0" w:type="dxa"/>
            <w:left w:w="108" w:type="dxa"/>
            <w:bottom w:w="0" w:type="dxa"/>
            <w:right w:w="108" w:type="dxa"/>
          </w:tblCellMar>
        </w:tblPrEx>
        <w:trPr>
          <w:trHeight w:val="28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F469933">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项目负责人：徐文辉</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BE2799">
            <w:pPr>
              <w:widowControl/>
              <w:jc w:val="left"/>
              <w:textAlignment w:val="center"/>
              <w:rPr>
                <w:rFonts w:ascii="黑体" w:hAnsi="黑体" w:eastAsia="黑体" w:cs="黑体"/>
                <w:color w:val="000000"/>
                <w:sz w:val="18"/>
                <w:szCs w:val="18"/>
              </w:rPr>
            </w:pPr>
            <w:r>
              <w:rPr>
                <w:rFonts w:ascii="黑体" w:hAnsi="黑体" w:eastAsia="黑体" w:cs="黑体"/>
                <w:color w:val="000000"/>
                <w:kern w:val="0"/>
                <w:sz w:val="18"/>
                <w:szCs w:val="18"/>
                <w:lang w:bidi="ar"/>
              </w:rPr>
              <w:t>财务负责人：彭俊钦</w:t>
            </w:r>
          </w:p>
        </w:tc>
      </w:tr>
    </w:tbl>
    <w:p w14:paraId="3A323F61">
      <w:pPr>
        <w:spacing w:line="560" w:lineRule="exact"/>
        <w:rPr>
          <w:rFonts w:ascii="方正小标宋简体" w:hAnsi="宋体" w:eastAsia="方正小标宋简体"/>
          <w:color w:val="000000"/>
          <w:kern w:val="0"/>
          <w:sz w:val="44"/>
          <w:szCs w:val="44"/>
        </w:rPr>
      </w:pPr>
    </w:p>
    <w:p w14:paraId="445D6E90">
      <w:pPr>
        <w:spacing w:line="560" w:lineRule="exact"/>
        <w:rPr>
          <w:rFonts w:ascii="方正小标宋简体" w:hAnsi="宋体" w:eastAsia="方正小标宋简体"/>
          <w:color w:val="000000"/>
          <w:kern w:val="0"/>
          <w:sz w:val="44"/>
          <w:szCs w:val="44"/>
        </w:rPr>
      </w:pPr>
    </w:p>
    <w:p w14:paraId="33E4A4D5">
      <w:pPr>
        <w:spacing w:line="560" w:lineRule="exact"/>
        <w:rPr>
          <w:rFonts w:ascii="方正小标宋简体" w:hAnsi="宋体" w:eastAsia="方正小标宋简体"/>
          <w:color w:val="000000"/>
          <w:kern w:val="0"/>
          <w:sz w:val="44"/>
          <w:szCs w:val="44"/>
        </w:rPr>
      </w:pPr>
    </w:p>
    <w:p w14:paraId="6952D06D">
      <w:pPr>
        <w:spacing w:line="560" w:lineRule="exact"/>
        <w:rPr>
          <w:rFonts w:ascii="方正小标宋简体" w:hAnsi="宋体" w:eastAsia="方正小标宋简体"/>
          <w:color w:val="000000"/>
          <w:kern w:val="0"/>
          <w:sz w:val="44"/>
          <w:szCs w:val="44"/>
        </w:rPr>
      </w:pPr>
    </w:p>
    <w:p w14:paraId="23865D45">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部门预算项目支出绩效自评报告</w:t>
      </w:r>
    </w:p>
    <w:p w14:paraId="75A5058A">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rPr>
        <w:t>（环境卫生整治经费项目）</w:t>
      </w:r>
    </w:p>
    <w:p w14:paraId="7D68E2B9">
      <w:pPr>
        <w:pStyle w:val="8"/>
        <w:numPr>
          <w:ilvl w:val="0"/>
          <w:numId w:val="0"/>
        </w:numPr>
        <w:spacing w:line="576" w:lineRule="exact"/>
        <w:jc w:val="left"/>
      </w:pPr>
    </w:p>
    <w:p w14:paraId="464264AB">
      <w:pPr>
        <w:adjustRightInd w:val="0"/>
        <w:snapToGrid w:val="0"/>
        <w:spacing w:line="576" w:lineRule="exact"/>
        <w:ind w:firstLine="720"/>
        <w:jc w:val="left"/>
        <w:rPr>
          <w:rFonts w:ascii="黑体" w:hAnsi="黑体" w:eastAsia="黑体" w:cs="黑体"/>
          <w:b/>
          <w:bCs/>
          <w:sz w:val="32"/>
        </w:rPr>
      </w:pPr>
      <w:r>
        <w:rPr>
          <w:rFonts w:hint="eastAsia" w:ascii="黑体" w:hAnsi="黑体" w:eastAsia="黑体" w:cs="黑体"/>
          <w:sz w:val="32"/>
        </w:rPr>
        <w:t>一、</w:t>
      </w:r>
      <w:r>
        <w:rPr>
          <w:rFonts w:hint="eastAsia" w:ascii="黑体" w:hAnsi="黑体" w:eastAsia="黑体" w:cs="黑体"/>
          <w:b/>
          <w:bCs/>
          <w:sz w:val="32"/>
        </w:rPr>
        <w:t>项目概况</w:t>
      </w:r>
    </w:p>
    <w:p w14:paraId="5BD3BA8F">
      <w:pPr>
        <w:spacing w:line="576" w:lineRule="exact"/>
        <w:ind w:firstLine="643" w:firstLineChars="200"/>
        <w:jc w:val="left"/>
        <w:rPr>
          <w:rFonts w:ascii="仿宋" w:hAnsi="仿宋" w:eastAsia="仿宋" w:cs="仿宋"/>
          <w:b/>
          <w:bCs/>
          <w:sz w:val="32"/>
        </w:rPr>
      </w:pPr>
      <w:r>
        <w:rPr>
          <w:rFonts w:hint="eastAsia" w:ascii="仿宋" w:hAnsi="仿宋" w:eastAsia="仿宋" w:cs="仿宋"/>
          <w:b/>
          <w:bCs/>
          <w:sz w:val="32"/>
        </w:rPr>
        <w:t>（一）</w:t>
      </w:r>
      <w:r>
        <w:rPr>
          <w:rFonts w:hint="eastAsia" w:ascii="楷体_GB2312" w:hAnsi="宋体" w:eastAsia="楷体_GB2312"/>
          <w:b/>
          <w:sz w:val="32"/>
          <w:szCs w:val="32"/>
        </w:rPr>
        <w:t>设立背景及基本情况</w:t>
      </w:r>
    </w:p>
    <w:p w14:paraId="40E79CD0">
      <w:pPr>
        <w:pStyle w:val="3"/>
        <w:spacing w:line="576" w:lineRule="exact"/>
        <w:ind w:left="0" w:leftChars="0" w:firstLine="640"/>
        <w:jc w:val="left"/>
        <w:rPr>
          <w:rFonts w:ascii="仿宋" w:hAnsi="仿宋" w:eastAsia="仿宋" w:cs="仿宋"/>
          <w:sz w:val="32"/>
        </w:rPr>
      </w:pPr>
      <w:r>
        <w:rPr>
          <w:rFonts w:hint="eastAsia" w:ascii="仿宋" w:hAnsi="仿宋" w:eastAsia="仿宋" w:cs="仿宋"/>
          <w:sz w:val="32"/>
          <w:szCs w:val="24"/>
        </w:rPr>
        <w:t>为深入推进国家卫生城市创建，配合我市城市迎检，我镇按照区上的统一部署，密切围绕我区打造“畅通、靓丽、文明、和谐、宜居、宜业”城市，切实采取有力措施，完善社区基础设施，通过集中整治和专项治理，进一步加强对于社区市容环境的管理，建立符合实际的长效管理机制</w:t>
      </w:r>
      <w:r>
        <w:rPr>
          <w:rFonts w:hint="eastAsia" w:ascii="仿宋" w:hAnsi="仿宋" w:eastAsia="仿宋" w:cs="仿宋"/>
          <w:sz w:val="32"/>
        </w:rPr>
        <w:t>。</w:t>
      </w:r>
    </w:p>
    <w:p w14:paraId="62776E8A">
      <w:pPr>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（二）</w:t>
      </w:r>
      <w:r>
        <w:rPr>
          <w:rFonts w:hint="eastAsia" w:ascii="楷体_GB2312" w:hAnsi="宋体" w:eastAsia="楷体_GB2312"/>
          <w:b/>
          <w:sz w:val="32"/>
          <w:szCs w:val="32"/>
        </w:rPr>
        <w:t>实施目的及支持方向</w:t>
      </w:r>
    </w:p>
    <w:p w14:paraId="4745BD3D">
      <w:pPr>
        <w:pStyle w:val="3"/>
        <w:spacing w:line="576" w:lineRule="exact"/>
        <w:ind w:left="0" w:leftChars="0" w:firstLine="640"/>
        <w:jc w:val="left"/>
        <w:rPr>
          <w:rFonts w:ascii="仿宋" w:hAnsi="仿宋" w:eastAsia="仿宋" w:cs="仿宋"/>
          <w:sz w:val="32"/>
          <w:szCs w:val="24"/>
        </w:rPr>
      </w:pPr>
      <w:r>
        <w:rPr>
          <w:rFonts w:hint="eastAsia" w:ascii="仿宋" w:hAnsi="仿宋" w:eastAsia="仿宋" w:cs="仿宋"/>
          <w:sz w:val="32"/>
          <w:szCs w:val="24"/>
        </w:rPr>
        <w:t>1.随着经济的快速发展和城市人口的增长，环境卫生问题日益突出，对人们的健康和生活质量产生了负面影响。为了改善环境卫生状况，提高城市居民的生活质量，制定并实施本实施方案。</w:t>
      </w:r>
    </w:p>
    <w:p w14:paraId="3D85893A">
      <w:pPr>
        <w:pStyle w:val="3"/>
        <w:spacing w:line="576" w:lineRule="exact"/>
        <w:ind w:left="0" w:leftChars="0" w:firstLine="640"/>
        <w:jc w:val="left"/>
        <w:rPr>
          <w:rFonts w:ascii="仿宋" w:hAnsi="仿宋" w:eastAsia="仿宋" w:cs="仿宋"/>
          <w:sz w:val="32"/>
          <w:szCs w:val="24"/>
        </w:rPr>
      </w:pPr>
      <w:r>
        <w:rPr>
          <w:rFonts w:hint="eastAsia" w:ascii="仿宋" w:hAnsi="仿宋" w:eastAsia="仿宋" w:cs="仿宋"/>
          <w:sz w:val="32"/>
          <w:szCs w:val="24"/>
        </w:rPr>
        <w:t>2.本实施方案的主要目标是：至2023年底，基本解决乡镇环境卫生问题，建设整洁、卫生、美丽的城市环境，提高居民的环境满意度和幸福感。</w:t>
      </w:r>
    </w:p>
    <w:p w14:paraId="262F4114">
      <w:pPr>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（三）</w:t>
      </w:r>
      <w:r>
        <w:rPr>
          <w:rFonts w:ascii="楷体_GB2312" w:hAnsi="宋体" w:eastAsia="楷体_GB2312"/>
          <w:b/>
          <w:sz w:val="32"/>
          <w:szCs w:val="32"/>
        </w:rPr>
        <w:t>预算安排及分配管理</w:t>
      </w:r>
    </w:p>
    <w:p w14:paraId="0E2E2459">
      <w:pPr>
        <w:spacing w:line="576" w:lineRule="exact"/>
        <w:ind w:firstLine="640" w:firstLineChars="200"/>
        <w:jc w:val="left"/>
        <w:rPr>
          <w:rFonts w:ascii="仿宋" w:hAnsi="仿宋" w:eastAsia="仿宋" w:cs="仿宋"/>
          <w:sz w:val="32"/>
        </w:rPr>
      </w:pPr>
      <w:r>
        <w:rPr>
          <w:rFonts w:hint="eastAsia" w:ascii="仿宋" w:hAnsi="仿宋" w:eastAsia="仿宋" w:cs="仿宋"/>
          <w:sz w:val="32"/>
        </w:rPr>
        <w:t>根据财经管理相关规定和制度进行专项资金管理，主要用于卫生公共设施维修维护、保洁员工资、垃圾清运费、垃圾填埋场运转等。资金分配的原则及考虑因素主要是：结合区域内现状情况，本着实事求是等原则，统筹考虑各项需求、政策支持等因素进行合理分配。</w:t>
      </w:r>
    </w:p>
    <w:p w14:paraId="1C99F64C">
      <w:pPr>
        <w:snapToGrid w:val="0"/>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（四）项目绩效目标设置</w:t>
      </w:r>
    </w:p>
    <w:p w14:paraId="37A1904E">
      <w:pPr>
        <w:adjustRightInd w:val="0"/>
        <w:snapToGrid w:val="0"/>
        <w:spacing w:line="576" w:lineRule="exact"/>
        <w:ind w:firstLine="720"/>
        <w:jc w:val="left"/>
        <w:rPr>
          <w:rFonts w:ascii="仿宋" w:hAnsi="仿宋" w:eastAsia="仿宋" w:cs="仿宋"/>
          <w:sz w:val="32"/>
        </w:rPr>
      </w:pPr>
      <w:r>
        <w:rPr>
          <w:rFonts w:hint="eastAsia" w:ascii="仿宋" w:hAnsi="仿宋" w:eastAsia="仿宋" w:cs="仿宋"/>
          <w:sz w:val="32"/>
        </w:rPr>
        <w:t>数量指标：确保完成12村、1社区环境综合整治。</w:t>
      </w:r>
    </w:p>
    <w:p w14:paraId="166D7D89">
      <w:pPr>
        <w:adjustRightInd w:val="0"/>
        <w:snapToGrid w:val="0"/>
        <w:spacing w:line="576" w:lineRule="exact"/>
        <w:ind w:firstLine="720"/>
        <w:jc w:val="left"/>
        <w:rPr>
          <w:rFonts w:ascii="仿宋" w:hAnsi="仿宋" w:eastAsia="仿宋" w:cs="仿宋"/>
        </w:rPr>
      </w:pPr>
      <w:r>
        <w:rPr>
          <w:rFonts w:hint="eastAsia" w:ascii="仿宋" w:hAnsi="仿宋" w:eastAsia="仿宋" w:cs="仿宋"/>
          <w:sz w:val="32"/>
        </w:rPr>
        <w:t>质量指标：全年确保道路清扫、垃圾清运，公共环境卫生零投诉。</w:t>
      </w:r>
    </w:p>
    <w:p w14:paraId="54D07515">
      <w:pPr>
        <w:adjustRightInd w:val="0"/>
        <w:snapToGrid w:val="0"/>
        <w:spacing w:line="576" w:lineRule="exact"/>
        <w:ind w:firstLine="720"/>
        <w:jc w:val="left"/>
        <w:rPr>
          <w:rFonts w:ascii="仿宋" w:hAnsi="仿宋" w:eastAsia="仿宋" w:cs="仿宋"/>
          <w:sz w:val="32"/>
        </w:rPr>
      </w:pPr>
      <w:r>
        <w:rPr>
          <w:rFonts w:hint="eastAsia" w:ascii="仿宋" w:hAnsi="仿宋" w:eastAsia="仿宋" w:cs="仿宋"/>
          <w:sz w:val="32"/>
        </w:rPr>
        <w:t>时效指标：2023年1月-2023年12月。</w:t>
      </w:r>
    </w:p>
    <w:p w14:paraId="42BCE336">
      <w:pPr>
        <w:adjustRightInd w:val="0"/>
        <w:snapToGrid w:val="0"/>
        <w:spacing w:line="576" w:lineRule="exact"/>
        <w:ind w:firstLine="720"/>
        <w:jc w:val="left"/>
        <w:rPr>
          <w:rFonts w:ascii="仿宋" w:hAnsi="仿宋" w:eastAsia="仿宋" w:cs="仿宋"/>
          <w:sz w:val="32"/>
        </w:rPr>
      </w:pPr>
      <w:r>
        <w:rPr>
          <w:rFonts w:hint="eastAsia" w:ascii="仿宋" w:hAnsi="仿宋" w:eastAsia="仿宋" w:cs="仿宋"/>
          <w:sz w:val="32"/>
        </w:rPr>
        <w:t>成本指标：2023年</w:t>
      </w:r>
      <w:r>
        <w:rPr>
          <w:rFonts w:hint="eastAsia" w:ascii="仿宋" w:hAnsi="仿宋" w:eastAsia="仿宋" w:cs="仿宋"/>
          <w:sz w:val="32"/>
          <w:lang w:val="zh-CN"/>
        </w:rPr>
        <w:t>环境卫生整治</w:t>
      </w:r>
      <w:r>
        <w:rPr>
          <w:rFonts w:hint="eastAsia" w:ascii="仿宋" w:hAnsi="仿宋" w:eastAsia="仿宋" w:cs="仿宋"/>
          <w:sz w:val="32"/>
        </w:rPr>
        <w:t>全年工作经费8</w:t>
      </w:r>
      <w:r>
        <w:rPr>
          <w:rFonts w:ascii="仿宋" w:hAnsi="仿宋" w:eastAsia="仿宋" w:cs="仿宋"/>
          <w:sz w:val="32"/>
        </w:rPr>
        <w:t>.13</w:t>
      </w:r>
      <w:r>
        <w:rPr>
          <w:rFonts w:hint="eastAsia" w:ascii="仿宋" w:hAnsi="仿宋" w:eastAsia="仿宋" w:cs="仿宋"/>
          <w:sz w:val="32"/>
        </w:rPr>
        <w:t>万元。</w:t>
      </w:r>
    </w:p>
    <w:p w14:paraId="019E10C3">
      <w:pPr>
        <w:numPr>
          <w:ilvl w:val="0"/>
          <w:numId w:val="7"/>
        </w:numPr>
        <w:adjustRightInd w:val="0"/>
        <w:snapToGrid w:val="0"/>
        <w:spacing w:line="576" w:lineRule="exact"/>
        <w:ind w:firstLine="640"/>
        <w:jc w:val="left"/>
        <w:rPr>
          <w:rFonts w:ascii="黑体" w:hAnsi="宋体" w:eastAsia="黑体"/>
          <w:sz w:val="32"/>
          <w:szCs w:val="32"/>
        </w:rPr>
      </w:pPr>
      <w:r>
        <w:rPr>
          <w:rFonts w:hint="eastAsia" w:ascii="黑体" w:hAnsi="宋体" w:eastAsia="黑体"/>
          <w:sz w:val="32"/>
          <w:szCs w:val="32"/>
        </w:rPr>
        <w:t>评价实施</w:t>
      </w:r>
    </w:p>
    <w:p w14:paraId="1DE270FD">
      <w:pPr>
        <w:adjustRightInd w:val="0"/>
        <w:snapToGrid w:val="0"/>
        <w:spacing w:line="576" w:lineRule="exact"/>
        <w:ind w:firstLine="643" w:firstLineChars="200"/>
        <w:jc w:val="left"/>
        <w:rPr>
          <w:rFonts w:ascii="黑体" w:hAnsi="宋体" w:eastAsia="黑体"/>
          <w:sz w:val="32"/>
          <w:szCs w:val="32"/>
        </w:rPr>
      </w:pPr>
      <w:r>
        <w:rPr>
          <w:rFonts w:hint="eastAsia" w:ascii="楷体_GB2312" w:hAnsi="宋体" w:eastAsia="楷体_GB2312"/>
          <w:b/>
          <w:sz w:val="32"/>
          <w:szCs w:val="32"/>
          <w:lang w:val="zh-CN"/>
        </w:rPr>
        <w:t>（一）评价目的</w:t>
      </w:r>
    </w:p>
    <w:p w14:paraId="77ADCC38">
      <w:pPr>
        <w:spacing w:line="576" w:lineRule="exact"/>
        <w:ind w:firstLine="600" w:firstLineChars="200"/>
        <w:jc w:val="left"/>
        <w:rPr>
          <w:rFonts w:ascii="仿宋" w:hAnsi="仿宋" w:eastAsia="仿宋" w:cs="仿宋"/>
          <w:color w:val="000000"/>
          <w:sz w:val="30"/>
        </w:rPr>
      </w:pPr>
      <w:r>
        <w:rPr>
          <w:rFonts w:hint="eastAsia" w:ascii="仿宋" w:hAnsi="仿宋" w:eastAsia="仿宋" w:cs="仿宋"/>
          <w:color w:val="000000"/>
          <w:sz w:val="30"/>
        </w:rPr>
        <w:t>环境卫生整治项目评价的目的在于全面揭示环境质量状况、寻找污染治理重点、为环境规划和政策制定提供依据、研究环境质量与人群健康的关系、预测和评价拟建项目可能产生的环境影响以及推动环境综合整治和可持续发展。这些目的的实现对于提升环境质量、保护人群健康、促进经济社会可持续发展具有重要意义。</w:t>
      </w:r>
    </w:p>
    <w:p w14:paraId="224FEFE0">
      <w:pPr>
        <w:spacing w:line="576" w:lineRule="exact"/>
        <w:ind w:firstLine="600"/>
        <w:jc w:val="left"/>
        <w:rPr>
          <w:rFonts w:ascii="楷体_GB2312" w:hAnsi="宋体" w:eastAsia="楷体_GB2312"/>
          <w:b/>
          <w:sz w:val="32"/>
          <w:szCs w:val="32"/>
          <w:lang w:val="zh-CN"/>
        </w:rPr>
      </w:pPr>
      <w:r>
        <w:rPr>
          <w:rFonts w:hint="eastAsia" w:ascii="楷体_GB2312" w:hAnsi="宋体" w:eastAsia="楷体_GB2312"/>
          <w:b/>
          <w:sz w:val="32"/>
          <w:szCs w:val="32"/>
          <w:lang w:val="zh-CN"/>
        </w:rPr>
        <w:t>（二）预设问题及评价重点</w:t>
      </w:r>
    </w:p>
    <w:p w14:paraId="488C1189">
      <w:pPr>
        <w:spacing w:line="576" w:lineRule="exact"/>
        <w:ind w:firstLine="600" w:firstLineChars="200"/>
        <w:jc w:val="left"/>
        <w:rPr>
          <w:rFonts w:ascii="仿宋" w:hAnsi="仿宋" w:eastAsia="仿宋" w:cs="仿宋"/>
          <w:color w:val="000000"/>
          <w:sz w:val="30"/>
        </w:rPr>
      </w:pPr>
      <w:r>
        <w:rPr>
          <w:rFonts w:hint="eastAsia" w:ascii="仿宋" w:hAnsi="仿宋" w:eastAsia="仿宋" w:cs="仿宋"/>
          <w:color w:val="000000"/>
          <w:sz w:val="30"/>
        </w:rPr>
        <w:t>1.环卫投入不足。</w:t>
      </w:r>
    </w:p>
    <w:p w14:paraId="6CF1DDA6">
      <w:pPr>
        <w:spacing w:line="576" w:lineRule="exact"/>
        <w:ind w:firstLine="600" w:firstLineChars="200"/>
        <w:jc w:val="left"/>
        <w:rPr>
          <w:rFonts w:ascii="仿宋" w:hAnsi="仿宋" w:eastAsia="仿宋" w:cs="仿宋"/>
          <w:color w:val="000000"/>
          <w:sz w:val="30"/>
        </w:rPr>
      </w:pPr>
      <w:r>
        <w:rPr>
          <w:rFonts w:hint="eastAsia" w:ascii="仿宋" w:hAnsi="仿宋" w:eastAsia="仿宋" w:cs="仿宋"/>
          <w:color w:val="000000"/>
          <w:sz w:val="30"/>
        </w:rPr>
        <w:t>2.对卫生重视度不够。</w:t>
      </w:r>
    </w:p>
    <w:p w14:paraId="48E50802">
      <w:pPr>
        <w:spacing w:line="576" w:lineRule="exact"/>
        <w:ind w:firstLine="600" w:firstLineChars="200"/>
        <w:jc w:val="left"/>
        <w:rPr>
          <w:rFonts w:hint="eastAsia" w:ascii="仿宋" w:hAnsi="仿宋" w:eastAsia="仿宋" w:cs="仿宋"/>
          <w:color w:val="000000"/>
          <w:sz w:val="30"/>
          <w:lang w:eastAsia="zh-CN"/>
        </w:rPr>
      </w:pPr>
      <w:r>
        <w:rPr>
          <w:rFonts w:hint="eastAsia" w:ascii="仿宋" w:hAnsi="仿宋" w:eastAsia="仿宋" w:cs="仿宋"/>
          <w:color w:val="000000"/>
          <w:sz w:val="30"/>
        </w:rPr>
        <w:t>3.各个职能配合不合理</w:t>
      </w:r>
      <w:r>
        <w:rPr>
          <w:rFonts w:hint="eastAsia" w:ascii="仿宋" w:hAnsi="仿宋" w:eastAsia="仿宋" w:cs="仿宋"/>
          <w:color w:val="000000"/>
          <w:sz w:val="30"/>
          <w:lang w:eastAsia="zh-CN"/>
        </w:rPr>
        <w:t>。</w:t>
      </w:r>
    </w:p>
    <w:p w14:paraId="69B2A606">
      <w:pPr>
        <w:spacing w:line="576" w:lineRule="exact"/>
        <w:ind w:firstLine="600"/>
        <w:jc w:val="left"/>
        <w:rPr>
          <w:rFonts w:ascii="楷体_GB2312" w:hAnsi="宋体" w:eastAsia="楷体_GB2312"/>
          <w:b/>
          <w:sz w:val="32"/>
          <w:szCs w:val="32"/>
          <w:lang w:val="zh-CN"/>
        </w:rPr>
      </w:pPr>
      <w:r>
        <w:rPr>
          <w:rFonts w:hint="eastAsia" w:ascii="楷体_GB2312" w:hAnsi="宋体" w:eastAsia="楷体_GB2312"/>
          <w:b/>
          <w:sz w:val="32"/>
          <w:szCs w:val="32"/>
          <w:lang w:val="zh-CN"/>
        </w:rPr>
        <w:t>（三）评价选点</w:t>
      </w:r>
    </w:p>
    <w:p w14:paraId="7BDC64E8">
      <w:pPr>
        <w:spacing w:line="576" w:lineRule="exact"/>
        <w:ind w:firstLine="600" w:firstLineChars="200"/>
        <w:jc w:val="left"/>
        <w:rPr>
          <w:rFonts w:ascii="仿宋" w:hAnsi="仿宋" w:eastAsia="仿宋" w:cs="仿宋"/>
          <w:color w:val="000000"/>
          <w:sz w:val="30"/>
          <w:lang w:val="zh-CN"/>
        </w:rPr>
      </w:pPr>
      <w:r>
        <w:rPr>
          <w:rFonts w:hint="eastAsia" w:ascii="仿宋" w:hAnsi="仿宋" w:eastAsia="仿宋" w:cs="仿宋"/>
          <w:color w:val="000000"/>
          <w:sz w:val="30"/>
          <w:lang w:val="zh-CN"/>
        </w:rPr>
        <w:t>常理镇在常乐社区会议室对2023年环境卫生整治项目进行评价。</w:t>
      </w:r>
    </w:p>
    <w:p w14:paraId="7A7FFD69">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w:t>
      </w:r>
      <w:r>
        <w:rPr>
          <w:rFonts w:hint="eastAsia" w:ascii="楷体_GB2312" w:hAnsi="宋体" w:eastAsia="楷体_GB2312"/>
          <w:b/>
          <w:sz w:val="32"/>
          <w:szCs w:val="32"/>
        </w:rPr>
        <w:t>四）评价方法</w:t>
      </w:r>
    </w:p>
    <w:p w14:paraId="778E06D6">
      <w:pPr>
        <w:adjustRightInd w:val="0"/>
        <w:snapToGrid w:val="0"/>
        <w:spacing w:line="576" w:lineRule="exact"/>
        <w:ind w:firstLine="620" w:firstLineChars="200"/>
        <w:jc w:val="left"/>
        <w:rPr>
          <w:rFonts w:ascii="仿宋" w:hAnsi="仿宋" w:eastAsia="仿宋" w:cs="仿宋"/>
          <w:sz w:val="31"/>
          <w:szCs w:val="31"/>
        </w:rPr>
      </w:pPr>
      <w:r>
        <w:rPr>
          <w:rFonts w:hint="eastAsia" w:ascii="仿宋" w:hAnsi="仿宋" w:eastAsia="仿宋" w:cs="仿宋"/>
          <w:sz w:val="31"/>
          <w:szCs w:val="31"/>
        </w:rPr>
        <w:t>本次绩效评价采用了成本效益比较法、单位自评法、实地勘察法、问卷调查法、座谈调研法等多种方法。</w:t>
      </w:r>
    </w:p>
    <w:p w14:paraId="6B760B26">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（五）评价组织</w:t>
      </w:r>
    </w:p>
    <w:p w14:paraId="070BEA34">
      <w:pPr>
        <w:adjustRightInd w:val="0"/>
        <w:snapToGrid w:val="0"/>
        <w:spacing w:line="576" w:lineRule="exact"/>
        <w:ind w:firstLine="620" w:firstLineChars="200"/>
        <w:jc w:val="left"/>
        <w:rPr>
          <w:rFonts w:ascii="仿宋" w:hAnsi="仿宋" w:eastAsia="仿宋" w:cs="仿宋"/>
          <w:sz w:val="31"/>
          <w:szCs w:val="31"/>
        </w:rPr>
      </w:pPr>
      <w:r>
        <w:rPr>
          <w:rFonts w:hint="eastAsia" w:ascii="仿宋" w:hAnsi="仿宋" w:eastAsia="仿宋" w:cs="仿宋"/>
          <w:sz w:val="31"/>
          <w:szCs w:val="31"/>
        </w:rPr>
        <w:t>党委书记：项目决策及资金使用管理情况</w:t>
      </w:r>
    </w:p>
    <w:p w14:paraId="2AB43371">
      <w:pPr>
        <w:adjustRightInd w:val="0"/>
        <w:snapToGrid w:val="0"/>
        <w:spacing w:line="576" w:lineRule="exact"/>
        <w:ind w:firstLine="620" w:firstLineChars="200"/>
        <w:jc w:val="left"/>
        <w:rPr>
          <w:rFonts w:ascii="仿宋" w:hAnsi="仿宋" w:eastAsia="仿宋" w:cs="仿宋"/>
          <w:sz w:val="31"/>
          <w:szCs w:val="31"/>
        </w:rPr>
      </w:pPr>
      <w:r>
        <w:rPr>
          <w:rFonts w:hint="eastAsia" w:ascii="仿宋" w:hAnsi="仿宋" w:eastAsia="仿宋" w:cs="仿宋"/>
          <w:sz w:val="31"/>
          <w:szCs w:val="31"/>
        </w:rPr>
        <w:t>人大主席：绩效评价工作‌</w:t>
      </w:r>
    </w:p>
    <w:p w14:paraId="15DBF37C">
      <w:pPr>
        <w:adjustRightInd w:val="0"/>
        <w:snapToGrid w:val="0"/>
        <w:spacing w:line="576" w:lineRule="exact"/>
        <w:ind w:firstLine="620" w:firstLineChars="200"/>
        <w:jc w:val="left"/>
        <w:rPr>
          <w:rFonts w:ascii="仿宋" w:hAnsi="仿宋" w:eastAsia="仿宋" w:cs="仿宋"/>
          <w:sz w:val="31"/>
          <w:szCs w:val="31"/>
        </w:rPr>
      </w:pPr>
      <w:r>
        <w:rPr>
          <w:rFonts w:hint="eastAsia" w:ascii="仿宋" w:hAnsi="仿宋" w:eastAsia="仿宋" w:cs="仿宋"/>
          <w:sz w:val="31"/>
          <w:szCs w:val="31"/>
        </w:rPr>
        <w:t>纪委书记：监督检查本次项目自评工作</w:t>
      </w:r>
    </w:p>
    <w:p w14:paraId="13DE83EC">
      <w:pPr>
        <w:adjustRightInd w:val="0"/>
        <w:snapToGrid w:val="0"/>
        <w:spacing w:line="576" w:lineRule="exact"/>
        <w:ind w:firstLine="620" w:firstLineChars="200"/>
        <w:jc w:val="left"/>
        <w:rPr>
          <w:rFonts w:ascii="仿宋" w:hAnsi="仿宋" w:eastAsia="仿宋" w:cs="仿宋"/>
          <w:sz w:val="31"/>
          <w:szCs w:val="31"/>
        </w:rPr>
      </w:pPr>
      <w:r>
        <w:rPr>
          <w:rFonts w:hint="eastAsia" w:ascii="仿宋" w:hAnsi="仿宋" w:eastAsia="仿宋" w:cs="仿宋"/>
          <w:sz w:val="31"/>
          <w:szCs w:val="31"/>
        </w:rPr>
        <w:t>财政办主任：专项资金的管理和使用‌</w:t>
      </w:r>
    </w:p>
    <w:p w14:paraId="4134A460">
      <w:pPr>
        <w:numPr>
          <w:ilvl w:val="0"/>
          <w:numId w:val="7"/>
        </w:numPr>
        <w:spacing w:line="576" w:lineRule="exact"/>
        <w:ind w:firstLine="640"/>
        <w:jc w:val="left"/>
        <w:rPr>
          <w:rFonts w:ascii="黑体" w:hAnsi="宋体" w:eastAsia="黑体"/>
          <w:sz w:val="32"/>
          <w:szCs w:val="32"/>
        </w:rPr>
      </w:pPr>
      <w:r>
        <w:rPr>
          <w:rFonts w:hint="eastAsia" w:ascii="黑体" w:hAnsi="宋体" w:eastAsia="黑体"/>
          <w:sz w:val="32"/>
          <w:szCs w:val="32"/>
        </w:rPr>
        <w:t>绩效分析</w:t>
      </w:r>
    </w:p>
    <w:p w14:paraId="50EA759F">
      <w:pPr>
        <w:spacing w:line="576" w:lineRule="exact"/>
        <w:ind w:left="420" w:leftChars="200"/>
        <w:jc w:val="left"/>
        <w:rPr>
          <w:rFonts w:ascii="仿宋" w:hAnsi="仿宋" w:eastAsia="仿宋" w:cs="仿宋"/>
          <w:b/>
          <w:bCs/>
          <w:sz w:val="32"/>
          <w:szCs w:val="32"/>
          <w:lang w:val="zh-CN"/>
        </w:rPr>
      </w:pPr>
      <w:r>
        <w:rPr>
          <w:rFonts w:hint="eastAsia" w:ascii="仿宋" w:hAnsi="仿宋" w:eastAsia="仿宋" w:cs="仿宋"/>
          <w:b/>
          <w:bCs/>
          <w:sz w:val="32"/>
          <w:szCs w:val="32"/>
          <w:lang w:val="zh-CN"/>
        </w:rPr>
        <w:t>（一）通用指标绩效分析</w:t>
      </w:r>
    </w:p>
    <w:p w14:paraId="02A7D3C8">
      <w:pPr>
        <w:adjustRightInd w:val="0"/>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1.项目决策:环境卫生整治项目为延续性项目，已在年初进行项目绩效目标申报，项目规划合理，年度绩效目标与中长期规划一致。资金管理办法健全完善。</w:t>
      </w:r>
    </w:p>
    <w:p w14:paraId="65BC3144">
      <w:pPr>
        <w:adjustRightInd w:val="0"/>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2.项目管理:为使项目如期完成，结合常理镇实际情况，对环境卫生整治项目按照镇党委工作分工，将所有项目分解到相关党政班子成员，由分管领导具体负责项目实施。在项目资金发放工作中，建立了符合财务会计制度的环境卫生整治项目资金管理制度，专项管理、拨付规范、发放及时。</w:t>
      </w:r>
    </w:p>
    <w:p w14:paraId="029BAFB9">
      <w:pPr>
        <w:adjustRightInd w:val="0"/>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3.项目实施:常理镇成立了以镇党委书记为组长，班子成员和部门负责人及镇村主职干部为成员的环境卫生整治项目行动领导小组，统筹推进各项环境卫生整治项目工作。</w:t>
      </w:r>
    </w:p>
    <w:p w14:paraId="0C359FC5">
      <w:pPr>
        <w:adjustRightInd w:val="0"/>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4.项目结果:项目目标明确、资金到位率高、组织监管体系完善。我镇环境卫生整治项目资金较好地实现了绩效目标。自评得分100分。</w:t>
      </w:r>
    </w:p>
    <w:p w14:paraId="2B3F2FAB">
      <w:pPr>
        <w:spacing w:line="576" w:lineRule="exact"/>
        <w:ind w:firstLine="320" w:firstLineChars="100"/>
        <w:jc w:val="left"/>
        <w:rPr>
          <w:rFonts w:ascii="黑体" w:hAnsi="宋体" w:eastAsia="黑体"/>
          <w:sz w:val="32"/>
          <w:szCs w:val="32"/>
          <w:lang w:val="zh-CN"/>
        </w:rPr>
      </w:pPr>
      <w:r>
        <w:rPr>
          <w:rFonts w:hint="eastAsia" w:ascii="黑体" w:hAnsi="宋体" w:eastAsia="黑体"/>
          <w:sz w:val="32"/>
          <w:szCs w:val="32"/>
          <w:lang w:val="zh-CN"/>
        </w:rPr>
        <w:t>（二）专用指标绩效分析</w:t>
      </w:r>
    </w:p>
    <w:p w14:paraId="75350CA6">
      <w:pPr>
        <w:spacing w:line="576" w:lineRule="exact"/>
        <w:ind w:firstLine="640" w:firstLineChars="200"/>
        <w:jc w:val="left"/>
        <w:rPr>
          <w:rFonts w:ascii="仿宋" w:hAnsi="仿宋" w:eastAsia="仿宋" w:cs="仿宋"/>
          <w:sz w:val="32"/>
          <w:szCs w:val="32"/>
          <w:lang w:val="zh-CN"/>
        </w:rPr>
      </w:pPr>
      <w:r>
        <w:rPr>
          <w:rFonts w:hint="eastAsia" w:ascii="仿宋" w:hAnsi="仿宋" w:eastAsia="仿宋" w:cs="仿宋"/>
          <w:kern w:val="0"/>
          <w:sz w:val="32"/>
          <w:szCs w:val="32"/>
          <w:lang w:val="zh-CN"/>
        </w:rPr>
        <w:t>行政运转。根据对</w:t>
      </w:r>
      <w:r>
        <w:rPr>
          <w:rFonts w:hint="eastAsia" w:ascii="仿宋" w:hAnsi="仿宋" w:eastAsia="仿宋" w:cs="仿宋"/>
          <w:sz w:val="31"/>
          <w:szCs w:val="31"/>
          <w:lang w:val="zh-CN"/>
        </w:rPr>
        <w:t>环境卫生整治</w:t>
      </w:r>
      <w:r>
        <w:rPr>
          <w:rFonts w:hint="eastAsia" w:ascii="仿宋" w:hAnsi="仿宋" w:eastAsia="仿宋" w:cs="仿宋"/>
          <w:kern w:val="0"/>
          <w:sz w:val="32"/>
          <w:szCs w:val="32"/>
          <w:lang w:val="zh-CN"/>
        </w:rPr>
        <w:t>经费项目进行项目绩效目标进行自评，对该项目专项资金进行绩效分析，该项目资金使用合规合法。</w:t>
      </w:r>
    </w:p>
    <w:p w14:paraId="321C1F60">
      <w:pPr>
        <w:spacing w:line="576" w:lineRule="exact"/>
        <w:ind w:left="420" w:leftChars="200"/>
        <w:jc w:val="left"/>
        <w:rPr>
          <w:rFonts w:ascii="黑体" w:hAnsi="宋体" w:eastAsia="黑体"/>
          <w:sz w:val="32"/>
          <w:szCs w:val="32"/>
          <w:lang w:val="zh-CN"/>
        </w:rPr>
      </w:pPr>
      <w:r>
        <w:rPr>
          <w:rFonts w:hint="eastAsia" w:ascii="黑体" w:hAnsi="宋体" w:eastAsia="黑体"/>
          <w:sz w:val="32"/>
          <w:szCs w:val="32"/>
          <w:lang w:val="zh-CN"/>
        </w:rPr>
        <w:t>（三）个性指标绩效分析</w:t>
      </w:r>
    </w:p>
    <w:p w14:paraId="66829BAD">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质量指标：改善农村人居环境。</w:t>
      </w:r>
    </w:p>
    <w:p w14:paraId="49992DD5">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社会效益指标：积极引导农户垃圾分类减量。</w:t>
      </w:r>
    </w:p>
    <w:p w14:paraId="2F340A68">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满意度指标：村民满意程度得到提高。</w:t>
      </w:r>
    </w:p>
    <w:p w14:paraId="6FA68D5F">
      <w:pPr>
        <w:spacing w:line="576" w:lineRule="exact"/>
        <w:ind w:left="420" w:leftChars="200"/>
        <w:jc w:val="left"/>
        <w:rPr>
          <w:rFonts w:ascii="黑体" w:hAnsi="黑体" w:eastAsia="黑体" w:cs="黑体"/>
          <w:b/>
          <w:sz w:val="31"/>
          <w:szCs w:val="31"/>
          <w:lang w:val="zh-CN"/>
        </w:rPr>
      </w:pPr>
      <w:r>
        <w:rPr>
          <w:rFonts w:hint="eastAsia" w:ascii="黑体" w:hAnsi="黑体" w:eastAsia="黑体" w:cs="黑体"/>
          <w:b/>
          <w:sz w:val="31"/>
          <w:szCs w:val="31"/>
          <w:lang w:val="zh-CN"/>
        </w:rPr>
        <w:t>四、评价结论</w:t>
      </w:r>
    </w:p>
    <w:p w14:paraId="3ABCE3C7">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总体上看，项目目标明确、资金到位率高、组织监管体系完善。我镇环境卫生整治</w:t>
      </w:r>
      <w:r>
        <w:rPr>
          <w:rFonts w:hint="eastAsia" w:ascii="仿宋_GB2312" w:hAnsi="仿宋_GB2312" w:eastAsia="仿宋_GB2312" w:cs="仿宋_GB2312"/>
          <w:kern w:val="0"/>
          <w:sz w:val="32"/>
          <w:szCs w:val="32"/>
          <w:lang w:val="zh-CN"/>
        </w:rPr>
        <w:t>经费</w:t>
      </w:r>
      <w:r>
        <w:rPr>
          <w:rFonts w:hint="eastAsia" w:ascii="仿宋_GB2312" w:hAnsi="微软雅黑" w:eastAsia="仿宋_GB2312" w:cs="仿宋_GB2312"/>
          <w:sz w:val="31"/>
          <w:szCs w:val="31"/>
          <w:lang w:val="zh-CN"/>
        </w:rPr>
        <w:t>项目资金较好地实现了绩效目标。自评得分100分。</w:t>
      </w:r>
    </w:p>
    <w:p w14:paraId="6C684A72">
      <w:pPr>
        <w:spacing w:line="576" w:lineRule="exact"/>
        <w:ind w:left="420" w:leftChars="200"/>
        <w:jc w:val="left"/>
        <w:rPr>
          <w:rFonts w:ascii="黑体" w:hAnsi="黑体" w:eastAsia="黑体" w:cs="黑体"/>
          <w:b/>
          <w:sz w:val="31"/>
          <w:szCs w:val="31"/>
          <w:lang w:val="zh-CN"/>
        </w:rPr>
      </w:pPr>
      <w:r>
        <w:rPr>
          <w:rFonts w:hint="eastAsia" w:ascii="黑体" w:hAnsi="黑体" w:eastAsia="黑体" w:cs="黑体"/>
          <w:b/>
          <w:sz w:val="31"/>
          <w:szCs w:val="31"/>
          <w:lang w:val="zh-CN"/>
        </w:rPr>
        <w:t>五、存在主要问题</w:t>
      </w:r>
    </w:p>
    <w:p w14:paraId="26BA99CA">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环境卫生整治经费的使用取得了一定的成效，但在实际过程中仍然存在一些问题，主要包括：资金缺口大：随着乡镇街道进程的加快和居民生活水平的提高，环境卫生整治工作的需求也在不断增加，但经费来源有限，难以满足所有需求。居民参与度低：环境卫生整治工作需要广大居民的积极参与和支持，但部分居民对此认识不足，参与度不高，影响了整治工作的效果。</w:t>
      </w:r>
    </w:p>
    <w:p w14:paraId="00589D33">
      <w:pPr>
        <w:spacing w:line="576" w:lineRule="exact"/>
        <w:ind w:left="420" w:leftChars="200"/>
        <w:jc w:val="left"/>
        <w:rPr>
          <w:rFonts w:hint="eastAsia" w:ascii="黑体" w:hAnsi="黑体" w:eastAsia="黑体" w:cs="黑体"/>
          <w:b/>
          <w:sz w:val="31"/>
          <w:szCs w:val="31"/>
          <w:lang w:val="zh-CN"/>
        </w:rPr>
      </w:pPr>
      <w:r>
        <w:rPr>
          <w:rFonts w:hint="eastAsia" w:ascii="黑体" w:hAnsi="黑体" w:eastAsia="黑体" w:cs="黑体"/>
          <w:b/>
          <w:sz w:val="31"/>
          <w:szCs w:val="31"/>
          <w:lang w:val="zh-CN"/>
        </w:rPr>
        <w:t>六、改进建议</w:t>
      </w:r>
    </w:p>
    <w:p w14:paraId="638EFEFC">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通过政府投入、社会捐赠、等多种方式拓宽资金来源，确保环境卫生整治工作有足够的经费支持。加强宣传教育力度，提高居民对环境卫生整治工作的认识和支持度。鼓励居民积极参与环境卫生整治工作，形成全社会共同参与的良好氛围。</w:t>
      </w:r>
    </w:p>
    <w:p w14:paraId="3E95CF9E">
      <w:pPr>
        <w:pStyle w:val="2"/>
        <w:spacing w:line="576" w:lineRule="exact"/>
        <w:rPr>
          <w:lang w:val="zh-CN"/>
        </w:rPr>
      </w:pPr>
    </w:p>
    <w:p w14:paraId="1D601E9D">
      <w:pPr>
        <w:spacing w:line="576" w:lineRule="exact"/>
        <w:jc w:val="left"/>
      </w:pPr>
    </w:p>
    <w:p w14:paraId="765609D9">
      <w:pPr>
        <w:pStyle w:val="2"/>
        <w:spacing w:line="576" w:lineRule="exact"/>
      </w:pPr>
    </w:p>
    <w:p w14:paraId="171C3BF6">
      <w:pPr>
        <w:pStyle w:val="3"/>
        <w:spacing w:line="576" w:lineRule="exact"/>
        <w:ind w:left="420"/>
        <w:jc w:val="left"/>
      </w:pPr>
    </w:p>
    <w:p w14:paraId="471769AB">
      <w:pPr>
        <w:spacing w:line="576" w:lineRule="exact"/>
        <w:jc w:val="left"/>
        <w:rPr>
          <w:rFonts w:ascii="方正小标宋简体" w:hAnsi="宋体" w:eastAsia="方正小标宋简体"/>
          <w:color w:val="000000"/>
          <w:kern w:val="0"/>
          <w:sz w:val="44"/>
          <w:szCs w:val="44"/>
        </w:rPr>
      </w:pPr>
    </w:p>
    <w:p w14:paraId="55566642">
      <w:pPr>
        <w:pStyle w:val="2"/>
        <w:spacing w:line="576" w:lineRule="exact"/>
        <w:rPr>
          <w:rFonts w:ascii="方正小标宋简体" w:hAnsi="宋体" w:eastAsia="方正小标宋简体"/>
          <w:color w:val="000000"/>
          <w:kern w:val="0"/>
          <w:sz w:val="44"/>
          <w:szCs w:val="44"/>
        </w:rPr>
      </w:pPr>
    </w:p>
    <w:p w14:paraId="51319786">
      <w:pPr>
        <w:pStyle w:val="3"/>
        <w:spacing w:line="576" w:lineRule="exact"/>
        <w:ind w:left="420" w:firstLine="880"/>
        <w:jc w:val="left"/>
        <w:rPr>
          <w:rFonts w:ascii="方正小标宋简体" w:hAnsi="宋体" w:eastAsia="方正小标宋简体"/>
          <w:color w:val="000000"/>
          <w:kern w:val="0"/>
          <w:sz w:val="44"/>
          <w:szCs w:val="44"/>
        </w:rPr>
      </w:pPr>
    </w:p>
    <w:p w14:paraId="481F0408">
      <w:pPr>
        <w:pStyle w:val="3"/>
        <w:spacing w:line="576" w:lineRule="exact"/>
        <w:ind w:left="420" w:firstLine="880"/>
        <w:jc w:val="left"/>
        <w:rPr>
          <w:rFonts w:ascii="方正小标宋简体" w:hAnsi="宋体" w:eastAsia="方正小标宋简体"/>
          <w:color w:val="000000"/>
          <w:kern w:val="0"/>
          <w:sz w:val="44"/>
          <w:szCs w:val="44"/>
        </w:rPr>
      </w:pPr>
    </w:p>
    <w:p w14:paraId="24DE20EE">
      <w:pPr>
        <w:pStyle w:val="3"/>
        <w:spacing w:line="576" w:lineRule="exact"/>
        <w:ind w:left="420" w:firstLine="880"/>
        <w:jc w:val="left"/>
        <w:rPr>
          <w:rFonts w:ascii="方正小标宋简体" w:hAnsi="宋体" w:eastAsia="方正小标宋简体"/>
          <w:color w:val="000000"/>
          <w:kern w:val="0"/>
          <w:sz w:val="44"/>
          <w:szCs w:val="44"/>
        </w:rPr>
      </w:pPr>
    </w:p>
    <w:p w14:paraId="3E560E02">
      <w:pPr>
        <w:pStyle w:val="3"/>
        <w:spacing w:line="576" w:lineRule="exact"/>
        <w:ind w:left="420" w:firstLine="880"/>
        <w:jc w:val="left"/>
        <w:rPr>
          <w:rFonts w:ascii="方正小标宋简体" w:hAnsi="宋体" w:eastAsia="方正小标宋简体"/>
          <w:color w:val="000000"/>
          <w:kern w:val="0"/>
          <w:sz w:val="44"/>
          <w:szCs w:val="44"/>
        </w:rPr>
      </w:pPr>
    </w:p>
    <w:p w14:paraId="04B480B2">
      <w:pPr>
        <w:pStyle w:val="3"/>
        <w:spacing w:line="576" w:lineRule="exact"/>
        <w:ind w:left="420" w:firstLine="880"/>
        <w:jc w:val="left"/>
        <w:rPr>
          <w:rFonts w:ascii="方正小标宋简体" w:hAnsi="宋体" w:eastAsia="方正小标宋简体"/>
          <w:color w:val="000000"/>
          <w:kern w:val="0"/>
          <w:sz w:val="44"/>
          <w:szCs w:val="44"/>
        </w:rPr>
      </w:pPr>
    </w:p>
    <w:p w14:paraId="37D39C2F">
      <w:pPr>
        <w:pStyle w:val="3"/>
        <w:spacing w:line="576" w:lineRule="exact"/>
        <w:ind w:left="420" w:firstLine="880"/>
        <w:jc w:val="left"/>
        <w:rPr>
          <w:rFonts w:ascii="方正小标宋简体" w:hAnsi="宋体" w:eastAsia="方正小标宋简体"/>
          <w:color w:val="000000"/>
          <w:kern w:val="0"/>
          <w:sz w:val="44"/>
          <w:szCs w:val="44"/>
        </w:rPr>
      </w:pPr>
    </w:p>
    <w:p w14:paraId="17748A9A">
      <w:pPr>
        <w:pStyle w:val="3"/>
        <w:spacing w:line="576" w:lineRule="exact"/>
        <w:ind w:left="420" w:firstLine="880"/>
        <w:jc w:val="left"/>
        <w:rPr>
          <w:rFonts w:ascii="方正小标宋简体" w:hAnsi="宋体" w:eastAsia="方正小标宋简体"/>
          <w:color w:val="000000"/>
          <w:kern w:val="0"/>
          <w:sz w:val="44"/>
          <w:szCs w:val="44"/>
        </w:rPr>
      </w:pPr>
    </w:p>
    <w:p w14:paraId="6D8135FC">
      <w:pPr>
        <w:spacing w:line="576" w:lineRule="exact"/>
        <w:jc w:val="left"/>
        <w:rPr>
          <w:rFonts w:ascii="方正小标宋简体" w:hAnsi="宋体" w:eastAsia="方正小标宋简体"/>
          <w:color w:val="000000"/>
          <w:kern w:val="0"/>
          <w:sz w:val="44"/>
          <w:szCs w:val="44"/>
        </w:rPr>
      </w:pPr>
    </w:p>
    <w:p w14:paraId="4D67DDC7">
      <w:pPr>
        <w:pStyle w:val="2"/>
        <w:rPr>
          <w:rFonts w:ascii="方正小标宋简体" w:hAnsi="宋体" w:eastAsia="方正小标宋简体"/>
          <w:color w:val="000000"/>
          <w:kern w:val="0"/>
          <w:sz w:val="44"/>
          <w:szCs w:val="44"/>
        </w:rPr>
      </w:pPr>
    </w:p>
    <w:p w14:paraId="45DB9538">
      <w:pPr>
        <w:pStyle w:val="3"/>
        <w:ind w:left="0" w:leftChars="0" w:firstLine="0" w:firstLineChars="0"/>
        <w:rPr>
          <w:rFonts w:ascii="方正小标宋简体" w:hAnsi="宋体" w:eastAsia="方正小标宋简体"/>
          <w:color w:val="000000"/>
          <w:kern w:val="0"/>
          <w:sz w:val="44"/>
          <w:szCs w:val="44"/>
        </w:rPr>
      </w:pPr>
    </w:p>
    <w:p w14:paraId="00874E60">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部门预算项目支出绩效自评报告</w:t>
      </w:r>
    </w:p>
    <w:p w14:paraId="387B45C4">
      <w:pPr>
        <w:spacing w:line="576" w:lineRule="exact"/>
        <w:ind w:firstLine="643" w:firstLineChars="200"/>
        <w:jc w:val="center"/>
        <w:rPr>
          <w:rFonts w:ascii="楷体_GB2312" w:hAnsi="宋体" w:eastAsia="楷体_GB2312"/>
          <w:b/>
          <w:sz w:val="32"/>
          <w:szCs w:val="32"/>
        </w:rPr>
      </w:pPr>
      <w:r>
        <w:rPr>
          <w:rFonts w:hint="eastAsia" w:ascii="楷体_GB2312" w:hAnsi="宋体" w:eastAsia="楷体_GB2312"/>
          <w:b/>
          <w:sz w:val="32"/>
          <w:szCs w:val="32"/>
        </w:rPr>
        <w:t>（乡镇监察工作经费项目）</w:t>
      </w:r>
    </w:p>
    <w:p w14:paraId="15EFA805">
      <w:pPr>
        <w:spacing w:line="576" w:lineRule="exact"/>
        <w:jc w:val="left"/>
        <w:rPr>
          <w:rFonts w:ascii="仿宋_GB2312" w:hAnsi="仿宋_GB2312" w:eastAsia="仿宋_GB2312" w:cs="仿宋_GB2312"/>
          <w:b/>
          <w:bCs/>
          <w:sz w:val="32"/>
          <w:szCs w:val="32"/>
        </w:rPr>
      </w:pPr>
    </w:p>
    <w:p w14:paraId="0C252C33">
      <w:pPr>
        <w:spacing w:line="576" w:lineRule="exact"/>
        <w:ind w:firstLine="622" w:firstLineChars="200"/>
        <w:jc w:val="left"/>
        <w:rPr>
          <w:rFonts w:hint="eastAsia" w:ascii="黑体" w:hAnsi="黑体" w:eastAsia="黑体" w:cs="黑体"/>
          <w:b/>
          <w:sz w:val="31"/>
          <w:szCs w:val="31"/>
          <w:lang w:val="zh-CN"/>
        </w:rPr>
      </w:pPr>
      <w:r>
        <w:rPr>
          <w:rFonts w:hint="eastAsia" w:ascii="黑体" w:hAnsi="黑体" w:eastAsia="黑体" w:cs="黑体"/>
          <w:b/>
          <w:sz w:val="31"/>
          <w:szCs w:val="31"/>
          <w:lang w:val="zh-CN"/>
        </w:rPr>
        <w:t>一、项目概况</w:t>
      </w:r>
    </w:p>
    <w:p w14:paraId="2847060B">
      <w:pPr>
        <w:spacing w:line="576" w:lineRule="exact"/>
        <w:ind w:firstLine="321" w:firstLineChars="100"/>
        <w:jc w:val="left"/>
        <w:rPr>
          <w:rFonts w:ascii="仿宋" w:hAnsi="仿宋" w:eastAsia="仿宋" w:cs="仿宋"/>
          <w:b/>
          <w:bCs/>
          <w:sz w:val="32"/>
          <w:szCs w:val="32"/>
        </w:rPr>
      </w:pPr>
      <w:r>
        <w:rPr>
          <w:rFonts w:hint="eastAsia" w:ascii="仿宋" w:hAnsi="仿宋" w:eastAsia="仿宋" w:cs="仿宋"/>
          <w:b/>
          <w:bCs/>
          <w:sz w:val="32"/>
          <w:szCs w:val="32"/>
        </w:rPr>
        <w:t>（一）设立背景及基本情况</w:t>
      </w:r>
    </w:p>
    <w:p w14:paraId="5A87ED51">
      <w:pPr>
        <w:spacing w:line="576" w:lineRule="exact"/>
        <w:ind w:firstLine="640" w:firstLineChars="200"/>
        <w:jc w:val="left"/>
        <w:rPr>
          <w:rFonts w:ascii="仿宋_GB2312" w:hAnsi="仿宋_GB2312" w:eastAsia="仿宋_GB2312" w:cs="仿宋_GB2312"/>
          <w:sz w:val="32"/>
          <w:szCs w:val="32"/>
        </w:rPr>
      </w:pPr>
      <w:r>
        <w:rPr>
          <w:rFonts w:hint="eastAsia" w:ascii="仿宋" w:hAnsi="仿宋" w:eastAsia="仿宋" w:cs="仿宋"/>
          <w:sz w:val="32"/>
          <w:szCs w:val="32"/>
        </w:rPr>
        <w:t>为了解决基层监察工作中遇到的办公设施不全、经费不足等问题，确保监察工作能够顺利、有效地开展，从而加强基层治理，提升监督效能，确保党的执政基础得到巩固。乡镇监察工作经费主要是保障纪委监察工作的办公费、宣传费、工作人员差旅费等费用。</w:t>
      </w:r>
    </w:p>
    <w:p w14:paraId="11DBBC8E">
      <w:pPr>
        <w:spacing w:line="576" w:lineRule="exact"/>
        <w:ind w:firstLine="321" w:firstLineChars="100"/>
        <w:jc w:val="left"/>
        <w:rPr>
          <w:rFonts w:ascii="仿宋" w:hAnsi="仿宋" w:eastAsia="仿宋" w:cs="仿宋"/>
          <w:b/>
          <w:bCs/>
          <w:sz w:val="32"/>
          <w:szCs w:val="32"/>
        </w:rPr>
      </w:pPr>
      <w:r>
        <w:rPr>
          <w:rFonts w:hint="eastAsia" w:ascii="仿宋" w:hAnsi="仿宋" w:eastAsia="仿宋" w:cs="仿宋"/>
          <w:b/>
          <w:bCs/>
          <w:sz w:val="32"/>
          <w:szCs w:val="32"/>
        </w:rPr>
        <w:t>（二）实施目的及支持方向</w:t>
      </w:r>
    </w:p>
    <w:p w14:paraId="38F70B99">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乡镇监察工作经费项目的实施目的确保乡镇监察工作顺利开展；确保项目资金安全、规范、高效运行；确保乡村两级基层政权正常运转，以及确保乡镇财政管理基础工作和基层财政建设水平显著提高。</w:t>
      </w:r>
    </w:p>
    <w:p w14:paraId="54C7BFDA">
      <w:pPr>
        <w:spacing w:line="576" w:lineRule="exact"/>
        <w:ind w:firstLine="321" w:firstLineChars="1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（三）预算安排及分配管理</w:t>
      </w:r>
    </w:p>
    <w:p w14:paraId="0011EDCC">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乡镇监察工作经费项目2023年初预算3.00万元 ，预算批复3.00万元。资金主要用于保障纪委监察工作的办公费、宣传费、工作人员差旅费等费用。</w:t>
      </w:r>
    </w:p>
    <w:p w14:paraId="2EE5DED3">
      <w:pPr>
        <w:spacing w:line="576" w:lineRule="exact"/>
        <w:ind w:firstLine="320" w:firstLineChars="100"/>
        <w:jc w:val="left"/>
        <w:rPr>
          <w:rFonts w:ascii="仿宋_GB2312" w:hAnsi="仿宋_GB2312" w:eastAsia="仿宋_GB2312" w:cs="仿宋_GB2312"/>
          <w:b/>
          <w:bCs/>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四）项目绩效目标设置</w:t>
      </w:r>
    </w:p>
    <w:p w14:paraId="7B8D2CC2">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完成年度内区纪委交办的巡察等工作任务；对各项工作开展监督检查；完成年度内发生的违纪案件审查。该经费为乡镇监察工作提供财力的保证。</w:t>
      </w:r>
    </w:p>
    <w:p w14:paraId="742F02E2">
      <w:pPr>
        <w:spacing w:line="576" w:lineRule="exact"/>
        <w:ind w:firstLine="622" w:firstLineChars="200"/>
        <w:jc w:val="left"/>
        <w:rPr>
          <w:rFonts w:hint="eastAsia" w:ascii="黑体" w:hAnsi="黑体" w:eastAsia="黑体" w:cs="黑体"/>
          <w:b/>
          <w:sz w:val="31"/>
          <w:szCs w:val="31"/>
          <w:lang w:val="zh-CN"/>
        </w:rPr>
      </w:pPr>
      <w:r>
        <w:rPr>
          <w:rFonts w:hint="eastAsia" w:ascii="黑体" w:hAnsi="黑体" w:eastAsia="黑体" w:cs="黑体"/>
          <w:b/>
          <w:sz w:val="31"/>
          <w:szCs w:val="31"/>
          <w:lang w:val="zh-CN"/>
        </w:rPr>
        <w:t>二、评价实施</w:t>
      </w:r>
    </w:p>
    <w:p w14:paraId="0BD39C2F">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（一）评价目的</w:t>
      </w:r>
    </w:p>
    <w:p w14:paraId="3C2B4DEA">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通过绩效评价全面分析该项目资金使用、管理和项目实施情况，进一步规范常理镇2023年度乡镇监察工作项目专项资金的使用，强化财政资金支出绩效理念，切实提高财政资金使用效益。</w:t>
      </w:r>
    </w:p>
    <w:p w14:paraId="3D9A5DDE">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（二）预设问题及评价重点</w:t>
      </w:r>
    </w:p>
    <w:p w14:paraId="2C0D2B3F">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通过乡镇监察工作经费项目绩效自评，按照绩效评价指标体系，对资金支出使用全过程及其实施效果进行综合评价和判断。</w:t>
      </w:r>
    </w:p>
    <w:p w14:paraId="3EF6814F">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（三）评价选点</w:t>
      </w:r>
    </w:p>
    <w:p w14:paraId="6BC2FFA6">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乡镇监察工作项目的评价选点应全面，客观</w:t>
      </w:r>
      <w:r>
        <w:rPr>
          <w:rFonts w:hint="eastAsia" w:ascii="仿宋" w:hAnsi="仿宋" w:eastAsia="仿宋" w:cs="仿宋"/>
          <w:sz w:val="32"/>
          <w:szCs w:val="32"/>
          <w:lang w:eastAsia="zh-CN"/>
        </w:rPr>
        <w:t>地反映监察</w:t>
      </w:r>
      <w:r>
        <w:rPr>
          <w:rFonts w:hint="eastAsia" w:ascii="仿宋" w:hAnsi="仿宋" w:eastAsia="仿宋" w:cs="仿宋"/>
          <w:sz w:val="32"/>
          <w:szCs w:val="32"/>
        </w:rPr>
        <w:t>工作的质量的成效。</w:t>
      </w:r>
    </w:p>
    <w:p w14:paraId="7A2F83F8">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（四）评价方法</w:t>
      </w:r>
    </w:p>
    <w:p w14:paraId="5386C8AA">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本次绩效评价采用了成本效益比较法、实地勘察法、座谈调研法等多种方法。</w:t>
      </w:r>
    </w:p>
    <w:p w14:paraId="12E31F89">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（五）评价组织</w:t>
      </w:r>
    </w:p>
    <w:p w14:paraId="7B9DEDE2">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党委书记：项目决策及资金使用管理情况</w:t>
      </w:r>
    </w:p>
    <w:p w14:paraId="38FEC0D8">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纪委书记：绩效评价工作、‌监督检查本次项目自评工作</w:t>
      </w:r>
    </w:p>
    <w:p w14:paraId="1A35BB84">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财政负责人：专项资金的管理和使用</w:t>
      </w:r>
    </w:p>
    <w:p w14:paraId="6A4F7B16">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项目负责人：对该项目相关资料负责</w:t>
      </w:r>
    </w:p>
    <w:p w14:paraId="69B2947A">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相关经办人：提供项目相关资料‌</w:t>
      </w:r>
    </w:p>
    <w:p w14:paraId="6FA24E89">
      <w:pPr>
        <w:spacing w:line="576" w:lineRule="exact"/>
        <w:ind w:left="420" w:leftChars="200" w:firstLine="311" w:firstLineChars="100"/>
        <w:jc w:val="left"/>
        <w:rPr>
          <w:rFonts w:hint="eastAsia" w:ascii="黑体" w:hAnsi="黑体" w:eastAsia="黑体" w:cs="黑体"/>
          <w:b/>
          <w:sz w:val="31"/>
          <w:szCs w:val="31"/>
          <w:lang w:val="zh-CN"/>
        </w:rPr>
      </w:pPr>
    </w:p>
    <w:p w14:paraId="071DCA19">
      <w:pPr>
        <w:spacing w:line="576" w:lineRule="exact"/>
        <w:ind w:left="420" w:leftChars="200" w:firstLine="311" w:firstLineChars="100"/>
        <w:jc w:val="left"/>
        <w:rPr>
          <w:rFonts w:hint="eastAsia" w:ascii="黑体" w:hAnsi="黑体" w:eastAsia="黑体" w:cs="黑体"/>
          <w:b/>
          <w:sz w:val="31"/>
          <w:szCs w:val="31"/>
          <w:lang w:val="zh-CN"/>
        </w:rPr>
      </w:pPr>
      <w:r>
        <w:rPr>
          <w:rFonts w:hint="eastAsia" w:ascii="黑体" w:hAnsi="黑体" w:eastAsia="黑体" w:cs="黑体"/>
          <w:b/>
          <w:sz w:val="31"/>
          <w:szCs w:val="31"/>
          <w:lang w:val="zh-CN"/>
        </w:rPr>
        <w:t>三、绩效分析</w:t>
      </w:r>
      <w:r>
        <w:rPr>
          <w:rFonts w:hint="eastAsia" w:ascii="黑体" w:hAnsi="黑体" w:eastAsia="黑体" w:cs="黑体"/>
          <w:b/>
          <w:sz w:val="31"/>
          <w:szCs w:val="31"/>
          <w:lang w:val="zh-CN"/>
        </w:rPr>
        <w:tab/>
      </w:r>
    </w:p>
    <w:p w14:paraId="3CC7B7D3">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（一）通用指标绩效分析</w:t>
      </w:r>
    </w:p>
    <w:p w14:paraId="3DAC93CD">
      <w:pPr>
        <w:spacing w:line="576"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1.项目决策：</w:t>
      </w:r>
      <w:r>
        <w:rPr>
          <w:rFonts w:hint="eastAsia" w:ascii="仿宋_GB2312" w:hAnsi="仿宋_GB2312" w:eastAsia="仿宋_GB2312" w:cs="仿宋_GB2312"/>
          <w:sz w:val="32"/>
          <w:szCs w:val="32"/>
        </w:rPr>
        <w:t>通过实施该项目，提高纪检监察工作的政策水平，工作能力，充分发挥本部门的“教育、惩处、监督、保护”职能，把我镇党风廉政建设和反腐各项任务落到实处。</w:t>
      </w:r>
    </w:p>
    <w:p w14:paraId="73D367C5">
      <w:p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2.项目管理：</w:t>
      </w:r>
      <w:r>
        <w:rPr>
          <w:rFonts w:hint="eastAsia" w:ascii="仿宋_GB2312" w:hAnsi="仿宋_GB2312" w:eastAsia="仿宋_GB2312" w:cs="仿宋_GB2312"/>
          <w:sz w:val="32"/>
          <w:szCs w:val="32"/>
        </w:rPr>
        <w:t>为使项目如期完成，结合常理镇实际情况，乡镇监察工作项目相关管理制度健全并落实到位，资料齐全并及时归档。人员配备合理、支撑条件保障较好。在项目资金发放工作中，建立了符合财务会计制度的项目专项资金管理制度，专项管理、拨付规范、发放及时。</w:t>
      </w:r>
    </w:p>
    <w:p w14:paraId="6C6B4C5C">
      <w:pPr>
        <w:spacing w:line="576" w:lineRule="exact"/>
        <w:ind w:firstLine="643" w:firstLineChars="2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3.项目实施：</w:t>
      </w:r>
      <w:r>
        <w:rPr>
          <w:rFonts w:hint="eastAsia" w:ascii="仿宋_GB2312" w:hAnsi="仿宋_GB2312" w:eastAsia="仿宋_GB2312" w:cs="仿宋_GB2312"/>
          <w:sz w:val="32"/>
          <w:szCs w:val="32"/>
        </w:rPr>
        <w:t>常理镇成立了以镇党委书记为组长，班子成员和部门负责人为成员的行动领导小组，统筹推进乡镇监察工作。</w:t>
      </w:r>
    </w:p>
    <w:p w14:paraId="030562D3">
      <w:p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4.项目结果：</w:t>
      </w:r>
      <w:r>
        <w:rPr>
          <w:rFonts w:hint="eastAsia" w:ascii="仿宋_GB2312" w:hAnsi="仿宋_GB2312" w:eastAsia="仿宋_GB2312" w:cs="仿宋_GB2312"/>
          <w:sz w:val="32"/>
          <w:szCs w:val="32"/>
        </w:rPr>
        <w:t>项目目标明确、资金到位率高、组织监管体系完善。我镇乡镇监察工作等项目资金较好地实现了绩效目标。自评得分100分。</w:t>
      </w:r>
    </w:p>
    <w:p w14:paraId="6A5549ED">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（二）专用指标绩效分析</w:t>
      </w:r>
    </w:p>
    <w:p w14:paraId="2B778BC2">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行政运转。根据对乡镇监察工作经费项目进行项目绩效目标进行自评，对该项目专项资金进行绩效分析，该项目资金使用合规合法。</w:t>
      </w:r>
    </w:p>
    <w:p w14:paraId="63A58167">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（三）个性指标绩效分析</w:t>
      </w:r>
    </w:p>
    <w:p w14:paraId="71C18A20">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质量指标：办案公正率100%。</w:t>
      </w:r>
    </w:p>
    <w:p w14:paraId="08308E9C">
      <w:pPr>
        <w:spacing w:line="576"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可持续影响指标：社会效益指标党风廉政建设、反腐败工作取得明显成效。</w:t>
      </w:r>
    </w:p>
    <w:p w14:paraId="2FF8D365">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满意度指标：群众满意度达到98%以上。</w:t>
      </w:r>
    </w:p>
    <w:p w14:paraId="3038D6B6">
      <w:pPr>
        <w:spacing w:line="576" w:lineRule="exact"/>
        <w:ind w:firstLine="643" w:firstLineChars="200"/>
        <w:jc w:val="left"/>
        <w:rPr>
          <w:rFonts w:ascii="黑体" w:hAnsi="黑体" w:eastAsia="黑体" w:cs="黑体"/>
          <w:b/>
          <w:sz w:val="32"/>
          <w:szCs w:val="32"/>
        </w:rPr>
      </w:pPr>
      <w:r>
        <w:rPr>
          <w:rFonts w:hint="eastAsia" w:ascii="黑体" w:hAnsi="黑体" w:eastAsia="黑体" w:cs="黑体"/>
          <w:b/>
          <w:sz w:val="32"/>
          <w:szCs w:val="32"/>
        </w:rPr>
        <w:t>四、评价结论</w:t>
      </w:r>
    </w:p>
    <w:p w14:paraId="556F3901">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总体上看，项目目标明确、资金到位率高、组织监管体系完善。我镇乡镇监察工作等项目资金较好地实现了绩效目标。自评得分100分。</w:t>
      </w:r>
    </w:p>
    <w:p w14:paraId="73866ADD">
      <w:pPr>
        <w:spacing w:line="576" w:lineRule="exact"/>
        <w:ind w:firstLine="643" w:firstLineChars="200"/>
        <w:jc w:val="left"/>
        <w:rPr>
          <w:rFonts w:ascii="黑体" w:hAnsi="黑体" w:eastAsia="黑体" w:cs="黑体"/>
          <w:b/>
          <w:sz w:val="32"/>
          <w:szCs w:val="32"/>
        </w:rPr>
      </w:pPr>
      <w:r>
        <w:rPr>
          <w:rFonts w:hint="eastAsia" w:ascii="黑体" w:hAnsi="黑体" w:eastAsia="黑体" w:cs="黑体"/>
          <w:b/>
          <w:sz w:val="32"/>
          <w:szCs w:val="32"/>
        </w:rPr>
        <w:t>五、存在主要问题</w:t>
      </w:r>
    </w:p>
    <w:p w14:paraId="79BF3038">
      <w:pPr>
        <w:spacing w:line="576"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项目资金缺乏，不能满足正常工作需要。</w:t>
      </w:r>
    </w:p>
    <w:p w14:paraId="3389F43B">
      <w:pPr>
        <w:spacing w:line="576" w:lineRule="exact"/>
        <w:ind w:firstLine="643" w:firstLineChars="200"/>
        <w:jc w:val="left"/>
        <w:rPr>
          <w:rFonts w:ascii="黑体" w:hAnsi="黑体" w:eastAsia="黑体" w:cs="黑体"/>
          <w:b/>
          <w:sz w:val="32"/>
          <w:szCs w:val="32"/>
        </w:rPr>
      </w:pPr>
      <w:r>
        <w:rPr>
          <w:rFonts w:hint="eastAsia" w:ascii="黑体" w:hAnsi="黑体" w:eastAsia="黑体" w:cs="黑体"/>
          <w:b/>
          <w:sz w:val="32"/>
          <w:szCs w:val="32"/>
        </w:rPr>
        <w:t>六、改进建议</w:t>
      </w:r>
    </w:p>
    <w:p w14:paraId="1BA6FB97">
      <w:pPr>
        <w:spacing w:line="576" w:lineRule="exact"/>
        <w:ind w:firstLine="640" w:firstLineChars="200"/>
        <w:jc w:val="left"/>
        <w:rPr>
          <w:rFonts w:ascii="仿宋_GB2312" w:hAnsi="仿宋_GB2312" w:eastAsia="仿宋_GB2312" w:cs="仿宋_GB2312"/>
          <w:b/>
          <w:sz w:val="32"/>
          <w:szCs w:val="32"/>
        </w:rPr>
      </w:pPr>
      <w:r>
        <w:rPr>
          <w:rFonts w:hint="eastAsia" w:ascii="仿宋_GB2312" w:hAnsi="仿宋_GB2312" w:eastAsia="仿宋_GB2312" w:cs="仿宋_GB2312"/>
          <w:sz w:val="32"/>
          <w:szCs w:val="32"/>
        </w:rPr>
        <w:t>争取节约工作经费，全面开展好工作，不断提高工作科学化、规范化、法治化水平；建议上级财政或上级相关部门提供资金支持，帮助解决乡镇监察工作项目资金短缺问题。</w:t>
      </w:r>
    </w:p>
    <w:p w14:paraId="01C44571">
      <w:pPr>
        <w:pStyle w:val="3"/>
        <w:spacing w:line="576" w:lineRule="exact"/>
        <w:ind w:left="0" w:leftChars="0" w:firstLine="643"/>
        <w:jc w:val="left"/>
        <w:rPr>
          <w:rFonts w:hAnsi="仿宋_GB2312" w:eastAsia="仿宋_GB2312" w:cs="仿宋_GB2312"/>
          <w:b/>
          <w:sz w:val="32"/>
        </w:rPr>
      </w:pPr>
    </w:p>
    <w:p w14:paraId="3BEFA5BD">
      <w:pPr>
        <w:spacing w:line="576" w:lineRule="exact"/>
        <w:jc w:val="center"/>
        <w:rPr>
          <w:rFonts w:ascii="方正小标宋简体" w:hAnsi="宋体" w:eastAsia="方正小标宋简体"/>
          <w:color w:val="000000"/>
          <w:kern w:val="0"/>
          <w:sz w:val="44"/>
          <w:szCs w:val="44"/>
        </w:rPr>
      </w:pPr>
    </w:p>
    <w:p w14:paraId="6FDE5E51">
      <w:pPr>
        <w:spacing w:line="576" w:lineRule="exact"/>
        <w:jc w:val="center"/>
        <w:rPr>
          <w:rFonts w:ascii="方正小标宋简体" w:hAnsi="宋体" w:eastAsia="方正小标宋简体"/>
          <w:color w:val="000000"/>
          <w:kern w:val="0"/>
          <w:sz w:val="44"/>
          <w:szCs w:val="44"/>
        </w:rPr>
      </w:pPr>
    </w:p>
    <w:p w14:paraId="19172137">
      <w:pPr>
        <w:spacing w:line="576" w:lineRule="exact"/>
        <w:jc w:val="center"/>
        <w:rPr>
          <w:rFonts w:ascii="方正小标宋简体" w:hAnsi="宋体" w:eastAsia="方正小标宋简体"/>
          <w:color w:val="000000"/>
          <w:kern w:val="0"/>
          <w:sz w:val="44"/>
          <w:szCs w:val="44"/>
        </w:rPr>
      </w:pPr>
    </w:p>
    <w:p w14:paraId="561EED96">
      <w:pPr>
        <w:spacing w:line="576" w:lineRule="exact"/>
        <w:jc w:val="center"/>
        <w:rPr>
          <w:rFonts w:ascii="方正小标宋简体" w:hAnsi="宋体" w:eastAsia="方正小标宋简体"/>
          <w:color w:val="000000"/>
          <w:kern w:val="0"/>
          <w:sz w:val="44"/>
          <w:szCs w:val="44"/>
        </w:rPr>
      </w:pPr>
    </w:p>
    <w:p w14:paraId="769F482B">
      <w:pPr>
        <w:spacing w:line="576" w:lineRule="exact"/>
        <w:jc w:val="center"/>
        <w:rPr>
          <w:rFonts w:ascii="方正小标宋简体" w:hAnsi="宋体" w:eastAsia="方正小标宋简体"/>
          <w:color w:val="000000"/>
          <w:kern w:val="0"/>
          <w:sz w:val="44"/>
          <w:szCs w:val="44"/>
        </w:rPr>
      </w:pPr>
    </w:p>
    <w:p w14:paraId="0B31040B">
      <w:pPr>
        <w:spacing w:line="576" w:lineRule="exact"/>
        <w:jc w:val="center"/>
        <w:rPr>
          <w:rFonts w:ascii="方正小标宋简体" w:hAnsi="宋体" w:eastAsia="方正小标宋简体"/>
          <w:color w:val="000000"/>
          <w:kern w:val="0"/>
          <w:sz w:val="44"/>
          <w:szCs w:val="44"/>
        </w:rPr>
      </w:pPr>
    </w:p>
    <w:p w14:paraId="64EC4F56">
      <w:pPr>
        <w:spacing w:line="576" w:lineRule="exact"/>
        <w:jc w:val="center"/>
        <w:rPr>
          <w:rFonts w:ascii="方正小标宋简体" w:hAnsi="宋体" w:eastAsia="方正小标宋简体"/>
          <w:color w:val="000000"/>
          <w:kern w:val="0"/>
          <w:sz w:val="44"/>
          <w:szCs w:val="44"/>
        </w:rPr>
      </w:pPr>
    </w:p>
    <w:p w14:paraId="42FAE0A8">
      <w:pPr>
        <w:spacing w:line="576" w:lineRule="exact"/>
        <w:jc w:val="center"/>
        <w:rPr>
          <w:rFonts w:ascii="方正小标宋简体" w:hAnsi="宋体" w:eastAsia="方正小标宋简体"/>
          <w:color w:val="000000"/>
          <w:kern w:val="0"/>
          <w:sz w:val="44"/>
          <w:szCs w:val="44"/>
        </w:rPr>
      </w:pPr>
    </w:p>
    <w:p w14:paraId="52BECE58">
      <w:pPr>
        <w:spacing w:line="576" w:lineRule="exact"/>
        <w:jc w:val="center"/>
        <w:rPr>
          <w:rFonts w:ascii="方正小标宋简体" w:hAnsi="宋体" w:eastAsia="方正小标宋简体"/>
          <w:color w:val="000000"/>
          <w:kern w:val="0"/>
          <w:sz w:val="44"/>
          <w:szCs w:val="44"/>
        </w:rPr>
      </w:pPr>
    </w:p>
    <w:p w14:paraId="7AADA702">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部门预算项目支出绩效自评报告</w:t>
      </w:r>
    </w:p>
    <w:p w14:paraId="4CB266BB">
      <w:pPr>
        <w:spacing w:line="576" w:lineRule="exact"/>
        <w:ind w:firstLine="643" w:firstLineChars="200"/>
        <w:jc w:val="center"/>
        <w:rPr>
          <w:rFonts w:ascii="楷体_GB2312" w:hAnsi="宋体" w:eastAsia="楷体_GB2312"/>
          <w:b/>
          <w:sz w:val="32"/>
          <w:szCs w:val="32"/>
        </w:rPr>
      </w:pPr>
      <w:r>
        <w:rPr>
          <w:rFonts w:hint="eastAsia" w:ascii="楷体_GB2312" w:hAnsi="宋体" w:eastAsia="楷体_GB2312"/>
          <w:b/>
          <w:sz w:val="32"/>
          <w:szCs w:val="32"/>
        </w:rPr>
        <w:t>（武装部工作经费&lt;含征兵工作&gt;项目）</w:t>
      </w:r>
    </w:p>
    <w:p w14:paraId="6BD4D6CE">
      <w:pPr>
        <w:spacing w:line="576" w:lineRule="exact"/>
        <w:jc w:val="left"/>
        <w:rPr>
          <w:rFonts w:ascii="仿宋_GB2312" w:hAnsi="仿宋_GB2312" w:eastAsia="仿宋_GB2312" w:cs="仿宋_GB2312"/>
          <w:sz w:val="32"/>
          <w:szCs w:val="32"/>
        </w:rPr>
      </w:pPr>
    </w:p>
    <w:p w14:paraId="68E45607">
      <w:pPr>
        <w:spacing w:line="576" w:lineRule="exact"/>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一、项目概况</w:t>
      </w:r>
    </w:p>
    <w:p w14:paraId="534A8488">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（一）设立背景及基本情况</w:t>
      </w:r>
    </w:p>
    <w:p w14:paraId="7720917B">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为了加强乡镇武装部的建设，提升其应对突发事件和维护社会治安的能力，保障国家安全和维护社会稳定；为了确保征兵工作的规范、有序开展，以及圆满完成年度征兵工作任务。武装部工作经费（含征兵工作）主要是保障乡镇武装部及征兵工作的办公费、宣传费、工作人员差旅费等费用。</w:t>
      </w:r>
    </w:p>
    <w:p w14:paraId="130AF8CE">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（二）实施目的及支持方向</w:t>
      </w:r>
    </w:p>
    <w:p w14:paraId="2F2A92BC">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通过该项目实施，确保征兵工作的顺利进行，提高征兵工作的质量和效率，加强国防建设，同时促进乡镇武装部自身的发展和能力的提升‌，以及确保乡镇财政管理基础工作和基层财政建设水平显著提高。</w:t>
      </w:r>
    </w:p>
    <w:p w14:paraId="39C4F528">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（三）预算安排及分配管理</w:t>
      </w:r>
    </w:p>
    <w:p w14:paraId="0CAC3064">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乡镇武装部工作经费（含征兵工作）项目2023年初预算2.00万元 ，预算批复2.00万元。资金主要用于保障乡镇武装部工作的办公费、征兵工作所需费用。</w:t>
      </w:r>
    </w:p>
    <w:p w14:paraId="61533435">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（四）项目绩效目标设置</w:t>
      </w:r>
    </w:p>
    <w:p w14:paraId="4D30EB8B">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开展乡镇武装部工作，调动适龄青年参军积极性，圆满完成征兵工作，同时加强我镇民兵队伍建设，为我应对突发状况等提供坚强的后备力量。项目经费为乡镇武装部工作经费（含征兵工作）提供财力的保证。</w:t>
      </w:r>
    </w:p>
    <w:p w14:paraId="68FD4DDD">
      <w:pPr>
        <w:spacing w:line="576" w:lineRule="exact"/>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二、评价实施</w:t>
      </w:r>
    </w:p>
    <w:p w14:paraId="5EEB46E3">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（一）评价目的</w:t>
      </w:r>
    </w:p>
    <w:p w14:paraId="662077FD">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通过绩效评价全面分析该项目资金使用、管理和项目实施情况，进一步规范常理镇2023年度乡镇武装部工作经费（含征兵工作）项目专项资金的使用，强化财政资金支出绩效理念，切实提高财政资金使用效益。</w:t>
      </w:r>
    </w:p>
    <w:p w14:paraId="2376E5B2">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（二）预设问题及评价重点</w:t>
      </w:r>
    </w:p>
    <w:p w14:paraId="30792C7E">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通过乡镇武装部工作经费（含征兵工作）项目绩效自评，按照绩效评价指标体系，对资金支出使用全过程及其实施效果进行综合评价和判断。</w:t>
      </w:r>
    </w:p>
    <w:p w14:paraId="12F836C9">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（三）评价选点</w:t>
      </w:r>
    </w:p>
    <w:p w14:paraId="08B00F8B">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对常理镇2023年秋季征兵工作进行评价。</w:t>
      </w:r>
    </w:p>
    <w:p w14:paraId="6F873F61">
      <w:pPr>
        <w:spacing w:line="576" w:lineRule="exact"/>
        <w:ind w:firstLine="321" w:firstLineChars="1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（四）评价方法</w:t>
      </w:r>
    </w:p>
    <w:p w14:paraId="00ABA35F">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本次绩效评价采用了成本效益比较法、实地勘察法、座谈调研法等多种方法。</w:t>
      </w:r>
    </w:p>
    <w:p w14:paraId="7D92A94B">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（五）评价组织</w:t>
      </w:r>
    </w:p>
    <w:p w14:paraId="3E738F44">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党委书记：项目决策及资金使用管理情况</w:t>
      </w:r>
    </w:p>
    <w:p w14:paraId="383BC65A">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武装部部长：绩效评价工作‌</w:t>
      </w:r>
    </w:p>
    <w:p w14:paraId="46B61ABC">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纪委书记：监督检查本次项目自评工作</w:t>
      </w:r>
    </w:p>
    <w:p w14:paraId="682F8AB8">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财政负责人：专项资金的管理和使用</w:t>
      </w:r>
    </w:p>
    <w:p w14:paraId="18CBAFC0">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项目负责人：对该项目相关资料负责</w:t>
      </w:r>
    </w:p>
    <w:p w14:paraId="11328877">
      <w:pPr>
        <w:spacing w:line="576" w:lineRule="exact"/>
        <w:ind w:firstLine="640" w:firstLineChars="200"/>
        <w:jc w:val="left"/>
        <w:rPr>
          <w:rFonts w:ascii="仿宋" w:hAnsi="仿宋" w:eastAsia="仿宋" w:cs="仿宋"/>
          <w:sz w:val="32"/>
          <w:szCs w:val="32"/>
        </w:rPr>
      </w:pPr>
      <w:r>
        <w:rPr>
          <w:rFonts w:hint="eastAsia" w:ascii="仿宋" w:hAnsi="仿宋" w:eastAsia="仿宋" w:cs="仿宋"/>
          <w:sz w:val="32"/>
          <w:szCs w:val="32"/>
        </w:rPr>
        <w:t>相关经办人：提供项目相关资料‌</w:t>
      </w:r>
    </w:p>
    <w:p w14:paraId="3DD93EA2">
      <w:pPr>
        <w:spacing w:line="576" w:lineRule="exact"/>
        <w:ind w:firstLine="640" w:firstLineChars="200"/>
        <w:jc w:val="left"/>
        <w:rPr>
          <w:rFonts w:hint="eastAsia" w:ascii="黑体" w:hAnsi="黑体" w:eastAsia="黑体" w:cs="黑体"/>
          <w:b/>
          <w:sz w:val="32"/>
          <w:szCs w:val="32"/>
        </w:rPr>
      </w:pPr>
      <w:r>
        <w:rPr>
          <w:rFonts w:hint="eastAsia" w:ascii="黑体" w:hAnsi="黑体" w:eastAsia="黑体" w:cs="黑体"/>
          <w:b w:val="0"/>
          <w:bCs/>
          <w:sz w:val="32"/>
          <w:szCs w:val="32"/>
        </w:rPr>
        <w:t>三、绩效分析</w:t>
      </w:r>
      <w:r>
        <w:rPr>
          <w:rFonts w:hint="eastAsia" w:ascii="黑体" w:hAnsi="黑体" w:eastAsia="黑体" w:cs="黑体"/>
          <w:b/>
          <w:sz w:val="32"/>
          <w:szCs w:val="32"/>
        </w:rPr>
        <w:tab/>
      </w:r>
    </w:p>
    <w:p w14:paraId="4C8C2DC1">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（一）通用指标绩效分析</w:t>
      </w:r>
    </w:p>
    <w:p w14:paraId="309113A7">
      <w:p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1.项目决策</w:t>
      </w:r>
      <w:r>
        <w:rPr>
          <w:rFonts w:ascii="仿宋_GB2312" w:hAnsi="仿宋_GB2312" w:eastAsia="仿宋_GB2312" w:cs="仿宋_GB2312"/>
          <w:b/>
          <w:sz w:val="32"/>
          <w:szCs w:val="32"/>
        </w:rPr>
        <w:t>:</w:t>
      </w:r>
      <w:r>
        <w:rPr>
          <w:rFonts w:hint="eastAsia" w:ascii="仿宋_GB2312" w:hAnsi="仿宋_GB2312" w:eastAsia="仿宋_GB2312" w:cs="仿宋_GB2312"/>
          <w:sz w:val="32"/>
          <w:szCs w:val="32"/>
        </w:rPr>
        <w:t>通过项目实施，保障了全年征兵工作的顺利完成。</w:t>
      </w:r>
    </w:p>
    <w:p w14:paraId="1C3BE83D">
      <w:p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2.项目管理</w:t>
      </w:r>
      <w:r>
        <w:rPr>
          <w:rFonts w:ascii="仿宋_GB2312" w:hAnsi="仿宋_GB2312" w:eastAsia="仿宋_GB2312" w:cs="仿宋_GB2312"/>
          <w:b/>
          <w:sz w:val="32"/>
          <w:szCs w:val="32"/>
        </w:rPr>
        <w:t>:</w:t>
      </w:r>
      <w:r>
        <w:rPr>
          <w:rFonts w:hint="eastAsia" w:ascii="仿宋_GB2312" w:hAnsi="仿宋_GB2312" w:eastAsia="仿宋_GB2312" w:cs="仿宋_GB2312"/>
          <w:sz w:val="32"/>
          <w:szCs w:val="32"/>
        </w:rPr>
        <w:t>为使项目如期完成，结合常理镇实际情况，由分管领导对项目的实施进程进行管控。</w:t>
      </w:r>
    </w:p>
    <w:p w14:paraId="14450B94">
      <w:p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3.项目实施</w:t>
      </w:r>
      <w:r>
        <w:rPr>
          <w:rFonts w:ascii="仿宋_GB2312" w:hAnsi="仿宋_GB2312" w:eastAsia="仿宋_GB2312" w:cs="仿宋_GB2312"/>
          <w:b/>
          <w:sz w:val="32"/>
          <w:szCs w:val="32"/>
        </w:rPr>
        <w:t>:</w:t>
      </w:r>
      <w:r>
        <w:rPr>
          <w:rFonts w:hint="eastAsia" w:ascii="仿宋_GB2312" w:hAnsi="仿宋_GB2312" w:eastAsia="仿宋_GB2312" w:cs="仿宋_GB2312"/>
          <w:sz w:val="32"/>
          <w:szCs w:val="32"/>
        </w:rPr>
        <w:t>常理镇成立征兵工作领导小组，统筹推进各项征兵工作。严格按照项目资金管理办法，根据工程进度对资金进行计划申请、划拨、使用，及时、规范对收支进行账务处理和会计核算。</w:t>
      </w:r>
    </w:p>
    <w:p w14:paraId="433A0A67">
      <w:p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4.项目结果</w:t>
      </w:r>
      <w:r>
        <w:rPr>
          <w:rFonts w:ascii="仿宋_GB2312" w:hAnsi="仿宋_GB2312" w:eastAsia="仿宋_GB2312" w:cs="仿宋_GB2312"/>
          <w:b/>
          <w:sz w:val="32"/>
          <w:szCs w:val="32"/>
        </w:rPr>
        <w:t>:</w:t>
      </w:r>
      <w:r>
        <w:rPr>
          <w:rFonts w:hint="eastAsia" w:ascii="仿宋_GB2312" w:hAnsi="仿宋_GB2312" w:eastAsia="仿宋_GB2312" w:cs="仿宋_GB2312"/>
          <w:sz w:val="32"/>
          <w:szCs w:val="32"/>
        </w:rPr>
        <w:t>项目目标明确、资金到位率高、组织监管体系完善。我镇武装部工作（含征兵工作）等项目资金较好地实现了绩效目标。</w:t>
      </w:r>
    </w:p>
    <w:p w14:paraId="3DF4C419">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（二）专用指标绩效分析</w:t>
      </w:r>
    </w:p>
    <w:p w14:paraId="2EB5874D">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行政运转。根据对武装部工作（含征兵工作）经费项目进行项目绩效目标进行自评，对该项目专项资金进行绩效分析，该项目资金使用合规合法。</w:t>
      </w:r>
    </w:p>
    <w:p w14:paraId="2D306DA6">
      <w:p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（三）个性指标绩效分析</w:t>
      </w:r>
    </w:p>
    <w:p w14:paraId="1EE86699">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质量指标：积极动员、宣传，完成了当年征兵目标任务。通过</w:t>
      </w:r>
      <w:r>
        <w:rPr>
          <w:rFonts w:hint="eastAsia" w:ascii="仿宋_GB2312" w:hAnsi="仿宋_GB2312" w:eastAsia="仿宋_GB2312" w:cs="仿宋_GB2312"/>
          <w:sz w:val="32"/>
          <w:szCs w:val="32"/>
          <w:lang w:eastAsia="zh-CN"/>
        </w:rPr>
        <w:t>多种途径</w:t>
      </w:r>
      <w:r>
        <w:rPr>
          <w:rFonts w:hint="eastAsia" w:ascii="仿宋_GB2312" w:hAnsi="仿宋_GB2312" w:eastAsia="仿宋_GB2312" w:cs="仿宋_GB2312"/>
          <w:sz w:val="32"/>
          <w:szCs w:val="32"/>
        </w:rPr>
        <w:t>对民兵的文化素质、身体素质进行了相关培训，圆满实现预期目标。提高民兵应急应战能力。</w:t>
      </w:r>
    </w:p>
    <w:p w14:paraId="297437D7">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可持续影响指标：壮大民兵组织，提高群众参与度，不断提升民兵队伍素质建设，提高群众参与度，确保一方群众安全。　</w:t>
      </w:r>
    </w:p>
    <w:p w14:paraId="7BCA7C81">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满意度指标：群众满意度98%以上。</w:t>
      </w:r>
    </w:p>
    <w:p w14:paraId="373B973E">
      <w:pPr>
        <w:spacing w:line="576" w:lineRule="exact"/>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四、评价结论</w:t>
      </w:r>
    </w:p>
    <w:p w14:paraId="64DB618C">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总体上看，项目目标明确、资金到位率高、组织监管体系完善。我镇武装部工作（含征兵工作）等项目资金较好地实现了绩效目标。自评得分100分。</w:t>
      </w:r>
    </w:p>
    <w:p w14:paraId="4B12EC98">
      <w:pPr>
        <w:spacing w:line="576" w:lineRule="exact"/>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五、存在主要问题</w:t>
      </w:r>
    </w:p>
    <w:p w14:paraId="31F944B8">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一是群众参与积极性有待加强；二是项目资金缺乏，不能满足正常工作需要。</w:t>
      </w:r>
    </w:p>
    <w:p w14:paraId="5B4D4976">
      <w:pPr>
        <w:spacing w:line="576" w:lineRule="exact"/>
        <w:ind w:firstLine="640" w:firstLineChars="200"/>
        <w:jc w:val="left"/>
        <w:rPr>
          <w:rFonts w:hint="eastAsia" w:ascii="黑体" w:hAnsi="黑体" w:eastAsia="黑体" w:cs="黑体"/>
          <w:b w:val="0"/>
          <w:bCs/>
          <w:sz w:val="32"/>
          <w:szCs w:val="32"/>
        </w:rPr>
      </w:pPr>
      <w:r>
        <w:rPr>
          <w:rFonts w:hint="eastAsia" w:ascii="黑体" w:hAnsi="黑体" w:eastAsia="黑体" w:cs="黑体"/>
          <w:b w:val="0"/>
          <w:bCs/>
          <w:sz w:val="32"/>
          <w:szCs w:val="32"/>
        </w:rPr>
        <w:t>六、改进建议</w:t>
      </w:r>
    </w:p>
    <w:p w14:paraId="1A01D11A">
      <w:p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是大力宣传当兵光荣，提升民兵预备役队伍建设。二是争取节约工作经费，全面开展好工作，不断提高工作科学化、规范化、法治化水平；建议上级财政或上级相关部门提供资金支持，帮助解决乡镇武装部工作（含征兵工作）项目资金短缺问题。</w:t>
      </w:r>
    </w:p>
    <w:p w14:paraId="002FAB57">
      <w:pPr>
        <w:spacing w:line="576" w:lineRule="exact"/>
        <w:jc w:val="left"/>
        <w:rPr>
          <w:rFonts w:ascii="仿宋_GB2312" w:hAnsi="仿宋_GB2312" w:eastAsia="仿宋_GB2312" w:cs="仿宋_GB2312"/>
          <w:sz w:val="32"/>
          <w:szCs w:val="32"/>
        </w:rPr>
      </w:pPr>
    </w:p>
    <w:p w14:paraId="4C2E1A47">
      <w:pPr>
        <w:pStyle w:val="2"/>
        <w:spacing w:line="576" w:lineRule="exact"/>
        <w:rPr>
          <w:rFonts w:ascii="仿宋_GB2312" w:hAnsi="仿宋_GB2312" w:eastAsia="仿宋_GB2312" w:cs="仿宋_GB2312"/>
          <w:sz w:val="32"/>
          <w:szCs w:val="32"/>
        </w:rPr>
      </w:pPr>
    </w:p>
    <w:p w14:paraId="33062ACF">
      <w:pPr>
        <w:pStyle w:val="3"/>
        <w:spacing w:line="576" w:lineRule="exact"/>
        <w:ind w:left="420" w:firstLine="640"/>
        <w:jc w:val="left"/>
        <w:rPr>
          <w:rFonts w:hAnsi="仿宋_GB2312" w:eastAsia="仿宋_GB2312" w:cs="仿宋_GB2312"/>
          <w:sz w:val="32"/>
        </w:rPr>
      </w:pPr>
    </w:p>
    <w:p w14:paraId="092FA3C2">
      <w:pPr>
        <w:pStyle w:val="8"/>
        <w:numPr>
          <w:ilvl w:val="0"/>
          <w:numId w:val="0"/>
        </w:numPr>
        <w:spacing w:line="576" w:lineRule="exact"/>
        <w:jc w:val="left"/>
        <w:rPr>
          <w:rFonts w:ascii="仿宋_GB2312" w:hAnsi="仿宋_GB2312" w:eastAsia="仿宋_GB2312" w:cs="仿宋_GB2312"/>
          <w:sz w:val="32"/>
          <w:szCs w:val="32"/>
        </w:rPr>
      </w:pPr>
    </w:p>
    <w:p w14:paraId="0AD8CCEE">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部门预算项目支出绩效自评报告</w:t>
      </w:r>
    </w:p>
    <w:p w14:paraId="0D476187">
      <w:pPr>
        <w:spacing w:line="576" w:lineRule="exact"/>
        <w:ind w:firstLine="643" w:firstLineChars="200"/>
        <w:jc w:val="center"/>
        <w:rPr>
          <w:rFonts w:ascii="楷体_GB2312" w:hAnsi="宋体" w:eastAsia="楷体_GB2312"/>
          <w:b/>
          <w:sz w:val="32"/>
          <w:szCs w:val="32"/>
        </w:rPr>
      </w:pPr>
      <w:r>
        <w:rPr>
          <w:rFonts w:hint="eastAsia" w:ascii="楷体_GB2312" w:hAnsi="宋体" w:eastAsia="楷体_GB2312"/>
          <w:b/>
          <w:sz w:val="32"/>
          <w:szCs w:val="32"/>
        </w:rPr>
        <w:t>（乡镇人大代表经费项目）</w:t>
      </w:r>
    </w:p>
    <w:p w14:paraId="69D07DC4">
      <w:pPr>
        <w:pStyle w:val="8"/>
        <w:numPr>
          <w:ilvl w:val="0"/>
          <w:numId w:val="0"/>
        </w:numPr>
        <w:spacing w:line="576" w:lineRule="exact"/>
        <w:jc w:val="left"/>
        <w:rPr>
          <w:rFonts w:ascii="仿宋_GB2312" w:hAnsi="仿宋_GB2312" w:eastAsia="仿宋_GB2312" w:cs="仿宋_GB2312"/>
          <w:sz w:val="32"/>
          <w:szCs w:val="32"/>
        </w:rPr>
      </w:pPr>
    </w:p>
    <w:p w14:paraId="4508C0E5">
      <w:pPr>
        <w:pStyle w:val="8"/>
        <w:numPr>
          <w:ilvl w:val="0"/>
          <w:numId w:val="0"/>
        </w:numPr>
        <w:spacing w:line="576"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一、项目概况</w:t>
      </w:r>
    </w:p>
    <w:p w14:paraId="446BB7E7">
      <w:pPr>
        <w:pStyle w:val="8"/>
        <w:numPr>
          <w:ilvl w:val="0"/>
          <w:numId w:val="0"/>
        </w:numPr>
        <w:spacing w:line="576" w:lineRule="exact"/>
        <w:ind w:firstLine="321" w:firstLineChars="100"/>
        <w:jc w:val="left"/>
        <w:rPr>
          <w:rFonts w:ascii="楷体" w:hAnsi="楷体" w:eastAsia="楷体" w:cs="楷体"/>
          <w:b/>
          <w:bCs/>
          <w:sz w:val="32"/>
          <w:szCs w:val="32"/>
        </w:rPr>
      </w:pPr>
      <w:r>
        <w:rPr>
          <w:rFonts w:hint="eastAsia" w:ascii="楷体" w:hAnsi="楷体" w:eastAsia="楷体" w:cs="楷体"/>
          <w:b/>
          <w:bCs/>
          <w:sz w:val="32"/>
          <w:szCs w:val="32"/>
        </w:rPr>
        <w:t>（一）设立背景及基本情况</w:t>
      </w:r>
    </w:p>
    <w:p w14:paraId="2A351A84">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为充分发挥人大代表积极履行宪法和法律赋予的职能，依据 《代表法》第三十五条：“代表的活动经费，应当列入本级财政预算予以保障，专款专用”。根据人大工作需要，按照相关文件、会议精神进行申报立项，确保资金的使用符合政策和项目的实际需求。人大代表经费项目主要是保障全镇63名人大代表会议费、误工费、生活费、差旅费等费用。</w:t>
      </w:r>
    </w:p>
    <w:p w14:paraId="10DDC22A">
      <w:pPr>
        <w:pStyle w:val="8"/>
        <w:numPr>
          <w:ilvl w:val="0"/>
          <w:numId w:val="0"/>
        </w:numPr>
        <w:spacing w:line="576" w:lineRule="exact"/>
        <w:ind w:firstLine="321" w:firstLineChars="100"/>
        <w:jc w:val="left"/>
        <w:rPr>
          <w:rFonts w:ascii="楷体" w:hAnsi="楷体" w:eastAsia="楷体" w:cs="楷体"/>
          <w:b/>
          <w:bCs/>
          <w:sz w:val="32"/>
          <w:szCs w:val="32"/>
        </w:rPr>
      </w:pPr>
      <w:r>
        <w:rPr>
          <w:rFonts w:hint="eastAsia" w:ascii="楷体" w:hAnsi="楷体" w:eastAsia="楷体" w:cs="楷体"/>
          <w:b/>
          <w:bCs/>
          <w:sz w:val="32"/>
          <w:szCs w:val="32"/>
        </w:rPr>
        <w:t>（二）实施目的及支持方向</w:t>
      </w:r>
    </w:p>
    <w:p w14:paraId="146E714D">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人大代表经费项目的实施目的为了支持和保障镇人大代表依法履行代表职务，确保代表在闭会期间能够有效地发挥作用，促进社会主义政治文明建设和和谐社会的发展。</w:t>
      </w:r>
    </w:p>
    <w:p w14:paraId="5E77F2B9">
      <w:pPr>
        <w:pStyle w:val="8"/>
        <w:numPr>
          <w:ilvl w:val="0"/>
          <w:numId w:val="0"/>
        </w:numPr>
        <w:spacing w:line="576" w:lineRule="exact"/>
        <w:ind w:firstLine="321" w:firstLineChars="100"/>
        <w:jc w:val="left"/>
        <w:rPr>
          <w:rFonts w:ascii="楷体" w:hAnsi="楷体" w:eastAsia="楷体" w:cs="楷体"/>
          <w:b/>
          <w:bCs/>
          <w:sz w:val="32"/>
          <w:szCs w:val="32"/>
        </w:rPr>
      </w:pPr>
      <w:r>
        <w:rPr>
          <w:rFonts w:hint="eastAsia" w:ascii="楷体" w:hAnsi="楷体" w:eastAsia="楷体" w:cs="楷体"/>
          <w:b/>
          <w:bCs/>
          <w:sz w:val="32"/>
          <w:szCs w:val="32"/>
        </w:rPr>
        <w:t>（三）预算安排及分配管理</w:t>
      </w:r>
    </w:p>
    <w:p w14:paraId="4209B942">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人大代表经费项目2023年初预算3.15万元 ，预算批复3.15万元。资金主要用于全镇63名人大代表会议费、误工费、生活费、差旅费等。</w:t>
      </w:r>
    </w:p>
    <w:p w14:paraId="15684C17">
      <w:pPr>
        <w:pStyle w:val="8"/>
        <w:numPr>
          <w:ilvl w:val="0"/>
          <w:numId w:val="0"/>
        </w:numPr>
        <w:spacing w:line="576" w:lineRule="exact"/>
        <w:ind w:firstLine="321" w:firstLineChars="100"/>
        <w:jc w:val="left"/>
        <w:rPr>
          <w:rFonts w:ascii="楷体" w:hAnsi="楷体" w:eastAsia="楷体" w:cs="楷体"/>
          <w:b/>
          <w:bCs/>
          <w:sz w:val="32"/>
          <w:szCs w:val="32"/>
        </w:rPr>
      </w:pPr>
      <w:r>
        <w:rPr>
          <w:rFonts w:hint="eastAsia" w:ascii="楷体" w:hAnsi="楷体" w:eastAsia="楷体" w:cs="楷体"/>
          <w:b/>
          <w:bCs/>
          <w:sz w:val="32"/>
          <w:szCs w:val="32"/>
        </w:rPr>
        <w:t>（四）项目绩效目标设置</w:t>
      </w:r>
    </w:p>
    <w:p w14:paraId="3705C570">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主要是将围绕“全过程、全方位、全覆盖”预算绩效管理体系，保证全面完成各项目标。按工作安排完成组织代表视察、专题调研、任免选举等各项工作任务,项目经费为</w:t>
      </w:r>
      <w:r>
        <w:rPr>
          <w:rFonts w:hint="eastAsia" w:ascii="仿宋_GB2312" w:hAnsi="仿宋_GB2312" w:eastAsia="仿宋_GB2312" w:cs="仿宋_GB2312"/>
          <w:sz w:val="32"/>
          <w:szCs w:val="32"/>
          <w:lang w:eastAsia="zh-CN"/>
        </w:rPr>
        <w:t>人大代表履行职责</w:t>
      </w:r>
      <w:r>
        <w:rPr>
          <w:rFonts w:hint="eastAsia" w:ascii="仿宋_GB2312" w:hAnsi="仿宋_GB2312" w:eastAsia="仿宋_GB2312" w:cs="仿宋_GB2312"/>
          <w:sz w:val="32"/>
          <w:szCs w:val="32"/>
        </w:rPr>
        <w:t>提供财力的保证。</w:t>
      </w:r>
    </w:p>
    <w:p w14:paraId="2B7EF4E6">
      <w:pPr>
        <w:pStyle w:val="8"/>
        <w:numPr>
          <w:ilvl w:val="0"/>
          <w:numId w:val="0"/>
        </w:numPr>
        <w:spacing w:line="576"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二、评价实施</w:t>
      </w:r>
    </w:p>
    <w:p w14:paraId="25E2165C">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（一）评价目的</w:t>
      </w:r>
    </w:p>
    <w:p w14:paraId="0C918550">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通过对人大代表经费项目专项资金的绩效评价，了解人大代表经费项目的资金来源、使用和管理情况、项目组织和实施情况，检验项目投入是否达到预期目标，总结经验，分析问题，强化项目资金管理，进一步提升预算项目资金使用成效。</w:t>
      </w:r>
    </w:p>
    <w:p w14:paraId="38D6F3E2">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（二）预设问题及评价重点</w:t>
      </w:r>
    </w:p>
    <w:p w14:paraId="74CD353A">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通过项目绩效自评人大代表经费自评按照绩效评价指标体系，对资金支出使用全过程及其实施效果进行综合评价和判断。</w:t>
      </w:r>
    </w:p>
    <w:p w14:paraId="72D761A1">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（三）评价选点</w:t>
      </w:r>
    </w:p>
    <w:p w14:paraId="1A62F44A">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常理镇常乐社区会议室对2023年人大票决制项目选举活动进行评价。</w:t>
      </w:r>
    </w:p>
    <w:p w14:paraId="1E0826E6">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（四）评价方法</w:t>
      </w:r>
    </w:p>
    <w:p w14:paraId="1FED1493">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本次绩效评价采用了成本效益比较法、单位自评法、实地勘察法、问卷调查法、座谈调研法等多种方法。</w:t>
      </w:r>
    </w:p>
    <w:p w14:paraId="5CBFFCA2">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（五）评价组织</w:t>
      </w:r>
    </w:p>
    <w:p w14:paraId="1DCB3BCC">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党委书记：项目决策及资金使用管理情况</w:t>
      </w:r>
    </w:p>
    <w:p w14:paraId="50413DE0">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人大主席：绩效评价工作‌</w:t>
      </w:r>
    </w:p>
    <w:p w14:paraId="14C6ADF2">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纪委书记：监督检查本次项目自评工作</w:t>
      </w:r>
    </w:p>
    <w:p w14:paraId="273B2109">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财政办主任：专项资金的管理和使用‌</w:t>
      </w:r>
    </w:p>
    <w:p w14:paraId="2D6C1767">
      <w:pPr>
        <w:pStyle w:val="8"/>
        <w:numPr>
          <w:ilvl w:val="0"/>
          <w:numId w:val="0"/>
        </w:numPr>
        <w:spacing w:line="576"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三、绩效分析</w:t>
      </w:r>
      <w:r>
        <w:rPr>
          <w:rFonts w:hint="eastAsia" w:ascii="黑体" w:hAnsi="黑体" w:eastAsia="黑体" w:cs="黑体"/>
          <w:sz w:val="32"/>
          <w:szCs w:val="32"/>
        </w:rPr>
        <w:tab/>
      </w:r>
    </w:p>
    <w:p w14:paraId="4E464445">
      <w:pPr>
        <w:pStyle w:val="8"/>
        <w:numPr>
          <w:ilvl w:val="0"/>
          <w:numId w:val="0"/>
        </w:numPr>
        <w:spacing w:line="576" w:lineRule="exact"/>
        <w:ind w:firstLine="321" w:firstLineChars="100"/>
        <w:jc w:val="left"/>
        <w:rPr>
          <w:rFonts w:ascii="楷体" w:hAnsi="楷体" w:eastAsia="楷体" w:cs="楷体"/>
          <w:b/>
          <w:bCs/>
          <w:sz w:val="32"/>
          <w:szCs w:val="32"/>
        </w:rPr>
      </w:pPr>
      <w:r>
        <w:rPr>
          <w:rFonts w:hint="eastAsia" w:ascii="楷体" w:hAnsi="楷体" w:eastAsia="楷体" w:cs="楷体"/>
          <w:b/>
          <w:bCs/>
          <w:sz w:val="32"/>
          <w:szCs w:val="32"/>
        </w:rPr>
        <w:t>（一）通用指标绩效分析</w:t>
      </w:r>
    </w:p>
    <w:p w14:paraId="5B11D9C3">
      <w:pPr>
        <w:pStyle w:val="8"/>
        <w:numPr>
          <w:ilvl w:val="0"/>
          <w:numId w:val="0"/>
        </w:num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1.项目决策:</w:t>
      </w:r>
      <w:r>
        <w:rPr>
          <w:rFonts w:hint="eastAsia" w:ascii="仿宋_GB2312" w:hAnsi="仿宋_GB2312" w:eastAsia="仿宋_GB2312" w:cs="仿宋_GB2312"/>
          <w:sz w:val="32"/>
          <w:szCs w:val="32"/>
        </w:rPr>
        <w:t>人大代表项目为延续性项目，已在年初进行项目绩效目标申报，项目规划合理，年度绩效目标与中长期规划一致。资金管理办法健全完善。</w:t>
      </w:r>
    </w:p>
    <w:p w14:paraId="13C2B7F2">
      <w:pPr>
        <w:pStyle w:val="8"/>
        <w:numPr>
          <w:ilvl w:val="0"/>
          <w:numId w:val="0"/>
        </w:num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2.项目管理</w:t>
      </w:r>
      <w:r>
        <w:rPr>
          <w:rFonts w:ascii="仿宋_GB2312" w:hAnsi="仿宋_GB2312" w:eastAsia="仿宋_GB2312" w:cs="仿宋_GB2312"/>
          <w:b/>
          <w:sz w:val="32"/>
          <w:szCs w:val="32"/>
        </w:rPr>
        <w:t>:</w:t>
      </w:r>
      <w:r>
        <w:rPr>
          <w:rFonts w:hint="eastAsia" w:ascii="仿宋_GB2312" w:hAnsi="仿宋_GB2312" w:eastAsia="仿宋_GB2312" w:cs="仿宋_GB2312"/>
          <w:sz w:val="32"/>
          <w:szCs w:val="32"/>
        </w:rPr>
        <w:t>为使项目如期完成，结合常理镇实际情况，对人大代表项目按照镇党委工作分工，将所有项目分解到相关党政班子成员，由分管领导具体负责项目实施。在项目资金发放工作中，建立了符合财务会计制度的人大代表项目资金管理制度，专项管理、拨付规范、发放及时。</w:t>
      </w:r>
    </w:p>
    <w:p w14:paraId="782A2E67">
      <w:pPr>
        <w:pStyle w:val="8"/>
        <w:numPr>
          <w:ilvl w:val="0"/>
          <w:numId w:val="0"/>
        </w:num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3.项目实施</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常理镇成立了以镇党委书记为组长，班子成员和部门负责人及集镇村主职干部为成员的人大代表行动领导小组，统筹推进各项人大代表工作。</w:t>
      </w:r>
    </w:p>
    <w:p w14:paraId="67C48EAB">
      <w:pPr>
        <w:pStyle w:val="8"/>
        <w:numPr>
          <w:ilvl w:val="0"/>
          <w:numId w:val="0"/>
        </w:numPr>
        <w:spacing w:line="576" w:lineRule="exact"/>
        <w:ind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sz w:val="32"/>
          <w:szCs w:val="32"/>
        </w:rPr>
        <w:t>4.项目结果</w:t>
      </w:r>
      <w:r>
        <w:rPr>
          <w:rFonts w:ascii="仿宋_GB2312" w:hAnsi="仿宋_GB2312" w:eastAsia="仿宋_GB2312" w:cs="仿宋_GB2312"/>
          <w:b/>
          <w:sz w:val="32"/>
          <w:szCs w:val="32"/>
        </w:rPr>
        <w:t>:</w:t>
      </w:r>
      <w:r>
        <w:rPr>
          <w:rFonts w:hint="eastAsia" w:ascii="仿宋_GB2312" w:hAnsi="仿宋_GB2312" w:eastAsia="仿宋_GB2312" w:cs="仿宋_GB2312"/>
          <w:sz w:val="32"/>
          <w:szCs w:val="32"/>
        </w:rPr>
        <w:t>项目目标明确、资金到位率高、组织监管体系完善。我镇人大代表经费项目资金较好地实现了绩效目标。自评得分100分。</w:t>
      </w:r>
    </w:p>
    <w:p w14:paraId="681ED106">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（二）专用指标绩效分析</w:t>
      </w:r>
    </w:p>
    <w:p w14:paraId="3FC3B7C8">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行政运转。根据对人大代表经费项目进行项目绩效目标进行自评，对该项目专项资金进行绩效分析，该项目资金使用合规合法。</w:t>
      </w:r>
    </w:p>
    <w:p w14:paraId="530674ED">
      <w:pPr>
        <w:pStyle w:val="8"/>
        <w:numPr>
          <w:ilvl w:val="0"/>
          <w:numId w:val="0"/>
        </w:numPr>
        <w:spacing w:line="576" w:lineRule="exact"/>
        <w:ind w:firstLine="321" w:firstLineChars="100"/>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（三）个性指标绩效分析</w:t>
      </w:r>
    </w:p>
    <w:p w14:paraId="4B82A18B">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质量指标：协助政府开展工作，准确反映民意</w:t>
      </w:r>
    </w:p>
    <w:p w14:paraId="47AF8C94">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社会效益指标：镇人大代表能够认真履行职责，充分发挥党和国家机关联系人民群众的桥梁和纽带的作用。</w:t>
      </w:r>
    </w:p>
    <w:p w14:paraId="51EC4054">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满意度指标：人大代表满意程度得到提高。</w:t>
      </w:r>
    </w:p>
    <w:p w14:paraId="4330ECC9">
      <w:pPr>
        <w:pStyle w:val="8"/>
        <w:numPr>
          <w:ilvl w:val="0"/>
          <w:numId w:val="0"/>
        </w:numPr>
        <w:spacing w:line="576"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四、评价结论</w:t>
      </w:r>
    </w:p>
    <w:p w14:paraId="176062A4">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总体上看，项目目标明确、资金到位率高、组织监管体系完善。我镇人大代表经费项目资金较好地实现了绩效目标。自评得分100分。</w:t>
      </w:r>
    </w:p>
    <w:p w14:paraId="00964E67">
      <w:pPr>
        <w:pStyle w:val="8"/>
        <w:numPr>
          <w:ilvl w:val="0"/>
          <w:numId w:val="0"/>
        </w:numPr>
        <w:spacing w:line="576"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五、存在主要问题</w:t>
      </w:r>
    </w:p>
    <w:p w14:paraId="25D5ABE8">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项目资金缺乏，不能满足人大代表工作需要。</w:t>
      </w:r>
    </w:p>
    <w:p w14:paraId="43F0E982">
      <w:pPr>
        <w:pStyle w:val="8"/>
        <w:numPr>
          <w:ilvl w:val="0"/>
          <w:numId w:val="0"/>
        </w:numPr>
        <w:spacing w:line="576"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六、改进建议</w:t>
      </w:r>
    </w:p>
    <w:p w14:paraId="5DC85022">
      <w:pPr>
        <w:pStyle w:val="8"/>
        <w:numPr>
          <w:ilvl w:val="0"/>
          <w:numId w:val="0"/>
        </w:numPr>
        <w:spacing w:line="576"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增加工作经费，全面开展好工作，不断提高工作科学化、规范化、法治化水平。</w:t>
      </w:r>
    </w:p>
    <w:p w14:paraId="78725F4E">
      <w:pPr>
        <w:spacing w:line="576" w:lineRule="exact"/>
        <w:jc w:val="left"/>
        <w:rPr>
          <w:rFonts w:ascii="方正小标宋简体" w:hAnsi="宋体" w:eastAsia="方正小标宋简体"/>
          <w:color w:val="000000"/>
          <w:kern w:val="0"/>
          <w:sz w:val="44"/>
          <w:szCs w:val="44"/>
        </w:rPr>
      </w:pPr>
    </w:p>
    <w:p w14:paraId="0EE85FF5">
      <w:pPr>
        <w:pStyle w:val="2"/>
        <w:rPr>
          <w:rFonts w:ascii="方正小标宋简体" w:hAnsi="宋体" w:eastAsia="方正小标宋简体"/>
          <w:color w:val="000000"/>
          <w:kern w:val="0"/>
          <w:sz w:val="44"/>
          <w:szCs w:val="44"/>
        </w:rPr>
      </w:pPr>
    </w:p>
    <w:p w14:paraId="7A1E9A61">
      <w:pPr>
        <w:pStyle w:val="3"/>
        <w:ind w:left="420" w:firstLine="880"/>
        <w:rPr>
          <w:rFonts w:ascii="方正小标宋简体" w:hAnsi="宋体" w:eastAsia="方正小标宋简体"/>
          <w:color w:val="000000"/>
          <w:kern w:val="0"/>
          <w:sz w:val="44"/>
          <w:szCs w:val="44"/>
        </w:rPr>
      </w:pPr>
    </w:p>
    <w:p w14:paraId="5361BCCC">
      <w:pPr>
        <w:pStyle w:val="3"/>
        <w:ind w:left="420" w:firstLine="880"/>
        <w:rPr>
          <w:rFonts w:ascii="方正小标宋简体" w:hAnsi="宋体" w:eastAsia="方正小标宋简体"/>
          <w:color w:val="000000"/>
          <w:kern w:val="0"/>
          <w:sz w:val="44"/>
          <w:szCs w:val="44"/>
        </w:rPr>
      </w:pPr>
    </w:p>
    <w:p w14:paraId="4E563E4A">
      <w:pPr>
        <w:pStyle w:val="3"/>
        <w:ind w:left="420" w:firstLine="880"/>
        <w:rPr>
          <w:rFonts w:ascii="方正小标宋简体" w:hAnsi="宋体" w:eastAsia="方正小标宋简体"/>
          <w:color w:val="000000"/>
          <w:kern w:val="0"/>
          <w:sz w:val="44"/>
          <w:szCs w:val="44"/>
        </w:rPr>
      </w:pPr>
    </w:p>
    <w:p w14:paraId="31A6D542">
      <w:pPr>
        <w:pStyle w:val="3"/>
        <w:ind w:left="420" w:firstLine="880"/>
        <w:rPr>
          <w:rFonts w:ascii="方正小标宋简体" w:hAnsi="宋体" w:eastAsia="方正小标宋简体"/>
          <w:color w:val="000000"/>
          <w:kern w:val="0"/>
          <w:sz w:val="44"/>
          <w:szCs w:val="44"/>
        </w:rPr>
      </w:pPr>
    </w:p>
    <w:p w14:paraId="5ED23C13">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6E0B62BD">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rPr>
        <w:t>（维稳信访调解经费</w:t>
      </w:r>
      <w:r>
        <w:rPr>
          <w:rFonts w:hint="eastAsia" w:ascii="楷体_GB2312" w:hAnsi="宋体" w:eastAsia="楷体_GB2312"/>
          <w:b/>
          <w:sz w:val="32"/>
          <w:szCs w:val="32"/>
          <w:lang w:val="zh-CN"/>
        </w:rPr>
        <w:t>项目</w:t>
      </w:r>
      <w:r>
        <w:rPr>
          <w:rFonts w:hint="eastAsia" w:ascii="楷体_GB2312" w:hAnsi="宋体" w:eastAsia="楷体_GB2312"/>
          <w:b/>
          <w:sz w:val="32"/>
          <w:szCs w:val="32"/>
        </w:rPr>
        <w:t>）</w:t>
      </w:r>
    </w:p>
    <w:p w14:paraId="72298F28">
      <w:pPr>
        <w:spacing w:line="576" w:lineRule="exact"/>
        <w:jc w:val="left"/>
        <w:rPr>
          <w:rFonts w:ascii="方正小标宋简体" w:hAnsi="宋体" w:eastAsia="方正小标宋简体"/>
          <w:color w:val="000000"/>
          <w:kern w:val="0"/>
          <w:sz w:val="44"/>
          <w:szCs w:val="44"/>
          <w:lang w:val="zh-CN"/>
        </w:rPr>
      </w:pPr>
    </w:p>
    <w:p w14:paraId="15EFE2EA">
      <w:pPr>
        <w:adjustRightInd w:val="0"/>
        <w:snapToGrid w:val="0"/>
        <w:spacing w:line="576" w:lineRule="exact"/>
        <w:ind w:firstLine="640" w:firstLineChars="200"/>
        <w:jc w:val="left"/>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7993F156">
      <w:pPr>
        <w:snapToGrid w:val="0"/>
        <w:spacing w:line="576" w:lineRule="exact"/>
        <w:ind w:left="420" w:leftChars="200" w:firstLine="321" w:firstLineChars="100"/>
        <w:jc w:val="left"/>
        <w:rPr>
          <w:rFonts w:ascii="仿宋" w:hAnsi="仿宋" w:eastAsia="仿宋" w:cs="仿宋"/>
          <w:b/>
          <w:sz w:val="32"/>
          <w:szCs w:val="21"/>
        </w:rPr>
      </w:pPr>
      <w:r>
        <w:rPr>
          <w:rFonts w:hint="eastAsia" w:ascii="仿宋" w:hAnsi="仿宋" w:eastAsia="仿宋" w:cs="仿宋"/>
          <w:b/>
          <w:sz w:val="32"/>
          <w:szCs w:val="32"/>
          <w:lang w:val="zh-CN"/>
        </w:rPr>
        <w:t>（一）设立背景及基本情况</w:t>
      </w:r>
    </w:p>
    <w:p w14:paraId="114DFD4C">
      <w:pPr>
        <w:adjustRightInd w:val="0"/>
        <w:snapToGrid w:val="0"/>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随着社会经济的快速发展和改革的不断深入，各类社会矛盾和问题日益凸显，信访工作作为了解社情民意、化解社会矛盾的重要渠道，其重要性日益凸显。为了维护社会稳定，保障人民群众合法权益，各级政府需要投入一定的经费支持</w:t>
      </w:r>
      <w:r>
        <w:rPr>
          <w:rFonts w:hint="eastAsia" w:ascii="楷体_GB2312" w:hAnsi="楷体_GB2312" w:eastAsia="楷体_GB2312" w:cs="楷体_GB2312"/>
          <w:color w:val="000000"/>
          <w:kern w:val="0"/>
          <w:sz w:val="32"/>
          <w:szCs w:val="32"/>
        </w:rPr>
        <w:t>维稳信访</w:t>
      </w:r>
      <w:r>
        <w:rPr>
          <w:rFonts w:hint="eastAsia" w:ascii="仿宋_GB2312" w:hAnsi="仿宋_GB2312" w:eastAsia="仿宋_GB2312" w:cs="仿宋_GB2312"/>
          <w:sz w:val="32"/>
        </w:rPr>
        <w:t>工作。</w:t>
      </w:r>
    </w:p>
    <w:p w14:paraId="57B08203">
      <w:pPr>
        <w:adjustRightInd w:val="0"/>
        <w:snapToGrid w:val="0"/>
        <w:spacing w:line="576" w:lineRule="exact"/>
        <w:ind w:firstLine="720"/>
        <w:jc w:val="left"/>
        <w:rPr>
          <w:rFonts w:ascii="仿宋" w:hAnsi="仿宋" w:eastAsia="仿宋" w:cs="仿宋"/>
          <w:b/>
          <w:sz w:val="32"/>
          <w:szCs w:val="32"/>
        </w:rPr>
      </w:pPr>
      <w:r>
        <w:rPr>
          <w:rFonts w:hint="eastAsia" w:ascii="仿宋" w:hAnsi="仿宋" w:eastAsia="仿宋" w:cs="仿宋"/>
          <w:b/>
          <w:sz w:val="32"/>
          <w:szCs w:val="32"/>
          <w:lang w:val="zh-CN"/>
        </w:rPr>
        <w:t>（二）实施目的及支持方向</w:t>
      </w:r>
    </w:p>
    <w:p w14:paraId="7A80BCA5">
      <w:pPr>
        <w:adjustRightInd w:val="0"/>
        <w:snapToGrid w:val="0"/>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维稳信访调解经费项目的实施目的在促进经济和社会稳定、保护劳动者权益、增强企业社会责任感、高效化解信访纠纷、推进法治企业建设等方面。</w:t>
      </w:r>
    </w:p>
    <w:p w14:paraId="3BD38031">
      <w:pPr>
        <w:spacing w:line="576" w:lineRule="exact"/>
        <w:ind w:firstLine="643" w:firstLineChars="200"/>
        <w:jc w:val="left"/>
        <w:rPr>
          <w:rFonts w:ascii="仿宋" w:hAnsi="仿宋" w:eastAsia="仿宋" w:cs="仿宋"/>
          <w:b/>
          <w:sz w:val="32"/>
          <w:szCs w:val="32"/>
          <w:lang w:val="zh-CN"/>
        </w:rPr>
      </w:pPr>
      <w:r>
        <w:rPr>
          <w:rFonts w:hint="eastAsia" w:ascii="仿宋" w:hAnsi="仿宋" w:eastAsia="仿宋" w:cs="仿宋"/>
          <w:b/>
          <w:sz w:val="32"/>
          <w:szCs w:val="32"/>
          <w:lang w:val="zh-CN"/>
        </w:rPr>
        <w:t>（三）</w:t>
      </w:r>
      <w:r>
        <w:rPr>
          <w:rFonts w:hint="eastAsia" w:ascii="仿宋" w:hAnsi="仿宋" w:eastAsia="仿宋" w:cs="仿宋"/>
          <w:b/>
          <w:sz w:val="32"/>
          <w:szCs w:val="32"/>
        </w:rPr>
        <w:t>预算安排及分配管理</w:t>
      </w:r>
    </w:p>
    <w:p w14:paraId="2B22E71C">
      <w:pPr>
        <w:adjustRightInd w:val="0"/>
        <w:snapToGrid w:val="0"/>
        <w:spacing w:line="576" w:lineRule="exact"/>
        <w:ind w:firstLine="640" w:firstLineChars="200"/>
        <w:jc w:val="left"/>
        <w:rPr>
          <w:rFonts w:ascii="仿宋" w:hAnsi="仿宋" w:eastAsia="仿宋" w:cs="仿宋"/>
          <w:sz w:val="32"/>
        </w:rPr>
      </w:pPr>
      <w:r>
        <w:rPr>
          <w:rFonts w:hint="eastAsia" w:ascii="仿宋_GB2312" w:hAnsi="仿宋_GB2312" w:eastAsia="仿宋_GB2312" w:cs="仿宋_GB2312"/>
          <w:sz w:val="32"/>
        </w:rPr>
        <w:t>维稳信访调解经费项目2023年初预算2.00万元 ，预算批复2.00万元。资金主要用于全镇信访维稳调解工作的办公费、差旅费等费</w:t>
      </w:r>
      <w:r>
        <w:rPr>
          <w:rFonts w:hint="eastAsia" w:ascii="仿宋" w:hAnsi="仿宋" w:eastAsia="仿宋" w:cs="仿宋"/>
          <w:sz w:val="32"/>
        </w:rPr>
        <w:t>用。</w:t>
      </w:r>
    </w:p>
    <w:p w14:paraId="5D20AEB2">
      <w:pPr>
        <w:spacing w:line="576" w:lineRule="exact"/>
        <w:ind w:left="630"/>
        <w:jc w:val="left"/>
        <w:rPr>
          <w:rFonts w:ascii="仿宋" w:hAnsi="仿宋" w:eastAsia="仿宋" w:cs="仿宋"/>
          <w:b/>
          <w:sz w:val="32"/>
          <w:szCs w:val="32"/>
          <w:lang w:val="zh-CN"/>
        </w:rPr>
      </w:pPr>
      <w:r>
        <w:rPr>
          <w:rFonts w:hint="eastAsia" w:ascii="仿宋" w:hAnsi="仿宋" w:eastAsia="仿宋" w:cs="仿宋"/>
          <w:b/>
          <w:sz w:val="32"/>
          <w:szCs w:val="32"/>
        </w:rPr>
        <w:t>（四）</w:t>
      </w:r>
      <w:r>
        <w:rPr>
          <w:rFonts w:hint="eastAsia" w:ascii="仿宋" w:hAnsi="仿宋" w:eastAsia="仿宋" w:cs="仿宋"/>
          <w:b/>
          <w:sz w:val="32"/>
          <w:szCs w:val="32"/>
          <w:lang w:val="zh-CN"/>
        </w:rPr>
        <w:t>项目绩效目标设置</w:t>
      </w:r>
    </w:p>
    <w:p w14:paraId="57EF16AE">
      <w:pPr>
        <w:adjustRightInd w:val="0"/>
        <w:snapToGrid w:val="0"/>
        <w:spacing w:line="576" w:lineRule="exact"/>
        <w:ind w:firstLine="640" w:firstLineChars="200"/>
        <w:jc w:val="left"/>
      </w:pPr>
      <w:r>
        <w:rPr>
          <w:rFonts w:hint="eastAsia" w:ascii="仿宋_GB2312" w:hAnsi="仿宋_GB2312" w:eastAsia="仿宋_GB2312" w:cs="仿宋_GB2312"/>
          <w:sz w:val="32"/>
        </w:rPr>
        <w:t>全镇信访维稳调解工作坚持以为“党的二十大营造和谐稳定的社会环境”为主线，坚持稳字当头，统筹推进，扎实开展“信访工作质效提升年行动”，由主要领导带头高位推动，切实压实信访维稳调解工作责任，健全完善信访维稳调解工作机制。项目经费为信访维稳调解工作提供财力的保证。</w:t>
      </w:r>
    </w:p>
    <w:p w14:paraId="23C4B41B">
      <w:pPr>
        <w:adjustRightInd w:val="0"/>
        <w:snapToGrid w:val="0"/>
        <w:spacing w:line="576" w:lineRule="exact"/>
        <w:ind w:firstLine="640" w:firstLineChars="200"/>
        <w:jc w:val="left"/>
        <w:rPr>
          <w:rFonts w:ascii="黑体" w:hAnsi="宋体" w:eastAsia="黑体"/>
          <w:sz w:val="32"/>
          <w:szCs w:val="32"/>
        </w:rPr>
      </w:pPr>
      <w:r>
        <w:rPr>
          <w:rFonts w:hint="eastAsia" w:ascii="黑体" w:hAnsi="宋体" w:eastAsia="黑体"/>
          <w:sz w:val="32"/>
          <w:szCs w:val="32"/>
        </w:rPr>
        <w:t>二、评价实施</w:t>
      </w:r>
    </w:p>
    <w:p w14:paraId="06F16EE9">
      <w:pPr>
        <w:spacing w:line="576" w:lineRule="exact"/>
        <w:ind w:left="630" w:firstLine="321" w:firstLineChars="100"/>
        <w:jc w:val="left"/>
        <w:rPr>
          <w:rFonts w:ascii="仿宋" w:hAnsi="仿宋" w:eastAsia="仿宋" w:cs="仿宋"/>
          <w:b/>
          <w:bCs/>
          <w:sz w:val="32"/>
        </w:rPr>
      </w:pPr>
      <w:r>
        <w:rPr>
          <w:rFonts w:hint="eastAsia" w:ascii="仿宋" w:hAnsi="仿宋" w:eastAsia="仿宋" w:cs="仿宋"/>
          <w:b/>
          <w:sz w:val="32"/>
          <w:szCs w:val="32"/>
          <w:lang w:val="zh-CN"/>
        </w:rPr>
        <w:t>（一）评价目的</w:t>
      </w:r>
    </w:p>
    <w:p w14:paraId="5CE09B5F">
      <w:pPr>
        <w:adjustRightInd w:val="0"/>
        <w:snapToGrid w:val="0"/>
        <w:spacing w:line="576" w:lineRule="exact"/>
        <w:ind w:firstLine="640" w:firstLineChars="200"/>
        <w:jc w:val="left"/>
        <w:rPr>
          <w:rFonts w:ascii="楷体_GB2312" w:hAnsi="宋体" w:eastAsia="楷体_GB2312"/>
          <w:b/>
          <w:sz w:val="32"/>
          <w:szCs w:val="32"/>
          <w:lang w:val="zh-CN"/>
        </w:rPr>
      </w:pPr>
      <w:r>
        <w:rPr>
          <w:rFonts w:hint="eastAsia" w:ascii="仿宋" w:hAnsi="仿宋" w:eastAsia="仿宋" w:cs="仿宋"/>
          <w:sz w:val="32"/>
        </w:rPr>
        <w:t>通过对维稳信访经费项目专项资金的绩效评价，了解维稳信访经费</w:t>
      </w:r>
      <w:r>
        <w:rPr>
          <w:rFonts w:hint="eastAsia" w:ascii="仿宋" w:hAnsi="仿宋" w:eastAsia="仿宋" w:cs="仿宋"/>
          <w:sz w:val="32"/>
          <w:szCs w:val="32"/>
          <w:lang w:val="zh-CN"/>
        </w:rPr>
        <w:t>项目的资金来源、使用和管理情况、项目组织和实施情况，检验项目投入是否达到预期目标，总结经验，分析问题，强化项目资金管理，进一步提升预算项目资金使用成效。</w:t>
      </w:r>
    </w:p>
    <w:p w14:paraId="4C53EFD0">
      <w:pPr>
        <w:pStyle w:val="2"/>
        <w:numPr>
          <w:ilvl w:val="0"/>
          <w:numId w:val="8"/>
        </w:numPr>
        <w:spacing w:line="576" w:lineRule="exact"/>
        <w:ind w:firstLine="643"/>
        <w:rPr>
          <w:rFonts w:ascii="仿宋" w:hAnsi="仿宋" w:eastAsia="仿宋" w:cs="仿宋"/>
          <w:b/>
          <w:sz w:val="32"/>
          <w:szCs w:val="32"/>
          <w:lang w:val="zh-CN"/>
        </w:rPr>
      </w:pPr>
      <w:r>
        <w:rPr>
          <w:rFonts w:hint="eastAsia" w:ascii="仿宋" w:hAnsi="仿宋" w:eastAsia="仿宋" w:cs="仿宋"/>
          <w:b/>
          <w:sz w:val="32"/>
          <w:szCs w:val="32"/>
          <w:lang w:val="zh-CN"/>
        </w:rPr>
        <w:t>预设问题及评价重点</w:t>
      </w:r>
    </w:p>
    <w:p w14:paraId="6EC785D3">
      <w:pPr>
        <w:adjustRightInd w:val="0"/>
        <w:snapToGrid w:val="0"/>
        <w:spacing w:line="576" w:lineRule="exact"/>
        <w:ind w:firstLine="640" w:firstLineChars="200"/>
        <w:jc w:val="left"/>
        <w:rPr>
          <w:rFonts w:ascii="仿宋" w:hAnsi="仿宋" w:eastAsia="仿宋" w:cs="仿宋"/>
          <w:sz w:val="32"/>
        </w:rPr>
      </w:pPr>
      <w:r>
        <w:rPr>
          <w:rFonts w:hint="eastAsia" w:ascii="仿宋" w:hAnsi="仿宋" w:eastAsia="仿宋" w:cs="仿宋"/>
          <w:sz w:val="32"/>
        </w:rPr>
        <w:t>维稳信访经费的预设问题及评价重点涉及多个方面，需要全面考虑和深入分析。通过加强预算制定、提高资金使用效率、合理配置人员、完善制度建设、加强信息公开等措施，可以确保维稳信访经费的有效使用和管理。</w:t>
      </w:r>
    </w:p>
    <w:p w14:paraId="7F900133">
      <w:pPr>
        <w:numPr>
          <w:ilvl w:val="0"/>
          <w:numId w:val="8"/>
        </w:numPr>
        <w:adjustRightInd w:val="0"/>
        <w:snapToGrid w:val="0"/>
        <w:spacing w:line="576" w:lineRule="exact"/>
        <w:ind w:firstLine="643"/>
        <w:jc w:val="left"/>
        <w:rPr>
          <w:rFonts w:ascii="仿宋" w:hAnsi="仿宋" w:eastAsia="仿宋" w:cs="仿宋"/>
          <w:b/>
          <w:sz w:val="32"/>
          <w:szCs w:val="32"/>
          <w:lang w:val="zh-CN"/>
        </w:rPr>
      </w:pPr>
      <w:r>
        <w:rPr>
          <w:rFonts w:hint="eastAsia" w:ascii="仿宋" w:hAnsi="仿宋" w:eastAsia="仿宋" w:cs="仿宋"/>
          <w:b/>
          <w:sz w:val="32"/>
          <w:szCs w:val="32"/>
          <w:lang w:val="zh-CN"/>
        </w:rPr>
        <w:t>评价选点</w:t>
      </w:r>
    </w:p>
    <w:p w14:paraId="27DE6535">
      <w:pPr>
        <w:adjustRightInd w:val="0"/>
        <w:snapToGrid w:val="0"/>
        <w:spacing w:line="576" w:lineRule="exact"/>
        <w:ind w:firstLine="640" w:firstLineChars="200"/>
        <w:jc w:val="left"/>
        <w:rPr>
          <w:rFonts w:ascii="仿宋" w:hAnsi="仿宋" w:eastAsia="仿宋" w:cs="仿宋"/>
          <w:sz w:val="32"/>
        </w:rPr>
      </w:pPr>
      <w:r>
        <w:rPr>
          <w:rFonts w:hint="eastAsia" w:ascii="仿宋" w:hAnsi="仿宋" w:eastAsia="仿宋" w:cs="仿宋"/>
          <w:sz w:val="32"/>
        </w:rPr>
        <w:t>维稳信访评价选点应围绕信访处理效率、信访问题解决质量、信访人满意度、信访工作制度建设和信访工作队伍建设等方面展开，以构建全面、科学、有效的评价体系。</w:t>
      </w:r>
    </w:p>
    <w:p w14:paraId="79C95300">
      <w:pPr>
        <w:numPr>
          <w:ilvl w:val="0"/>
          <w:numId w:val="8"/>
        </w:numPr>
        <w:adjustRightInd w:val="0"/>
        <w:snapToGrid w:val="0"/>
        <w:spacing w:line="576" w:lineRule="exact"/>
        <w:ind w:firstLine="643"/>
        <w:jc w:val="left"/>
        <w:rPr>
          <w:rFonts w:ascii="仿宋" w:hAnsi="仿宋" w:eastAsia="仿宋" w:cs="仿宋"/>
          <w:b/>
          <w:sz w:val="32"/>
          <w:szCs w:val="32"/>
          <w:lang w:val="zh-CN"/>
        </w:rPr>
      </w:pPr>
      <w:r>
        <w:rPr>
          <w:rFonts w:hint="eastAsia" w:ascii="仿宋" w:hAnsi="仿宋" w:eastAsia="仿宋" w:cs="仿宋"/>
          <w:b/>
          <w:sz w:val="32"/>
          <w:szCs w:val="32"/>
          <w:lang w:val="zh-CN"/>
        </w:rPr>
        <w:t>评价方法</w:t>
      </w:r>
    </w:p>
    <w:p w14:paraId="0BF61A8E">
      <w:pPr>
        <w:adjustRightInd w:val="0"/>
        <w:snapToGrid w:val="0"/>
        <w:spacing w:line="576" w:lineRule="exact"/>
        <w:ind w:firstLine="640" w:firstLineChars="200"/>
        <w:jc w:val="left"/>
        <w:rPr>
          <w:rFonts w:ascii="仿宋" w:hAnsi="仿宋" w:eastAsia="仿宋" w:cs="仿宋"/>
          <w:sz w:val="32"/>
        </w:rPr>
      </w:pPr>
      <w:r>
        <w:rPr>
          <w:rFonts w:hint="eastAsia" w:ascii="仿宋" w:hAnsi="仿宋" w:eastAsia="仿宋" w:cs="仿宋"/>
          <w:sz w:val="32"/>
        </w:rPr>
        <w:t>本次绩效评价采用了成本效益比较法、实地勘察法、座谈调研法等多种方法。</w:t>
      </w:r>
    </w:p>
    <w:p w14:paraId="4C190D2A">
      <w:pPr>
        <w:adjustRightInd w:val="0"/>
        <w:snapToGrid w:val="0"/>
        <w:spacing w:line="576" w:lineRule="exact"/>
        <w:ind w:firstLine="964" w:firstLineChars="300"/>
        <w:jc w:val="left"/>
        <w:rPr>
          <w:rFonts w:ascii="仿宋" w:hAnsi="仿宋" w:eastAsia="仿宋" w:cs="仿宋"/>
          <w:b/>
          <w:sz w:val="32"/>
          <w:szCs w:val="32"/>
          <w:lang w:val="zh-CN"/>
        </w:rPr>
      </w:pPr>
      <w:r>
        <w:rPr>
          <w:rFonts w:hint="eastAsia" w:ascii="仿宋" w:hAnsi="仿宋" w:eastAsia="仿宋" w:cs="仿宋"/>
          <w:b/>
          <w:sz w:val="32"/>
          <w:szCs w:val="32"/>
          <w:lang w:val="zh-CN"/>
        </w:rPr>
        <w:t>（五）评价组织</w:t>
      </w:r>
    </w:p>
    <w:p w14:paraId="689DE389">
      <w:pPr>
        <w:adjustRightInd w:val="0"/>
        <w:snapToGrid w:val="0"/>
        <w:spacing w:line="576" w:lineRule="exact"/>
        <w:ind w:firstLine="640" w:firstLineChars="200"/>
        <w:jc w:val="left"/>
        <w:rPr>
          <w:rFonts w:ascii="仿宋" w:hAnsi="仿宋" w:eastAsia="仿宋" w:cs="仿宋"/>
          <w:sz w:val="32"/>
          <w:lang w:val="zh-CN"/>
        </w:rPr>
      </w:pPr>
      <w:r>
        <w:rPr>
          <w:rFonts w:hint="eastAsia" w:ascii="仿宋" w:hAnsi="仿宋" w:eastAsia="仿宋" w:cs="仿宋"/>
          <w:sz w:val="32"/>
          <w:lang w:val="zh-CN"/>
        </w:rPr>
        <w:t>维稳信访评价组织是维护社会稳定和群众利益的重要力量。它们通过制定评价标准、开展评价工作、形成评价报告和督促整改落实等方式，推动信访工作的不断改进和提升。</w:t>
      </w:r>
    </w:p>
    <w:p w14:paraId="6A57FD0D">
      <w:pPr>
        <w:adjustRightInd w:val="0"/>
        <w:snapToGrid w:val="0"/>
        <w:spacing w:line="576" w:lineRule="exact"/>
        <w:ind w:firstLine="640" w:firstLineChars="200"/>
        <w:jc w:val="left"/>
        <w:rPr>
          <w:rFonts w:ascii="仿宋_GB2312" w:hAnsi="宋体"/>
          <w:sz w:val="32"/>
          <w:szCs w:val="32"/>
          <w:lang w:val="zh-CN"/>
        </w:rPr>
      </w:pPr>
      <w:r>
        <w:rPr>
          <w:rFonts w:hint="eastAsia" w:ascii="黑体" w:hAnsi="宋体" w:eastAsia="黑体"/>
          <w:sz w:val="32"/>
          <w:szCs w:val="32"/>
        </w:rPr>
        <w:t>三、绩效分析</w:t>
      </w:r>
      <w:r>
        <w:rPr>
          <w:rFonts w:hint="eastAsia" w:ascii="仿宋_GB2312" w:hAnsi="宋体"/>
          <w:sz w:val="32"/>
          <w:szCs w:val="32"/>
          <w:lang w:val="zh-CN"/>
        </w:rPr>
        <w:tab/>
      </w:r>
    </w:p>
    <w:p w14:paraId="4462D81C">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（一）通用指标绩效分析</w:t>
      </w:r>
    </w:p>
    <w:p w14:paraId="5A3A3B5F">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1.项目决策</w:t>
      </w:r>
      <w:r>
        <w:rPr>
          <w:rFonts w:hint="eastAsia" w:ascii="仿宋_GB2312" w:hAnsi="仿宋_GB2312" w:eastAsia="仿宋_GB2312" w:cs="仿宋_GB2312"/>
          <w:kern w:val="0"/>
          <w:sz w:val="32"/>
          <w:szCs w:val="32"/>
          <w:lang w:val="zh-CN"/>
        </w:rPr>
        <w:t>:维稳信访调解经费</w:t>
      </w:r>
      <w:r>
        <w:rPr>
          <w:rFonts w:ascii="仿宋_GB2312" w:hAnsi="仿宋_GB2312" w:eastAsia="仿宋_GB2312" w:cs="仿宋_GB2312"/>
          <w:kern w:val="0"/>
          <w:sz w:val="32"/>
          <w:szCs w:val="32"/>
          <w:lang w:val="zh-CN"/>
        </w:rPr>
        <w:t>项目为延续性项目，已在年初进行项目绩效目标申报，项目规划合理，年度绩效目标与中长期规划一致。资金管理办法健全完善。</w:t>
      </w:r>
    </w:p>
    <w:p w14:paraId="437EA272">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2.项目管理</w:t>
      </w:r>
      <w:r>
        <w:rPr>
          <w:rFonts w:hint="eastAsia" w:ascii="仿宋_GB2312" w:hAnsi="仿宋_GB2312" w:eastAsia="仿宋_GB2312" w:cs="仿宋_GB2312"/>
          <w:kern w:val="0"/>
          <w:sz w:val="32"/>
          <w:szCs w:val="32"/>
          <w:lang w:val="zh-CN"/>
        </w:rPr>
        <w:t>:为使项目如期完成，结合常理镇实际情况，维稳信访调解经费项目按照镇党委工作分工，将所有项目分解到相关党政班子成员，由分管领导具体负责项目实施。在项目资金发放工作中，建立了符合财务会计制度的维稳信访调解经费项</w:t>
      </w:r>
      <w:r>
        <w:rPr>
          <w:rFonts w:ascii="仿宋_GB2312" w:hAnsi="仿宋_GB2312" w:eastAsia="仿宋_GB2312" w:cs="仿宋_GB2312"/>
          <w:kern w:val="0"/>
          <w:sz w:val="32"/>
          <w:szCs w:val="32"/>
          <w:lang w:val="zh-CN"/>
        </w:rPr>
        <w:t>目资金管理制度，专项管理、拨付规范、发放及时。</w:t>
      </w:r>
    </w:p>
    <w:p w14:paraId="37DF7129">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3.项目实施</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常理镇成立了以镇党委书记为组长，班子成员和部门负责人及镇村主职干部为成员的</w:t>
      </w:r>
      <w:r>
        <w:rPr>
          <w:rFonts w:hint="eastAsia" w:ascii="仿宋_GB2312" w:hAnsi="仿宋_GB2312" w:eastAsia="仿宋_GB2312" w:cs="仿宋_GB2312"/>
          <w:kern w:val="0"/>
          <w:sz w:val="32"/>
          <w:szCs w:val="32"/>
          <w:lang w:val="zh-CN"/>
        </w:rPr>
        <w:t>维稳信访调解经费</w:t>
      </w:r>
      <w:r>
        <w:rPr>
          <w:rFonts w:ascii="仿宋_GB2312" w:hAnsi="仿宋_GB2312" w:eastAsia="仿宋_GB2312" w:cs="仿宋_GB2312"/>
          <w:kern w:val="0"/>
          <w:sz w:val="32"/>
          <w:szCs w:val="32"/>
          <w:lang w:val="zh-CN"/>
        </w:rPr>
        <w:t>项目行动领导小组，统筹推进各项</w:t>
      </w:r>
      <w:r>
        <w:rPr>
          <w:rFonts w:hint="eastAsia" w:ascii="仿宋_GB2312" w:hAnsi="仿宋_GB2312" w:eastAsia="仿宋_GB2312" w:cs="仿宋_GB2312"/>
          <w:kern w:val="0"/>
          <w:sz w:val="32"/>
          <w:szCs w:val="32"/>
          <w:lang w:val="zh-CN"/>
        </w:rPr>
        <w:t>维稳信访</w:t>
      </w:r>
      <w:r>
        <w:rPr>
          <w:rFonts w:ascii="仿宋_GB2312" w:hAnsi="仿宋_GB2312" w:eastAsia="仿宋_GB2312" w:cs="仿宋_GB2312"/>
          <w:kern w:val="0"/>
          <w:sz w:val="32"/>
          <w:szCs w:val="32"/>
          <w:lang w:val="zh-CN"/>
        </w:rPr>
        <w:t>工作。</w:t>
      </w:r>
    </w:p>
    <w:p w14:paraId="393FCAEE">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4.项目结果</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项目目标明确、资金到位率高、组织监管体系完善。我镇</w:t>
      </w:r>
      <w:r>
        <w:rPr>
          <w:rFonts w:hint="eastAsia" w:ascii="仿宋_GB2312" w:hAnsi="仿宋_GB2312" w:eastAsia="仿宋_GB2312" w:cs="仿宋_GB2312"/>
          <w:kern w:val="0"/>
          <w:sz w:val="32"/>
          <w:szCs w:val="32"/>
          <w:lang w:val="zh-CN"/>
        </w:rPr>
        <w:t>维稳信访调解经费</w:t>
      </w:r>
      <w:r>
        <w:rPr>
          <w:rFonts w:ascii="仿宋_GB2312" w:hAnsi="仿宋_GB2312" w:eastAsia="仿宋_GB2312" w:cs="仿宋_GB2312"/>
          <w:kern w:val="0"/>
          <w:sz w:val="32"/>
          <w:szCs w:val="32"/>
          <w:lang w:val="zh-CN"/>
        </w:rPr>
        <w:t>项目资金较好地实现了绩效目标。自评得分100分。</w:t>
      </w:r>
    </w:p>
    <w:p w14:paraId="3DBCC7FD">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（二）专用指标绩效分析</w:t>
      </w:r>
    </w:p>
    <w:p w14:paraId="3088B12B">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行政运转。</w:t>
      </w:r>
      <w:r>
        <w:rPr>
          <w:rFonts w:hint="eastAsia" w:ascii="仿宋_GB2312" w:hAnsi="仿宋_GB2312" w:eastAsia="仿宋_GB2312" w:cs="仿宋_GB2312"/>
          <w:kern w:val="0"/>
          <w:sz w:val="32"/>
          <w:szCs w:val="32"/>
          <w:lang w:val="zh-CN"/>
        </w:rPr>
        <w:t>根据维稳信访调解经费进行项目绩</w:t>
      </w:r>
      <w:r>
        <w:rPr>
          <w:rFonts w:ascii="仿宋_GB2312" w:hAnsi="仿宋_GB2312" w:eastAsia="仿宋_GB2312" w:cs="仿宋_GB2312"/>
          <w:kern w:val="0"/>
          <w:sz w:val="32"/>
          <w:szCs w:val="32"/>
          <w:lang w:val="zh-CN"/>
        </w:rPr>
        <w:t>效目标进行自评，对该项目专项资金进行绩效分析，该项目资金使用合规合法。</w:t>
      </w:r>
    </w:p>
    <w:p w14:paraId="694F31A0">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（三）个性指标绩效分析</w:t>
      </w:r>
    </w:p>
    <w:p w14:paraId="6DA2EBBC">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质量指标：认真排查化解，切实搞好稳控做到及时接访，按时劝返，息诉息访率达到100%。</w:t>
      </w:r>
    </w:p>
    <w:p w14:paraId="7B33E50A">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社会效益指标：全镇信访总量减低。</w:t>
      </w:r>
    </w:p>
    <w:p w14:paraId="38C5C56D">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满意度指标：群众对信访事件办理满意度98%以上。</w:t>
      </w:r>
    </w:p>
    <w:p w14:paraId="59A76D7C">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四、评价结论</w:t>
      </w:r>
    </w:p>
    <w:p w14:paraId="35CB3449">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总体上看，</w:t>
      </w:r>
      <w:r>
        <w:rPr>
          <w:rFonts w:hint="eastAsia" w:ascii="仿宋_GB2312" w:hAnsi="仿宋_GB2312" w:eastAsia="仿宋_GB2312" w:cs="仿宋_GB2312"/>
          <w:kern w:val="0"/>
          <w:sz w:val="32"/>
          <w:szCs w:val="32"/>
          <w:lang w:val="zh-CN"/>
        </w:rPr>
        <w:t>宣传与引导活动的开展有效提升了公众对信访调解工作的知晓率和认可度，增强了群众依法维权的意识。但宣传方式和手段仍需进一步创新和完善，以更好地吸引公众的关注和参与。</w:t>
      </w:r>
      <w:r>
        <w:rPr>
          <w:rFonts w:ascii="仿宋_GB2312" w:hAnsi="仿宋_GB2312" w:eastAsia="仿宋_GB2312" w:cs="仿宋_GB2312"/>
          <w:kern w:val="0"/>
          <w:sz w:val="32"/>
          <w:szCs w:val="32"/>
          <w:lang w:val="zh-CN"/>
        </w:rPr>
        <w:t>自评得分100分。</w:t>
      </w:r>
    </w:p>
    <w:p w14:paraId="51D9BB10">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五、存在主要问题</w:t>
      </w:r>
    </w:p>
    <w:p w14:paraId="69CA7D7B">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宣传内容单一、形式呆板；宣传渠道有限，难以覆盖所有目标群体；部分群众对信访调解工作的认知仍存在误区。</w:t>
      </w:r>
    </w:p>
    <w:p w14:paraId="01A9F2EC">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六、改进建议</w:t>
      </w:r>
    </w:p>
    <w:p w14:paraId="77EDF4D3">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创新宣传方式和手段，采用更加生动、形象、贴近群众的方式开展宣传工作；拓宽宣传渠道，利用新媒体等现代传播手段扩大宣传覆盖面；加强信访调解工作的政策解读和案例分析工作，帮助群众更好地理解信访调解工作的意义和价值。</w:t>
      </w:r>
    </w:p>
    <w:p w14:paraId="1B33A7B1">
      <w:pPr>
        <w:adjustRightInd w:val="0"/>
        <w:snapToGrid w:val="0"/>
        <w:spacing w:line="576" w:lineRule="exact"/>
        <w:ind w:firstLine="720"/>
        <w:jc w:val="left"/>
        <w:rPr>
          <w:rFonts w:ascii="仿宋_GB2312" w:hAnsi="微软雅黑" w:eastAsia="仿宋_GB2312" w:cs="仿宋_GB2312"/>
          <w:sz w:val="31"/>
          <w:szCs w:val="31"/>
        </w:rPr>
      </w:pPr>
    </w:p>
    <w:p w14:paraId="70748C34">
      <w:pPr>
        <w:adjustRightInd w:val="0"/>
        <w:snapToGrid w:val="0"/>
        <w:spacing w:line="576" w:lineRule="exact"/>
        <w:ind w:firstLine="720"/>
        <w:jc w:val="left"/>
        <w:rPr>
          <w:rFonts w:ascii="仿宋_GB2312" w:hAnsi="微软雅黑" w:eastAsia="仿宋_GB2312" w:cs="仿宋_GB2312"/>
          <w:sz w:val="31"/>
          <w:szCs w:val="31"/>
        </w:rPr>
      </w:pPr>
    </w:p>
    <w:p w14:paraId="70F7A206">
      <w:pPr>
        <w:adjustRightInd w:val="0"/>
        <w:snapToGrid w:val="0"/>
        <w:spacing w:line="576" w:lineRule="exact"/>
        <w:ind w:firstLine="720"/>
        <w:jc w:val="left"/>
        <w:rPr>
          <w:rFonts w:ascii="仿宋_GB2312" w:hAnsi="微软雅黑" w:eastAsia="仿宋_GB2312" w:cs="仿宋_GB2312"/>
          <w:sz w:val="31"/>
          <w:szCs w:val="31"/>
        </w:rPr>
      </w:pPr>
    </w:p>
    <w:p w14:paraId="02F34EAA">
      <w:pPr>
        <w:spacing w:line="576" w:lineRule="exact"/>
        <w:jc w:val="left"/>
        <w:rPr>
          <w:rFonts w:ascii="方正小标宋简体" w:hAnsi="宋体" w:eastAsia="方正小标宋简体"/>
          <w:color w:val="000000"/>
          <w:kern w:val="0"/>
          <w:sz w:val="44"/>
          <w:szCs w:val="44"/>
        </w:rPr>
      </w:pPr>
    </w:p>
    <w:p w14:paraId="0405FEE9">
      <w:pPr>
        <w:spacing w:line="576" w:lineRule="exact"/>
        <w:jc w:val="left"/>
        <w:rPr>
          <w:rFonts w:ascii="方正小标宋简体" w:hAnsi="宋体" w:eastAsia="方正小标宋简体"/>
          <w:color w:val="000000"/>
          <w:kern w:val="0"/>
          <w:sz w:val="44"/>
          <w:szCs w:val="44"/>
        </w:rPr>
      </w:pPr>
    </w:p>
    <w:p w14:paraId="5D61E40C">
      <w:pPr>
        <w:spacing w:line="576" w:lineRule="exact"/>
        <w:ind w:firstLine="440" w:firstLineChars="100"/>
        <w:jc w:val="left"/>
        <w:rPr>
          <w:rFonts w:ascii="方正小标宋简体" w:hAnsi="宋体" w:eastAsia="方正小标宋简体"/>
          <w:color w:val="000000"/>
          <w:kern w:val="0"/>
          <w:sz w:val="44"/>
          <w:szCs w:val="44"/>
        </w:rPr>
      </w:pPr>
    </w:p>
    <w:p w14:paraId="4BBD2252">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09D9EFB7">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lang w:val="zh-CN"/>
        </w:rPr>
        <w:t>（关心下一代工作专项经费项目）</w:t>
      </w:r>
    </w:p>
    <w:p w14:paraId="676E7736">
      <w:pPr>
        <w:pStyle w:val="3"/>
        <w:spacing w:line="576" w:lineRule="exact"/>
        <w:ind w:left="0" w:leftChars="0" w:firstLine="0" w:firstLineChars="0"/>
        <w:jc w:val="left"/>
        <w:rPr>
          <w:lang w:val="zh-CN"/>
        </w:rPr>
      </w:pPr>
    </w:p>
    <w:p w14:paraId="7C50A1A5">
      <w:pPr>
        <w:adjustRightInd w:val="0"/>
        <w:snapToGrid w:val="0"/>
        <w:spacing w:line="576" w:lineRule="exact"/>
        <w:ind w:firstLine="640" w:firstLineChars="200"/>
        <w:jc w:val="left"/>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1E196722">
      <w:pPr>
        <w:snapToGrid w:val="0"/>
        <w:spacing w:line="576" w:lineRule="exact"/>
        <w:ind w:left="420" w:leftChars="200" w:firstLine="321" w:firstLineChars="100"/>
        <w:jc w:val="left"/>
        <w:rPr>
          <w:rFonts w:ascii="仿宋" w:hAnsi="仿宋" w:eastAsia="仿宋" w:cs="仿宋"/>
          <w:b/>
          <w:sz w:val="32"/>
          <w:szCs w:val="21"/>
        </w:rPr>
      </w:pPr>
      <w:r>
        <w:rPr>
          <w:rFonts w:hint="eastAsia" w:ascii="仿宋" w:hAnsi="仿宋" w:eastAsia="仿宋" w:cs="仿宋"/>
          <w:b/>
          <w:sz w:val="32"/>
          <w:szCs w:val="32"/>
          <w:lang w:val="zh-CN"/>
        </w:rPr>
        <w:t>（一）设立背景及基本情况</w:t>
      </w:r>
    </w:p>
    <w:p w14:paraId="5B1F4268">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随着社会经济的快速发展，青少年群体面临着日益复杂多变的成长环境。他们不仅需要物质上的支持，更需要在思想、教育、文化等多个方面得到关爱和引导。关心下一代工作作为社会发展的重要组成部分，其重要性日益凸显。</w:t>
      </w:r>
    </w:p>
    <w:p w14:paraId="2726CFF4">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（二）实施目的及支持方向</w:t>
      </w:r>
    </w:p>
    <w:p w14:paraId="3648DD80">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保障关心下一代工作的顺利进行：专项经费的设立，旨在确保关心下一代工作的各项活动和项目有足够的资金支持，从而保障其能够持续、稳定地开展。促进青少年健康成长：通过专项经费的支持，可以加强对青少年的教育引导、心理健康关爱、社会实践支持等方面的投入，促进青少年全面发展，健康成长。</w:t>
      </w:r>
    </w:p>
    <w:p w14:paraId="30F1A234">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（三）预算安排及分配管理</w:t>
      </w:r>
    </w:p>
    <w:p w14:paraId="4428F015">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关心下一代工作是社会建设的重要组成部分，专项经费的实施有助于构建更加和谐稳定的社会环境，为青少年的成长成才创造更加有利的条件。关心下一代工作经费2023年初预算3.00万元，预算批复3.00万元。资金用于走访慰问困难儿童费用，关心下一代宣传资料印刷等费用。</w:t>
      </w:r>
    </w:p>
    <w:p w14:paraId="06D0F9CA">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（四）项目绩效目标设置</w:t>
      </w:r>
    </w:p>
    <w:p w14:paraId="4FF5DDB4">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通过开展对留守儿童关爱保护，实现让事业留人，用感情留人。项目经费为关心下一代工作专项经费提供财力的保证。</w:t>
      </w:r>
    </w:p>
    <w:p w14:paraId="50B254F0">
      <w:pPr>
        <w:adjustRightInd w:val="0"/>
        <w:snapToGrid w:val="0"/>
        <w:spacing w:line="576" w:lineRule="exact"/>
        <w:ind w:firstLine="640" w:firstLineChars="200"/>
        <w:jc w:val="left"/>
        <w:rPr>
          <w:rFonts w:ascii="黑体" w:hAnsi="宋体" w:eastAsia="黑体"/>
          <w:sz w:val="32"/>
          <w:szCs w:val="32"/>
        </w:rPr>
      </w:pPr>
      <w:r>
        <w:rPr>
          <w:rFonts w:hint="eastAsia" w:ascii="黑体" w:hAnsi="宋体" w:eastAsia="黑体"/>
          <w:sz w:val="32"/>
          <w:szCs w:val="32"/>
        </w:rPr>
        <w:t>二、评价实施</w:t>
      </w:r>
    </w:p>
    <w:p w14:paraId="405D87E8">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（一）评价目的</w:t>
      </w:r>
    </w:p>
    <w:p w14:paraId="42B2411A">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关心下一代工作专项经费的实施目的明确，支持方向广泛，旨在通过多方面的投入和支持，促进青少年的健康成长和社会和谐稳定。</w:t>
      </w:r>
    </w:p>
    <w:p w14:paraId="6D624808">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（二）预设问题及评价重点</w:t>
      </w:r>
    </w:p>
    <w:p w14:paraId="13469F80">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通过项目绩效自评关心下一代工作专项经费自评按照绩效评价指标体系，对资金支出使用全过程及其实施效果进行综合评价和判断。</w:t>
      </w:r>
    </w:p>
    <w:p w14:paraId="16E88034">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（三）评价选点</w:t>
      </w:r>
    </w:p>
    <w:p w14:paraId="1E258095">
      <w:pPr>
        <w:spacing w:line="576" w:lineRule="exact"/>
        <w:ind w:firstLine="620" w:firstLineChars="200"/>
        <w:jc w:val="left"/>
        <w:rPr>
          <w:rFonts w:ascii="仿宋" w:hAnsi="仿宋" w:eastAsia="仿宋" w:cs="仿宋"/>
          <w:b/>
          <w:sz w:val="32"/>
          <w:szCs w:val="32"/>
          <w:lang w:val="zh-CN"/>
        </w:rPr>
      </w:pPr>
      <w:r>
        <w:rPr>
          <w:rFonts w:hint="eastAsia" w:ascii="仿宋_GB2312" w:hAnsi="微软雅黑" w:eastAsia="仿宋_GB2312" w:cs="仿宋_GB2312"/>
          <w:sz w:val="31"/>
          <w:szCs w:val="31"/>
        </w:rPr>
        <w:t>关心下一代工作专项经费的评价选点应围绕经费使用的合规性、有效性、社会效益与满意度以及问题与建议等方面展开全面分析和评估。通过科学合理的评价选点体系可以全面了解专项经费的使用情况和成效为今后的工作提供有益的参考和借鉴。</w:t>
      </w:r>
    </w:p>
    <w:p w14:paraId="171E2088">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（四）评价方法</w:t>
      </w:r>
    </w:p>
    <w:p w14:paraId="479D95A1">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定量分析与定性分析相结合：既通过数据统计和指标分析进行量化评价，又通过实地调研、又通过长期跟踪调查评估其持续影响力和深远意义。关心下一代工作的评价方法应综合考虑多个方面和多个层次的因素，确保评价的全面性和客观性。</w:t>
      </w:r>
    </w:p>
    <w:p w14:paraId="0FB1F118">
      <w:pPr>
        <w:snapToGrid w:val="0"/>
        <w:spacing w:line="576" w:lineRule="exact"/>
        <w:ind w:left="420" w:leftChars="200" w:firstLine="321" w:firstLineChars="100"/>
        <w:jc w:val="left"/>
        <w:rPr>
          <w:rFonts w:ascii="仿宋" w:hAnsi="仿宋" w:eastAsia="仿宋" w:cs="仿宋"/>
          <w:b/>
          <w:sz w:val="32"/>
          <w:szCs w:val="32"/>
          <w:lang w:val="zh-CN"/>
        </w:rPr>
      </w:pPr>
      <w:r>
        <w:rPr>
          <w:rFonts w:hint="eastAsia" w:ascii="仿宋" w:hAnsi="仿宋" w:eastAsia="仿宋" w:cs="仿宋"/>
          <w:b/>
          <w:sz w:val="32"/>
          <w:szCs w:val="32"/>
          <w:lang w:val="zh-CN"/>
        </w:rPr>
        <w:t>（五）评价组织</w:t>
      </w:r>
    </w:p>
    <w:p w14:paraId="4AA2842F">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关心下一代评价组织包括政府相关部门、中国关心下一代工作委员会、第三方评估机构以及社会组织与公益机构等多个方面。这些组织在推动关心下一代工作的发展中发挥着重要作用，通过全面、客观的评估和监督，确保关心下一代工作的有效实施和持续深化。</w:t>
      </w:r>
    </w:p>
    <w:p w14:paraId="7E21B3E1">
      <w:pPr>
        <w:adjustRightInd w:val="0"/>
        <w:snapToGrid w:val="0"/>
        <w:spacing w:line="576" w:lineRule="exact"/>
        <w:ind w:firstLine="643" w:firstLineChars="200"/>
        <w:jc w:val="left"/>
        <w:rPr>
          <w:rFonts w:ascii="仿宋_GB2312" w:hAnsi="宋体"/>
          <w:b/>
          <w:bCs/>
          <w:sz w:val="32"/>
          <w:szCs w:val="32"/>
          <w:lang w:val="zh-CN"/>
        </w:rPr>
      </w:pPr>
      <w:r>
        <w:rPr>
          <w:rFonts w:hint="eastAsia" w:ascii="黑体" w:hAnsi="宋体" w:eastAsia="黑体"/>
          <w:b/>
          <w:bCs/>
          <w:sz w:val="32"/>
          <w:szCs w:val="32"/>
        </w:rPr>
        <w:t>三、绩效分析</w:t>
      </w:r>
      <w:r>
        <w:rPr>
          <w:rFonts w:hint="eastAsia" w:ascii="仿宋_GB2312" w:hAnsi="宋体"/>
          <w:b/>
          <w:bCs/>
          <w:sz w:val="32"/>
          <w:szCs w:val="32"/>
          <w:lang w:val="zh-CN"/>
        </w:rPr>
        <w:tab/>
      </w:r>
    </w:p>
    <w:p w14:paraId="790F0364">
      <w:pPr>
        <w:spacing w:line="576" w:lineRule="exact"/>
        <w:ind w:firstLine="640"/>
        <w:jc w:val="left"/>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（一）通用指标绩效分析</w:t>
      </w:r>
    </w:p>
    <w:p w14:paraId="55B39283">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1.项目决策</w:t>
      </w:r>
      <w:r>
        <w:rPr>
          <w:rFonts w:hint="eastAsia" w:ascii="仿宋_GB2312" w:hAnsi="仿宋_GB2312" w:eastAsia="仿宋_GB2312" w:cs="仿宋_GB2312"/>
          <w:kern w:val="0"/>
          <w:sz w:val="32"/>
          <w:szCs w:val="32"/>
          <w:lang w:val="zh-CN"/>
        </w:rPr>
        <w:t>:</w:t>
      </w:r>
      <w:r>
        <w:rPr>
          <w:rFonts w:hint="eastAsia" w:ascii="仿宋_GB2312" w:hAnsi="微软雅黑" w:eastAsia="仿宋_GB2312" w:cs="仿宋_GB2312"/>
          <w:sz w:val="31"/>
          <w:szCs w:val="31"/>
          <w:lang w:val="zh-CN"/>
        </w:rPr>
        <w:t>关心下一代工作专项</w:t>
      </w:r>
      <w:r>
        <w:rPr>
          <w:rFonts w:hint="eastAsia" w:ascii="楷体_GB2312" w:hAnsi="楷体_GB2312" w:eastAsia="楷体_GB2312" w:cs="楷体_GB2312"/>
          <w:color w:val="000000"/>
          <w:kern w:val="0"/>
          <w:sz w:val="32"/>
          <w:szCs w:val="32"/>
        </w:rPr>
        <w:t>经费</w:t>
      </w:r>
      <w:r>
        <w:rPr>
          <w:rFonts w:ascii="仿宋_GB2312" w:hAnsi="仿宋_GB2312" w:eastAsia="仿宋_GB2312" w:cs="仿宋_GB2312"/>
          <w:kern w:val="0"/>
          <w:sz w:val="32"/>
          <w:szCs w:val="32"/>
          <w:lang w:val="zh-CN"/>
        </w:rPr>
        <w:t>项目为延续性项目，已在年初进行项目绩效目标申报，项目规划合理，年度绩效目标与中长期规划一致。资金管理办法健全完善。</w:t>
      </w:r>
    </w:p>
    <w:p w14:paraId="102F85B8">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2.项目管理</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为使项目如期完成，结合常理镇实际情况，</w:t>
      </w:r>
      <w:r>
        <w:rPr>
          <w:rFonts w:hint="eastAsia" w:ascii="仿宋_GB2312" w:hAnsi="微软雅黑" w:eastAsia="仿宋_GB2312" w:cs="仿宋_GB2312"/>
          <w:sz w:val="31"/>
          <w:szCs w:val="31"/>
          <w:lang w:val="zh-CN"/>
        </w:rPr>
        <w:t>关心下一代工作专项</w:t>
      </w:r>
      <w:r>
        <w:rPr>
          <w:rFonts w:hint="eastAsia" w:ascii="楷体_GB2312" w:hAnsi="楷体_GB2312" w:eastAsia="楷体_GB2312" w:cs="楷体_GB2312"/>
          <w:color w:val="000000"/>
          <w:kern w:val="0"/>
          <w:sz w:val="32"/>
          <w:szCs w:val="32"/>
        </w:rPr>
        <w:t>经费</w:t>
      </w:r>
      <w:r>
        <w:rPr>
          <w:rFonts w:ascii="仿宋_GB2312" w:hAnsi="仿宋_GB2312" w:eastAsia="仿宋_GB2312" w:cs="仿宋_GB2312"/>
          <w:kern w:val="0"/>
          <w:sz w:val="32"/>
          <w:szCs w:val="32"/>
          <w:lang w:val="zh-CN"/>
        </w:rPr>
        <w:t>项目按照镇党委工作分工，将所有项目分解到相关党政班子成员，由分管领导具体负责项目实施。在项目资金发放工作中，建立了符合财务会计制度的</w:t>
      </w:r>
      <w:r>
        <w:rPr>
          <w:rFonts w:hint="eastAsia" w:ascii="仿宋_GB2312" w:hAnsi="微软雅黑" w:eastAsia="仿宋_GB2312" w:cs="仿宋_GB2312"/>
          <w:sz w:val="31"/>
          <w:szCs w:val="31"/>
          <w:lang w:val="zh-CN"/>
        </w:rPr>
        <w:t>关心下一代工作专项</w:t>
      </w:r>
      <w:r>
        <w:rPr>
          <w:rFonts w:hint="eastAsia" w:ascii="楷体_GB2312" w:hAnsi="楷体_GB2312" w:eastAsia="楷体_GB2312" w:cs="楷体_GB2312"/>
          <w:color w:val="000000"/>
          <w:kern w:val="0"/>
          <w:sz w:val="32"/>
          <w:szCs w:val="32"/>
        </w:rPr>
        <w:t>经费</w:t>
      </w:r>
      <w:r>
        <w:rPr>
          <w:rFonts w:ascii="仿宋_GB2312" w:hAnsi="仿宋_GB2312" w:eastAsia="仿宋_GB2312" w:cs="仿宋_GB2312"/>
          <w:kern w:val="0"/>
          <w:sz w:val="32"/>
          <w:szCs w:val="32"/>
          <w:lang w:val="zh-CN"/>
        </w:rPr>
        <w:t>项目资金管理制度，专项管理、拨付规范、发放及时。</w:t>
      </w:r>
    </w:p>
    <w:p w14:paraId="068B2513">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3.项目实施</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常理镇成立了以镇党委书记为组长，班子成员和部门负责人及集镇村主职干部为成员的</w:t>
      </w:r>
      <w:r>
        <w:rPr>
          <w:rFonts w:hint="eastAsia" w:ascii="仿宋_GB2312" w:hAnsi="微软雅黑" w:eastAsia="仿宋_GB2312" w:cs="仿宋_GB2312"/>
          <w:sz w:val="31"/>
          <w:szCs w:val="31"/>
          <w:lang w:val="zh-CN"/>
        </w:rPr>
        <w:t>关心下一代工作专项</w:t>
      </w:r>
      <w:r>
        <w:rPr>
          <w:rFonts w:hint="eastAsia" w:ascii="楷体_GB2312" w:hAnsi="楷体_GB2312" w:eastAsia="楷体_GB2312" w:cs="楷体_GB2312"/>
          <w:color w:val="000000"/>
          <w:kern w:val="0"/>
          <w:sz w:val="32"/>
          <w:szCs w:val="32"/>
        </w:rPr>
        <w:t>经费</w:t>
      </w:r>
      <w:r>
        <w:rPr>
          <w:rFonts w:ascii="仿宋_GB2312" w:hAnsi="仿宋_GB2312" w:eastAsia="仿宋_GB2312" w:cs="仿宋_GB2312"/>
          <w:kern w:val="0"/>
          <w:sz w:val="32"/>
          <w:szCs w:val="32"/>
          <w:lang w:val="zh-CN"/>
        </w:rPr>
        <w:t>项目行动领导小组，统筹推进各项</w:t>
      </w:r>
      <w:r>
        <w:rPr>
          <w:rFonts w:hint="eastAsia" w:ascii="仿宋_GB2312" w:hAnsi="微软雅黑" w:eastAsia="仿宋_GB2312" w:cs="仿宋_GB2312"/>
          <w:sz w:val="31"/>
          <w:szCs w:val="31"/>
          <w:lang w:val="zh-CN"/>
        </w:rPr>
        <w:t>关心下一代工作</w:t>
      </w:r>
      <w:r>
        <w:rPr>
          <w:rFonts w:ascii="仿宋_GB2312" w:hAnsi="仿宋_GB2312" w:eastAsia="仿宋_GB2312" w:cs="仿宋_GB2312"/>
          <w:kern w:val="0"/>
          <w:sz w:val="32"/>
          <w:szCs w:val="32"/>
          <w:lang w:val="zh-CN"/>
        </w:rPr>
        <w:t>项目。</w:t>
      </w:r>
    </w:p>
    <w:p w14:paraId="5C0E7CDD">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4.项目结果</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项目目标明确、资金到位率高、组织监管体系完善。我镇</w:t>
      </w:r>
      <w:r>
        <w:rPr>
          <w:rFonts w:hint="eastAsia" w:ascii="仿宋_GB2312" w:hAnsi="微软雅黑" w:eastAsia="仿宋_GB2312" w:cs="仿宋_GB2312"/>
          <w:sz w:val="31"/>
          <w:szCs w:val="31"/>
          <w:lang w:val="zh-CN"/>
        </w:rPr>
        <w:t>关心下一代工</w:t>
      </w:r>
      <w:r>
        <w:rPr>
          <w:rFonts w:hint="eastAsia" w:ascii="仿宋_GB2312" w:hAnsi="仿宋_GB2312" w:eastAsia="仿宋_GB2312" w:cs="仿宋_GB2312"/>
          <w:kern w:val="0"/>
          <w:sz w:val="32"/>
          <w:szCs w:val="32"/>
          <w:lang w:val="zh-CN"/>
        </w:rPr>
        <w:t>作专项经费</w:t>
      </w:r>
      <w:r>
        <w:rPr>
          <w:rFonts w:ascii="仿宋_GB2312" w:hAnsi="仿宋_GB2312" w:eastAsia="仿宋_GB2312" w:cs="仿宋_GB2312"/>
          <w:kern w:val="0"/>
          <w:sz w:val="32"/>
          <w:szCs w:val="32"/>
          <w:lang w:val="zh-CN"/>
        </w:rPr>
        <w:t>项目资金较好地实现了绩效目标。自评得分100分。</w:t>
      </w:r>
    </w:p>
    <w:p w14:paraId="34C2E2A9">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（二）专用指标绩效分析</w:t>
      </w:r>
    </w:p>
    <w:p w14:paraId="4AFB07E8">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行政运转。根据对</w:t>
      </w:r>
      <w:r>
        <w:rPr>
          <w:rFonts w:hint="eastAsia" w:ascii="仿宋_GB2312" w:hAnsi="微软雅黑" w:eastAsia="仿宋_GB2312" w:cs="仿宋_GB2312"/>
          <w:sz w:val="31"/>
          <w:szCs w:val="31"/>
          <w:lang w:val="zh-CN"/>
        </w:rPr>
        <w:t>关心下一代工作专项经费项目进行项目绩效目标进行自评，对该项目专项资金进行绩效分析，该项目</w:t>
      </w:r>
      <w:r>
        <w:rPr>
          <w:rFonts w:ascii="仿宋_GB2312" w:hAnsi="仿宋_GB2312" w:eastAsia="仿宋_GB2312" w:cs="仿宋_GB2312"/>
          <w:kern w:val="0"/>
          <w:sz w:val="32"/>
          <w:szCs w:val="32"/>
          <w:lang w:val="zh-CN"/>
        </w:rPr>
        <w:t>资金使用合规合法。</w:t>
      </w:r>
    </w:p>
    <w:p w14:paraId="5F3E2C87">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（三）个性指标绩效分析</w:t>
      </w:r>
    </w:p>
    <w:p w14:paraId="4A045068">
      <w:pPr>
        <w:spacing w:line="576" w:lineRule="exact"/>
        <w:ind w:firstLine="640" w:firstLineChars="20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质量指标：</w:t>
      </w:r>
      <w:r>
        <w:rPr>
          <w:rFonts w:hint="eastAsia" w:ascii="仿宋_GB2312" w:hAnsi="仿宋_GB2312" w:eastAsia="仿宋_GB2312" w:cs="仿宋_GB2312"/>
          <w:kern w:val="0"/>
          <w:sz w:val="32"/>
          <w:szCs w:val="32"/>
          <w:lang w:val="zh-CN"/>
        </w:rPr>
        <w:t>提高青少年思想道德素质、身心健康素质</w:t>
      </w:r>
    </w:p>
    <w:p w14:paraId="15AC11AA">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社会效益</w:t>
      </w:r>
      <w:r>
        <w:rPr>
          <w:rFonts w:ascii="仿宋_GB2312" w:hAnsi="仿宋_GB2312" w:eastAsia="仿宋_GB2312" w:cs="仿宋_GB2312"/>
          <w:kern w:val="0"/>
          <w:sz w:val="32"/>
          <w:szCs w:val="32"/>
          <w:lang w:val="zh-CN"/>
        </w:rPr>
        <w:t>指标：</w:t>
      </w:r>
      <w:r>
        <w:rPr>
          <w:rFonts w:hint="eastAsia" w:ascii="仿宋_GB2312" w:hAnsi="仿宋_GB2312" w:eastAsia="仿宋_GB2312" w:cs="仿宋_GB2312"/>
          <w:kern w:val="0"/>
          <w:sz w:val="32"/>
          <w:szCs w:val="32"/>
          <w:lang w:val="zh-CN"/>
        </w:rPr>
        <w:t>通过各种教育活动，促进青少年教育普及少提高方面的效果</w:t>
      </w:r>
    </w:p>
    <w:p w14:paraId="3AD439DF">
      <w:pPr>
        <w:spacing w:line="576" w:lineRule="exact"/>
        <w:ind w:firstLine="640" w:firstLineChars="20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满意度指标：村民满意程度得到提高。</w:t>
      </w:r>
    </w:p>
    <w:p w14:paraId="60612BB3">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四、评价结论</w:t>
      </w:r>
    </w:p>
    <w:p w14:paraId="6B33C783">
      <w:pPr>
        <w:spacing w:line="576" w:lineRule="exact"/>
        <w:ind w:firstLine="640" w:firstLineChars="200"/>
        <w:jc w:val="left"/>
        <w:rPr>
          <w:rFonts w:ascii="仿宋_GB2312" w:hAnsi="微软雅黑" w:eastAsia="仿宋_GB2312" w:cs="仿宋_GB2312"/>
          <w:sz w:val="31"/>
          <w:szCs w:val="31"/>
        </w:rPr>
      </w:pPr>
      <w:r>
        <w:rPr>
          <w:rFonts w:ascii="仿宋_GB2312" w:hAnsi="仿宋_GB2312" w:eastAsia="仿宋_GB2312" w:cs="仿宋_GB2312"/>
          <w:kern w:val="0"/>
          <w:sz w:val="32"/>
          <w:szCs w:val="32"/>
          <w:lang w:val="zh-CN"/>
        </w:rPr>
        <w:t>总体上看，项目目标明确、资金到位率高、组织监管体系完善。我镇</w:t>
      </w:r>
      <w:r>
        <w:rPr>
          <w:rFonts w:hint="eastAsia" w:ascii="仿宋_GB2312" w:hAnsi="微软雅黑" w:eastAsia="仿宋_GB2312" w:cs="仿宋_GB2312"/>
          <w:sz w:val="31"/>
          <w:szCs w:val="31"/>
          <w:lang w:val="zh-CN"/>
        </w:rPr>
        <w:t>关心下一代工作专项</w:t>
      </w:r>
      <w:r>
        <w:rPr>
          <w:rFonts w:ascii="仿宋_GB2312" w:hAnsi="仿宋_GB2312" w:eastAsia="仿宋_GB2312" w:cs="仿宋_GB2312"/>
          <w:kern w:val="0"/>
          <w:sz w:val="32"/>
          <w:szCs w:val="32"/>
          <w:lang w:val="zh-CN"/>
        </w:rPr>
        <w:t>项目资金较好地实现了绩效目标。自评得分100分。</w:t>
      </w:r>
    </w:p>
    <w:p w14:paraId="4154D34F">
      <w:pPr>
        <w:snapToGrid w:val="0"/>
        <w:spacing w:line="576" w:lineRule="exact"/>
        <w:ind w:firstLine="640" w:firstLineChars="200"/>
        <w:jc w:val="left"/>
        <w:rPr>
          <w:rFonts w:ascii="黑体" w:hAnsi="宋体" w:eastAsia="黑体"/>
          <w:sz w:val="32"/>
          <w:szCs w:val="21"/>
        </w:rPr>
      </w:pPr>
      <w:r>
        <w:rPr>
          <w:rFonts w:hint="eastAsia" w:ascii="黑体" w:hAnsi="宋体" w:eastAsia="黑体"/>
          <w:sz w:val="32"/>
          <w:szCs w:val="21"/>
        </w:rPr>
        <w:t>五、存在主要问题</w:t>
      </w:r>
    </w:p>
    <w:p w14:paraId="16570ED4">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项目资金缺乏，不能满足关心下一代工作专项经费项目工作需要。</w:t>
      </w:r>
    </w:p>
    <w:p w14:paraId="55B13303">
      <w:pPr>
        <w:snapToGrid w:val="0"/>
        <w:spacing w:line="576" w:lineRule="exact"/>
        <w:ind w:firstLine="640" w:firstLineChars="200"/>
        <w:jc w:val="left"/>
        <w:rPr>
          <w:rFonts w:ascii="黑体" w:hAnsi="宋体" w:eastAsia="黑体"/>
          <w:sz w:val="32"/>
          <w:szCs w:val="21"/>
        </w:rPr>
      </w:pPr>
      <w:r>
        <w:rPr>
          <w:rFonts w:hint="eastAsia" w:ascii="黑体" w:hAnsi="宋体" w:eastAsia="黑体"/>
          <w:sz w:val="32"/>
          <w:szCs w:val="21"/>
        </w:rPr>
        <w:t>六、相关措施建议</w:t>
      </w:r>
    </w:p>
    <w:p w14:paraId="5BF0D3FD">
      <w:pPr>
        <w:spacing w:line="576" w:lineRule="exact"/>
        <w:ind w:firstLine="620" w:firstLineChars="200"/>
        <w:jc w:val="left"/>
        <w:rPr>
          <w:rFonts w:ascii="仿宋_GB2312" w:hAnsi="仿宋_GB2312" w:eastAsia="仿宋_GB2312" w:cs="仿宋_GB2312"/>
          <w:kern w:val="0"/>
          <w:sz w:val="32"/>
          <w:szCs w:val="32"/>
          <w:lang w:val="zh-CN"/>
        </w:rPr>
      </w:pPr>
      <w:r>
        <w:rPr>
          <w:rFonts w:hint="eastAsia" w:ascii="仿宋_GB2312" w:hAnsi="微软雅黑" w:eastAsia="仿宋_GB2312" w:cs="仿宋_GB2312"/>
          <w:sz w:val="31"/>
          <w:szCs w:val="31"/>
        </w:rPr>
        <w:t>一</w:t>
      </w:r>
      <w:r>
        <w:rPr>
          <w:rFonts w:hint="eastAsia" w:ascii="仿宋_GB2312" w:hAnsi="仿宋_GB2312" w:eastAsia="仿宋_GB2312" w:cs="仿宋_GB2312"/>
          <w:kern w:val="0"/>
          <w:sz w:val="32"/>
          <w:szCs w:val="32"/>
          <w:lang w:val="zh-CN"/>
        </w:rPr>
        <w:t>是政府主导，积极争取上级扶持政策，并落实好地方配套资金；二是建议上级财政或上级相关部门提供资金支持，帮助解决关心下一代工作专项经费资金短缺问题。</w:t>
      </w:r>
    </w:p>
    <w:p w14:paraId="014E5EBD">
      <w:pPr>
        <w:spacing w:line="576" w:lineRule="exact"/>
        <w:ind w:firstLine="640" w:firstLineChars="200"/>
        <w:jc w:val="left"/>
        <w:rPr>
          <w:rFonts w:ascii="仿宋_GB2312" w:hAnsi="仿宋_GB2312" w:eastAsia="仿宋_GB2312" w:cs="仿宋_GB2312"/>
          <w:kern w:val="0"/>
          <w:sz w:val="32"/>
          <w:szCs w:val="32"/>
        </w:rPr>
      </w:pPr>
    </w:p>
    <w:p w14:paraId="26D2DD7D">
      <w:pPr>
        <w:spacing w:line="576" w:lineRule="exact"/>
        <w:ind w:firstLine="640" w:firstLineChars="200"/>
        <w:jc w:val="left"/>
        <w:rPr>
          <w:rFonts w:ascii="仿宋_GB2312" w:hAnsi="仿宋_GB2312" w:eastAsia="仿宋_GB2312" w:cs="仿宋_GB2312"/>
          <w:kern w:val="0"/>
          <w:sz w:val="32"/>
          <w:szCs w:val="32"/>
        </w:rPr>
      </w:pPr>
    </w:p>
    <w:p w14:paraId="2B14F0E5">
      <w:pPr>
        <w:pStyle w:val="3"/>
        <w:spacing w:line="576" w:lineRule="exact"/>
        <w:ind w:left="420" w:firstLine="880"/>
        <w:jc w:val="left"/>
        <w:rPr>
          <w:rFonts w:ascii="方正小标宋简体" w:hAnsi="宋体" w:eastAsia="方正小标宋简体"/>
          <w:color w:val="000000"/>
          <w:kern w:val="0"/>
          <w:sz w:val="44"/>
          <w:szCs w:val="44"/>
        </w:rPr>
      </w:pPr>
    </w:p>
    <w:p w14:paraId="10149A0A">
      <w:pPr>
        <w:pStyle w:val="3"/>
        <w:spacing w:line="576" w:lineRule="exact"/>
        <w:ind w:left="420" w:firstLine="880"/>
        <w:jc w:val="left"/>
        <w:rPr>
          <w:rFonts w:ascii="方正小标宋简体" w:hAnsi="宋体" w:eastAsia="方正小标宋简体"/>
          <w:color w:val="000000"/>
          <w:kern w:val="0"/>
          <w:sz w:val="44"/>
          <w:szCs w:val="44"/>
        </w:rPr>
      </w:pPr>
    </w:p>
    <w:p w14:paraId="2262C977">
      <w:pPr>
        <w:pStyle w:val="3"/>
        <w:spacing w:line="576" w:lineRule="exact"/>
        <w:ind w:left="420" w:firstLine="880"/>
        <w:jc w:val="left"/>
        <w:rPr>
          <w:rFonts w:ascii="方正小标宋简体" w:hAnsi="宋体" w:eastAsia="方正小标宋简体"/>
          <w:color w:val="000000"/>
          <w:kern w:val="0"/>
          <w:sz w:val="44"/>
          <w:szCs w:val="44"/>
        </w:rPr>
      </w:pPr>
    </w:p>
    <w:p w14:paraId="30CFC8DC">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75FEB232">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lang w:val="zh-CN"/>
        </w:rPr>
        <w:t>（乡镇便民服务大厅维护及农村“三资”集体管理项目）</w:t>
      </w:r>
    </w:p>
    <w:p w14:paraId="3263F2FD">
      <w:pPr>
        <w:spacing w:line="576" w:lineRule="exact"/>
        <w:ind w:firstLine="643" w:firstLineChars="200"/>
        <w:jc w:val="center"/>
        <w:rPr>
          <w:rFonts w:ascii="楷体_GB2312" w:hAnsi="宋体" w:eastAsia="楷体_GB2312"/>
          <w:b/>
          <w:sz w:val="32"/>
          <w:szCs w:val="32"/>
          <w:lang w:val="zh-CN"/>
        </w:rPr>
      </w:pPr>
    </w:p>
    <w:p w14:paraId="6D564ABF">
      <w:pPr>
        <w:adjustRightInd w:val="0"/>
        <w:snapToGrid w:val="0"/>
        <w:spacing w:line="576" w:lineRule="exact"/>
        <w:ind w:firstLine="640" w:firstLineChars="200"/>
        <w:jc w:val="left"/>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4CAC1C2C">
      <w:pPr>
        <w:snapToGrid w:val="0"/>
        <w:spacing w:line="576" w:lineRule="exact"/>
        <w:ind w:left="420" w:leftChars="200" w:firstLine="321" w:firstLineChars="100"/>
        <w:jc w:val="left"/>
        <w:rPr>
          <w:rFonts w:ascii="楷体_GB2312" w:hAnsi="宋体" w:eastAsia="楷体_GB2312"/>
          <w:b/>
          <w:sz w:val="32"/>
          <w:szCs w:val="21"/>
        </w:rPr>
      </w:pPr>
      <w:r>
        <w:rPr>
          <w:rFonts w:hint="eastAsia" w:ascii="楷体_GB2312" w:hAnsi="宋体" w:eastAsia="楷体_GB2312"/>
          <w:b/>
          <w:sz w:val="32"/>
          <w:szCs w:val="32"/>
          <w:lang w:val="zh-CN"/>
        </w:rPr>
        <w:t>（一）设立背景及基本情况</w:t>
      </w:r>
    </w:p>
    <w:p w14:paraId="71C449CC">
      <w:pPr>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随着城镇化进程的加快，乡镇人口不断聚集，群众对基本公共服务的需求日益增长。传统的政府机构服务方式已难以满足这种需求，因此，建设乡镇便民服务大厅成为提升服务效率和质量的重要举措。</w:t>
      </w:r>
    </w:p>
    <w:p w14:paraId="3747A5C5">
      <w:pPr>
        <w:adjustRightInd w:val="0"/>
        <w:snapToGrid w:val="0"/>
        <w:spacing w:line="576" w:lineRule="exact"/>
        <w:ind w:firstLine="720"/>
        <w:jc w:val="left"/>
        <w:rPr>
          <w:rFonts w:ascii="楷体_GB2312" w:hAnsi="宋体" w:eastAsia="楷体_GB2312"/>
          <w:b/>
          <w:sz w:val="32"/>
          <w:szCs w:val="32"/>
        </w:rPr>
      </w:pPr>
      <w:r>
        <w:rPr>
          <w:rFonts w:hint="eastAsia" w:ascii="楷体_GB2312" w:hAnsi="宋体" w:eastAsia="楷体_GB2312"/>
          <w:b/>
          <w:sz w:val="32"/>
          <w:szCs w:val="32"/>
          <w:lang w:val="zh-CN"/>
        </w:rPr>
        <w:t>（二）</w:t>
      </w:r>
      <w:r>
        <w:rPr>
          <w:rFonts w:ascii="楷体_GB2312" w:hAnsi="宋体" w:eastAsia="楷体_GB2312"/>
          <w:b/>
          <w:sz w:val="32"/>
          <w:szCs w:val="32"/>
        </w:rPr>
        <w:t>实施目的及支持方向</w:t>
      </w:r>
    </w:p>
    <w:p w14:paraId="4EE49B2B">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保障服务大厅的正常运转：维护费的主要目的是确保乡镇便民服务大厅的各项设施、设备处于良好状态，能够持续为群众提供高效、便捷的政务服务。</w:t>
      </w:r>
    </w:p>
    <w:p w14:paraId="00692A8C">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提升服务质量与效率：通过定期维护和更新设备，提高服务大厅的信息化、智能化水平，从而提升服务质量和办事效率，满足群众日益增长的服务需求。</w:t>
      </w:r>
    </w:p>
    <w:p w14:paraId="2C148EF0">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优化营商环境：良好的服务大厅环境是吸引投资、促进地方经济发展的重要因素。维护费的投入有助于打造更加规范、透明的政务服务平台，优化营商环境。</w:t>
      </w:r>
    </w:p>
    <w:p w14:paraId="7EC23FB9">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支持方向：</w:t>
      </w:r>
    </w:p>
    <w:p w14:paraId="7B51410B">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设施维护与更新：包括大厅内各种硬件设备（如计算机、打印机、自助查询机等）的维修与更新，以及办公桌椅、照明设备等基础设施的保养。</w:t>
      </w:r>
    </w:p>
    <w:p w14:paraId="060E01BF">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信息化建设：支持服务大厅的信息化建设，如升级电子政务系统、引入智能导办系统、开发移动APP等，提升服务的智能化水平。</w:t>
      </w:r>
    </w:p>
    <w:p w14:paraId="5F980353">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人员培训与激励：为大厅工作人员提供必要的业务培训，提升其业务能力和服务水平；同时，通过合理的激励机制，激发工作人员的积极性和创造力。</w:t>
      </w:r>
    </w:p>
    <w:p w14:paraId="0E057CD3">
      <w:pPr>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（三）</w:t>
      </w:r>
      <w:r>
        <w:rPr>
          <w:rFonts w:ascii="楷体_GB2312" w:hAnsi="宋体" w:eastAsia="楷体_GB2312"/>
          <w:b/>
          <w:sz w:val="32"/>
          <w:szCs w:val="32"/>
        </w:rPr>
        <w:t>预算安排及分配管理</w:t>
      </w:r>
    </w:p>
    <w:p w14:paraId="1B6861AD">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乡镇便民服务大厅维护及农村“三资”集体管理2023年初预算1.00万元，预算批复1.00万元。印刷办事简介流程费、新增办事服务窗口购置办公设备等费用。</w:t>
      </w:r>
    </w:p>
    <w:p w14:paraId="045323BD">
      <w:pPr>
        <w:spacing w:line="576" w:lineRule="exact"/>
        <w:ind w:left="630"/>
        <w:jc w:val="left"/>
        <w:rPr>
          <w:rFonts w:ascii="楷体_GB2312" w:hAnsi="宋体" w:eastAsia="楷体_GB2312"/>
          <w:b/>
          <w:sz w:val="32"/>
          <w:szCs w:val="32"/>
          <w:lang w:val="zh-CN"/>
        </w:rPr>
      </w:pPr>
      <w:r>
        <w:rPr>
          <w:rFonts w:hint="eastAsia" w:ascii="楷体_GB2312" w:hAnsi="宋体" w:eastAsia="楷体_GB2312"/>
          <w:b/>
          <w:sz w:val="32"/>
          <w:szCs w:val="32"/>
        </w:rPr>
        <w:t>（四）</w:t>
      </w:r>
      <w:r>
        <w:rPr>
          <w:rFonts w:hint="eastAsia" w:ascii="楷体_GB2312" w:hAnsi="宋体" w:eastAsia="楷体_GB2312"/>
          <w:b/>
          <w:sz w:val="32"/>
          <w:szCs w:val="32"/>
          <w:lang w:val="zh-CN"/>
        </w:rPr>
        <w:t>项目绩效目标设置</w:t>
      </w:r>
    </w:p>
    <w:p w14:paraId="030E4354">
      <w:pPr>
        <w:spacing w:line="576" w:lineRule="exact"/>
        <w:ind w:firstLine="640" w:firstLineChars="200"/>
        <w:jc w:val="left"/>
        <w:rPr>
          <w:rFonts w:ascii="仿宋_GB2312" w:hAnsi="仿宋_GB2312" w:eastAsia="仿宋_GB2312" w:cs="仿宋_GB2312"/>
          <w:sz w:val="32"/>
          <w:lang w:val="zh-CN"/>
        </w:rPr>
      </w:pPr>
      <w:r>
        <w:rPr>
          <w:rFonts w:hint="eastAsia" w:ascii="仿宋_GB2312" w:hAnsi="仿宋_GB2312" w:eastAsia="仿宋_GB2312" w:cs="仿宋_GB2312"/>
          <w:sz w:val="32"/>
        </w:rPr>
        <w:t>开展便民服务大厅维护及农村“三资”集体管理，公开办事流程，简化办事程序，提高便民大厅服务功能。定期对村三资进行公示公开，实行阳光操作。</w:t>
      </w:r>
    </w:p>
    <w:p w14:paraId="204E2A7E">
      <w:pPr>
        <w:adjustRightInd w:val="0"/>
        <w:snapToGrid w:val="0"/>
        <w:spacing w:line="576" w:lineRule="exact"/>
        <w:ind w:firstLine="640" w:firstLineChars="200"/>
        <w:jc w:val="left"/>
        <w:rPr>
          <w:rFonts w:ascii="黑体" w:hAnsi="宋体" w:eastAsia="黑体"/>
          <w:sz w:val="32"/>
          <w:szCs w:val="32"/>
        </w:rPr>
      </w:pPr>
      <w:r>
        <w:rPr>
          <w:rFonts w:hint="eastAsia" w:ascii="黑体" w:hAnsi="宋体" w:eastAsia="黑体"/>
          <w:sz w:val="32"/>
          <w:szCs w:val="32"/>
        </w:rPr>
        <w:t>二、评价实施</w:t>
      </w:r>
    </w:p>
    <w:p w14:paraId="6C7C7E3C">
      <w:pPr>
        <w:adjustRightInd w:val="0"/>
        <w:snapToGrid w:val="0"/>
        <w:spacing w:line="576" w:lineRule="exact"/>
        <w:ind w:firstLine="720"/>
        <w:jc w:val="left"/>
        <w:rPr>
          <w:rFonts w:ascii="仿宋_GB2312" w:hAnsi="微软雅黑" w:eastAsia="仿宋_GB2312" w:cs="仿宋_GB2312"/>
          <w:sz w:val="31"/>
          <w:szCs w:val="31"/>
          <w:lang w:val="zh-CN"/>
        </w:rPr>
      </w:pPr>
      <w:r>
        <w:rPr>
          <w:rFonts w:hint="eastAsia" w:ascii="楷体_GB2312" w:hAnsi="宋体" w:eastAsia="楷体_GB2312"/>
          <w:b/>
          <w:sz w:val="32"/>
          <w:szCs w:val="32"/>
          <w:lang w:val="zh-CN"/>
        </w:rPr>
        <w:t>（一）评价目的</w:t>
      </w:r>
    </w:p>
    <w:p w14:paraId="7E7E0F34">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乡镇便民服务大厅维护费及农村三资集体管理经费目的和范围，包括乡镇便民服务大厅维护费的使用效果以及农村三资管理经费的管理绩效。</w:t>
      </w:r>
    </w:p>
    <w:p w14:paraId="16A53497">
      <w:pPr>
        <w:adjustRightInd w:val="0"/>
        <w:snapToGrid w:val="0"/>
        <w:spacing w:line="576" w:lineRule="exact"/>
        <w:ind w:left="420" w:leftChars="200"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（二）预设问题及评价重点</w:t>
      </w:r>
    </w:p>
    <w:p w14:paraId="272AC577">
      <w:pPr>
        <w:spacing w:line="576" w:lineRule="exact"/>
        <w:ind w:firstLine="640" w:firstLineChars="200"/>
        <w:jc w:val="left"/>
        <w:rPr>
          <w:rFonts w:ascii="仿宋_GB2312" w:hAnsi="仿宋_GB2312" w:eastAsia="仿宋_GB2312" w:cs="仿宋_GB2312"/>
          <w:sz w:val="32"/>
        </w:rPr>
      </w:pPr>
      <w:r>
        <w:rPr>
          <w:rFonts w:hint="eastAsia" w:ascii="仿宋_GB2312" w:hAnsi="仿宋_GB2312" w:eastAsia="仿宋_GB2312" w:cs="仿宋_GB2312"/>
          <w:sz w:val="32"/>
        </w:rPr>
        <w:t>乡镇便民服务大厅维护费及农村三资集体管理经费自评按照绩效评价指标体系，对资金支出使用全过程及其实施效果进行综合评价和判断。</w:t>
      </w:r>
    </w:p>
    <w:p w14:paraId="4007C1D1">
      <w:pPr>
        <w:adjustRightInd w:val="0"/>
        <w:snapToGrid w:val="0"/>
        <w:spacing w:line="576" w:lineRule="exact"/>
        <w:ind w:left="420" w:leftChars="200"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（三）评价选点</w:t>
      </w:r>
    </w:p>
    <w:p w14:paraId="5D697176">
      <w:pPr>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乡镇便民服务大厅维护费及农村三资集体管理经费的评价选点，应综合考虑资金使用情况、维护效果/管理效果、管理规范性、经济效益与社会效益以及监督与问责等多个方面。通过全面、客观的评价，可以及时发现问题、总结经验、完善制度，推动乡镇便民服务大厅和农村三资集体管理工作的健康发展。</w:t>
      </w:r>
    </w:p>
    <w:p w14:paraId="64BCFD9B">
      <w:pPr>
        <w:spacing w:line="576" w:lineRule="exact"/>
        <w:ind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（四）评价方法</w:t>
      </w:r>
    </w:p>
    <w:p w14:paraId="174D5D97">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对乡镇便民服务大厅维护费及农村三资集体管理经费的评价方法应综合考虑预算编制与执行、资金使用的合理性、维护效果或管理效果、财务管理规范性、经济效益与社会效益以及信息公开与监督等多个方面。通过科学、客观的评价方法，可以及时发现问题、总结经验、完善制度，推动乡镇便民服务大厅和农村三资集体管理工作的健康发展。</w:t>
      </w:r>
    </w:p>
    <w:p w14:paraId="448057A9">
      <w:pPr>
        <w:adjustRightInd w:val="0"/>
        <w:snapToGrid w:val="0"/>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（五）评价组织</w:t>
      </w:r>
    </w:p>
    <w:p w14:paraId="39BE9DBE">
      <w:pPr>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对乡镇便民服务大厅维护费及农村三资集体管理经费评价组织可以全面、客观地评估便民服务大厅维护费用的使用效率和效果，为提升服务和管理水平提供有力支持。</w:t>
      </w:r>
    </w:p>
    <w:p w14:paraId="34A1EB6B">
      <w:pPr>
        <w:adjustRightInd w:val="0"/>
        <w:snapToGrid w:val="0"/>
        <w:spacing w:line="576" w:lineRule="exact"/>
        <w:ind w:firstLine="640" w:firstLineChars="200"/>
        <w:jc w:val="left"/>
        <w:rPr>
          <w:rFonts w:ascii="仿宋_GB2312" w:hAnsi="宋体"/>
          <w:sz w:val="32"/>
          <w:szCs w:val="32"/>
          <w:lang w:val="zh-CN"/>
        </w:rPr>
      </w:pPr>
      <w:r>
        <w:rPr>
          <w:rFonts w:hint="eastAsia" w:ascii="黑体" w:hAnsi="宋体" w:eastAsia="黑体"/>
          <w:sz w:val="32"/>
          <w:szCs w:val="32"/>
        </w:rPr>
        <w:t>三、绩效分析</w:t>
      </w:r>
      <w:r>
        <w:rPr>
          <w:rFonts w:hint="eastAsia" w:ascii="仿宋_GB2312" w:hAnsi="宋体"/>
          <w:sz w:val="32"/>
          <w:szCs w:val="32"/>
          <w:lang w:val="zh-CN"/>
        </w:rPr>
        <w:tab/>
      </w:r>
    </w:p>
    <w:p w14:paraId="48FFF6DD">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（一）通用指标绩效分析</w:t>
      </w:r>
    </w:p>
    <w:p w14:paraId="6FBDB47E">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1.项目决策</w:t>
      </w:r>
      <w:r>
        <w:rPr>
          <w:rFonts w:hint="eastAsia" w:ascii="仿宋_GB2312" w:hAnsi="仿宋_GB2312" w:eastAsia="仿宋_GB2312" w:cs="仿宋_GB2312"/>
          <w:kern w:val="0"/>
          <w:sz w:val="32"/>
          <w:szCs w:val="32"/>
          <w:lang w:val="zh-CN"/>
        </w:rPr>
        <w:t>：</w:t>
      </w:r>
      <w:r>
        <w:rPr>
          <w:rFonts w:hint="eastAsia" w:ascii="仿宋_GB2312" w:hAnsi="仿宋_GB2312" w:eastAsia="仿宋_GB2312" w:cs="仿宋_GB2312"/>
          <w:sz w:val="32"/>
          <w:lang w:val="zh-CN"/>
        </w:rPr>
        <w:t>对乡镇便民服务大厅维护费及农村三资集体管理经费</w:t>
      </w:r>
      <w:r>
        <w:rPr>
          <w:rFonts w:ascii="仿宋_GB2312" w:hAnsi="仿宋_GB2312" w:eastAsia="仿宋_GB2312" w:cs="仿宋_GB2312"/>
          <w:kern w:val="0"/>
          <w:sz w:val="32"/>
          <w:szCs w:val="32"/>
          <w:lang w:val="zh-CN"/>
        </w:rPr>
        <w:t>项目为延续性项目，已在年初进行项目绩效目标申报，项目规划合理，年度绩效目标与中长期规划一致。资金管理办法健全完善。</w:t>
      </w:r>
    </w:p>
    <w:p w14:paraId="4BC83722">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2.项目管理</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为使项目如期完成，结合常理镇实际情况，</w:t>
      </w:r>
      <w:r>
        <w:rPr>
          <w:rFonts w:hint="eastAsia" w:ascii="仿宋_GB2312" w:hAnsi="仿宋_GB2312" w:eastAsia="仿宋_GB2312" w:cs="仿宋_GB2312"/>
          <w:kern w:val="0"/>
          <w:sz w:val="32"/>
          <w:szCs w:val="32"/>
          <w:lang w:val="zh-CN"/>
        </w:rPr>
        <w:t>乡镇便民服务大厅维护费及农村三资集体管理经费</w:t>
      </w:r>
      <w:r>
        <w:rPr>
          <w:rFonts w:ascii="仿宋_GB2312" w:hAnsi="仿宋_GB2312" w:eastAsia="仿宋_GB2312" w:cs="仿宋_GB2312"/>
          <w:kern w:val="0"/>
          <w:sz w:val="32"/>
          <w:szCs w:val="32"/>
          <w:lang w:val="zh-CN"/>
        </w:rPr>
        <w:t>项目按照镇党委工作分工，将所有项目分解到相关党政班子成员，由分管领导具体负责项目实施。在项目资金发放工作中，建立了符合财务会计制度的</w:t>
      </w:r>
      <w:r>
        <w:rPr>
          <w:rFonts w:hint="eastAsia" w:ascii="仿宋_GB2312" w:hAnsi="仿宋_GB2312" w:eastAsia="仿宋_GB2312" w:cs="仿宋_GB2312"/>
          <w:kern w:val="0"/>
          <w:sz w:val="32"/>
          <w:szCs w:val="32"/>
          <w:lang w:val="zh-CN"/>
        </w:rPr>
        <w:t>对乡镇便民服务大厅维护费及农村三资集体管理经费</w:t>
      </w:r>
      <w:r>
        <w:rPr>
          <w:rFonts w:ascii="仿宋_GB2312" w:hAnsi="仿宋_GB2312" w:eastAsia="仿宋_GB2312" w:cs="仿宋_GB2312"/>
          <w:kern w:val="0"/>
          <w:sz w:val="32"/>
          <w:szCs w:val="32"/>
          <w:lang w:val="zh-CN"/>
        </w:rPr>
        <w:t>项目资金管理制度，专项管理、拨付规范、发放及时。</w:t>
      </w:r>
    </w:p>
    <w:p w14:paraId="7FB6671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3.项目实施</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常理镇成立了以镇党委书记为组长，班子成员和部门负责人及</w:t>
      </w:r>
      <w:r>
        <w:rPr>
          <w:rFonts w:hint="eastAsia" w:ascii="仿宋_GB2312" w:hAnsi="仿宋_GB2312" w:eastAsia="仿宋_GB2312" w:cs="仿宋_GB2312"/>
          <w:kern w:val="0"/>
          <w:sz w:val="32"/>
          <w:szCs w:val="32"/>
          <w:lang w:val="zh-CN"/>
        </w:rPr>
        <w:t>镇</w:t>
      </w:r>
      <w:r>
        <w:rPr>
          <w:rFonts w:ascii="仿宋_GB2312" w:hAnsi="仿宋_GB2312" w:eastAsia="仿宋_GB2312" w:cs="仿宋_GB2312"/>
          <w:kern w:val="0"/>
          <w:sz w:val="32"/>
          <w:szCs w:val="32"/>
          <w:lang w:val="zh-CN"/>
        </w:rPr>
        <w:t>村主职干部为成员的</w:t>
      </w:r>
      <w:r>
        <w:rPr>
          <w:rFonts w:hint="eastAsia" w:ascii="仿宋_GB2312" w:hAnsi="仿宋_GB2312" w:eastAsia="仿宋_GB2312" w:cs="仿宋_GB2312"/>
          <w:kern w:val="0"/>
          <w:sz w:val="32"/>
          <w:szCs w:val="32"/>
          <w:lang w:val="zh-CN"/>
        </w:rPr>
        <w:t>乡镇便民服务大厅维护费及农村三资集体管理经费</w:t>
      </w:r>
      <w:r>
        <w:rPr>
          <w:rFonts w:ascii="仿宋_GB2312" w:hAnsi="仿宋_GB2312" w:eastAsia="仿宋_GB2312" w:cs="仿宋_GB2312"/>
          <w:kern w:val="0"/>
          <w:sz w:val="32"/>
          <w:szCs w:val="32"/>
          <w:lang w:val="zh-CN"/>
        </w:rPr>
        <w:t>项目行动领导小组，统筹推进各项</w:t>
      </w:r>
      <w:r>
        <w:rPr>
          <w:rFonts w:hint="eastAsia" w:ascii="仿宋_GB2312" w:hAnsi="仿宋_GB2312" w:eastAsia="仿宋_GB2312" w:cs="仿宋_GB2312"/>
          <w:kern w:val="0"/>
          <w:sz w:val="32"/>
          <w:szCs w:val="32"/>
          <w:lang w:val="zh-CN"/>
        </w:rPr>
        <w:t>关心下一代工作</w:t>
      </w:r>
      <w:r>
        <w:rPr>
          <w:rFonts w:ascii="仿宋_GB2312" w:hAnsi="仿宋_GB2312" w:eastAsia="仿宋_GB2312" w:cs="仿宋_GB2312"/>
          <w:kern w:val="0"/>
          <w:sz w:val="32"/>
          <w:szCs w:val="32"/>
          <w:lang w:val="zh-CN"/>
        </w:rPr>
        <w:t>项目。</w:t>
      </w:r>
    </w:p>
    <w:p w14:paraId="28A005D9">
      <w:pPr>
        <w:keepNext w:val="0"/>
        <w:keepLines w:val="0"/>
        <w:pageBreakBefore w:val="0"/>
        <w:widowControl w:val="0"/>
        <w:kinsoku/>
        <w:wordWrap/>
        <w:overflowPunct/>
        <w:topLinePunct w:val="0"/>
        <w:autoSpaceDE/>
        <w:autoSpaceDN/>
        <w:bidi w:val="0"/>
        <w:adjustRightInd/>
        <w:snapToGrid/>
        <w:spacing w:line="576" w:lineRule="exact"/>
        <w:ind w:firstLine="640" w:firstLineChars="200"/>
        <w:jc w:val="left"/>
        <w:textAlignment w:val="auto"/>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4.项目结果</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项目目标明确、资金到位率高、组织监管体系完善。我镇</w:t>
      </w:r>
      <w:r>
        <w:rPr>
          <w:rFonts w:hint="eastAsia" w:ascii="仿宋_GB2312" w:hAnsi="仿宋_GB2312" w:eastAsia="仿宋_GB2312" w:cs="仿宋_GB2312"/>
          <w:sz w:val="32"/>
          <w:lang w:val="zh-CN"/>
        </w:rPr>
        <w:t>乡镇便民服务大厅维护费及农村三资集体管理经费</w:t>
      </w:r>
      <w:r>
        <w:rPr>
          <w:rFonts w:ascii="仿宋_GB2312" w:hAnsi="仿宋_GB2312" w:eastAsia="仿宋_GB2312" w:cs="仿宋_GB2312"/>
          <w:kern w:val="0"/>
          <w:sz w:val="32"/>
          <w:szCs w:val="32"/>
          <w:lang w:val="zh-CN"/>
        </w:rPr>
        <w:t>项目资金较好地实现了绩效目标。自评得分100分。</w:t>
      </w:r>
    </w:p>
    <w:p w14:paraId="2527464F">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（二）专用指标绩效分析</w:t>
      </w:r>
    </w:p>
    <w:p w14:paraId="47D13D84">
      <w:pPr>
        <w:spacing w:line="576" w:lineRule="exact"/>
        <w:ind w:firstLine="640" w:firstLineChars="20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行政运转。根据对</w:t>
      </w:r>
      <w:r>
        <w:rPr>
          <w:rFonts w:hint="eastAsia" w:ascii="仿宋_GB2312" w:hAnsi="仿宋_GB2312" w:eastAsia="仿宋_GB2312" w:cs="仿宋_GB2312"/>
          <w:sz w:val="32"/>
          <w:lang w:val="zh-CN"/>
        </w:rPr>
        <w:t>乡镇便民服务大厅维护费及农村三资集体管理经费</w:t>
      </w:r>
      <w:r>
        <w:rPr>
          <w:rFonts w:ascii="仿宋_GB2312" w:hAnsi="仿宋_GB2312" w:eastAsia="仿宋_GB2312" w:cs="仿宋_GB2312"/>
          <w:kern w:val="0"/>
          <w:sz w:val="32"/>
          <w:szCs w:val="32"/>
          <w:lang w:val="zh-CN"/>
        </w:rPr>
        <w:t>进行项目绩效目标进行自评，对该项目专项资金进行绩效分析，该项目资金使用合规合法。</w:t>
      </w:r>
    </w:p>
    <w:p w14:paraId="0E51ECFB">
      <w:pPr>
        <w:spacing w:line="576" w:lineRule="exact"/>
        <w:ind w:firstLine="640"/>
        <w:jc w:val="left"/>
        <w:rPr>
          <w:rFonts w:ascii="仿宋_GB2312" w:hAnsi="仿宋_GB2312" w:eastAsia="仿宋_GB2312" w:cs="仿宋_GB2312"/>
          <w:b/>
          <w:bCs/>
          <w:kern w:val="0"/>
          <w:sz w:val="32"/>
          <w:szCs w:val="32"/>
          <w:lang w:val="zh-CN"/>
        </w:rPr>
      </w:pPr>
      <w:r>
        <w:rPr>
          <w:rFonts w:ascii="仿宋_GB2312" w:hAnsi="仿宋_GB2312" w:eastAsia="仿宋_GB2312" w:cs="仿宋_GB2312"/>
          <w:b/>
          <w:bCs/>
          <w:kern w:val="0"/>
          <w:sz w:val="32"/>
          <w:szCs w:val="32"/>
          <w:lang w:val="zh-CN"/>
        </w:rPr>
        <w:t>（三）个性指标绩效分析</w:t>
      </w:r>
    </w:p>
    <w:p w14:paraId="049327D8">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时效指标：2023年1月-2023年12月。</w:t>
      </w:r>
    </w:p>
    <w:p w14:paraId="0869B22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成本指标：2023年</w:t>
      </w:r>
      <w:r>
        <w:rPr>
          <w:rFonts w:hint="eastAsia" w:ascii="仿宋_GB2312" w:hAnsi="微软雅黑" w:eastAsia="仿宋_GB2312" w:cs="仿宋_GB2312"/>
          <w:color w:val="000000"/>
          <w:sz w:val="31"/>
          <w:szCs w:val="31"/>
        </w:rPr>
        <w:t>乡镇便民服务大厅维护及农村“三资”集体管理</w:t>
      </w:r>
      <w:r>
        <w:rPr>
          <w:rFonts w:hint="eastAsia" w:ascii="仿宋_GB2312" w:hAnsi="微软雅黑" w:eastAsia="仿宋_GB2312" w:cs="仿宋_GB2312"/>
          <w:sz w:val="31"/>
          <w:szCs w:val="31"/>
        </w:rPr>
        <w:t>1万元。</w:t>
      </w:r>
    </w:p>
    <w:p w14:paraId="6E79170D">
      <w:pPr>
        <w:adjustRightInd w:val="0"/>
        <w:snapToGrid w:val="0"/>
        <w:spacing w:line="576" w:lineRule="exact"/>
        <w:ind w:firstLine="720"/>
        <w:jc w:val="left"/>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rPr>
        <w:t>经济效益指标：节省群众等待办事时间，服务效率</w:t>
      </w:r>
      <w:r>
        <w:rPr>
          <w:rFonts w:hint="eastAsia" w:ascii="仿宋_GB2312" w:hAnsi="微软雅黑" w:eastAsia="仿宋_GB2312" w:cs="仿宋_GB2312"/>
          <w:sz w:val="31"/>
          <w:szCs w:val="31"/>
          <w:lang w:eastAsia="zh-CN"/>
        </w:rPr>
        <w:t>。</w:t>
      </w:r>
    </w:p>
    <w:p w14:paraId="6D1F3FA2">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质量指标：资金支付准确率达到100%。</w:t>
      </w:r>
    </w:p>
    <w:p w14:paraId="00743B5D">
      <w:pPr>
        <w:snapToGrid w:val="0"/>
        <w:spacing w:line="576" w:lineRule="exact"/>
        <w:ind w:firstLine="640" w:firstLineChars="200"/>
        <w:jc w:val="left"/>
        <w:rPr>
          <w:rFonts w:ascii="黑体" w:hAnsi="宋体" w:eastAsia="黑体"/>
          <w:sz w:val="32"/>
          <w:szCs w:val="21"/>
          <w:lang w:val="zh-CN"/>
        </w:rPr>
      </w:pPr>
      <w:r>
        <w:rPr>
          <w:rFonts w:hint="eastAsia" w:ascii="黑体" w:hAnsi="宋体" w:eastAsia="黑体"/>
          <w:sz w:val="32"/>
          <w:szCs w:val="21"/>
        </w:rPr>
        <w:t>四、评价结论</w:t>
      </w:r>
    </w:p>
    <w:p w14:paraId="481B25F2">
      <w:pPr>
        <w:spacing w:line="576" w:lineRule="exact"/>
        <w:ind w:firstLine="640" w:firstLineChars="200"/>
        <w:jc w:val="left"/>
        <w:rPr>
          <w:rFonts w:ascii="仿宋_GB2312" w:hAnsi="微软雅黑" w:eastAsia="仿宋_GB2312" w:cs="仿宋_GB2312"/>
          <w:sz w:val="31"/>
          <w:szCs w:val="31"/>
        </w:rPr>
      </w:pPr>
      <w:r>
        <w:rPr>
          <w:rFonts w:hint="eastAsia" w:ascii="仿宋_GB2312" w:hAnsi="仿宋_GB2312" w:eastAsia="仿宋_GB2312" w:cs="仿宋_GB2312"/>
          <w:kern w:val="0"/>
          <w:sz w:val="32"/>
          <w:szCs w:val="32"/>
          <w:lang w:val="zh-CN"/>
        </w:rPr>
        <w:t>总体上看，项目目标明确、资金到位率高、组织监管体系完善。我镇乡镇便民服务大厅维护及农村“三资”集体管理等项目资金较好地实现了绩效目标。自评得分100分。</w:t>
      </w:r>
    </w:p>
    <w:p w14:paraId="2A65CD42">
      <w:pPr>
        <w:snapToGrid w:val="0"/>
        <w:spacing w:line="576" w:lineRule="exact"/>
        <w:ind w:firstLine="640" w:firstLineChars="200"/>
        <w:jc w:val="left"/>
        <w:rPr>
          <w:rFonts w:ascii="黑体" w:hAnsi="宋体" w:eastAsia="黑体"/>
          <w:sz w:val="32"/>
          <w:szCs w:val="21"/>
        </w:rPr>
      </w:pPr>
      <w:r>
        <w:rPr>
          <w:rFonts w:hint="eastAsia" w:ascii="黑体" w:hAnsi="宋体" w:eastAsia="黑体"/>
          <w:sz w:val="32"/>
          <w:szCs w:val="21"/>
        </w:rPr>
        <w:t>五、存在主要问题</w:t>
      </w:r>
    </w:p>
    <w:p w14:paraId="3380B151">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乡镇便民服务大厅维护及农村“三资”集体管理工作经费不足，不能满足实际工作需要。</w:t>
      </w:r>
    </w:p>
    <w:p w14:paraId="4D78E358">
      <w:pPr>
        <w:snapToGrid w:val="0"/>
        <w:spacing w:line="576" w:lineRule="exact"/>
        <w:ind w:firstLine="640" w:firstLineChars="200"/>
        <w:jc w:val="left"/>
        <w:rPr>
          <w:rFonts w:ascii="黑体" w:hAnsi="宋体" w:eastAsia="黑体"/>
          <w:sz w:val="32"/>
          <w:szCs w:val="21"/>
        </w:rPr>
      </w:pPr>
      <w:r>
        <w:rPr>
          <w:rFonts w:hint="eastAsia" w:ascii="黑体" w:hAnsi="宋体" w:eastAsia="黑体"/>
          <w:sz w:val="32"/>
          <w:szCs w:val="21"/>
        </w:rPr>
        <w:t>六、相关措施建议</w:t>
      </w:r>
    </w:p>
    <w:p w14:paraId="329AE3E8">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一是加强资金统筹管理，完善多部门联动机制；二是建议增加乡镇便民服务大厅维护及农村“三资”集体管理工作资金投入，保障工作开展。</w:t>
      </w:r>
    </w:p>
    <w:p w14:paraId="3C3716FE">
      <w:pPr>
        <w:pStyle w:val="3"/>
        <w:spacing w:line="576" w:lineRule="exact"/>
        <w:ind w:left="0" w:leftChars="0" w:firstLine="0" w:firstLineChars="0"/>
        <w:jc w:val="left"/>
        <w:rPr>
          <w:rFonts w:ascii="方正小标宋简体" w:hAnsi="宋体" w:eastAsia="方正小标宋简体"/>
          <w:color w:val="000000"/>
          <w:kern w:val="0"/>
          <w:sz w:val="44"/>
          <w:szCs w:val="44"/>
        </w:rPr>
      </w:pPr>
    </w:p>
    <w:p w14:paraId="469CDC9D">
      <w:pPr>
        <w:pStyle w:val="3"/>
        <w:spacing w:line="576" w:lineRule="exact"/>
        <w:ind w:left="0" w:leftChars="0" w:firstLine="0" w:firstLineChars="0"/>
        <w:jc w:val="left"/>
        <w:rPr>
          <w:rFonts w:ascii="方正小标宋简体" w:hAnsi="宋体" w:eastAsia="方正小标宋简体"/>
          <w:color w:val="000000"/>
          <w:kern w:val="0"/>
          <w:sz w:val="44"/>
          <w:szCs w:val="44"/>
        </w:rPr>
      </w:pPr>
    </w:p>
    <w:p w14:paraId="3248B353">
      <w:pPr>
        <w:pStyle w:val="3"/>
        <w:spacing w:line="576" w:lineRule="exact"/>
        <w:ind w:left="0" w:leftChars="0" w:firstLine="0" w:firstLineChars="0"/>
        <w:jc w:val="left"/>
        <w:rPr>
          <w:rFonts w:ascii="方正小标宋简体" w:hAnsi="宋体" w:eastAsia="方正小标宋简体"/>
          <w:color w:val="000000"/>
          <w:kern w:val="0"/>
          <w:sz w:val="44"/>
          <w:szCs w:val="44"/>
        </w:rPr>
      </w:pPr>
    </w:p>
    <w:p w14:paraId="5023721C">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22AEA1DF">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lang w:val="zh-CN"/>
        </w:rPr>
        <w:t>（驻村工作队工作经费项目）</w:t>
      </w:r>
    </w:p>
    <w:p w14:paraId="610EAEE7">
      <w:pPr>
        <w:spacing w:line="576" w:lineRule="exact"/>
        <w:jc w:val="left"/>
        <w:rPr>
          <w:rFonts w:ascii="方正小标宋简体" w:hAnsi="宋体" w:eastAsia="方正小标宋简体"/>
          <w:color w:val="000000"/>
          <w:kern w:val="0"/>
          <w:sz w:val="44"/>
          <w:szCs w:val="44"/>
          <w:lang w:val="zh-CN"/>
        </w:rPr>
      </w:pPr>
    </w:p>
    <w:p w14:paraId="6EEC9843">
      <w:pPr>
        <w:adjustRightInd w:val="0"/>
        <w:snapToGrid w:val="0"/>
        <w:spacing w:line="576" w:lineRule="exact"/>
        <w:ind w:firstLine="640" w:firstLineChars="200"/>
        <w:jc w:val="left"/>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52FCE275">
      <w:pPr>
        <w:snapToGrid w:val="0"/>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7A5B2BA4">
      <w:pPr>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驻村工作队工作经费的设立背景是基于政策需求、工作需求和保障措施等多方面的考虑。通过设立这一经费，为驻村工作队提供了必要的物质保障和支持，促进了乡村振兴事业的顺利开展和有效推进。</w:t>
      </w:r>
    </w:p>
    <w:p w14:paraId="52AE7787">
      <w:pPr>
        <w:snapToGrid w:val="0"/>
        <w:spacing w:line="576" w:lineRule="exact"/>
        <w:ind w:firstLine="643" w:firstLineChars="200"/>
        <w:jc w:val="left"/>
        <w:rPr>
          <w:rFonts w:ascii="楷体_GB2312" w:hAnsi="宋体" w:eastAsia="楷体_GB2312"/>
          <w:b/>
          <w:sz w:val="32"/>
          <w:szCs w:val="21"/>
        </w:rPr>
      </w:pPr>
      <w:r>
        <w:rPr>
          <w:rFonts w:hint="eastAsia" w:ascii="楷体_GB2312" w:hAnsi="宋体" w:eastAsia="楷体_GB2312"/>
          <w:b/>
          <w:sz w:val="32"/>
          <w:szCs w:val="21"/>
        </w:rPr>
        <w:t>（二）项目实施情况</w:t>
      </w:r>
    </w:p>
    <w:p w14:paraId="3E10C28E">
      <w:pPr>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为了确保驻村工作队能够安心工作、高效履职，各级政府和部门纷纷出台相关政策措施，其中就包括设立驻村工作队工作经费。这一经费的设立，旨在为驻村工作队提供必要的物质保障，解决其后顾之忧。</w:t>
      </w:r>
    </w:p>
    <w:p w14:paraId="53A8AF1E">
      <w:pPr>
        <w:pStyle w:val="17"/>
        <w:widowControl/>
        <w:numPr>
          <w:ilvl w:val="0"/>
          <w:numId w:val="0"/>
        </w:numPr>
        <w:spacing w:before="0" w:beforeAutospacing="0" w:after="0" w:afterAutospacing="0" w:line="576" w:lineRule="exact"/>
        <w:ind w:firstLine="643" w:firstLineChars="200"/>
        <w:rPr>
          <w:rFonts w:ascii="仿宋_GB2312" w:hAnsi="微软雅黑" w:eastAsia="仿宋_GB2312" w:cs="仿宋_GB2312"/>
          <w:sz w:val="31"/>
          <w:szCs w:val="31"/>
        </w:rPr>
      </w:pPr>
      <w:r>
        <w:rPr>
          <w:rFonts w:hint="eastAsia" w:ascii="楷体_GB2312" w:hAnsi="宋体" w:eastAsia="楷体_GB2312"/>
          <w:b/>
          <w:sz w:val="32"/>
          <w:szCs w:val="32"/>
          <w:lang w:eastAsia="zh-CN"/>
        </w:rPr>
        <w:t>（三）</w:t>
      </w:r>
      <w:r>
        <w:rPr>
          <w:rFonts w:ascii="楷体_GB2312" w:hAnsi="宋体" w:eastAsia="楷体_GB2312"/>
          <w:b/>
          <w:sz w:val="32"/>
          <w:szCs w:val="32"/>
        </w:rPr>
        <w:t>预算安排及分配管理</w:t>
      </w:r>
    </w:p>
    <w:p w14:paraId="05F01E01">
      <w:pPr>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驻村工作队在乡村一线承担着推动乡村振兴、</w:t>
      </w:r>
      <w:r>
        <w:rPr>
          <w:rFonts w:hint="eastAsia" w:ascii="仿宋_GB2312" w:hAnsi="微软雅黑" w:eastAsia="仿宋_GB2312" w:cs="仿宋_GB2312"/>
          <w:sz w:val="31"/>
          <w:szCs w:val="31"/>
          <w:lang w:eastAsia="zh-CN"/>
        </w:rPr>
        <w:t>巩固拓展脱贫攻坚成果</w:t>
      </w:r>
      <w:r>
        <w:rPr>
          <w:rFonts w:hint="eastAsia" w:ascii="仿宋_GB2312" w:hAnsi="微软雅黑" w:eastAsia="仿宋_GB2312" w:cs="仿宋_GB2312"/>
          <w:sz w:val="31"/>
          <w:szCs w:val="31"/>
        </w:rPr>
        <w:t>、促进农村经济发展等重要任务。驻村工作队工作经费2023年初预算4.50万元 ，预算批复4.50万元，主要用于驻村工作队员的生活补助、工作经费、培训费用。</w:t>
      </w:r>
    </w:p>
    <w:p w14:paraId="699273C6">
      <w:pPr>
        <w:numPr>
          <w:ilvl w:val="0"/>
          <w:numId w:val="0"/>
        </w:numPr>
        <w:spacing w:line="576" w:lineRule="exact"/>
        <w:ind w:firstLine="643" w:firstLineChars="200"/>
        <w:jc w:val="left"/>
        <w:rPr>
          <w:lang w:val="zh-CN"/>
        </w:rPr>
      </w:pPr>
      <w:r>
        <w:rPr>
          <w:rFonts w:hint="eastAsia" w:ascii="楷体_GB2312" w:hAnsi="宋体" w:eastAsia="楷体_GB2312" w:cs="Times New Roman"/>
          <w:b/>
          <w:kern w:val="0"/>
          <w:sz w:val="32"/>
          <w:szCs w:val="32"/>
          <w:lang w:val="zh-CN" w:eastAsia="zh-CN" w:bidi="ar-SA"/>
        </w:rPr>
        <w:t>（四）项目</w:t>
      </w:r>
      <w:r>
        <w:rPr>
          <w:rFonts w:hint="eastAsia" w:ascii="楷体_GB2312" w:hAnsi="宋体" w:eastAsia="楷体_GB2312"/>
          <w:b/>
          <w:sz w:val="32"/>
          <w:szCs w:val="32"/>
          <w:lang w:val="zh-CN"/>
        </w:rPr>
        <w:t>绩效目标设置</w:t>
      </w:r>
    </w:p>
    <w:p w14:paraId="5ED56415">
      <w:pPr>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rPr>
        <w:t>开展</w:t>
      </w:r>
      <w:r>
        <w:rPr>
          <w:rFonts w:hint="eastAsia" w:ascii="仿宋_GB2312" w:hAnsi="微软雅黑" w:eastAsia="仿宋_GB2312" w:cs="仿宋_GB2312"/>
          <w:sz w:val="31"/>
          <w:szCs w:val="31"/>
          <w:lang w:val="zh-CN"/>
        </w:rPr>
        <w:t>驻村工</w:t>
      </w:r>
      <w:r>
        <w:rPr>
          <w:rFonts w:hint="eastAsia" w:ascii="仿宋_GB2312" w:hAnsi="微软雅黑" w:eastAsia="仿宋_GB2312" w:cs="仿宋_GB2312"/>
          <w:sz w:val="31"/>
          <w:szCs w:val="31"/>
        </w:rPr>
        <w:t>作，同时加强我镇驻村队伍建设，为我镇应对突发状况等提供坚强的后备力量。为驻村工作提供财力的保障。</w:t>
      </w:r>
    </w:p>
    <w:p w14:paraId="01F77C9C">
      <w:pPr>
        <w:adjustRightInd w:val="0"/>
        <w:snapToGrid w:val="0"/>
        <w:spacing w:line="576" w:lineRule="exact"/>
        <w:ind w:firstLine="640" w:firstLineChars="200"/>
        <w:jc w:val="left"/>
        <w:rPr>
          <w:rFonts w:ascii="黑体" w:hAnsi="宋体" w:eastAsia="黑体"/>
          <w:sz w:val="32"/>
          <w:szCs w:val="32"/>
        </w:rPr>
      </w:pPr>
      <w:r>
        <w:rPr>
          <w:rFonts w:hint="eastAsia" w:ascii="黑体" w:hAnsi="宋体" w:eastAsia="黑体"/>
          <w:sz w:val="32"/>
          <w:szCs w:val="32"/>
        </w:rPr>
        <w:t>二、评价实施</w:t>
      </w:r>
    </w:p>
    <w:p w14:paraId="721DA97E">
      <w:pPr>
        <w:adjustRightInd w:val="0"/>
        <w:snapToGrid w:val="0"/>
        <w:spacing w:line="576" w:lineRule="exact"/>
        <w:ind w:firstLine="720"/>
        <w:jc w:val="left"/>
        <w:rPr>
          <w:rFonts w:ascii="楷体_GB2312" w:hAnsi="宋体" w:eastAsia="楷体_GB2312"/>
          <w:b/>
          <w:sz w:val="32"/>
          <w:szCs w:val="32"/>
          <w:lang w:val="zh-CN"/>
        </w:rPr>
      </w:pPr>
      <w:r>
        <w:rPr>
          <w:rFonts w:hint="eastAsia" w:ascii="楷体_GB2312" w:hAnsi="宋体" w:eastAsia="楷体_GB2312"/>
          <w:b/>
          <w:sz w:val="32"/>
          <w:szCs w:val="32"/>
          <w:lang w:val="zh-CN"/>
        </w:rPr>
        <w:t>（一）评价目的</w:t>
      </w:r>
    </w:p>
    <w:p w14:paraId="06C2093C">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lang w:val="zh-CN"/>
        </w:rPr>
        <w:t>驻村工作队经费的目的主要是为了确保驻村工作队能够顺利开展工作，并有效支持贫困地区和农村地区的发展。这些经费的使用旨在推动农村经济的繁荣，提高农民的生活水平，促进当地社会事业的进步。</w:t>
      </w:r>
    </w:p>
    <w:p w14:paraId="69044FEE">
      <w:pPr>
        <w:adjustRightInd w:val="0"/>
        <w:snapToGrid w:val="0"/>
        <w:spacing w:line="576" w:lineRule="exact"/>
        <w:ind w:left="420" w:leftChars="200"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（二）预设问题及评价重点</w:t>
      </w:r>
    </w:p>
    <w:p w14:paraId="122E4250">
      <w:pPr>
        <w:adjustRightInd w:val="0"/>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驻村工作队工作经费按照绩效评价指标体系，对资金支出使用全过程及其实施效果进行综合评价和判断。</w:t>
      </w:r>
    </w:p>
    <w:p w14:paraId="6684247A">
      <w:pPr>
        <w:adjustRightInd w:val="0"/>
        <w:snapToGrid w:val="0"/>
        <w:spacing w:line="576" w:lineRule="exact"/>
        <w:ind w:left="420" w:leftChars="200"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（三）评价选点</w:t>
      </w:r>
    </w:p>
    <w:p w14:paraId="17A9EAC3">
      <w:pPr>
        <w:adjustRightInd w:val="0"/>
        <w:snapToGrid w:val="0"/>
        <w:spacing w:line="576" w:lineRule="exact"/>
        <w:ind w:firstLine="620" w:firstLineChars="20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lang w:val="zh-CN"/>
        </w:rPr>
        <w:t>驻村工作队工作经费的评价选点，应综合考虑资金使用情况、社会效益以及监督与问责等多个方面。通过全面、客观的评价，可以及时发现问题、总结经验、完善制度，推动乡村工作。</w:t>
      </w:r>
    </w:p>
    <w:p w14:paraId="6AB9B52F">
      <w:pPr>
        <w:spacing w:line="576" w:lineRule="exact"/>
        <w:ind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（四）评价方法</w:t>
      </w:r>
    </w:p>
    <w:p w14:paraId="51BA69A5">
      <w:pPr>
        <w:adjustRightInd w:val="0"/>
        <w:snapToGrid w:val="0"/>
        <w:spacing w:line="576" w:lineRule="exact"/>
        <w:ind w:firstLine="640" w:firstLineChars="200"/>
        <w:jc w:val="left"/>
        <w:rPr>
          <w:rFonts w:ascii="仿宋_GB2312" w:hAnsi="仿宋_GB2312" w:eastAsia="仿宋_GB2312" w:cs="仿宋_GB2312"/>
          <w:sz w:val="32"/>
          <w:lang w:val="zh-CN"/>
        </w:rPr>
      </w:pPr>
      <w:r>
        <w:rPr>
          <w:rFonts w:hint="eastAsia" w:ascii="仿宋_GB2312" w:hAnsi="仿宋_GB2312" w:eastAsia="仿宋_GB2312" w:cs="仿宋_GB2312"/>
          <w:sz w:val="32"/>
          <w:lang w:val="zh-CN"/>
        </w:rPr>
        <w:t>驻村工作队工作经费的评价方法应综合考虑预算编制与执行、资金使用的合理性、维护效果或管理效果、财务管理规范性、经济效益与社会效益以及信息公开与监督等多个方面。通过科学、客观的评价方法，可以及时发现问题、总结经验、完善制度，推动驻村工作队工作。</w:t>
      </w:r>
    </w:p>
    <w:p w14:paraId="3E41BA84">
      <w:pPr>
        <w:adjustRightInd w:val="0"/>
        <w:snapToGrid w:val="0"/>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（五）评价组织</w:t>
      </w:r>
    </w:p>
    <w:p w14:paraId="021E18A3">
      <w:pPr>
        <w:adjustRightInd w:val="0"/>
        <w:snapToGrid w:val="0"/>
        <w:spacing w:line="576" w:lineRule="exact"/>
        <w:ind w:firstLine="640" w:firstLineChars="200"/>
        <w:jc w:val="left"/>
        <w:rPr>
          <w:rFonts w:ascii="仿宋_GB2312" w:hAnsi="仿宋_GB2312" w:eastAsia="仿宋_GB2312" w:cs="仿宋_GB2312"/>
          <w:sz w:val="32"/>
          <w:lang w:val="zh-CN"/>
        </w:rPr>
      </w:pPr>
      <w:r>
        <w:rPr>
          <w:rFonts w:hint="eastAsia" w:ascii="仿宋_GB2312" w:hAnsi="仿宋_GB2312" w:eastAsia="仿宋_GB2312" w:cs="仿宋_GB2312"/>
          <w:sz w:val="32"/>
          <w:lang w:val="zh-CN"/>
        </w:rPr>
        <w:t>驻村工作队工作经费评价组织可以全面、客观地评估便民服务大厅维护费用的使用效率和效果，为提升服务和管理水平提供有力支持。</w:t>
      </w:r>
    </w:p>
    <w:p w14:paraId="030ED317">
      <w:pPr>
        <w:adjustRightInd w:val="0"/>
        <w:snapToGrid w:val="0"/>
        <w:spacing w:line="576" w:lineRule="exact"/>
        <w:ind w:firstLine="640" w:firstLineChars="200"/>
        <w:jc w:val="left"/>
        <w:rPr>
          <w:rFonts w:ascii="仿宋_GB2312" w:hAnsi="宋体"/>
          <w:sz w:val="32"/>
          <w:szCs w:val="32"/>
          <w:lang w:val="zh-CN"/>
        </w:rPr>
      </w:pPr>
      <w:r>
        <w:rPr>
          <w:rFonts w:hint="eastAsia" w:ascii="黑体" w:hAnsi="宋体" w:eastAsia="黑体"/>
          <w:sz w:val="32"/>
          <w:szCs w:val="32"/>
        </w:rPr>
        <w:t>三、绩效分析</w:t>
      </w:r>
      <w:r>
        <w:rPr>
          <w:rFonts w:hint="eastAsia" w:ascii="仿宋_GB2312" w:hAnsi="宋体"/>
          <w:sz w:val="32"/>
          <w:szCs w:val="32"/>
          <w:lang w:val="zh-CN"/>
        </w:rPr>
        <w:tab/>
      </w:r>
    </w:p>
    <w:p w14:paraId="5EEE93A9">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（一）通用指标绩效分析</w:t>
      </w:r>
    </w:p>
    <w:p w14:paraId="0656AE16">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1.项目决策。</w:t>
      </w:r>
      <w:r>
        <w:rPr>
          <w:rFonts w:hint="eastAsia" w:ascii="仿宋_GB2312" w:hAnsi="仿宋_GB2312" w:eastAsia="仿宋_GB2312" w:cs="仿宋_GB2312"/>
          <w:kern w:val="0"/>
          <w:sz w:val="32"/>
          <w:szCs w:val="32"/>
          <w:lang w:val="zh-CN"/>
        </w:rPr>
        <w:t>驻村工作队工作</w:t>
      </w:r>
      <w:r>
        <w:rPr>
          <w:rFonts w:ascii="仿宋_GB2312" w:hAnsi="仿宋_GB2312" w:eastAsia="仿宋_GB2312" w:cs="仿宋_GB2312"/>
          <w:kern w:val="0"/>
          <w:sz w:val="32"/>
          <w:szCs w:val="32"/>
          <w:lang w:val="zh-CN"/>
        </w:rPr>
        <w:t>项目为延续性项目，已在年初进行项目绩效目标申报，项目规划合理，年度绩效目标与中长期规划一致。资金管理办法健全完善。</w:t>
      </w:r>
    </w:p>
    <w:p w14:paraId="56528A04">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2.项目管理。为使项目如期完成，结合常理镇实际情况，</w:t>
      </w:r>
      <w:r>
        <w:rPr>
          <w:rFonts w:hint="eastAsia" w:ascii="仿宋_GB2312" w:hAnsi="仿宋_GB2312" w:eastAsia="仿宋_GB2312" w:cs="仿宋_GB2312"/>
          <w:kern w:val="0"/>
          <w:sz w:val="32"/>
          <w:szCs w:val="32"/>
          <w:lang w:val="zh-CN"/>
        </w:rPr>
        <w:t>驻村工作队经费</w:t>
      </w:r>
      <w:r>
        <w:rPr>
          <w:rFonts w:ascii="仿宋_GB2312" w:hAnsi="仿宋_GB2312" w:eastAsia="仿宋_GB2312" w:cs="仿宋_GB2312"/>
          <w:kern w:val="0"/>
          <w:sz w:val="32"/>
          <w:szCs w:val="32"/>
          <w:lang w:val="zh-CN"/>
        </w:rPr>
        <w:t>项目按照镇党委工作分工，将所有项目分解到相关党政班子成员，由分管领导具体负责项目实施。在项目资金发放工作中，建立了符合财务会计制度的</w:t>
      </w:r>
      <w:r>
        <w:rPr>
          <w:rFonts w:hint="eastAsia" w:ascii="仿宋_GB2312" w:hAnsi="仿宋_GB2312" w:eastAsia="仿宋_GB2312" w:cs="仿宋_GB2312"/>
          <w:kern w:val="0"/>
          <w:sz w:val="32"/>
          <w:szCs w:val="32"/>
          <w:lang w:val="zh-CN"/>
        </w:rPr>
        <w:t>驻村工作队</w:t>
      </w:r>
      <w:r>
        <w:rPr>
          <w:rFonts w:ascii="仿宋_GB2312" w:hAnsi="仿宋_GB2312" w:eastAsia="仿宋_GB2312" w:cs="仿宋_GB2312"/>
          <w:kern w:val="0"/>
          <w:sz w:val="32"/>
          <w:szCs w:val="32"/>
          <w:lang w:val="zh-CN"/>
        </w:rPr>
        <w:t>项目资金管理制度，专项管理、拨付规范、发放及时。</w:t>
      </w:r>
    </w:p>
    <w:p w14:paraId="6FCA3A46">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3.项目实施。常理镇成立了以镇党委书记为组长，班子成员和部门负责人及镇村主职干部为成员的</w:t>
      </w:r>
      <w:r>
        <w:rPr>
          <w:rFonts w:hint="eastAsia" w:ascii="仿宋_GB2312" w:hAnsi="仿宋_GB2312" w:eastAsia="仿宋_GB2312" w:cs="仿宋_GB2312"/>
          <w:kern w:val="0"/>
          <w:sz w:val="32"/>
          <w:szCs w:val="32"/>
          <w:lang w:val="zh-CN"/>
        </w:rPr>
        <w:t>驻村工作队经费</w:t>
      </w:r>
      <w:r>
        <w:rPr>
          <w:rFonts w:ascii="仿宋_GB2312" w:hAnsi="仿宋_GB2312" w:eastAsia="仿宋_GB2312" w:cs="仿宋_GB2312"/>
          <w:kern w:val="0"/>
          <w:sz w:val="32"/>
          <w:szCs w:val="32"/>
          <w:lang w:val="zh-CN"/>
        </w:rPr>
        <w:t>项目行动领导小组，统筹推进各项</w:t>
      </w:r>
      <w:r>
        <w:rPr>
          <w:rFonts w:hint="eastAsia" w:ascii="仿宋_GB2312" w:hAnsi="仿宋_GB2312" w:eastAsia="仿宋_GB2312" w:cs="仿宋_GB2312"/>
          <w:kern w:val="0"/>
          <w:sz w:val="32"/>
          <w:szCs w:val="32"/>
          <w:lang w:val="zh-CN"/>
        </w:rPr>
        <w:t>驻村工作事项</w:t>
      </w:r>
      <w:r>
        <w:rPr>
          <w:rFonts w:ascii="仿宋_GB2312" w:hAnsi="仿宋_GB2312" w:eastAsia="仿宋_GB2312" w:cs="仿宋_GB2312"/>
          <w:kern w:val="0"/>
          <w:sz w:val="32"/>
          <w:szCs w:val="32"/>
          <w:lang w:val="zh-CN"/>
        </w:rPr>
        <w:t>。</w:t>
      </w:r>
    </w:p>
    <w:p w14:paraId="6FEBA101">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4.项目结果。项目目标明确、资金到位率高、组织监管体系完善。我镇</w:t>
      </w:r>
      <w:r>
        <w:rPr>
          <w:rFonts w:hint="eastAsia" w:ascii="仿宋_GB2312" w:hAnsi="仿宋_GB2312" w:eastAsia="仿宋_GB2312" w:cs="仿宋_GB2312"/>
          <w:kern w:val="0"/>
          <w:sz w:val="32"/>
          <w:szCs w:val="32"/>
          <w:lang w:val="zh-CN"/>
        </w:rPr>
        <w:t>驻村工作队经费</w:t>
      </w:r>
      <w:r>
        <w:rPr>
          <w:rFonts w:ascii="仿宋_GB2312" w:hAnsi="仿宋_GB2312" w:eastAsia="仿宋_GB2312" w:cs="仿宋_GB2312"/>
          <w:kern w:val="0"/>
          <w:sz w:val="32"/>
          <w:szCs w:val="32"/>
          <w:lang w:val="zh-CN"/>
        </w:rPr>
        <w:t>项目资金较好地实现了绩效目标。自评得分100分。</w:t>
      </w:r>
    </w:p>
    <w:p w14:paraId="1F357946">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（二）专用指标绩效分析</w:t>
      </w:r>
    </w:p>
    <w:p w14:paraId="34CB1EED">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行政运转。根据</w:t>
      </w:r>
      <w:r>
        <w:rPr>
          <w:rFonts w:hint="eastAsia" w:ascii="仿宋_GB2312" w:hAnsi="仿宋_GB2312" w:eastAsia="仿宋_GB2312" w:cs="仿宋_GB2312"/>
          <w:kern w:val="0"/>
          <w:sz w:val="32"/>
          <w:szCs w:val="32"/>
          <w:lang w:val="zh-CN"/>
        </w:rPr>
        <w:t>驻村工作队经费</w:t>
      </w:r>
      <w:r>
        <w:rPr>
          <w:rFonts w:ascii="仿宋_GB2312" w:hAnsi="仿宋_GB2312" w:eastAsia="仿宋_GB2312" w:cs="仿宋_GB2312"/>
          <w:kern w:val="0"/>
          <w:sz w:val="32"/>
          <w:szCs w:val="32"/>
          <w:lang w:val="zh-CN"/>
        </w:rPr>
        <w:t>项目进行项目绩效目标进行自评，对该项目专项资金进行绩效分析，该项目资金使用合规合法。</w:t>
      </w:r>
    </w:p>
    <w:p w14:paraId="2A1B4960">
      <w:pPr>
        <w:pStyle w:val="2"/>
        <w:rPr>
          <w:lang w:val="zh-CN"/>
        </w:rPr>
      </w:pPr>
    </w:p>
    <w:p w14:paraId="7962C5F5">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（三）个性指标绩效分析</w:t>
      </w:r>
    </w:p>
    <w:p w14:paraId="7876B830">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质量指标：办事群众投诉率</w:t>
      </w:r>
    </w:p>
    <w:p w14:paraId="33C96C65">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社会效益指标</w:t>
      </w:r>
      <w:r>
        <w:rPr>
          <w:rFonts w:ascii="仿宋_GB2312" w:hAnsi="仿宋_GB2312" w:eastAsia="仿宋_GB2312" w:cs="仿宋_GB2312"/>
          <w:kern w:val="0"/>
          <w:sz w:val="32"/>
          <w:szCs w:val="32"/>
          <w:lang w:val="zh-CN"/>
        </w:rPr>
        <w:t>：觖决贫困村</w:t>
      </w:r>
      <w:r>
        <w:rPr>
          <w:rFonts w:hint="eastAsia" w:ascii="仿宋_GB2312" w:hAnsi="仿宋_GB2312" w:eastAsia="仿宋_GB2312" w:cs="仿宋_GB2312"/>
          <w:kern w:val="0"/>
          <w:sz w:val="32"/>
          <w:szCs w:val="32"/>
          <w:lang w:val="zh-CN"/>
        </w:rPr>
        <w:t>困难问题。</w:t>
      </w:r>
    </w:p>
    <w:p w14:paraId="103C4463">
      <w:pPr>
        <w:spacing w:line="576" w:lineRule="exact"/>
        <w:ind w:firstLine="640"/>
        <w:jc w:val="left"/>
        <w:rPr>
          <w:rFonts w:ascii="仿宋_GB2312" w:hAnsi="微软雅黑" w:eastAsia="仿宋_GB2312" w:cs="仿宋_GB2312"/>
          <w:sz w:val="31"/>
          <w:szCs w:val="31"/>
        </w:rPr>
      </w:pPr>
      <w:r>
        <w:rPr>
          <w:rFonts w:ascii="仿宋_GB2312" w:hAnsi="仿宋_GB2312" w:eastAsia="仿宋_GB2312" w:cs="仿宋_GB2312"/>
          <w:kern w:val="0"/>
          <w:sz w:val="32"/>
          <w:szCs w:val="32"/>
          <w:lang w:val="zh-CN"/>
        </w:rPr>
        <w:t>满意度指标：村民满意程度得到提高。</w:t>
      </w:r>
    </w:p>
    <w:p w14:paraId="156F029E">
      <w:pPr>
        <w:pStyle w:val="9"/>
        <w:tabs>
          <w:tab w:val="left" w:pos="2160"/>
        </w:tabs>
        <w:spacing w:before="93" w:line="576" w:lineRule="exact"/>
        <w:ind w:firstLine="640" w:firstLineChars="200"/>
        <w:jc w:val="left"/>
        <w:rPr>
          <w:rFonts w:ascii="黑体" w:hAnsi="宋体" w:eastAsia="黑体"/>
          <w:sz w:val="32"/>
          <w:szCs w:val="32"/>
        </w:rPr>
      </w:pPr>
      <w:r>
        <w:rPr>
          <w:rFonts w:hint="eastAsia" w:ascii="黑体" w:hAnsi="宋体" w:eastAsia="黑体"/>
          <w:sz w:val="32"/>
          <w:szCs w:val="32"/>
        </w:rPr>
        <w:t>四、评价结论</w:t>
      </w:r>
    </w:p>
    <w:p w14:paraId="4404BFF8">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驻村工作队工作经费能够合理规划、高效使用，并达到预期的目标和效果，同时严格遵守相关财务规定和法律法规。</w:t>
      </w:r>
    </w:p>
    <w:p w14:paraId="2BBCB57C">
      <w:pPr>
        <w:pStyle w:val="9"/>
        <w:tabs>
          <w:tab w:val="left" w:pos="2160"/>
        </w:tabs>
        <w:spacing w:before="93" w:line="576" w:lineRule="exact"/>
        <w:ind w:firstLine="640" w:firstLineChars="200"/>
        <w:jc w:val="left"/>
        <w:rPr>
          <w:rFonts w:ascii="黑体" w:hAnsi="宋体" w:eastAsia="黑体"/>
          <w:sz w:val="32"/>
          <w:szCs w:val="32"/>
        </w:rPr>
      </w:pPr>
      <w:r>
        <w:rPr>
          <w:rFonts w:hint="eastAsia" w:ascii="黑体" w:hAnsi="宋体" w:eastAsia="黑体"/>
          <w:sz w:val="32"/>
          <w:szCs w:val="32"/>
        </w:rPr>
        <w:t>五、存在主要问题</w:t>
      </w:r>
    </w:p>
    <w:p w14:paraId="52B8E4CF">
      <w:pPr>
        <w:pStyle w:val="9"/>
        <w:tabs>
          <w:tab w:val="left" w:pos="2160"/>
        </w:tabs>
        <w:spacing w:before="93" w:line="576" w:lineRule="exact"/>
        <w:ind w:firstLine="640" w:firstLineChars="200"/>
        <w:jc w:val="left"/>
        <w:rPr>
          <w:rFonts w:ascii="仿宋" w:hAnsi="仿宋" w:eastAsia="仿宋"/>
          <w:bCs/>
          <w:kern w:val="2"/>
          <w:sz w:val="32"/>
          <w:szCs w:val="32"/>
        </w:rPr>
      </w:pPr>
      <w:r>
        <w:rPr>
          <w:rFonts w:hint="eastAsia" w:ascii="仿宋" w:hAnsi="仿宋" w:eastAsia="仿宋"/>
          <w:bCs/>
          <w:kern w:val="2"/>
          <w:sz w:val="32"/>
          <w:szCs w:val="32"/>
        </w:rPr>
        <w:t>部分工作队成员可能缺乏项目管理经验，导致项目推进缓慢、效果不佳。</w:t>
      </w:r>
    </w:p>
    <w:p w14:paraId="3EAE4AA2">
      <w:pPr>
        <w:pStyle w:val="9"/>
        <w:tabs>
          <w:tab w:val="left" w:pos="2160"/>
        </w:tabs>
        <w:spacing w:before="93" w:line="576" w:lineRule="exact"/>
        <w:ind w:firstLine="640" w:firstLineChars="200"/>
        <w:jc w:val="left"/>
        <w:rPr>
          <w:rFonts w:ascii="黑体" w:hAnsi="宋体" w:eastAsia="黑体"/>
          <w:position w:val="3"/>
          <w:sz w:val="32"/>
          <w:szCs w:val="32"/>
          <w:lang w:val="zh-CN"/>
        </w:rPr>
      </w:pPr>
      <w:r>
        <w:rPr>
          <w:rFonts w:hint="eastAsia" w:ascii="黑体" w:hAnsi="宋体" w:eastAsia="黑体"/>
          <w:position w:val="3"/>
          <w:sz w:val="32"/>
          <w:szCs w:val="32"/>
          <w:lang w:val="zh-CN"/>
        </w:rPr>
        <w:t>六、改进建议</w:t>
      </w:r>
    </w:p>
    <w:p w14:paraId="7A034DF7">
      <w:pPr>
        <w:pStyle w:val="2"/>
        <w:spacing w:line="576" w:lineRule="exact"/>
        <w:ind w:firstLine="640" w:firstLineChars="200"/>
      </w:pPr>
      <w:r>
        <w:rPr>
          <w:rFonts w:hint="eastAsia" w:ascii="仿宋" w:hAnsi="仿宋" w:eastAsia="仿宋"/>
          <w:bCs/>
          <w:sz w:val="32"/>
          <w:szCs w:val="32"/>
        </w:rPr>
        <w:t>加强工作队成员的培训和教育，提高其项目管理能力和综合素质。</w:t>
      </w:r>
    </w:p>
    <w:p w14:paraId="335FAA48">
      <w:pPr>
        <w:pStyle w:val="3"/>
        <w:spacing w:line="576" w:lineRule="exact"/>
        <w:ind w:left="0" w:leftChars="0" w:firstLine="0" w:firstLineChars="0"/>
        <w:jc w:val="left"/>
      </w:pPr>
    </w:p>
    <w:p w14:paraId="72164C7B">
      <w:pPr>
        <w:pStyle w:val="3"/>
        <w:spacing w:line="576" w:lineRule="exact"/>
        <w:ind w:left="420"/>
        <w:jc w:val="left"/>
      </w:pPr>
    </w:p>
    <w:p w14:paraId="5C3BA921">
      <w:pPr>
        <w:pStyle w:val="3"/>
        <w:spacing w:line="576" w:lineRule="exact"/>
        <w:ind w:left="420"/>
        <w:jc w:val="left"/>
      </w:pPr>
    </w:p>
    <w:p w14:paraId="4689EE75">
      <w:pPr>
        <w:pStyle w:val="2"/>
        <w:spacing w:line="576" w:lineRule="exact"/>
      </w:pPr>
    </w:p>
    <w:p w14:paraId="1019D89C">
      <w:pPr>
        <w:pStyle w:val="3"/>
        <w:ind w:left="420"/>
      </w:pPr>
    </w:p>
    <w:p w14:paraId="238447BC">
      <w:pPr>
        <w:pStyle w:val="3"/>
        <w:ind w:left="420"/>
      </w:pPr>
    </w:p>
    <w:p w14:paraId="791B986F">
      <w:pPr>
        <w:pStyle w:val="3"/>
        <w:ind w:left="420"/>
      </w:pPr>
    </w:p>
    <w:p w14:paraId="77E96EFD">
      <w:pPr>
        <w:pStyle w:val="3"/>
        <w:ind w:left="420"/>
      </w:pPr>
    </w:p>
    <w:p w14:paraId="51B0B377">
      <w:pPr>
        <w:pStyle w:val="3"/>
        <w:ind w:left="420"/>
      </w:pPr>
    </w:p>
    <w:p w14:paraId="20E0D713">
      <w:pPr>
        <w:pStyle w:val="3"/>
        <w:ind w:left="420"/>
      </w:pPr>
    </w:p>
    <w:p w14:paraId="0AAB8708">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63B57841">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lang w:val="zh-CN"/>
        </w:rPr>
        <w:t>（统计工作经费项目）</w:t>
      </w:r>
    </w:p>
    <w:p w14:paraId="2497E95C">
      <w:pPr>
        <w:spacing w:line="576" w:lineRule="exact"/>
        <w:jc w:val="left"/>
        <w:rPr>
          <w:rFonts w:ascii="方正小标宋简体" w:hAnsi="宋体" w:eastAsia="方正小标宋简体"/>
          <w:color w:val="000000"/>
          <w:kern w:val="0"/>
          <w:sz w:val="44"/>
          <w:szCs w:val="44"/>
          <w:lang w:val="zh-CN"/>
        </w:rPr>
      </w:pPr>
    </w:p>
    <w:p w14:paraId="73CB88CE">
      <w:pPr>
        <w:adjustRightInd w:val="0"/>
        <w:snapToGrid w:val="0"/>
        <w:spacing w:line="576" w:lineRule="exact"/>
        <w:ind w:firstLine="640" w:firstLineChars="200"/>
        <w:jc w:val="left"/>
        <w:rPr>
          <w:rFonts w:ascii="黑体" w:hAnsi="宋体" w:eastAsia="黑体"/>
          <w:sz w:val="32"/>
          <w:szCs w:val="32"/>
          <w:lang w:val="zh-CN"/>
        </w:rPr>
      </w:pPr>
      <w:r>
        <w:rPr>
          <w:rFonts w:hint="eastAsia" w:ascii="黑体" w:hAnsi="宋体" w:eastAsia="黑体"/>
          <w:sz w:val="32"/>
          <w:szCs w:val="32"/>
        </w:rPr>
        <w:t>一、</w:t>
      </w:r>
      <w:r>
        <w:rPr>
          <w:rFonts w:hint="eastAsia" w:ascii="黑体" w:hAnsi="宋体" w:eastAsia="黑体"/>
          <w:sz w:val="32"/>
          <w:szCs w:val="32"/>
          <w:lang w:val="zh-CN"/>
        </w:rPr>
        <w:t>项目概况</w:t>
      </w:r>
    </w:p>
    <w:p w14:paraId="578EFF91">
      <w:pPr>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04E8469C">
      <w:pPr>
        <w:spacing w:line="576" w:lineRule="exact"/>
        <w:ind w:firstLine="64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统计工作是国家宏观经济管理和科学决策的重要基础，也是反映地区经济社会发展状况、监测经济社会运行态势、评估政策措施效果的重要手段。乡镇统计工作作为统计体系的基础环节，其重要性不言而喻。统计任务的增加：随着经济社会的发展和统计制度的不断完善，乡镇统计工作的任务日益繁重。除了常规的统计报表上报外，还需要参与和组织各项大型普查工作，如人口普查、农业普查、经济普查等，这些工作都需要大量的人力、物力和财力支持。</w:t>
      </w:r>
    </w:p>
    <w:p w14:paraId="732101FB">
      <w:pPr>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（二）实施目的及支持方向</w:t>
      </w:r>
    </w:p>
    <w:p w14:paraId="4BB9C9DF">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镇统计工作经费的实施目的是保障统计工作的正常运行、提升统计数据的准确性和可靠性、推动统计工作的创新和发展；支持方向则包括人员培训和薪酬保障、设备购置和技术更新、数据收集和处理以及统计研究和宣传等方面。</w:t>
      </w:r>
    </w:p>
    <w:p w14:paraId="10D878BE">
      <w:pPr>
        <w:spacing w:line="576" w:lineRule="exact"/>
        <w:ind w:firstLine="643" w:firstLineChars="200"/>
        <w:jc w:val="left"/>
        <w:rPr>
          <w:lang w:val="zh-CN"/>
        </w:rPr>
      </w:pPr>
      <w:r>
        <w:rPr>
          <w:rFonts w:hint="eastAsia" w:ascii="楷体_GB2312" w:hAnsi="宋体" w:eastAsia="楷体_GB2312"/>
          <w:b/>
          <w:sz w:val="32"/>
          <w:szCs w:val="32"/>
          <w:lang w:val="zh-CN"/>
        </w:rPr>
        <w:t>（三）预算安排及分配管理</w:t>
      </w:r>
    </w:p>
    <w:p w14:paraId="663A8046">
      <w:pPr>
        <w:adjustRightInd w:val="0"/>
        <w:snapToGrid w:val="0"/>
        <w:spacing w:line="576" w:lineRule="exact"/>
        <w:ind w:firstLine="640" w:firstLineChars="200"/>
        <w:jc w:val="left"/>
        <w:rPr>
          <w:rFonts w:ascii="仿宋" w:hAnsi="仿宋" w:eastAsia="仿宋"/>
          <w:bCs/>
          <w:sz w:val="32"/>
          <w:szCs w:val="32"/>
        </w:rPr>
      </w:pPr>
      <w:r>
        <w:rPr>
          <w:rFonts w:hint="eastAsia" w:ascii="仿宋" w:hAnsi="仿宋" w:eastAsia="仿宋"/>
          <w:bCs/>
          <w:sz w:val="32"/>
          <w:szCs w:val="32"/>
        </w:rPr>
        <w:t>严格执行《中华人民共和国统计法》如实提供统计调查资料，确保统计数据准确性，认真完成2023年统计年报及各项调查任务，精准数据，如实上报。统计工作项目2023年初预算2.00万元 ，预算批复2.00万元，实际支出2.00元。统计人员务工费、统计人员下村租车费及统计资料印刷等费用。</w:t>
      </w:r>
    </w:p>
    <w:p w14:paraId="7E992B03">
      <w:pPr>
        <w:pStyle w:val="2"/>
        <w:spacing w:line="576" w:lineRule="exact"/>
        <w:ind w:left="630"/>
        <w:rPr>
          <w:rFonts w:ascii="仿宋" w:hAnsi="仿宋" w:eastAsia="仿宋"/>
          <w:bCs/>
          <w:sz w:val="32"/>
          <w:szCs w:val="32"/>
          <w:lang w:val="zh-CN"/>
        </w:rPr>
      </w:pPr>
      <w:r>
        <w:rPr>
          <w:rFonts w:hint="eastAsia" w:ascii="楷体_GB2312" w:hAnsi="宋体" w:eastAsia="楷体_GB2312"/>
          <w:b/>
          <w:sz w:val="32"/>
          <w:szCs w:val="32"/>
          <w:lang w:val="zh-CN"/>
        </w:rPr>
        <w:t>（四）项目绩效目标设置</w:t>
      </w:r>
    </w:p>
    <w:p w14:paraId="516A03F7">
      <w:pPr>
        <w:adjustRightInd w:val="0"/>
        <w:snapToGrid w:val="0"/>
        <w:spacing w:line="576" w:lineRule="exact"/>
        <w:ind w:firstLine="640" w:firstLineChars="200"/>
        <w:jc w:val="left"/>
        <w:rPr>
          <w:rFonts w:ascii="仿宋" w:hAnsi="仿宋" w:eastAsia="仿宋"/>
          <w:bCs/>
          <w:sz w:val="32"/>
          <w:szCs w:val="32"/>
        </w:rPr>
      </w:pPr>
      <w:r>
        <w:rPr>
          <w:rFonts w:hint="eastAsia" w:ascii="仿宋" w:hAnsi="仿宋" w:eastAsia="仿宋"/>
          <w:bCs/>
          <w:sz w:val="32"/>
          <w:szCs w:val="32"/>
        </w:rPr>
        <w:t>开展统计工作，同时加强我镇统计工作队伍建设，为我镇统计工作提供坚强的后备力量。同时为统计工作提供财力的保障。</w:t>
      </w:r>
    </w:p>
    <w:p w14:paraId="264B963D">
      <w:pPr>
        <w:adjustRightInd w:val="0"/>
        <w:snapToGrid w:val="0"/>
        <w:spacing w:line="576" w:lineRule="exact"/>
        <w:ind w:firstLine="640" w:firstLineChars="200"/>
        <w:jc w:val="left"/>
        <w:rPr>
          <w:rFonts w:ascii="黑体" w:hAnsi="宋体" w:eastAsia="黑体"/>
          <w:sz w:val="32"/>
          <w:szCs w:val="32"/>
        </w:rPr>
      </w:pPr>
      <w:r>
        <w:rPr>
          <w:rFonts w:hint="eastAsia" w:ascii="黑体" w:hAnsi="宋体" w:eastAsia="黑体"/>
          <w:sz w:val="32"/>
          <w:szCs w:val="32"/>
        </w:rPr>
        <w:t>二、评价实施</w:t>
      </w:r>
    </w:p>
    <w:p w14:paraId="0A806A16">
      <w:pPr>
        <w:adjustRightInd w:val="0"/>
        <w:snapToGrid w:val="0"/>
        <w:spacing w:line="576" w:lineRule="exact"/>
        <w:ind w:firstLine="720"/>
        <w:jc w:val="left"/>
        <w:rPr>
          <w:rFonts w:ascii="仿宋_GB2312" w:hAnsi="微软雅黑" w:eastAsia="仿宋_GB2312" w:cs="仿宋_GB2312"/>
          <w:sz w:val="31"/>
          <w:szCs w:val="31"/>
          <w:lang w:val="zh-CN"/>
        </w:rPr>
      </w:pPr>
      <w:r>
        <w:rPr>
          <w:rFonts w:hint="eastAsia" w:ascii="楷体_GB2312" w:hAnsi="宋体" w:eastAsia="楷体_GB2312"/>
          <w:b/>
          <w:sz w:val="32"/>
          <w:szCs w:val="32"/>
          <w:lang w:val="zh-CN"/>
        </w:rPr>
        <w:t>（一）评价目的</w:t>
      </w:r>
    </w:p>
    <w:p w14:paraId="05F73107">
      <w:pPr>
        <w:adjustRightInd w:val="0"/>
        <w:snapToGrid w:val="0"/>
        <w:spacing w:line="576" w:lineRule="exact"/>
        <w:ind w:firstLine="640" w:firstLineChars="200"/>
        <w:jc w:val="left"/>
        <w:rPr>
          <w:rFonts w:ascii="仿宋" w:hAnsi="仿宋" w:eastAsia="仿宋"/>
          <w:bCs/>
          <w:sz w:val="32"/>
          <w:szCs w:val="32"/>
        </w:rPr>
      </w:pPr>
      <w:r>
        <w:rPr>
          <w:rFonts w:hint="eastAsia" w:ascii="仿宋" w:hAnsi="仿宋" w:eastAsia="仿宋"/>
          <w:bCs/>
          <w:sz w:val="32"/>
          <w:szCs w:val="32"/>
        </w:rPr>
        <w:t>镇统计工作经费评价的目的在于提升资金使用效益、加强统计工作的监督与管理、促进统计工作的质量提升以及推动统计事业的发展。这些目的的实现将有助于提高统计工作的整体水平，为经济社会发展提供更加有力的支持。</w:t>
      </w:r>
    </w:p>
    <w:p w14:paraId="208D11A8">
      <w:pPr>
        <w:adjustRightInd w:val="0"/>
        <w:snapToGrid w:val="0"/>
        <w:spacing w:line="576" w:lineRule="exact"/>
        <w:ind w:left="420" w:leftChars="200"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（二）预设问题及评价重点</w:t>
      </w:r>
    </w:p>
    <w:p w14:paraId="0DB54508">
      <w:pPr>
        <w:adjustRightInd w:val="0"/>
        <w:snapToGrid w:val="0"/>
        <w:spacing w:line="576" w:lineRule="exact"/>
        <w:ind w:firstLine="640" w:firstLineChars="200"/>
        <w:jc w:val="left"/>
        <w:rPr>
          <w:rFonts w:ascii="仿宋" w:hAnsi="仿宋" w:eastAsia="仿宋"/>
          <w:bCs/>
          <w:sz w:val="32"/>
          <w:szCs w:val="32"/>
        </w:rPr>
      </w:pPr>
      <w:r>
        <w:rPr>
          <w:rFonts w:hint="eastAsia" w:ascii="仿宋" w:hAnsi="仿宋" w:eastAsia="仿宋"/>
          <w:bCs/>
          <w:sz w:val="32"/>
          <w:szCs w:val="32"/>
        </w:rPr>
        <w:t>镇统计工作经费按照绩效评价指标体系，对资金支出使用全过程及其实施效果进行综合评价和判断。</w:t>
      </w:r>
    </w:p>
    <w:p w14:paraId="466D70E8">
      <w:pPr>
        <w:adjustRightInd w:val="0"/>
        <w:snapToGrid w:val="0"/>
        <w:spacing w:line="576" w:lineRule="exact"/>
        <w:ind w:left="420" w:leftChars="200" w:firstLine="321" w:firstLineChars="100"/>
        <w:jc w:val="left"/>
        <w:rPr>
          <w:rFonts w:ascii="楷体_GB2312" w:hAnsi="宋体" w:eastAsia="楷体_GB2312"/>
          <w:b/>
          <w:sz w:val="32"/>
          <w:szCs w:val="32"/>
          <w:lang w:val="zh-CN"/>
        </w:rPr>
      </w:pPr>
      <w:r>
        <w:rPr>
          <w:rFonts w:hint="eastAsia" w:ascii="楷体_GB2312" w:hAnsi="宋体" w:eastAsia="楷体_GB2312"/>
          <w:b/>
          <w:sz w:val="32"/>
          <w:szCs w:val="32"/>
          <w:lang w:val="zh-CN"/>
        </w:rPr>
        <w:t>（三）评价选点</w:t>
      </w:r>
    </w:p>
    <w:p w14:paraId="1228F0AF">
      <w:pPr>
        <w:spacing w:line="576" w:lineRule="exact"/>
        <w:ind w:firstLine="640" w:firstLineChars="200"/>
        <w:jc w:val="left"/>
        <w:rPr>
          <w:rFonts w:ascii="仿宋_GB2312" w:hAnsi="微软雅黑" w:eastAsia="仿宋_GB2312" w:cs="仿宋_GB2312"/>
          <w:sz w:val="31"/>
          <w:szCs w:val="31"/>
        </w:rPr>
      </w:pPr>
      <w:r>
        <w:rPr>
          <w:rFonts w:hint="eastAsia" w:ascii="仿宋" w:hAnsi="仿宋" w:eastAsia="仿宋"/>
          <w:bCs/>
          <w:sz w:val="32"/>
          <w:szCs w:val="32"/>
        </w:rPr>
        <w:t>镇统计工作</w:t>
      </w:r>
      <w:r>
        <w:rPr>
          <w:rFonts w:hint="eastAsia" w:ascii="仿宋_GB2312" w:hAnsi="微软雅黑" w:eastAsia="仿宋_GB2312" w:cs="仿宋_GB2312"/>
          <w:sz w:val="31"/>
          <w:szCs w:val="31"/>
        </w:rPr>
        <w:t>经费的评价选点，应综合考虑资金使用情况、通过全面、客观的评价，可以及时发现问题、总结经验、完善制度，推动乡村统计</w:t>
      </w:r>
      <w:r>
        <w:rPr>
          <w:rFonts w:hint="eastAsia" w:ascii="楷体_GB2312" w:hAnsi="楷体_GB2312" w:eastAsia="楷体_GB2312" w:cs="楷体_GB2312"/>
          <w:color w:val="000000"/>
          <w:kern w:val="0"/>
          <w:sz w:val="32"/>
          <w:szCs w:val="32"/>
          <w:lang w:val="zh-CN"/>
        </w:rPr>
        <w:t>工作</w:t>
      </w:r>
      <w:r>
        <w:rPr>
          <w:rFonts w:hint="eastAsia" w:ascii="仿宋_GB2312" w:hAnsi="微软雅黑" w:eastAsia="仿宋_GB2312" w:cs="仿宋_GB2312"/>
          <w:sz w:val="31"/>
          <w:szCs w:val="31"/>
        </w:rPr>
        <w:t>。</w:t>
      </w:r>
    </w:p>
    <w:p w14:paraId="0507B22B">
      <w:pPr>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（四）评价方法</w:t>
      </w:r>
    </w:p>
    <w:p w14:paraId="5E22BE2B">
      <w:pPr>
        <w:adjustRightInd w:val="0"/>
        <w:snapToGrid w:val="0"/>
        <w:spacing w:line="576" w:lineRule="exact"/>
        <w:ind w:firstLine="640" w:firstLineChars="200"/>
        <w:jc w:val="left"/>
        <w:rPr>
          <w:rFonts w:ascii="仿宋" w:hAnsi="仿宋" w:eastAsia="仿宋"/>
          <w:bCs/>
          <w:sz w:val="32"/>
          <w:szCs w:val="32"/>
          <w:lang w:val="zh-CN"/>
        </w:rPr>
      </w:pPr>
      <w:r>
        <w:rPr>
          <w:rFonts w:hint="eastAsia" w:ascii="仿宋" w:hAnsi="仿宋" w:eastAsia="仿宋"/>
          <w:bCs/>
          <w:sz w:val="32"/>
          <w:szCs w:val="32"/>
        </w:rPr>
        <w:t>镇统计工作</w:t>
      </w:r>
      <w:r>
        <w:rPr>
          <w:rFonts w:hint="eastAsia" w:ascii="仿宋_GB2312" w:hAnsi="微软雅黑" w:eastAsia="仿宋_GB2312" w:cs="仿宋_GB2312"/>
          <w:sz w:val="31"/>
          <w:szCs w:val="31"/>
        </w:rPr>
        <w:t>经费</w:t>
      </w:r>
      <w:r>
        <w:rPr>
          <w:rFonts w:hint="eastAsia" w:ascii="仿宋_GB2312" w:hAnsi="仿宋_GB2312" w:eastAsia="仿宋_GB2312" w:cs="仿宋_GB2312"/>
          <w:sz w:val="32"/>
          <w:lang w:val="zh-CN"/>
        </w:rPr>
        <w:t>的评价方法应综合考虑预算编制与执行、资金使用的合理性、财务管理规范性及信息公开与监督等多个方面。通过科学</w:t>
      </w:r>
      <w:r>
        <w:rPr>
          <w:rFonts w:hint="eastAsia" w:ascii="仿宋" w:hAnsi="仿宋" w:eastAsia="仿宋"/>
          <w:bCs/>
          <w:sz w:val="32"/>
          <w:szCs w:val="32"/>
          <w:lang w:val="zh-CN"/>
        </w:rPr>
        <w:t>、客观的评价方法，可以及时发现问题、总结经验、完善制度，推动统计工作的开展。</w:t>
      </w:r>
    </w:p>
    <w:p w14:paraId="44D5F53C">
      <w:pPr>
        <w:adjustRightInd w:val="0"/>
        <w:snapToGrid w:val="0"/>
        <w:spacing w:line="576" w:lineRule="exact"/>
        <w:ind w:firstLine="643" w:firstLineChars="200"/>
        <w:jc w:val="left"/>
        <w:rPr>
          <w:rFonts w:ascii="楷体_GB2312" w:hAnsi="宋体" w:eastAsia="楷体_GB2312"/>
          <w:b/>
          <w:sz w:val="32"/>
          <w:szCs w:val="32"/>
          <w:lang w:val="zh-CN"/>
        </w:rPr>
      </w:pPr>
      <w:r>
        <w:rPr>
          <w:rFonts w:hint="eastAsia" w:ascii="楷体_GB2312" w:hAnsi="宋体" w:eastAsia="楷体_GB2312"/>
          <w:b/>
          <w:sz w:val="32"/>
          <w:szCs w:val="32"/>
          <w:lang w:val="zh-CN"/>
        </w:rPr>
        <w:t>（五）评价组织</w:t>
      </w:r>
    </w:p>
    <w:p w14:paraId="221A6E6F">
      <w:pPr>
        <w:adjustRightInd w:val="0"/>
        <w:snapToGrid w:val="0"/>
        <w:spacing w:line="576" w:lineRule="exact"/>
        <w:ind w:firstLine="640" w:firstLineChars="200"/>
        <w:jc w:val="left"/>
        <w:rPr>
          <w:rFonts w:ascii="仿宋" w:hAnsi="仿宋" w:eastAsia="仿宋"/>
          <w:bCs/>
          <w:sz w:val="32"/>
          <w:szCs w:val="32"/>
        </w:rPr>
      </w:pPr>
      <w:r>
        <w:rPr>
          <w:rFonts w:hint="eastAsia" w:ascii="仿宋" w:hAnsi="仿宋" w:eastAsia="仿宋"/>
          <w:bCs/>
          <w:sz w:val="32"/>
          <w:szCs w:val="32"/>
        </w:rPr>
        <w:t>镇统计工作经费</w:t>
      </w:r>
      <w:r>
        <w:rPr>
          <w:rFonts w:hint="eastAsia" w:ascii="仿宋" w:hAnsi="仿宋" w:eastAsia="仿宋"/>
          <w:bCs/>
          <w:sz w:val="32"/>
          <w:szCs w:val="32"/>
          <w:lang w:val="zh-CN"/>
        </w:rPr>
        <w:t>评价组织可以全面、客观地评估统计工作的使用效率和效果，为提升服务和管理水平提供有力支持</w:t>
      </w:r>
      <w:r>
        <w:rPr>
          <w:rFonts w:hint="eastAsia" w:ascii="仿宋" w:hAnsi="仿宋" w:eastAsia="仿宋"/>
          <w:bCs/>
          <w:sz w:val="32"/>
          <w:szCs w:val="32"/>
        </w:rPr>
        <w:t xml:space="preserve"> 。</w:t>
      </w:r>
    </w:p>
    <w:p w14:paraId="5CF9C349">
      <w:pPr>
        <w:adjustRightInd w:val="0"/>
        <w:snapToGrid w:val="0"/>
        <w:spacing w:line="576" w:lineRule="exact"/>
        <w:ind w:firstLine="640" w:firstLineChars="200"/>
        <w:jc w:val="left"/>
        <w:rPr>
          <w:rFonts w:ascii="仿宋_GB2312" w:hAnsi="宋体"/>
          <w:sz w:val="32"/>
          <w:szCs w:val="32"/>
          <w:lang w:val="zh-CN"/>
        </w:rPr>
      </w:pPr>
      <w:r>
        <w:rPr>
          <w:rFonts w:hint="eastAsia" w:ascii="黑体" w:hAnsi="宋体" w:eastAsia="黑体"/>
          <w:sz w:val="32"/>
          <w:szCs w:val="32"/>
        </w:rPr>
        <w:t>三、绩效分析</w:t>
      </w:r>
      <w:r>
        <w:rPr>
          <w:rFonts w:hint="eastAsia" w:ascii="仿宋_GB2312" w:hAnsi="宋体"/>
          <w:sz w:val="32"/>
          <w:szCs w:val="32"/>
          <w:lang w:val="zh-CN"/>
        </w:rPr>
        <w:tab/>
      </w:r>
    </w:p>
    <w:p w14:paraId="3F93E4F7">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（一）通用指标绩效分析</w:t>
      </w:r>
    </w:p>
    <w:p w14:paraId="73AA9956">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1.项目决策</w:t>
      </w:r>
      <w:r>
        <w:rPr>
          <w:rFonts w:hint="eastAsia" w:ascii="仿宋_GB2312" w:hAnsi="仿宋_GB2312" w:eastAsia="仿宋_GB2312" w:cs="仿宋_GB2312"/>
          <w:kern w:val="0"/>
          <w:sz w:val="32"/>
          <w:szCs w:val="32"/>
          <w:lang w:val="zh-CN"/>
        </w:rPr>
        <w:t>：</w:t>
      </w:r>
      <w:r>
        <w:rPr>
          <w:rFonts w:hint="eastAsia" w:ascii="仿宋" w:hAnsi="仿宋" w:eastAsia="仿宋"/>
          <w:bCs/>
          <w:sz w:val="32"/>
          <w:szCs w:val="32"/>
        </w:rPr>
        <w:t>镇统计工作</w:t>
      </w:r>
      <w:r>
        <w:rPr>
          <w:rFonts w:hint="eastAsia" w:ascii="仿宋_GB2312" w:hAnsi="微软雅黑" w:eastAsia="仿宋_GB2312" w:cs="仿宋_GB2312"/>
          <w:sz w:val="31"/>
          <w:szCs w:val="31"/>
        </w:rPr>
        <w:t>经费</w:t>
      </w:r>
      <w:r>
        <w:rPr>
          <w:rFonts w:ascii="仿宋_GB2312" w:hAnsi="仿宋_GB2312" w:eastAsia="仿宋_GB2312" w:cs="仿宋_GB2312"/>
          <w:kern w:val="0"/>
          <w:sz w:val="32"/>
          <w:szCs w:val="32"/>
          <w:lang w:val="zh-CN"/>
        </w:rPr>
        <w:t>项目为延续性项目，已在年初进行项目绩效目标申报，项目规划合理，年度绩效目标与中长期规划一致。资金管理办法健全完善。</w:t>
      </w:r>
    </w:p>
    <w:p w14:paraId="20963B04">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2.项目管理</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为使项目如期完成，结合常理镇实际情况，</w:t>
      </w:r>
      <w:r>
        <w:rPr>
          <w:rFonts w:hint="eastAsia" w:ascii="仿宋" w:hAnsi="仿宋" w:eastAsia="仿宋"/>
          <w:bCs/>
          <w:sz w:val="32"/>
          <w:szCs w:val="32"/>
        </w:rPr>
        <w:t>镇统计工作</w:t>
      </w:r>
      <w:r>
        <w:rPr>
          <w:rFonts w:ascii="仿宋_GB2312" w:hAnsi="仿宋_GB2312" w:eastAsia="仿宋_GB2312" w:cs="仿宋_GB2312"/>
          <w:kern w:val="0"/>
          <w:sz w:val="32"/>
          <w:szCs w:val="32"/>
          <w:lang w:val="zh-CN"/>
        </w:rPr>
        <w:t>项目按照镇党委工作分工，将所有项目分解到相关党政班子成员，由分管领导具体负责项目实施。在项目资金发放工作中，建立了符合财务会计制度的资金管理制度，专项管理、拨付规范、发放及时。</w:t>
      </w:r>
    </w:p>
    <w:p w14:paraId="0CB857A0">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3.项目实施</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常理镇成立了以镇党委书记为组长，班子成员和部门负责人及镇村主职干部为成员的</w:t>
      </w:r>
      <w:r>
        <w:rPr>
          <w:rFonts w:hint="eastAsia" w:ascii="仿宋_GB2312" w:hAnsi="仿宋_GB2312" w:eastAsia="仿宋_GB2312" w:cs="仿宋_GB2312"/>
          <w:sz w:val="32"/>
          <w:lang w:val="zh-CN"/>
        </w:rPr>
        <w:t>统计工作</w:t>
      </w:r>
      <w:r>
        <w:rPr>
          <w:rFonts w:ascii="仿宋_GB2312" w:hAnsi="仿宋_GB2312" w:eastAsia="仿宋_GB2312" w:cs="仿宋_GB2312"/>
          <w:kern w:val="0"/>
          <w:sz w:val="32"/>
          <w:szCs w:val="32"/>
          <w:lang w:val="zh-CN"/>
        </w:rPr>
        <w:t>项目行动领导小组，统筹推进各项</w:t>
      </w:r>
      <w:r>
        <w:rPr>
          <w:rFonts w:hint="eastAsia" w:ascii="仿宋_GB2312" w:hAnsi="微软雅黑" w:eastAsia="仿宋_GB2312" w:cs="仿宋_GB2312"/>
          <w:sz w:val="31"/>
          <w:szCs w:val="31"/>
          <w:lang w:val="zh-CN"/>
        </w:rPr>
        <w:t>统计工作</w:t>
      </w:r>
      <w:r>
        <w:rPr>
          <w:rFonts w:ascii="仿宋_GB2312" w:hAnsi="仿宋_GB2312" w:eastAsia="仿宋_GB2312" w:cs="仿宋_GB2312"/>
          <w:kern w:val="0"/>
          <w:sz w:val="32"/>
          <w:szCs w:val="32"/>
          <w:lang w:val="zh-CN"/>
        </w:rPr>
        <w:t>。</w:t>
      </w:r>
    </w:p>
    <w:p w14:paraId="35A9208E">
      <w:pPr>
        <w:spacing w:line="576" w:lineRule="exact"/>
        <w:ind w:firstLine="640"/>
        <w:jc w:val="left"/>
        <w:rPr>
          <w:lang w:val="zh-CN"/>
        </w:rPr>
      </w:pPr>
      <w:r>
        <w:rPr>
          <w:rFonts w:ascii="仿宋_GB2312" w:hAnsi="仿宋_GB2312" w:eastAsia="仿宋_GB2312" w:cs="仿宋_GB2312"/>
          <w:kern w:val="0"/>
          <w:sz w:val="32"/>
          <w:szCs w:val="32"/>
          <w:lang w:val="zh-CN"/>
        </w:rPr>
        <w:t>4.项目结果</w:t>
      </w:r>
      <w:r>
        <w:rPr>
          <w:rFonts w:hint="eastAsia" w:ascii="仿宋_GB2312" w:hAnsi="仿宋_GB2312" w:eastAsia="仿宋_GB2312" w:cs="仿宋_GB2312"/>
          <w:kern w:val="0"/>
          <w:sz w:val="32"/>
          <w:szCs w:val="32"/>
          <w:lang w:val="zh-CN"/>
        </w:rPr>
        <w:t>：</w:t>
      </w:r>
      <w:r>
        <w:rPr>
          <w:rFonts w:ascii="仿宋_GB2312" w:hAnsi="仿宋_GB2312" w:eastAsia="仿宋_GB2312" w:cs="仿宋_GB2312"/>
          <w:kern w:val="0"/>
          <w:sz w:val="32"/>
          <w:szCs w:val="32"/>
          <w:lang w:val="zh-CN"/>
        </w:rPr>
        <w:t>项目目标明确、资金到位率高、组织监管体系完善。我镇</w:t>
      </w:r>
      <w:r>
        <w:rPr>
          <w:rFonts w:hint="eastAsia" w:ascii="仿宋_GB2312" w:hAnsi="仿宋_GB2312" w:eastAsia="仿宋_GB2312" w:cs="仿宋_GB2312"/>
          <w:sz w:val="32"/>
          <w:lang w:val="zh-CN"/>
        </w:rPr>
        <w:t>统计工作队经费</w:t>
      </w:r>
      <w:r>
        <w:rPr>
          <w:rFonts w:ascii="仿宋_GB2312" w:hAnsi="仿宋_GB2312" w:eastAsia="仿宋_GB2312" w:cs="仿宋_GB2312"/>
          <w:kern w:val="0"/>
          <w:sz w:val="32"/>
          <w:szCs w:val="32"/>
          <w:lang w:val="zh-CN"/>
        </w:rPr>
        <w:t>项目资金较好地实现了绩效目标。自评得分100分。</w:t>
      </w:r>
    </w:p>
    <w:p w14:paraId="5808E75C">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（二）专用指标绩效分析</w:t>
      </w:r>
    </w:p>
    <w:p w14:paraId="366F6106">
      <w:pPr>
        <w:spacing w:line="576" w:lineRule="exact"/>
        <w:ind w:firstLine="64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行政运转。根据</w:t>
      </w:r>
      <w:r>
        <w:rPr>
          <w:rFonts w:hint="eastAsia" w:ascii="仿宋" w:hAnsi="仿宋" w:eastAsia="仿宋"/>
          <w:bCs/>
          <w:sz w:val="32"/>
          <w:szCs w:val="32"/>
        </w:rPr>
        <w:t>镇统计工作</w:t>
      </w:r>
      <w:r>
        <w:rPr>
          <w:rFonts w:hint="eastAsia" w:ascii="仿宋_GB2312" w:hAnsi="微软雅黑" w:eastAsia="仿宋_GB2312" w:cs="仿宋_GB2312"/>
          <w:sz w:val="31"/>
          <w:szCs w:val="31"/>
        </w:rPr>
        <w:t>经费</w:t>
      </w:r>
      <w:r>
        <w:rPr>
          <w:rFonts w:ascii="仿宋_GB2312" w:hAnsi="仿宋_GB2312" w:eastAsia="仿宋_GB2312" w:cs="仿宋_GB2312"/>
          <w:kern w:val="0"/>
          <w:sz w:val="32"/>
          <w:szCs w:val="32"/>
          <w:lang w:val="zh-CN"/>
        </w:rPr>
        <w:t>项目进行项目绩效目标进行自评，对该项目专项资金进行绩效分析，该项目资金使用合规合法。</w:t>
      </w:r>
    </w:p>
    <w:p w14:paraId="64F80A05">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（三）个性指标绩效分析</w:t>
      </w:r>
    </w:p>
    <w:p w14:paraId="7B959DCB">
      <w:pPr>
        <w:spacing w:line="576" w:lineRule="exact"/>
        <w:ind w:firstLine="640" w:firstLineChars="200"/>
        <w:jc w:val="left"/>
        <w:rPr>
          <w:rFonts w:ascii="仿宋_GB2312" w:hAnsi="仿宋_GB2312" w:eastAsia="仿宋_GB2312" w:cs="仿宋_GB2312"/>
          <w:kern w:val="0"/>
          <w:sz w:val="32"/>
          <w:szCs w:val="32"/>
          <w:lang w:val="zh-CN"/>
        </w:rPr>
      </w:pPr>
      <w:r>
        <w:rPr>
          <w:rFonts w:ascii="仿宋_GB2312" w:hAnsi="仿宋_GB2312" w:eastAsia="仿宋_GB2312" w:cs="仿宋_GB2312"/>
          <w:kern w:val="0"/>
          <w:sz w:val="32"/>
          <w:szCs w:val="32"/>
          <w:lang w:val="zh-CN"/>
        </w:rPr>
        <w:t>质量指标：</w:t>
      </w:r>
      <w:r>
        <w:rPr>
          <w:rFonts w:hint="eastAsia" w:ascii="仿宋_GB2312" w:hAnsi="仿宋_GB2312" w:eastAsia="仿宋_GB2312" w:cs="仿宋_GB2312"/>
          <w:kern w:val="0"/>
          <w:sz w:val="32"/>
          <w:szCs w:val="32"/>
          <w:lang w:val="zh-CN"/>
        </w:rPr>
        <w:t>预算执行率，经费使用的效率和合规性。</w:t>
      </w:r>
    </w:p>
    <w:p w14:paraId="324EEF4A">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社会效益指标</w:t>
      </w:r>
      <w:r>
        <w:rPr>
          <w:rFonts w:ascii="仿宋_GB2312" w:hAnsi="仿宋_GB2312" w:eastAsia="仿宋_GB2312" w:cs="仿宋_GB2312"/>
          <w:kern w:val="0"/>
          <w:sz w:val="32"/>
          <w:szCs w:val="32"/>
          <w:lang w:val="zh-CN"/>
        </w:rPr>
        <w:t>：</w:t>
      </w:r>
      <w:r>
        <w:rPr>
          <w:rFonts w:hint="eastAsia" w:ascii="仿宋_GB2312" w:hAnsi="仿宋_GB2312" w:eastAsia="仿宋_GB2312" w:cs="仿宋_GB2312"/>
          <w:kern w:val="0"/>
          <w:sz w:val="32"/>
          <w:szCs w:val="32"/>
          <w:lang w:val="zh-CN"/>
        </w:rPr>
        <w:t>统计工作对政策制定和实施的贡献度。</w:t>
      </w:r>
    </w:p>
    <w:p w14:paraId="200331AC">
      <w:pPr>
        <w:spacing w:line="576" w:lineRule="exact"/>
        <w:ind w:firstLine="640" w:firstLineChars="200"/>
        <w:jc w:val="left"/>
        <w:rPr>
          <w:rFonts w:ascii="仿宋_GB2312" w:hAnsi="微软雅黑" w:eastAsia="仿宋_GB2312" w:cs="仿宋_GB2312"/>
          <w:sz w:val="31"/>
          <w:szCs w:val="31"/>
        </w:rPr>
      </w:pPr>
      <w:r>
        <w:rPr>
          <w:rFonts w:ascii="仿宋_GB2312" w:hAnsi="仿宋_GB2312" w:eastAsia="仿宋_GB2312" w:cs="仿宋_GB2312"/>
          <w:kern w:val="0"/>
          <w:sz w:val="32"/>
          <w:szCs w:val="32"/>
          <w:lang w:val="zh-CN"/>
        </w:rPr>
        <w:t>满意度指标：村民满意程度得到提高。</w:t>
      </w:r>
    </w:p>
    <w:p w14:paraId="4FBE5E6B">
      <w:pPr>
        <w:pStyle w:val="9"/>
        <w:tabs>
          <w:tab w:val="left" w:pos="2160"/>
        </w:tabs>
        <w:spacing w:before="93" w:line="576" w:lineRule="exact"/>
        <w:ind w:firstLine="640" w:firstLineChars="200"/>
        <w:jc w:val="left"/>
        <w:rPr>
          <w:rFonts w:ascii="黑体" w:hAnsi="宋体" w:eastAsia="黑体"/>
          <w:sz w:val="32"/>
          <w:szCs w:val="32"/>
        </w:rPr>
      </w:pPr>
      <w:r>
        <w:rPr>
          <w:rFonts w:hint="eastAsia" w:ascii="黑体" w:hAnsi="宋体" w:eastAsia="黑体"/>
          <w:sz w:val="32"/>
          <w:szCs w:val="32"/>
        </w:rPr>
        <w:t>四、评价结论</w:t>
      </w:r>
    </w:p>
    <w:p w14:paraId="2FBCC9B8">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总体上看，项目目标明确、资金到位率高、组织监管体系完善。我镇（街道）统计工作经费项目资金较好地实现了绩效目标。自评分1</w:t>
      </w:r>
      <w:r>
        <w:rPr>
          <w:rFonts w:ascii="仿宋_GB2312" w:hAnsi="仿宋_GB2312" w:eastAsia="仿宋_GB2312" w:cs="仿宋_GB2312"/>
          <w:kern w:val="0"/>
          <w:sz w:val="32"/>
          <w:szCs w:val="32"/>
          <w:lang w:val="zh-CN"/>
        </w:rPr>
        <w:t>00</w:t>
      </w:r>
      <w:r>
        <w:rPr>
          <w:rFonts w:hint="eastAsia" w:ascii="仿宋_GB2312" w:hAnsi="仿宋_GB2312" w:eastAsia="仿宋_GB2312" w:cs="仿宋_GB2312"/>
          <w:kern w:val="0"/>
          <w:sz w:val="32"/>
          <w:szCs w:val="32"/>
          <w:lang w:val="zh-CN"/>
        </w:rPr>
        <w:t>分。</w:t>
      </w:r>
    </w:p>
    <w:p w14:paraId="2B1BF72A">
      <w:pPr>
        <w:pStyle w:val="9"/>
        <w:tabs>
          <w:tab w:val="left" w:pos="2160"/>
        </w:tabs>
        <w:spacing w:before="93" w:line="576" w:lineRule="exact"/>
        <w:ind w:firstLine="640" w:firstLineChars="200"/>
        <w:jc w:val="left"/>
        <w:rPr>
          <w:rFonts w:ascii="黑体" w:hAnsi="宋体" w:eastAsia="黑体"/>
          <w:sz w:val="32"/>
          <w:szCs w:val="32"/>
        </w:rPr>
      </w:pPr>
      <w:r>
        <w:rPr>
          <w:rFonts w:hint="eastAsia" w:ascii="黑体" w:hAnsi="宋体" w:eastAsia="黑体"/>
          <w:sz w:val="32"/>
          <w:szCs w:val="32"/>
        </w:rPr>
        <w:t>五、存在主要问题</w:t>
      </w:r>
    </w:p>
    <w:p w14:paraId="41EC5E9B">
      <w:pPr>
        <w:spacing w:line="576" w:lineRule="exact"/>
        <w:ind w:firstLine="640" w:firstLineChars="200"/>
        <w:jc w:val="left"/>
        <w:rPr>
          <w:rFonts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资金使用效率不高、项目管理不规范、数据质量不高。</w:t>
      </w:r>
    </w:p>
    <w:p w14:paraId="55703D42">
      <w:pPr>
        <w:pStyle w:val="9"/>
        <w:tabs>
          <w:tab w:val="left" w:pos="2160"/>
        </w:tabs>
        <w:spacing w:before="93" w:line="576" w:lineRule="exact"/>
        <w:ind w:firstLine="640" w:firstLineChars="200"/>
        <w:jc w:val="left"/>
        <w:rPr>
          <w:rFonts w:ascii="黑体" w:hAnsi="宋体" w:eastAsia="黑体"/>
          <w:sz w:val="32"/>
          <w:szCs w:val="32"/>
        </w:rPr>
      </w:pPr>
      <w:r>
        <w:rPr>
          <w:rFonts w:hint="eastAsia" w:ascii="黑体" w:hAnsi="宋体" w:eastAsia="黑体"/>
          <w:sz w:val="32"/>
          <w:szCs w:val="32"/>
        </w:rPr>
        <w:t>六、相关措施建议</w:t>
      </w:r>
    </w:p>
    <w:p w14:paraId="40CBFA7F">
      <w:pPr>
        <w:spacing w:line="576" w:lineRule="exact"/>
        <w:ind w:firstLine="640" w:firstLineChars="200"/>
        <w:jc w:val="left"/>
      </w:pPr>
      <w:r>
        <w:rPr>
          <w:rFonts w:hint="eastAsia" w:ascii="仿宋_GB2312" w:hAnsi="仿宋_GB2312" w:eastAsia="仿宋_GB2312" w:cs="仿宋_GB2312"/>
          <w:kern w:val="0"/>
          <w:sz w:val="32"/>
          <w:szCs w:val="32"/>
          <w:lang w:val="zh-CN"/>
        </w:rPr>
        <w:t>加强预算管理：细化预算编制，优化支出结构，提高资金使用效率。完善项目管理：建立健全项目管理制度，加强项目申报、审批、执行和监督等环节的管理。</w:t>
      </w:r>
      <w:r>
        <w:rPr>
          <w:rFonts w:hint="eastAsia" w:eastAsia="仿宋_GB2312"/>
          <w:sz w:val="32"/>
        </w:rPr>
        <w:t>提高数据质量：加强数据采集、处理和审核等环节的质量控制，确保数据的准确性和完整性。加强信息化建设：推进统计信息系统的建设和应用，提高数据处理和分析的技术水平。加强培训与交流：加强对统计人员的培训与交流，提高业务能力和综合素质。</w:t>
      </w:r>
    </w:p>
    <w:p w14:paraId="61A1558D">
      <w:pPr>
        <w:pStyle w:val="3"/>
        <w:spacing w:line="576" w:lineRule="exact"/>
        <w:ind w:left="420"/>
        <w:jc w:val="left"/>
      </w:pPr>
    </w:p>
    <w:p w14:paraId="126A8459">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4D48CF7D">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lang w:val="zh-CN"/>
        </w:rPr>
        <w:t>（人大代表监督、视察等经费项目）</w:t>
      </w:r>
    </w:p>
    <w:p w14:paraId="24BCD206">
      <w:pPr>
        <w:spacing w:line="576" w:lineRule="exact"/>
        <w:ind w:firstLine="643" w:firstLineChars="200"/>
        <w:jc w:val="center"/>
        <w:rPr>
          <w:rFonts w:ascii="楷体_GB2312" w:hAnsi="宋体" w:eastAsia="楷体_GB2312"/>
          <w:b/>
          <w:sz w:val="32"/>
          <w:szCs w:val="32"/>
          <w:lang w:val="zh-CN"/>
        </w:rPr>
      </w:pPr>
    </w:p>
    <w:p w14:paraId="20D356E6">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一、项目概况</w:t>
      </w:r>
    </w:p>
    <w:p w14:paraId="533A64B8">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5D1F98D2">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为充分发挥人大代表积极履行宪法和法律赋予的职能，依据 《代表法》第三十五条：“代表的活动经费，应当列入本级财政预算予以保障，专款专用”。根据人大工作需要，按照相关文件、会议精神进行申报立项，确保资金的使用符合政策和项目的实际需求。人大代表经费项目主要是保障全镇63名人大代表会议费、误工费、生活费、差旅费等费用。</w:t>
      </w:r>
    </w:p>
    <w:p w14:paraId="78DE724E">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（二）实施目的及支持方向</w:t>
      </w:r>
    </w:p>
    <w:p w14:paraId="7E8F3F6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lang w:val="zh-CN"/>
        </w:rPr>
        <w:t>人大代表监督、视察等经费</w:t>
      </w:r>
      <w:r>
        <w:rPr>
          <w:rFonts w:hint="eastAsia" w:ascii="仿宋_GB2312" w:hAnsi="微软雅黑" w:eastAsia="仿宋_GB2312" w:cs="仿宋_GB2312"/>
          <w:sz w:val="31"/>
          <w:szCs w:val="31"/>
        </w:rPr>
        <w:t>项目的实施目的为了支持和保障镇人大代表依法履行代表职务，确保代表在闭会期间能够有效地发挥作用，促进社会主义政治文明建设和和谐社会的发展。</w:t>
      </w:r>
    </w:p>
    <w:p w14:paraId="37ADB63A">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（三）预算安排及分配管理</w:t>
      </w:r>
    </w:p>
    <w:p w14:paraId="52D268AC">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lang w:val="zh-CN"/>
        </w:rPr>
        <w:t>人大代表监督、视察等经费</w:t>
      </w:r>
      <w:r>
        <w:rPr>
          <w:rFonts w:hint="eastAsia" w:ascii="仿宋_GB2312" w:hAnsi="微软雅黑" w:eastAsia="仿宋_GB2312" w:cs="仿宋_GB2312"/>
          <w:sz w:val="31"/>
          <w:szCs w:val="31"/>
        </w:rPr>
        <w:t>项目2023年初预算2万元 ，预算批复2万元。资金主要用于全镇63名人大代表会议费、误工费、生活费、差旅费等。</w:t>
      </w:r>
    </w:p>
    <w:p w14:paraId="50035C4E">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（四）项目绩效目标设置</w:t>
      </w:r>
    </w:p>
    <w:p w14:paraId="0F25DE35">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主要是将围绕“全过程、全方位、全覆盖”预算绩效管理体系，保证全面完成各项目标。按工作安排完成组织代表视察、专题调研、任免选举等各项工作任务,项目经费为</w:t>
      </w:r>
      <w:r>
        <w:rPr>
          <w:rFonts w:hint="eastAsia" w:ascii="仿宋_GB2312" w:hAnsi="微软雅黑" w:eastAsia="仿宋_GB2312" w:cs="仿宋_GB2312"/>
          <w:sz w:val="31"/>
          <w:szCs w:val="31"/>
          <w:lang w:eastAsia="zh-CN"/>
        </w:rPr>
        <w:t>人大代表履行职责</w:t>
      </w:r>
      <w:r>
        <w:rPr>
          <w:rFonts w:hint="eastAsia" w:ascii="仿宋_GB2312" w:hAnsi="微软雅黑" w:eastAsia="仿宋_GB2312" w:cs="仿宋_GB2312"/>
          <w:sz w:val="31"/>
          <w:szCs w:val="31"/>
        </w:rPr>
        <w:t>提供财力的保证。</w:t>
      </w:r>
    </w:p>
    <w:p w14:paraId="3AF56C89">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二、评价实施</w:t>
      </w:r>
    </w:p>
    <w:p w14:paraId="78DECF74">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（一）评价目的</w:t>
      </w:r>
    </w:p>
    <w:p w14:paraId="5C8AB805">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通过对</w:t>
      </w:r>
      <w:r>
        <w:rPr>
          <w:rFonts w:hint="eastAsia" w:ascii="仿宋_GB2312" w:hAnsi="微软雅黑" w:eastAsia="仿宋_GB2312" w:cs="仿宋_GB2312"/>
          <w:sz w:val="31"/>
          <w:szCs w:val="31"/>
          <w:lang w:val="zh-CN"/>
        </w:rPr>
        <w:t>人大代表监督、视察等</w:t>
      </w:r>
      <w:r>
        <w:rPr>
          <w:rFonts w:hint="eastAsia" w:ascii="仿宋_GB2312" w:hAnsi="微软雅黑" w:eastAsia="仿宋_GB2312" w:cs="仿宋_GB2312"/>
          <w:sz w:val="31"/>
          <w:szCs w:val="31"/>
        </w:rPr>
        <w:t>经费项目专项资金的绩效评价，了解人大代表经费项目的资金来源、使用和管理情况、项目组织和实施情况，检验项目投入是否达到预期目标，总结经验，分析问题，强化项目资金管理，进一步提升预算项目资金使用成效。</w:t>
      </w:r>
    </w:p>
    <w:p w14:paraId="3ACFCC66">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（二）预设问题及评价重点</w:t>
      </w:r>
      <w:bookmarkStart w:id="48" w:name="_GoBack"/>
      <w:bookmarkEnd w:id="48"/>
    </w:p>
    <w:p w14:paraId="3B787C1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通过项目绩效自评</w:t>
      </w:r>
      <w:r>
        <w:rPr>
          <w:rFonts w:hint="eastAsia" w:ascii="仿宋_GB2312" w:hAnsi="微软雅黑" w:eastAsia="仿宋_GB2312" w:cs="仿宋_GB2312"/>
          <w:sz w:val="31"/>
          <w:szCs w:val="31"/>
          <w:lang w:val="zh-CN"/>
        </w:rPr>
        <w:t>人大代表监督、视察等经费</w:t>
      </w:r>
      <w:r>
        <w:rPr>
          <w:rFonts w:hint="eastAsia" w:ascii="仿宋_GB2312" w:hAnsi="微软雅黑" w:eastAsia="仿宋_GB2312" w:cs="仿宋_GB2312"/>
          <w:sz w:val="31"/>
          <w:szCs w:val="31"/>
        </w:rPr>
        <w:t>自评按照绩效评价指标体系，对资金支出使用全过程及其实施效果进行综合评价和判断。</w:t>
      </w:r>
    </w:p>
    <w:p w14:paraId="587CEB7F">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（三）评价选点</w:t>
      </w:r>
    </w:p>
    <w:p w14:paraId="2A830453">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人大代表监督视察等经费的评价选点应涵盖预算与分配、使用合规性、使用效果、使用效率以及监督与审计等多个方面，以确保经费能够充分发挥作用，推动人大代表监督视察等活动的有效开展。</w:t>
      </w:r>
    </w:p>
    <w:p w14:paraId="672CC705">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（四）评价方法</w:t>
      </w:r>
    </w:p>
    <w:p w14:paraId="2802C16E">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本次绩效评价采用了成本效益比较法、单位自评法、实地勘察法、问卷调查法、座谈调研法等多种方法。</w:t>
      </w:r>
    </w:p>
    <w:p w14:paraId="0F480D26">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（五）评价组织</w:t>
      </w:r>
    </w:p>
    <w:p w14:paraId="2F3B39B4">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党委书记：项目决策及资金使用管理情况</w:t>
      </w:r>
    </w:p>
    <w:p w14:paraId="1330787E">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人大主席：绩效评价工作‌</w:t>
      </w:r>
    </w:p>
    <w:p w14:paraId="29AA45D5">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纪委书记：监督检查本次项目自评工作</w:t>
      </w:r>
    </w:p>
    <w:p w14:paraId="32678B14">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财政办主任：专项资金的管理和使用‌</w:t>
      </w:r>
    </w:p>
    <w:p w14:paraId="20A6830F">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三、绩效分析</w:t>
      </w:r>
      <w:r>
        <w:rPr>
          <w:rFonts w:hint="eastAsia" w:ascii="仿宋_GB2312" w:hAnsi="微软雅黑" w:eastAsia="仿宋_GB2312" w:cs="仿宋_GB2312"/>
          <w:b/>
          <w:sz w:val="31"/>
          <w:szCs w:val="31"/>
        </w:rPr>
        <w:tab/>
      </w:r>
    </w:p>
    <w:p w14:paraId="6EA4FF1E">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（一）通用指标绩效分析</w:t>
      </w:r>
    </w:p>
    <w:p w14:paraId="118F9D5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1.项目决策:</w:t>
      </w:r>
      <w:r>
        <w:rPr>
          <w:rFonts w:hint="eastAsia" w:ascii="仿宋_GB2312" w:hAnsi="微软雅黑" w:eastAsia="仿宋_GB2312" w:cs="仿宋_GB2312"/>
          <w:sz w:val="31"/>
          <w:szCs w:val="31"/>
          <w:lang w:val="zh-CN"/>
        </w:rPr>
        <w:t>人大代表监督、视察等经费</w:t>
      </w:r>
      <w:r>
        <w:rPr>
          <w:rFonts w:hint="eastAsia" w:ascii="仿宋_GB2312" w:hAnsi="微软雅黑" w:eastAsia="仿宋_GB2312" w:cs="仿宋_GB2312"/>
          <w:sz w:val="31"/>
          <w:szCs w:val="31"/>
        </w:rPr>
        <w:t>项目为延续性项目，已在年初进行项目绩效目标申报，项目规划合理，年度绩效目标与中长期规划一致。资金管理办法健全完善。</w:t>
      </w:r>
    </w:p>
    <w:p w14:paraId="13D75F89">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2.项目管理:为使项目如期完成，结合常理镇实际情况，对</w:t>
      </w:r>
      <w:r>
        <w:rPr>
          <w:rFonts w:hint="eastAsia" w:ascii="仿宋_GB2312" w:hAnsi="微软雅黑" w:eastAsia="仿宋_GB2312" w:cs="仿宋_GB2312"/>
          <w:sz w:val="31"/>
          <w:szCs w:val="31"/>
          <w:lang w:val="zh-CN"/>
        </w:rPr>
        <w:t>人大代表监督、视察等经费项目</w:t>
      </w:r>
      <w:r>
        <w:rPr>
          <w:rFonts w:hint="eastAsia" w:ascii="仿宋_GB2312" w:hAnsi="微软雅黑" w:eastAsia="仿宋_GB2312" w:cs="仿宋_GB2312"/>
          <w:sz w:val="31"/>
          <w:szCs w:val="31"/>
        </w:rPr>
        <w:t>按照镇党委工作分工，将所有项目分解到相关党政班子成员，由分管领导具体负责项目实施。在项目资金发放工作中，建立了符合财务会计制度的</w:t>
      </w:r>
      <w:r>
        <w:rPr>
          <w:rFonts w:hint="eastAsia" w:ascii="仿宋_GB2312" w:hAnsi="微软雅黑" w:eastAsia="仿宋_GB2312" w:cs="仿宋_GB2312"/>
          <w:sz w:val="31"/>
          <w:szCs w:val="31"/>
          <w:lang w:val="zh-CN"/>
        </w:rPr>
        <w:t>人大代表监督、视察</w:t>
      </w:r>
      <w:r>
        <w:rPr>
          <w:rFonts w:hint="eastAsia" w:ascii="仿宋_GB2312" w:hAnsi="微软雅黑" w:eastAsia="仿宋_GB2312" w:cs="仿宋_GB2312"/>
          <w:sz w:val="31"/>
          <w:szCs w:val="31"/>
        </w:rPr>
        <w:t>项目资金管理制度，专项管理、拨付规范、发放及时。</w:t>
      </w:r>
    </w:p>
    <w:p w14:paraId="494F48B6">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3.项目实施:常理镇成立了以镇党委书记为组长，班子成员和部门负责人及集镇村主职干部为成员的</w:t>
      </w:r>
      <w:r>
        <w:rPr>
          <w:rFonts w:hint="eastAsia" w:ascii="仿宋_GB2312" w:hAnsi="微软雅黑" w:eastAsia="仿宋_GB2312" w:cs="仿宋_GB2312"/>
          <w:sz w:val="31"/>
          <w:szCs w:val="31"/>
          <w:lang w:val="zh-CN"/>
        </w:rPr>
        <w:t>人大代表监督、视察</w:t>
      </w:r>
      <w:r>
        <w:rPr>
          <w:rFonts w:hint="eastAsia" w:ascii="仿宋_GB2312" w:hAnsi="微软雅黑" w:eastAsia="仿宋_GB2312" w:cs="仿宋_GB2312"/>
          <w:sz w:val="31"/>
          <w:szCs w:val="31"/>
        </w:rPr>
        <w:t>行动领导小组，统筹推进各项</w:t>
      </w:r>
      <w:r>
        <w:rPr>
          <w:rFonts w:hint="eastAsia" w:ascii="仿宋_GB2312" w:hAnsi="微软雅黑" w:eastAsia="仿宋_GB2312" w:cs="仿宋_GB2312"/>
          <w:sz w:val="31"/>
          <w:szCs w:val="31"/>
          <w:lang w:val="zh-CN"/>
        </w:rPr>
        <w:t>人大代表监督、视察</w:t>
      </w:r>
      <w:r>
        <w:rPr>
          <w:rFonts w:hint="eastAsia" w:ascii="仿宋_GB2312" w:hAnsi="微软雅黑" w:eastAsia="仿宋_GB2312" w:cs="仿宋_GB2312"/>
          <w:sz w:val="31"/>
          <w:szCs w:val="31"/>
        </w:rPr>
        <w:t>工作。</w:t>
      </w:r>
    </w:p>
    <w:p w14:paraId="0FBFE722">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4.项目结果:项目目标明确、资金到位率高、组织监管体系完善。我镇</w:t>
      </w:r>
      <w:r>
        <w:rPr>
          <w:rFonts w:hint="eastAsia" w:ascii="仿宋_GB2312" w:hAnsi="微软雅黑" w:eastAsia="仿宋_GB2312" w:cs="仿宋_GB2312"/>
          <w:sz w:val="31"/>
          <w:szCs w:val="31"/>
          <w:lang w:val="zh-CN"/>
        </w:rPr>
        <w:t>人大代表监督、视察</w:t>
      </w:r>
      <w:r>
        <w:rPr>
          <w:rFonts w:hint="eastAsia" w:ascii="仿宋_GB2312" w:hAnsi="微软雅黑" w:eastAsia="仿宋_GB2312" w:cs="仿宋_GB2312"/>
          <w:sz w:val="31"/>
          <w:szCs w:val="31"/>
        </w:rPr>
        <w:t>经费项目资金较好地实现了绩效目标。自评得分100分。</w:t>
      </w:r>
    </w:p>
    <w:p w14:paraId="09A04A10">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（二）专用指标绩效分析</w:t>
      </w:r>
    </w:p>
    <w:p w14:paraId="07316166">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行政运转。根据对人大代表</w:t>
      </w:r>
      <w:r>
        <w:rPr>
          <w:rFonts w:hint="eastAsia" w:ascii="仿宋_GB2312" w:hAnsi="微软雅黑" w:eastAsia="仿宋_GB2312" w:cs="仿宋_GB2312"/>
          <w:sz w:val="31"/>
          <w:szCs w:val="31"/>
          <w:lang w:val="zh-CN"/>
        </w:rPr>
        <w:t>监督、视察</w:t>
      </w:r>
      <w:r>
        <w:rPr>
          <w:rFonts w:hint="eastAsia" w:ascii="仿宋_GB2312" w:hAnsi="微软雅黑" w:eastAsia="仿宋_GB2312" w:cs="仿宋_GB2312"/>
          <w:sz w:val="31"/>
          <w:szCs w:val="31"/>
        </w:rPr>
        <w:t>项目进行项目绩效目标进行自评，对该项目专项资金进行绩效分析，该项目资金使用合规合法。</w:t>
      </w:r>
    </w:p>
    <w:p w14:paraId="786B6EA4">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（三）个性指标绩效分析</w:t>
      </w:r>
    </w:p>
    <w:p w14:paraId="7701C8C0">
      <w:pPr>
        <w:adjustRightInd w:val="0"/>
        <w:snapToGrid w:val="0"/>
        <w:spacing w:line="576" w:lineRule="exact"/>
        <w:ind w:firstLine="720"/>
        <w:jc w:val="left"/>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rPr>
        <w:t>质量指标：协助政府开展工作，准确反映民意</w:t>
      </w:r>
      <w:r>
        <w:rPr>
          <w:rFonts w:hint="eastAsia" w:ascii="仿宋_GB2312" w:hAnsi="微软雅黑" w:eastAsia="仿宋_GB2312" w:cs="仿宋_GB2312"/>
          <w:sz w:val="31"/>
          <w:szCs w:val="31"/>
          <w:lang w:eastAsia="zh-CN"/>
        </w:rPr>
        <w:t>。</w:t>
      </w:r>
    </w:p>
    <w:p w14:paraId="4C2687D5">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社会效益指标：镇人大代表能够认真履行职责，充分发挥党和国家机关联系人民群众的桥梁和纽带的作用。</w:t>
      </w:r>
    </w:p>
    <w:p w14:paraId="5AD5958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满意度指标：人大代表满意程度得到提高。</w:t>
      </w:r>
    </w:p>
    <w:p w14:paraId="1438465B">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四、评价结论</w:t>
      </w:r>
    </w:p>
    <w:p w14:paraId="3FCF1C5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总体上看</w:t>
      </w:r>
      <w:r>
        <w:rPr>
          <w:rFonts w:hint="eastAsia" w:ascii="仿宋_GB2312" w:hAnsi="微软雅黑" w:eastAsia="仿宋_GB2312" w:cs="仿宋_GB2312"/>
          <w:sz w:val="31"/>
          <w:szCs w:val="31"/>
          <w:lang w:eastAsia="zh-CN"/>
        </w:rPr>
        <w:t>，</w:t>
      </w:r>
      <w:r>
        <w:rPr>
          <w:rFonts w:hint="eastAsia" w:ascii="仿宋_GB2312" w:hAnsi="微软雅黑" w:eastAsia="仿宋_GB2312" w:cs="仿宋_GB2312"/>
          <w:sz w:val="31"/>
          <w:szCs w:val="31"/>
        </w:rPr>
        <w:t>项目目标明确、资金到位率高、组织监管体系完善。我镇</w:t>
      </w:r>
      <w:r>
        <w:rPr>
          <w:rFonts w:hint="eastAsia" w:ascii="仿宋_GB2312" w:hAnsi="微软雅黑" w:eastAsia="仿宋_GB2312" w:cs="仿宋_GB2312"/>
          <w:sz w:val="31"/>
          <w:szCs w:val="31"/>
          <w:lang w:val="zh-CN"/>
        </w:rPr>
        <w:t>监督、视察</w:t>
      </w:r>
      <w:r>
        <w:rPr>
          <w:rFonts w:hint="eastAsia" w:ascii="仿宋_GB2312" w:hAnsi="微软雅黑" w:eastAsia="仿宋_GB2312" w:cs="仿宋_GB2312"/>
          <w:sz w:val="31"/>
          <w:szCs w:val="31"/>
        </w:rPr>
        <w:t>项目资金较好地实现了绩效目标。自评得分100分。</w:t>
      </w:r>
    </w:p>
    <w:p w14:paraId="05810544">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五、存在主要问题</w:t>
      </w:r>
    </w:p>
    <w:p w14:paraId="2BF02AB9">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在经费使用上仍存在不规范现象；部分人大代表在履行监督职责时缺乏足够的专业知识和能力等。</w:t>
      </w:r>
    </w:p>
    <w:p w14:paraId="7293F2BA">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六、改进建议</w:t>
      </w:r>
    </w:p>
    <w:p w14:paraId="772D35DE">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 xml:space="preserve"> 加强经费使用的监督和审计力度，确保经费使用的合规性和透明度；优化视察活动的组织方式和内容安排，提高视察活动的针对性和实效性；加强人大代表的培训和指导力度，提高其履行监督职责的能力和水平；建立健全人大代表与人民群众之间的沟通联系机制，及时了解人民群众的意见和建议。</w:t>
      </w:r>
    </w:p>
    <w:p w14:paraId="4639DD9B">
      <w:pPr>
        <w:pStyle w:val="3"/>
        <w:spacing w:line="576" w:lineRule="exact"/>
        <w:ind w:left="0" w:leftChars="0" w:firstLine="0" w:firstLineChars="0"/>
        <w:jc w:val="left"/>
      </w:pPr>
    </w:p>
    <w:p w14:paraId="1E52C9BF">
      <w:pPr>
        <w:pStyle w:val="2"/>
        <w:spacing w:line="576" w:lineRule="exact"/>
      </w:pPr>
    </w:p>
    <w:p w14:paraId="3BD9EAAC">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部门预算项目支出绩效自评报告</w:t>
      </w:r>
    </w:p>
    <w:p w14:paraId="107EA318">
      <w:pPr>
        <w:spacing w:line="576" w:lineRule="exact"/>
        <w:ind w:firstLine="643" w:firstLineChars="200"/>
        <w:jc w:val="center"/>
        <w:rPr>
          <w:rFonts w:ascii="楷体_GB2312" w:hAnsi="宋体" w:eastAsia="楷体_GB2312"/>
          <w:b/>
          <w:sz w:val="32"/>
          <w:szCs w:val="32"/>
          <w:lang w:val="zh-CN"/>
        </w:rPr>
      </w:pPr>
      <w:r>
        <w:rPr>
          <w:rFonts w:hint="eastAsia" w:ascii="楷体_GB2312" w:hAnsi="宋体" w:eastAsia="楷体_GB2312"/>
          <w:b/>
          <w:sz w:val="32"/>
          <w:szCs w:val="32"/>
          <w:lang w:val="zh-CN"/>
        </w:rPr>
        <w:t>（防灾应急救助经费项目）</w:t>
      </w:r>
    </w:p>
    <w:p w14:paraId="2D14DE9E">
      <w:pPr>
        <w:adjustRightInd w:val="0"/>
        <w:snapToGrid w:val="0"/>
        <w:spacing w:line="576" w:lineRule="exact"/>
        <w:ind w:firstLine="720"/>
        <w:jc w:val="left"/>
        <w:rPr>
          <w:rFonts w:ascii="仿宋_GB2312" w:hAnsi="微软雅黑" w:eastAsia="仿宋_GB2312" w:cs="仿宋_GB2312"/>
          <w:sz w:val="31"/>
          <w:szCs w:val="31"/>
        </w:rPr>
      </w:pPr>
    </w:p>
    <w:p w14:paraId="437257D9">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一、项目概况</w:t>
      </w:r>
    </w:p>
    <w:p w14:paraId="0C985372">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（一）设立背景及基本情况</w:t>
      </w:r>
    </w:p>
    <w:p w14:paraId="6DA1ED23">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随着社会的进步和公众安全意识的提高，人们对于防火安全的需求和关注度不断增加。设立防灾应急救助经费，有助于提升全社会的防火意识和能力，减少火灾事故的发生。设立专门的防火应急救助经费，可以确保在火灾发生时能够迅速调集资源，开展有效的救助工作。</w:t>
      </w:r>
    </w:p>
    <w:p w14:paraId="4DCE62D0">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（二）实施目的及支持方向</w:t>
      </w:r>
    </w:p>
    <w:p w14:paraId="61810159">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1实施目的</w:t>
      </w:r>
    </w:p>
    <w:p w14:paraId="5849AFED">
      <w:pPr>
        <w:keepNext w:val="0"/>
        <w:keepLines w:val="0"/>
        <w:pageBreakBefore w:val="0"/>
        <w:widowControl w:val="0"/>
        <w:kinsoku/>
        <w:wordWrap/>
        <w:overflowPunct/>
        <w:topLinePunct w:val="0"/>
        <w:autoSpaceDE/>
        <w:autoSpaceDN/>
        <w:bidi w:val="0"/>
        <w:adjustRightInd w:val="0"/>
        <w:snapToGrid w:val="0"/>
        <w:spacing w:line="576"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提高火灾防控能力：通过提供必要的经费支持，确保防火设施、设备的完善与更新，提高火灾预防和早期发现的能力。</w:t>
      </w:r>
    </w:p>
    <w:p w14:paraId="78F1D0F3">
      <w:pPr>
        <w:keepNext w:val="0"/>
        <w:keepLines w:val="0"/>
        <w:pageBreakBefore w:val="0"/>
        <w:widowControl w:val="0"/>
        <w:kinsoku/>
        <w:wordWrap/>
        <w:overflowPunct/>
        <w:topLinePunct w:val="0"/>
        <w:autoSpaceDE/>
        <w:autoSpaceDN/>
        <w:bidi w:val="0"/>
        <w:adjustRightInd w:val="0"/>
        <w:snapToGrid w:val="0"/>
        <w:spacing w:line="576"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增强应急响应效率：加强应急救援队伍的建设和培训，提升火灾发生时的快速响应和有效处置能力。</w:t>
      </w:r>
    </w:p>
    <w:p w14:paraId="40C1EC89">
      <w:pPr>
        <w:keepNext w:val="0"/>
        <w:keepLines w:val="0"/>
        <w:pageBreakBefore w:val="0"/>
        <w:widowControl w:val="0"/>
        <w:kinsoku/>
        <w:wordWrap/>
        <w:overflowPunct/>
        <w:topLinePunct w:val="0"/>
        <w:autoSpaceDE/>
        <w:autoSpaceDN/>
        <w:bidi w:val="0"/>
        <w:adjustRightInd w:val="0"/>
        <w:snapToGrid w:val="0"/>
        <w:spacing w:line="576"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减轻火灾损失：在火灾发生后，及时提供救助经费，支持灾后恢复工作，减轻火灾对人民生命财产和生态环境的损失。</w:t>
      </w:r>
    </w:p>
    <w:p w14:paraId="0071DA92">
      <w:pPr>
        <w:keepNext w:val="0"/>
        <w:keepLines w:val="0"/>
        <w:pageBreakBefore w:val="0"/>
        <w:widowControl w:val="0"/>
        <w:kinsoku/>
        <w:wordWrap/>
        <w:overflowPunct/>
        <w:topLinePunct w:val="0"/>
        <w:autoSpaceDE/>
        <w:autoSpaceDN/>
        <w:bidi w:val="0"/>
        <w:adjustRightInd w:val="0"/>
        <w:snapToGrid w:val="0"/>
        <w:spacing w:line="576"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提升公众防火意识：通过宣传教育等活动，提高公众的防火意识和自救能力，形成全社会共同参与火灾防控的良好氛围。</w:t>
      </w:r>
    </w:p>
    <w:p w14:paraId="7882DDFA">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2.支持方向</w:t>
      </w:r>
    </w:p>
    <w:p w14:paraId="057F8AC9">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支持防火设施与设备购置：购置灭火器、消防水带、烟感报警器等基本防火设备，确保各类场所的消防安全。支持建设或升级消防栓、消防水池等公共消防设施，提高城市或区域的火灾防控能力。支持应急救援队伍建设与培训：加大对专业应急救援队伍的建设投入，包括人员招聘、装备配备和训练基地建设等。加大对专业应急救援队伍的建设投入。</w:t>
      </w:r>
    </w:p>
    <w:p w14:paraId="3EDB818B">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（三）预算安排及分配管理</w:t>
      </w:r>
    </w:p>
    <w:p w14:paraId="33FFB78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防灾应急管理救助经费项目2023年初预算1万元 ，预算批复1万元。资金主要用于组织开展应急演练，防灾应急宣传手册，灾害隐患及防汛排查租车费及宣传费等</w:t>
      </w:r>
    </w:p>
    <w:p w14:paraId="72948954">
      <w:pPr>
        <w:adjustRightInd w:val="0"/>
        <w:snapToGrid w:val="0"/>
        <w:spacing w:line="576" w:lineRule="exact"/>
        <w:ind w:firstLine="720"/>
        <w:jc w:val="left"/>
        <w:rPr>
          <w:rFonts w:ascii="仿宋" w:hAnsi="仿宋" w:eastAsia="仿宋" w:cs="仿宋"/>
          <w:b/>
          <w:sz w:val="31"/>
          <w:szCs w:val="31"/>
        </w:rPr>
      </w:pPr>
      <w:r>
        <w:rPr>
          <w:rFonts w:hint="eastAsia" w:ascii="楷体_GB2312" w:hAnsi="宋体" w:eastAsia="楷体_GB2312"/>
          <w:b/>
          <w:sz w:val="32"/>
          <w:szCs w:val="32"/>
          <w:lang w:val="zh-CN"/>
        </w:rPr>
        <w:t>（四）项目绩效目标设置</w:t>
      </w:r>
    </w:p>
    <w:p w14:paraId="44DC8DB4">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主要是将围绕“全过程、全方位、全覆盖”预算绩效管理体系，保证全面完成各项目标。按工作安排完成组织代表视察、专题调研、任免选举等各项工作任务,项目经费为防灾应急管理救助依法履行职责提供财力的保证。</w:t>
      </w:r>
    </w:p>
    <w:p w14:paraId="43BA79B7">
      <w:pPr>
        <w:adjustRightInd w:val="0"/>
        <w:snapToGrid w:val="0"/>
        <w:spacing w:line="576" w:lineRule="exact"/>
        <w:ind w:firstLine="720"/>
        <w:jc w:val="left"/>
        <w:rPr>
          <w:rFonts w:ascii="黑体" w:hAnsi="黑体" w:eastAsia="黑体" w:cs="黑体"/>
          <w:b/>
          <w:sz w:val="31"/>
          <w:szCs w:val="31"/>
        </w:rPr>
      </w:pPr>
      <w:r>
        <w:rPr>
          <w:rFonts w:hint="eastAsia" w:ascii="黑体" w:hAnsi="黑体" w:eastAsia="黑体" w:cs="黑体"/>
          <w:b/>
          <w:sz w:val="31"/>
          <w:szCs w:val="31"/>
        </w:rPr>
        <w:t>二、评价实施</w:t>
      </w:r>
    </w:p>
    <w:p w14:paraId="10CA27A3">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（一）评价目的</w:t>
      </w:r>
    </w:p>
    <w:p w14:paraId="1DE8FA5C">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通过对防灾应急管理救助专项资金的绩效评价，了解防灾应急管理救助经费项目的资金来源、使用和管理情况、项目组织和实施情况，检验项目投入是否达到预期目标，总结经验，分析问题，强化项目资金管理，进一步提升预算项目资金使用成效。</w:t>
      </w:r>
    </w:p>
    <w:p w14:paraId="401D37B3">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（二）预设问题及评价重点</w:t>
      </w:r>
    </w:p>
    <w:p w14:paraId="073D90E6">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通过项目绩效自评防灾应急管理救助自评按照绩效评价指标体系，对资金支出使用全过程及其实施效果进行综合评价和判断。</w:t>
      </w:r>
    </w:p>
    <w:p w14:paraId="108A0E8E">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（三）评价选点</w:t>
      </w:r>
    </w:p>
    <w:p w14:paraId="6CA77C76">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防灾应急管理救助的评价选点应当围绕经费的使用效率、效果以及合规性等方面开展。</w:t>
      </w:r>
    </w:p>
    <w:p w14:paraId="0E34B24B">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（四）评价方法</w:t>
      </w:r>
    </w:p>
    <w:p w14:paraId="30206F0E">
      <w:pPr>
        <w:adjustRightInd w:val="0"/>
        <w:snapToGrid w:val="0"/>
        <w:spacing w:line="56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本次绩效评价采用了成本效益比较法、单位自评法、实地勘察法、问卷调查法、座谈调研法等多种方法。</w:t>
      </w:r>
    </w:p>
    <w:p w14:paraId="6E2BCC58">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（五）评价组织</w:t>
      </w:r>
    </w:p>
    <w:p w14:paraId="2772FA73">
      <w:pPr>
        <w:adjustRightInd w:val="0"/>
        <w:snapToGrid w:val="0"/>
        <w:spacing w:line="56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党委书记：项目决策及资金使用管理情况</w:t>
      </w:r>
    </w:p>
    <w:p w14:paraId="22097B0E">
      <w:pPr>
        <w:adjustRightInd w:val="0"/>
        <w:snapToGrid w:val="0"/>
        <w:spacing w:line="56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人大主席：绩效评价工作</w:t>
      </w:r>
    </w:p>
    <w:p w14:paraId="430171A3">
      <w:pPr>
        <w:adjustRightInd w:val="0"/>
        <w:snapToGrid w:val="0"/>
        <w:spacing w:line="56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纪委书记：监督检查本次项目自评工作</w:t>
      </w:r>
    </w:p>
    <w:p w14:paraId="345D9FCA">
      <w:pPr>
        <w:adjustRightInd w:val="0"/>
        <w:snapToGrid w:val="0"/>
        <w:spacing w:line="56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财政办主任：专项资金的管理和使用</w:t>
      </w:r>
    </w:p>
    <w:p w14:paraId="6F512A0F">
      <w:pPr>
        <w:adjustRightInd w:val="0"/>
        <w:snapToGrid w:val="0"/>
        <w:spacing w:line="560" w:lineRule="exact"/>
        <w:ind w:firstLine="720"/>
        <w:jc w:val="left"/>
        <w:rPr>
          <w:rFonts w:ascii="黑体" w:hAnsi="黑体" w:eastAsia="黑体" w:cs="黑体"/>
          <w:b/>
          <w:sz w:val="31"/>
          <w:szCs w:val="31"/>
        </w:rPr>
      </w:pPr>
      <w:r>
        <w:rPr>
          <w:rFonts w:hint="eastAsia" w:ascii="黑体" w:hAnsi="黑体" w:eastAsia="黑体" w:cs="黑体"/>
          <w:b/>
          <w:sz w:val="31"/>
          <w:szCs w:val="31"/>
        </w:rPr>
        <w:t>三、绩效分析</w:t>
      </w:r>
      <w:r>
        <w:rPr>
          <w:rFonts w:hint="eastAsia" w:ascii="黑体" w:hAnsi="黑体" w:eastAsia="黑体" w:cs="黑体"/>
          <w:b/>
          <w:sz w:val="31"/>
          <w:szCs w:val="31"/>
        </w:rPr>
        <w:tab/>
      </w:r>
    </w:p>
    <w:p w14:paraId="2BA90C38">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（一）通用指标绩效分析</w:t>
      </w:r>
    </w:p>
    <w:p w14:paraId="7E9F1B78">
      <w:pPr>
        <w:keepNext w:val="0"/>
        <w:keepLines w:val="0"/>
        <w:pageBreakBefore w:val="0"/>
        <w:widowControl w:val="0"/>
        <w:kinsoku/>
        <w:wordWrap/>
        <w:overflowPunct/>
        <w:topLinePunct w:val="0"/>
        <w:autoSpaceDE/>
        <w:autoSpaceDN/>
        <w:bidi w:val="0"/>
        <w:adjustRightInd w:val="0"/>
        <w:snapToGrid w:val="0"/>
        <w:spacing w:line="520"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1.项目决策：防灾应急管理救助项目为延续性项目，已在年初进行项目绩效目标申报，项目规划合理，年度绩效目标与中长期规划一致。资金管理办法健全完善。</w:t>
      </w:r>
    </w:p>
    <w:p w14:paraId="2103A041">
      <w:pPr>
        <w:keepNext w:val="0"/>
        <w:keepLines w:val="0"/>
        <w:pageBreakBefore w:val="0"/>
        <w:widowControl w:val="0"/>
        <w:kinsoku/>
        <w:wordWrap/>
        <w:overflowPunct/>
        <w:topLinePunct w:val="0"/>
        <w:autoSpaceDE/>
        <w:autoSpaceDN/>
        <w:bidi w:val="0"/>
        <w:adjustRightInd w:val="0"/>
        <w:snapToGrid w:val="0"/>
        <w:spacing w:line="520"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2.项目管理：为使项目如期完成，结合常理镇实际情况，对防灾应急管理救助经费项目按照镇党委工作分工，将所有项目分解到相关党政班子成员，由分管领导具体负责项目实施。在项目资金发放工作中，建立了符合财务会计制度的防灾应急管理救助经费项目资金管理制度，专项管理、拨付规范、发放及时。</w:t>
      </w:r>
    </w:p>
    <w:p w14:paraId="039E4DDF">
      <w:pPr>
        <w:keepNext w:val="0"/>
        <w:keepLines w:val="0"/>
        <w:pageBreakBefore w:val="0"/>
        <w:widowControl w:val="0"/>
        <w:kinsoku/>
        <w:wordWrap/>
        <w:overflowPunct/>
        <w:topLinePunct w:val="0"/>
        <w:autoSpaceDE/>
        <w:autoSpaceDN/>
        <w:bidi w:val="0"/>
        <w:adjustRightInd w:val="0"/>
        <w:snapToGrid w:val="0"/>
        <w:spacing w:line="520"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3.项目实施：常理镇成立了以镇党委书记为组长，班子成员和部门负责人及镇村主职干部为成员的防灾应急管理救助经费领导小组，统筹推进各项防灾应急管理救助工作。</w:t>
      </w:r>
    </w:p>
    <w:p w14:paraId="6FECAF9E">
      <w:pPr>
        <w:keepNext w:val="0"/>
        <w:keepLines w:val="0"/>
        <w:pageBreakBefore w:val="0"/>
        <w:widowControl w:val="0"/>
        <w:kinsoku/>
        <w:wordWrap/>
        <w:overflowPunct/>
        <w:topLinePunct w:val="0"/>
        <w:autoSpaceDE/>
        <w:autoSpaceDN/>
        <w:bidi w:val="0"/>
        <w:adjustRightInd w:val="0"/>
        <w:snapToGrid w:val="0"/>
        <w:spacing w:line="520" w:lineRule="exact"/>
        <w:ind w:firstLine="620" w:firstLineChars="200"/>
        <w:jc w:val="left"/>
        <w:textAlignment w:val="auto"/>
        <w:rPr>
          <w:rFonts w:ascii="仿宋_GB2312" w:hAnsi="微软雅黑" w:eastAsia="仿宋_GB2312" w:cs="仿宋_GB2312"/>
          <w:sz w:val="31"/>
          <w:szCs w:val="31"/>
        </w:rPr>
      </w:pPr>
      <w:r>
        <w:rPr>
          <w:rFonts w:hint="eastAsia" w:ascii="仿宋_GB2312" w:hAnsi="微软雅黑" w:eastAsia="仿宋_GB2312" w:cs="仿宋_GB2312"/>
          <w:sz w:val="31"/>
          <w:szCs w:val="31"/>
        </w:rPr>
        <w:t>4.项目结果：项目目标明确、资金到位率高、组织监管体系完善。我镇防灾应急管理救助经费项目资金较好地实现了绩效目标。自评得分100分。</w:t>
      </w:r>
    </w:p>
    <w:p w14:paraId="5DCC47CE">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（二）专用指标绩效分析</w:t>
      </w:r>
    </w:p>
    <w:p w14:paraId="7E885FED">
      <w:pPr>
        <w:adjustRightInd w:val="0"/>
        <w:snapToGrid w:val="0"/>
        <w:spacing w:line="55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行政运转。根据对防灾应急管理救助经费项目进行项目绩效目标进行自评，对该项目专项资金进行绩效分析，该项目资金使用合规合法。</w:t>
      </w:r>
    </w:p>
    <w:p w14:paraId="58C3BEB8">
      <w:pPr>
        <w:adjustRightInd w:val="0"/>
        <w:snapToGrid w:val="0"/>
        <w:spacing w:line="576" w:lineRule="exact"/>
        <w:ind w:firstLine="643" w:firstLineChars="200"/>
        <w:jc w:val="left"/>
        <w:rPr>
          <w:rFonts w:hint="eastAsia" w:ascii="楷体_GB2312" w:hAnsi="宋体" w:eastAsia="楷体_GB2312"/>
          <w:b/>
          <w:sz w:val="32"/>
          <w:szCs w:val="32"/>
          <w:lang w:val="zh-CN"/>
        </w:rPr>
      </w:pPr>
      <w:r>
        <w:rPr>
          <w:rFonts w:hint="eastAsia" w:ascii="楷体_GB2312" w:hAnsi="宋体" w:eastAsia="楷体_GB2312"/>
          <w:b/>
          <w:sz w:val="32"/>
          <w:szCs w:val="32"/>
          <w:lang w:val="zh-CN"/>
        </w:rPr>
        <w:t>（三）个性指标绩效分析</w:t>
      </w:r>
    </w:p>
    <w:p w14:paraId="0A1CDF74">
      <w:pPr>
        <w:adjustRightInd w:val="0"/>
        <w:snapToGrid w:val="0"/>
        <w:spacing w:line="550" w:lineRule="exact"/>
        <w:ind w:firstLine="720"/>
        <w:jc w:val="left"/>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rPr>
        <w:t>质量指标：协助政府开展工作，准确反映民意</w:t>
      </w:r>
      <w:r>
        <w:rPr>
          <w:rFonts w:hint="eastAsia" w:ascii="仿宋_GB2312" w:hAnsi="微软雅黑" w:eastAsia="仿宋_GB2312" w:cs="仿宋_GB2312"/>
          <w:sz w:val="31"/>
          <w:szCs w:val="31"/>
          <w:lang w:eastAsia="zh-CN"/>
        </w:rPr>
        <w:t>。</w:t>
      </w:r>
    </w:p>
    <w:p w14:paraId="2634A641">
      <w:pPr>
        <w:adjustRightInd w:val="0"/>
        <w:snapToGrid w:val="0"/>
        <w:spacing w:line="55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社会效益指标：确保人民生命财产安全，降低灾害损失。</w:t>
      </w:r>
    </w:p>
    <w:p w14:paraId="14D9BE81">
      <w:pPr>
        <w:adjustRightInd w:val="0"/>
        <w:snapToGrid w:val="0"/>
        <w:spacing w:line="550"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满意度指标：村民满意程度得到提高。</w:t>
      </w:r>
    </w:p>
    <w:p w14:paraId="0A1D029E">
      <w:pPr>
        <w:adjustRightInd w:val="0"/>
        <w:snapToGrid w:val="0"/>
        <w:spacing w:line="550" w:lineRule="exact"/>
        <w:ind w:firstLine="720"/>
        <w:jc w:val="left"/>
        <w:rPr>
          <w:rFonts w:ascii="仿宋" w:hAnsi="仿宋" w:eastAsia="仿宋" w:cs="仿宋"/>
          <w:b/>
          <w:sz w:val="31"/>
          <w:szCs w:val="31"/>
        </w:rPr>
      </w:pPr>
      <w:r>
        <w:rPr>
          <w:rFonts w:hint="eastAsia" w:ascii="仿宋" w:hAnsi="仿宋" w:eastAsia="仿宋" w:cs="仿宋"/>
          <w:b/>
          <w:sz w:val="31"/>
          <w:szCs w:val="31"/>
        </w:rPr>
        <w:t>四、评价结论</w:t>
      </w:r>
    </w:p>
    <w:p w14:paraId="50066B87">
      <w:pPr>
        <w:adjustRightInd w:val="0"/>
        <w:snapToGrid w:val="0"/>
        <w:spacing w:line="550"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总体上看，项目目标明确、资金到位率高、组织监管体系完善。我镇防灾应急管理救助项目资金较好地实现了绩效目标。自评得分100分。</w:t>
      </w:r>
    </w:p>
    <w:p w14:paraId="7581BE1E">
      <w:pPr>
        <w:adjustRightInd w:val="0"/>
        <w:snapToGrid w:val="0"/>
        <w:spacing w:line="550" w:lineRule="exact"/>
        <w:ind w:firstLine="720"/>
        <w:jc w:val="left"/>
        <w:rPr>
          <w:rFonts w:ascii="黑体" w:hAnsi="黑体" w:eastAsia="黑体" w:cs="黑体"/>
          <w:bCs/>
          <w:sz w:val="31"/>
          <w:szCs w:val="31"/>
        </w:rPr>
      </w:pPr>
      <w:r>
        <w:rPr>
          <w:rFonts w:hint="eastAsia" w:ascii="黑体" w:hAnsi="黑体" w:eastAsia="黑体" w:cs="黑体"/>
          <w:bCs/>
          <w:sz w:val="31"/>
          <w:szCs w:val="31"/>
        </w:rPr>
        <w:t>五、存在主要问题</w:t>
      </w:r>
    </w:p>
    <w:p w14:paraId="5DBCC398">
      <w:pPr>
        <w:adjustRightInd w:val="0"/>
        <w:snapToGrid w:val="0"/>
        <w:spacing w:line="550" w:lineRule="exact"/>
        <w:ind w:firstLine="720"/>
        <w:jc w:val="left"/>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rPr>
        <w:t>项目资金缺乏</w:t>
      </w:r>
      <w:r>
        <w:rPr>
          <w:rFonts w:hint="eastAsia" w:ascii="仿宋_GB2312" w:hAnsi="微软雅黑" w:eastAsia="仿宋_GB2312" w:cs="仿宋_GB2312"/>
          <w:sz w:val="31"/>
          <w:szCs w:val="31"/>
          <w:lang w:eastAsia="zh-CN"/>
        </w:rPr>
        <w:t>。</w:t>
      </w:r>
    </w:p>
    <w:p w14:paraId="3D2BFC78">
      <w:pPr>
        <w:numPr>
          <w:ilvl w:val="0"/>
          <w:numId w:val="9"/>
        </w:numPr>
        <w:adjustRightInd w:val="0"/>
        <w:snapToGrid w:val="0"/>
        <w:spacing w:line="550" w:lineRule="exact"/>
        <w:ind w:firstLine="720"/>
        <w:jc w:val="left"/>
        <w:rPr>
          <w:rFonts w:ascii="黑体" w:hAnsi="黑体" w:eastAsia="黑体" w:cs="黑体"/>
          <w:b w:val="0"/>
          <w:bCs w:val="0"/>
          <w:sz w:val="31"/>
          <w:szCs w:val="31"/>
        </w:rPr>
      </w:pPr>
      <w:r>
        <w:rPr>
          <w:rFonts w:hint="eastAsia" w:ascii="黑体" w:hAnsi="黑体" w:eastAsia="黑体" w:cs="黑体"/>
          <w:b w:val="0"/>
          <w:bCs w:val="0"/>
          <w:sz w:val="31"/>
          <w:szCs w:val="31"/>
        </w:rPr>
        <w:t>改进建议</w:t>
      </w:r>
    </w:p>
    <w:p w14:paraId="4C3C4BDF">
      <w:pPr>
        <w:keepNext w:val="0"/>
        <w:keepLines w:val="0"/>
        <w:pageBreakBefore w:val="0"/>
        <w:widowControl w:val="0"/>
        <w:kinsoku/>
        <w:wordWrap/>
        <w:overflowPunct/>
        <w:topLinePunct w:val="0"/>
        <w:autoSpaceDE/>
        <w:autoSpaceDN/>
        <w:bidi w:val="0"/>
        <w:adjustRightInd w:val="0"/>
        <w:snapToGrid w:val="0"/>
        <w:spacing w:line="550" w:lineRule="exact"/>
        <w:ind w:firstLine="620" w:firstLineChars="200"/>
        <w:jc w:val="left"/>
        <w:textAlignment w:val="auto"/>
        <w:rPr>
          <w:rFonts w:hint="eastAsia" w:ascii="仿宋_GB2312" w:hAnsi="微软雅黑" w:eastAsia="仿宋_GB2312" w:cs="仿宋_GB2312"/>
          <w:sz w:val="31"/>
          <w:szCs w:val="31"/>
        </w:rPr>
      </w:pPr>
      <w:r>
        <w:rPr>
          <w:rFonts w:hint="eastAsia" w:ascii="仿宋_GB2312" w:hAnsi="微软雅黑" w:eastAsia="仿宋_GB2312" w:cs="仿宋_GB2312"/>
          <w:sz w:val="31"/>
          <w:szCs w:val="31"/>
        </w:rPr>
        <w:t>增加防灾应急救助工作经费，全面开展好工作，确保资金使用的针对性和有效性。</w:t>
      </w:r>
    </w:p>
    <w:p w14:paraId="62262BDE">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部门预算项目支出</w:t>
      </w:r>
      <w:r>
        <w:rPr>
          <w:rFonts w:hint="eastAsia" w:ascii="方正小标宋简体" w:hAnsi="宋体" w:eastAsia="方正小标宋简体"/>
          <w:color w:val="000000"/>
          <w:kern w:val="0"/>
          <w:sz w:val="44"/>
          <w:szCs w:val="44"/>
          <w:lang w:val="zh-CN"/>
        </w:rPr>
        <w:t>绩效自评报告</w:t>
      </w:r>
    </w:p>
    <w:p w14:paraId="121C1040">
      <w:pPr>
        <w:spacing w:line="576" w:lineRule="exact"/>
        <w:jc w:val="center"/>
        <w:rPr>
          <w:rFonts w:ascii="方正小标宋简体" w:hAnsi="宋体" w:eastAsia="方正小标宋简体"/>
          <w:color w:val="000000"/>
          <w:kern w:val="0"/>
          <w:sz w:val="44"/>
          <w:szCs w:val="44"/>
          <w:lang w:val="zh-CN"/>
        </w:rPr>
      </w:pPr>
      <w:r>
        <w:rPr>
          <w:rFonts w:hint="eastAsia" w:ascii="楷体_GB2312" w:hAnsi="宋体" w:eastAsia="楷体_GB2312"/>
          <w:b/>
          <w:sz w:val="32"/>
          <w:szCs w:val="32"/>
          <w:lang w:val="zh-CN"/>
        </w:rPr>
        <w:t>（安全生产监管（森林防火、食品安全）等经费项目）</w:t>
      </w:r>
    </w:p>
    <w:p w14:paraId="2745E2B1">
      <w:pPr>
        <w:snapToGrid w:val="0"/>
        <w:spacing w:line="576" w:lineRule="exact"/>
        <w:jc w:val="left"/>
        <w:rPr>
          <w:b/>
        </w:rPr>
      </w:pPr>
    </w:p>
    <w:p w14:paraId="6CEA1BBA">
      <w:pPr>
        <w:adjustRightInd w:val="0"/>
        <w:snapToGrid w:val="0"/>
        <w:spacing w:line="576" w:lineRule="exact"/>
        <w:ind w:firstLine="720"/>
        <w:rPr>
          <w:rFonts w:ascii="仿宋_GB2312" w:hAnsi="微软雅黑" w:eastAsia="仿宋_GB2312" w:cs="仿宋_GB2312"/>
          <w:b/>
          <w:sz w:val="31"/>
          <w:szCs w:val="31"/>
        </w:rPr>
      </w:pPr>
      <w:r>
        <w:rPr>
          <w:rFonts w:hint="eastAsia" w:ascii="仿宋_GB2312" w:hAnsi="微软雅黑" w:eastAsia="仿宋_GB2312" w:cs="仿宋_GB2312"/>
          <w:b/>
          <w:sz w:val="31"/>
          <w:szCs w:val="31"/>
        </w:rPr>
        <w:t>一、项目概况</w:t>
      </w:r>
    </w:p>
    <w:p w14:paraId="53899037">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（一）设立背景及基本情况</w:t>
      </w:r>
    </w:p>
    <w:p w14:paraId="0C7DED59">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森林防火是保护森林资源、维护生态安全的重要工作。随着气候变化和人为活动的增加，森林火灾的风险日益加大，对森林防火工作提出了更高要求。食品安全直接关系到人民群众的身体健康和生命安全，是社会稳定和经济发展的重要基石。</w:t>
      </w:r>
    </w:p>
    <w:p w14:paraId="45944737">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（二）实施目的及支持方向</w:t>
      </w:r>
    </w:p>
    <w:p w14:paraId="0B5DD93F">
      <w:pPr>
        <w:adjustRightInd w:val="0"/>
        <w:snapToGrid w:val="0"/>
        <w:spacing w:line="576" w:lineRule="exact"/>
        <w:ind w:firstLine="720"/>
        <w:jc w:val="left"/>
        <w:rPr>
          <w:rFonts w:ascii="仿宋_GB2312" w:hAnsi="微软雅黑" w:eastAsia="仿宋_GB2312" w:cs="仿宋_GB2312"/>
          <w:sz w:val="31"/>
          <w:szCs w:val="31"/>
          <w:lang w:val="zh-CN"/>
        </w:rPr>
      </w:pPr>
      <w:r>
        <w:rPr>
          <w:rFonts w:hint="eastAsia" w:ascii="仿宋_GB2312" w:hAnsi="微软雅黑" w:eastAsia="仿宋_GB2312" w:cs="仿宋_GB2312"/>
          <w:sz w:val="31"/>
          <w:szCs w:val="31"/>
        </w:rPr>
        <w:t>安全生产监管（森林防火、食品安全）等经费的实施目的是为了预防和减少安全事故的发生、保障人民生命财产安全、维护社会稳定和促进经济可持续发展。在支持方向上则注重于基础设施建设、技术和装备提升、宣传教育、应急救援队伍建设以及监管体系和能力的提升等方面。</w:t>
      </w:r>
    </w:p>
    <w:p w14:paraId="613B38A7">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（三）预算安排及分配管理</w:t>
      </w:r>
    </w:p>
    <w:p w14:paraId="7649C14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安全生产监管（森林防火、食品安全）等经费项目2023年初预算3.5万元 ，预算批复3.5万元。资金主要用于组织开展应急演练，安全生产、森林防火、食品安全等广告印刷费。</w:t>
      </w:r>
    </w:p>
    <w:p w14:paraId="5CA07A30">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（四）项目绩效目标设置</w:t>
      </w:r>
    </w:p>
    <w:p w14:paraId="3685468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主要是将围绕“全过程、全方位、全覆盖”预算绩效管理体系，保证全面完成各项目标。按工作安排完成组织代表视察、专题调研、任免选举等各项工作任务,该经费为安全生产监管（森林防火、食品安全）等依法履行职责提供财力的保证。</w:t>
      </w:r>
    </w:p>
    <w:p w14:paraId="47EB171E">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二、评价实施</w:t>
      </w:r>
    </w:p>
    <w:p w14:paraId="0C644BC9">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（一）评价目的</w:t>
      </w:r>
    </w:p>
    <w:p w14:paraId="1FE7AC79">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通过对安全生产监管（森林防火、食品安全）等经费</w:t>
      </w:r>
      <w:r>
        <w:rPr>
          <w:rFonts w:hint="eastAsia" w:ascii="仿宋_GB2312" w:hAnsi="微软雅黑" w:eastAsia="仿宋_GB2312" w:cs="仿宋_GB2312"/>
          <w:sz w:val="31"/>
          <w:szCs w:val="31"/>
          <w:lang w:val="zh-CN"/>
        </w:rPr>
        <w:t>等</w:t>
      </w:r>
      <w:r>
        <w:rPr>
          <w:rFonts w:hint="eastAsia" w:ascii="仿宋_GB2312" w:hAnsi="微软雅黑" w:eastAsia="仿宋_GB2312" w:cs="仿宋_GB2312"/>
          <w:sz w:val="31"/>
          <w:szCs w:val="31"/>
        </w:rPr>
        <w:t>项目专项资金的绩效评价，了解安全生产监管（森林防火、食品安全）等经费项目的资金来源、使用和管理情况、项目组织和实施情况，检验项目投入是否达到预期目标，总结经验，分析问题，强化项目资金管理，进一步提升预算项目资金使用成效。</w:t>
      </w:r>
    </w:p>
    <w:p w14:paraId="399F5D1B">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（二）预设问题及评价重点</w:t>
      </w:r>
    </w:p>
    <w:p w14:paraId="46D1C67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通过项目绩效自评安全生产监管（森林防火、食品安全）等经费自评按照绩效评价指标体系，对资金支出使用全过程及其实施效果进行综合评价和判断。</w:t>
      </w:r>
    </w:p>
    <w:p w14:paraId="3C8FB88E">
      <w:pPr>
        <w:adjustRightInd w:val="0"/>
        <w:snapToGrid w:val="0"/>
        <w:spacing w:line="576" w:lineRule="exact"/>
        <w:ind w:firstLine="720"/>
        <w:jc w:val="left"/>
        <w:rPr>
          <w:rFonts w:ascii="仿宋_GB2312" w:hAnsi="微软雅黑" w:eastAsia="仿宋_GB2312" w:cs="仿宋_GB2312"/>
          <w:b/>
          <w:sz w:val="31"/>
          <w:szCs w:val="31"/>
          <w:highlight w:val="green"/>
        </w:rPr>
      </w:pPr>
      <w:r>
        <w:rPr>
          <w:rFonts w:hint="eastAsia" w:ascii="仿宋_GB2312" w:hAnsi="微软雅黑" w:eastAsia="仿宋_GB2312" w:cs="仿宋_GB2312"/>
          <w:b/>
          <w:sz w:val="31"/>
          <w:szCs w:val="31"/>
        </w:rPr>
        <w:t>（三）评价选点</w:t>
      </w:r>
    </w:p>
    <w:p w14:paraId="29D2F56D">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安全生产监管（森林防火、食品安全）</w:t>
      </w:r>
      <w:r>
        <w:rPr>
          <w:rFonts w:hint="eastAsia" w:ascii="仿宋_GB2312" w:hAnsi="微软雅黑" w:eastAsia="仿宋_GB2312" w:cs="仿宋_GB2312"/>
          <w:sz w:val="31"/>
          <w:szCs w:val="31"/>
          <w:lang w:val="zh-CN"/>
        </w:rPr>
        <w:t>的评价选点应当围绕经费的使用效率、效果以及合规性等方面开展。</w:t>
      </w:r>
    </w:p>
    <w:p w14:paraId="5408BB0C">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（四）评价方法</w:t>
      </w:r>
    </w:p>
    <w:p w14:paraId="1C859EE1">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本次绩效评价采用了成本效益比较法、单位自评法、实地勘察法、问卷调查法、座谈调研法等多种方法。</w:t>
      </w:r>
    </w:p>
    <w:p w14:paraId="4510E7AB">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（五）评价组织</w:t>
      </w:r>
    </w:p>
    <w:p w14:paraId="13501FC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党委书记：项目决策及资金使用管理情况</w:t>
      </w:r>
    </w:p>
    <w:p w14:paraId="6E620677">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人大主席：绩效评价工作‌</w:t>
      </w:r>
    </w:p>
    <w:p w14:paraId="1D5F57A8">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纪委书记：监督检查本次项目自评工作</w:t>
      </w:r>
    </w:p>
    <w:p w14:paraId="0307089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财政办主任：专项资金的管理和使用‌</w:t>
      </w:r>
    </w:p>
    <w:p w14:paraId="2A2EE2BC">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三、绩效分析</w:t>
      </w:r>
      <w:r>
        <w:rPr>
          <w:rFonts w:hint="eastAsia" w:ascii="仿宋_GB2312" w:hAnsi="微软雅黑" w:eastAsia="仿宋_GB2312" w:cs="仿宋_GB2312"/>
          <w:b/>
          <w:sz w:val="31"/>
          <w:szCs w:val="31"/>
        </w:rPr>
        <w:tab/>
      </w:r>
    </w:p>
    <w:p w14:paraId="7938C56C">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（一）通用指标绩效分析</w:t>
      </w:r>
    </w:p>
    <w:p w14:paraId="0395F06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1.项目决策：安全生产监管（森林防火、食品安全）等经费项目为延续性项目，已在年初进行项目绩效目标申报，项目规划合理，年度绩效目标与中长期规划一致。资金管理办法健全完善。</w:t>
      </w:r>
    </w:p>
    <w:p w14:paraId="25D3E826">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2.项目管理:为使项目如期完成，结合常理镇实际情况，对</w:t>
      </w:r>
      <w:r>
        <w:rPr>
          <w:rFonts w:hint="eastAsia" w:ascii="仿宋_GB2312" w:hAnsi="微软雅黑" w:eastAsia="仿宋_GB2312" w:cs="仿宋_GB2312"/>
          <w:sz w:val="31"/>
          <w:szCs w:val="31"/>
          <w:lang w:val="zh-CN"/>
        </w:rPr>
        <w:t>防</w:t>
      </w:r>
      <w:r>
        <w:rPr>
          <w:rFonts w:hint="eastAsia" w:ascii="仿宋_GB2312" w:hAnsi="微软雅黑" w:eastAsia="仿宋_GB2312" w:cs="仿宋_GB2312"/>
          <w:sz w:val="31"/>
          <w:szCs w:val="31"/>
        </w:rPr>
        <w:t>安全生产监管（森林防火、食品安全）等经费</w:t>
      </w:r>
      <w:r>
        <w:rPr>
          <w:rFonts w:hint="eastAsia" w:ascii="仿宋_GB2312" w:hAnsi="微软雅黑" w:eastAsia="仿宋_GB2312" w:cs="仿宋_GB2312"/>
          <w:sz w:val="31"/>
          <w:szCs w:val="31"/>
          <w:lang w:val="zh-CN"/>
        </w:rPr>
        <w:t>项目</w:t>
      </w:r>
      <w:r>
        <w:rPr>
          <w:rFonts w:hint="eastAsia" w:ascii="仿宋_GB2312" w:hAnsi="微软雅黑" w:eastAsia="仿宋_GB2312" w:cs="仿宋_GB2312"/>
          <w:sz w:val="31"/>
          <w:szCs w:val="31"/>
        </w:rPr>
        <w:t>按照镇党委工作分工，将所有项目分解到相关党政班子成员，由分管领导具体负责项目实施。在项目资金发放工作中，建立了符合财务会计制度的</w:t>
      </w:r>
      <w:r>
        <w:rPr>
          <w:rFonts w:hint="eastAsia" w:ascii="仿宋_GB2312" w:hAnsi="微软雅黑" w:eastAsia="仿宋_GB2312" w:cs="仿宋_GB2312"/>
          <w:sz w:val="31"/>
          <w:szCs w:val="31"/>
          <w:lang w:val="zh-CN"/>
        </w:rPr>
        <w:t>防灾应急管理救助经费</w:t>
      </w:r>
      <w:r>
        <w:rPr>
          <w:rFonts w:hint="eastAsia" w:ascii="仿宋_GB2312" w:hAnsi="微软雅黑" w:eastAsia="仿宋_GB2312" w:cs="仿宋_GB2312"/>
          <w:sz w:val="31"/>
          <w:szCs w:val="31"/>
        </w:rPr>
        <w:t>项目资金管理制度，专项管理、拨付规范、发放及时。</w:t>
      </w:r>
    </w:p>
    <w:p w14:paraId="36C201D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3.项目实施:常理镇成立了以镇党委书记为组长，班子成员和部门负责人及镇村主职干部为成员的安全生产监管（森林防火、食品安全）等经费领导小组，统筹推进各项</w:t>
      </w:r>
      <w:r>
        <w:rPr>
          <w:rFonts w:hint="eastAsia" w:ascii="仿宋_GB2312" w:hAnsi="微软雅黑" w:eastAsia="仿宋_GB2312" w:cs="仿宋_GB2312"/>
          <w:sz w:val="31"/>
          <w:szCs w:val="31"/>
          <w:lang w:val="zh-CN"/>
        </w:rPr>
        <w:t>安全生产监管</w:t>
      </w:r>
      <w:r>
        <w:rPr>
          <w:rFonts w:hint="eastAsia" w:ascii="仿宋_GB2312" w:hAnsi="微软雅黑" w:eastAsia="仿宋_GB2312" w:cs="仿宋_GB2312"/>
          <w:sz w:val="31"/>
          <w:szCs w:val="31"/>
        </w:rPr>
        <w:t>工作。</w:t>
      </w:r>
    </w:p>
    <w:p w14:paraId="5B1BE7CB">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4.项目结果:项目目标明确、资金到位率高、组织监管体系完善。我镇安全生产监管（森林防火、食品安全）等经费项目资金较好地实现了绩效目标。自评得分100分。</w:t>
      </w:r>
    </w:p>
    <w:p w14:paraId="50D6FD19">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（二）专用指标绩效分析</w:t>
      </w:r>
    </w:p>
    <w:p w14:paraId="6A16DC60">
      <w:pPr>
        <w:adjustRightInd w:val="0"/>
        <w:snapToGrid w:val="0"/>
        <w:spacing w:line="576" w:lineRule="exact"/>
        <w:ind w:firstLine="72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行政运转。根据对安全生产监管（森林防火、食品安全）等经费项目进行项目绩效目标进行自评，对该项目专项资金进行绩效分析，该项目资金使用合规合法。</w:t>
      </w:r>
    </w:p>
    <w:p w14:paraId="10DB8B07">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（三）个性指标绩效分析</w:t>
      </w:r>
    </w:p>
    <w:p w14:paraId="2F1B4251">
      <w:pPr>
        <w:adjustRightInd w:val="0"/>
        <w:snapToGrid w:val="0"/>
        <w:spacing w:line="576" w:lineRule="exact"/>
        <w:ind w:firstLine="620" w:firstLineChars="200"/>
        <w:jc w:val="left"/>
        <w:rPr>
          <w:rFonts w:hint="eastAsia" w:ascii="仿宋_GB2312" w:hAnsi="微软雅黑" w:eastAsia="仿宋_GB2312" w:cs="仿宋_GB2312"/>
          <w:sz w:val="31"/>
          <w:szCs w:val="31"/>
          <w:lang w:eastAsia="zh-CN"/>
        </w:rPr>
      </w:pPr>
      <w:r>
        <w:rPr>
          <w:rFonts w:hint="eastAsia" w:ascii="仿宋_GB2312" w:hAnsi="微软雅黑" w:eastAsia="仿宋_GB2312" w:cs="仿宋_GB2312"/>
          <w:sz w:val="31"/>
          <w:szCs w:val="31"/>
        </w:rPr>
        <w:t>质量指标：协助政府开展工作，准确反映民意</w:t>
      </w:r>
      <w:r>
        <w:rPr>
          <w:rFonts w:hint="eastAsia" w:ascii="仿宋_GB2312" w:hAnsi="微软雅黑" w:eastAsia="仿宋_GB2312" w:cs="仿宋_GB2312"/>
          <w:sz w:val="31"/>
          <w:szCs w:val="31"/>
          <w:lang w:eastAsia="zh-CN"/>
        </w:rPr>
        <w:t>。</w:t>
      </w:r>
    </w:p>
    <w:p w14:paraId="031FA6B5">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社会效益指标：</w:t>
      </w:r>
      <w:r>
        <w:rPr>
          <w:rFonts w:hint="eastAsia" w:ascii="仿宋_GB2312" w:hAnsi="微软雅黑" w:eastAsia="仿宋_GB2312" w:cs="仿宋_GB2312"/>
          <w:sz w:val="31"/>
          <w:szCs w:val="31"/>
          <w:lang w:val="zh-CN"/>
        </w:rPr>
        <w:t>确保人民生命财产安全，降低灾害损失</w:t>
      </w:r>
      <w:r>
        <w:rPr>
          <w:rFonts w:hint="eastAsia" w:ascii="仿宋_GB2312" w:hAnsi="微软雅黑" w:eastAsia="仿宋_GB2312" w:cs="仿宋_GB2312"/>
          <w:sz w:val="31"/>
          <w:szCs w:val="31"/>
        </w:rPr>
        <w:t>。</w:t>
      </w:r>
    </w:p>
    <w:p w14:paraId="112DD722">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满意度指标：村民满意程度得到提高。</w:t>
      </w:r>
    </w:p>
    <w:p w14:paraId="64780B6D">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四、评价结论</w:t>
      </w:r>
    </w:p>
    <w:p w14:paraId="42E51164">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总体上看，项目目标明确、资金到位率高、组织监管体系完善。我镇安全生产监管（森林防火、食品安全）等项目资金较好地实现了绩效目标。自评得分100分。</w:t>
      </w:r>
    </w:p>
    <w:p w14:paraId="3FBF914C">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五、存在主要问题</w:t>
      </w:r>
    </w:p>
    <w:p w14:paraId="177A5FD5">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在实际执行过程中，可能存在经费使用不规范的情况,对经费使用的监管可能存在不足，导致资金使用的效率和效果受到影响。</w:t>
      </w:r>
    </w:p>
    <w:p w14:paraId="0881CA65">
      <w:pPr>
        <w:adjustRightInd w:val="0"/>
        <w:snapToGrid w:val="0"/>
        <w:spacing w:line="576" w:lineRule="exact"/>
        <w:ind w:firstLine="720"/>
        <w:jc w:val="left"/>
        <w:rPr>
          <w:rFonts w:ascii="仿宋_GB2312" w:hAnsi="微软雅黑" w:eastAsia="仿宋_GB2312" w:cs="仿宋_GB2312"/>
          <w:b/>
          <w:sz w:val="31"/>
          <w:szCs w:val="31"/>
        </w:rPr>
      </w:pPr>
      <w:r>
        <w:rPr>
          <w:rFonts w:hint="eastAsia" w:ascii="仿宋_GB2312" w:hAnsi="微软雅黑" w:eastAsia="仿宋_GB2312" w:cs="仿宋_GB2312"/>
          <w:b/>
          <w:sz w:val="31"/>
          <w:szCs w:val="31"/>
        </w:rPr>
        <w:t>六、改进建议</w:t>
      </w:r>
    </w:p>
    <w:p w14:paraId="5EF4EB97">
      <w:pPr>
        <w:adjustRightInd w:val="0"/>
        <w:snapToGrid w:val="0"/>
        <w:spacing w:line="576" w:lineRule="exact"/>
        <w:ind w:firstLine="620" w:firstLineChars="200"/>
        <w:jc w:val="left"/>
        <w:rPr>
          <w:rFonts w:ascii="仿宋_GB2312" w:hAnsi="微软雅黑" w:eastAsia="仿宋_GB2312" w:cs="仿宋_GB2312"/>
          <w:sz w:val="31"/>
          <w:szCs w:val="31"/>
        </w:rPr>
      </w:pPr>
      <w:r>
        <w:rPr>
          <w:rFonts w:hint="eastAsia" w:ascii="仿宋_GB2312" w:hAnsi="微软雅黑" w:eastAsia="仿宋_GB2312" w:cs="仿宋_GB2312"/>
          <w:sz w:val="31"/>
          <w:szCs w:val="31"/>
        </w:rPr>
        <w:t>争取节约工作经费，全面开展好工作，不断提高工作科学化、规范化、法治化水平。</w:t>
      </w:r>
    </w:p>
    <w:p w14:paraId="2B76E5EB">
      <w:pPr>
        <w:snapToGrid w:val="0"/>
        <w:spacing w:line="576" w:lineRule="exact"/>
        <w:ind w:firstLine="640" w:firstLineChars="200"/>
        <w:jc w:val="left"/>
        <w:rPr>
          <w:rFonts w:ascii="仿宋_GB2312" w:hAnsi="仿宋_GB2312" w:eastAsia="仿宋_GB2312" w:cs="仿宋_GB2312"/>
          <w:sz w:val="32"/>
          <w:szCs w:val="32"/>
        </w:rPr>
      </w:pPr>
    </w:p>
    <w:p w14:paraId="4FFBA9E6">
      <w:pPr>
        <w:pStyle w:val="2"/>
        <w:spacing w:line="576" w:lineRule="exact"/>
      </w:pPr>
    </w:p>
    <w:p w14:paraId="73839638">
      <w:pPr>
        <w:spacing w:line="576" w:lineRule="exact"/>
        <w:jc w:val="left"/>
      </w:pPr>
      <w:bookmarkStart w:id="47" w:name="_Toc15396619"/>
      <w:r>
        <w:rPr>
          <w:rFonts w:hint="eastAsia"/>
        </w:rPr>
        <w:br w:type="page"/>
      </w:r>
    </w:p>
    <w:p w14:paraId="497E818B">
      <w:pPr>
        <w:pStyle w:val="3"/>
        <w:ind w:left="420"/>
      </w:pPr>
    </w:p>
    <w:p w14:paraId="711E3B21">
      <w:pPr>
        <w:spacing w:line="600" w:lineRule="exact"/>
        <w:jc w:val="center"/>
        <w:outlineLvl w:val="0"/>
        <w:rPr>
          <w:rFonts w:ascii="仿宋" w:hAnsi="仿宋" w:eastAsia="仿宋"/>
        </w:rPr>
      </w:pPr>
      <w:r>
        <w:rPr>
          <w:rStyle w:val="34"/>
          <w:rFonts w:hint="eastAsia" w:ascii="黑体" w:hAnsi="黑体" w:eastAsia="黑体"/>
          <w:b w:val="0"/>
          <w:bCs w:val="0"/>
        </w:rPr>
        <w:t>第五部分 附 表</w:t>
      </w:r>
    </w:p>
    <w:p w14:paraId="092E2A7B">
      <w:pPr>
        <w:numPr>
          <w:ilvl w:val="0"/>
          <w:numId w:val="10"/>
        </w:numPr>
        <w:spacing w:line="576" w:lineRule="exact"/>
        <w:outlineLvl w:val="0"/>
        <w:rPr>
          <w:rStyle w:val="35"/>
          <w:rFonts w:ascii="仿宋" w:hAnsi="仿宋" w:eastAsia="仿宋"/>
          <w:b w:val="0"/>
          <w:bCs w:val="0"/>
        </w:rPr>
      </w:pPr>
      <w:r>
        <w:rPr>
          <w:rStyle w:val="35"/>
          <w:rFonts w:hint="eastAsia" w:ascii="仿宋" w:hAnsi="仿宋" w:eastAsia="仿宋"/>
          <w:b w:val="0"/>
          <w:bCs w:val="0"/>
        </w:rPr>
        <w:t>收入支出决算总表</w:t>
      </w:r>
    </w:p>
    <w:p w14:paraId="06A11641">
      <w:pPr>
        <w:pStyle w:val="6"/>
        <w:spacing w:line="576" w:lineRule="exact"/>
        <w:rPr>
          <w:rFonts w:ascii="仿宋" w:hAnsi="仿宋" w:eastAsia="仿宋"/>
        </w:rPr>
      </w:pPr>
      <w:r>
        <w:rPr>
          <w:rFonts w:hint="eastAsia" w:ascii="仿宋" w:hAnsi="仿宋" w:eastAsia="仿宋"/>
          <w:b w:val="0"/>
        </w:rPr>
        <w:t>二、收</w:t>
      </w:r>
      <w:r>
        <w:rPr>
          <w:rStyle w:val="35"/>
          <w:rFonts w:hint="eastAsia" w:ascii="仿宋" w:hAnsi="仿宋" w:eastAsia="仿宋"/>
          <w:b w:val="0"/>
          <w:bCs w:val="0"/>
        </w:rPr>
        <w:t>入决算表</w:t>
      </w:r>
    </w:p>
    <w:p w14:paraId="06CE3648">
      <w:pPr>
        <w:pStyle w:val="6"/>
        <w:spacing w:line="576" w:lineRule="exact"/>
        <w:rPr>
          <w:rFonts w:ascii="仿宋" w:hAnsi="仿宋" w:eastAsia="仿宋"/>
        </w:rPr>
      </w:pPr>
      <w:r>
        <w:rPr>
          <w:rStyle w:val="35"/>
          <w:rFonts w:hint="eastAsia" w:ascii="仿宋" w:hAnsi="仿宋" w:eastAsia="仿宋"/>
          <w:b w:val="0"/>
          <w:bCs w:val="0"/>
        </w:rPr>
        <w:t>三、</w:t>
      </w:r>
      <w:r>
        <w:rPr>
          <w:rFonts w:hint="eastAsia" w:ascii="仿宋" w:hAnsi="仿宋" w:eastAsia="仿宋"/>
          <w:b w:val="0"/>
        </w:rPr>
        <w:t>支</w:t>
      </w:r>
      <w:r>
        <w:rPr>
          <w:rStyle w:val="35"/>
          <w:rFonts w:hint="eastAsia" w:ascii="仿宋" w:hAnsi="仿宋" w:eastAsia="仿宋"/>
          <w:b w:val="0"/>
          <w:bCs w:val="0"/>
        </w:rPr>
        <w:t>出决算表</w:t>
      </w:r>
    </w:p>
    <w:p w14:paraId="2215F4EA">
      <w:pPr>
        <w:pStyle w:val="6"/>
        <w:spacing w:line="576" w:lineRule="exact"/>
        <w:rPr>
          <w:rFonts w:ascii="仿宋" w:hAnsi="仿宋" w:eastAsia="仿宋"/>
          <w:b w:val="0"/>
        </w:rPr>
      </w:pPr>
      <w:r>
        <w:rPr>
          <w:rStyle w:val="35"/>
          <w:rFonts w:hint="eastAsia" w:ascii="仿宋" w:hAnsi="仿宋" w:eastAsia="仿宋"/>
          <w:b w:val="0"/>
          <w:bCs w:val="0"/>
        </w:rPr>
        <w:t>四、</w:t>
      </w:r>
      <w:r>
        <w:rPr>
          <w:rFonts w:hint="eastAsia" w:ascii="仿宋" w:hAnsi="仿宋" w:eastAsia="仿宋"/>
          <w:b w:val="0"/>
        </w:rPr>
        <w:t>财</w:t>
      </w:r>
      <w:r>
        <w:rPr>
          <w:rStyle w:val="35"/>
          <w:rFonts w:hint="eastAsia" w:ascii="仿宋" w:hAnsi="仿宋" w:eastAsia="仿宋"/>
          <w:b w:val="0"/>
          <w:bCs w:val="0"/>
        </w:rPr>
        <w:t>政拨款收入支出决算总表</w:t>
      </w:r>
    </w:p>
    <w:p w14:paraId="003E9737">
      <w:pPr>
        <w:pStyle w:val="6"/>
        <w:spacing w:line="576" w:lineRule="exact"/>
        <w:rPr>
          <w:rStyle w:val="35"/>
          <w:rFonts w:ascii="仿宋" w:hAnsi="仿宋" w:eastAsia="仿宋"/>
          <w:b w:val="0"/>
          <w:bCs w:val="0"/>
        </w:rPr>
      </w:pPr>
      <w:r>
        <w:rPr>
          <w:rStyle w:val="35"/>
          <w:rFonts w:hint="eastAsia" w:ascii="仿宋" w:hAnsi="仿宋" w:eastAsia="仿宋"/>
          <w:b w:val="0"/>
          <w:bCs w:val="0"/>
        </w:rPr>
        <w:t>五、</w:t>
      </w:r>
      <w:r>
        <w:rPr>
          <w:rFonts w:hint="eastAsia" w:ascii="仿宋" w:hAnsi="仿宋" w:eastAsia="仿宋"/>
          <w:b w:val="0"/>
        </w:rPr>
        <w:t>财</w:t>
      </w:r>
      <w:r>
        <w:rPr>
          <w:rStyle w:val="35"/>
          <w:rFonts w:hint="eastAsia" w:ascii="仿宋" w:hAnsi="仿宋" w:eastAsia="仿宋"/>
          <w:b w:val="0"/>
          <w:bCs w:val="0"/>
        </w:rPr>
        <w:t>政拨款支出决算明细表</w:t>
      </w:r>
    </w:p>
    <w:p w14:paraId="789441D3">
      <w:pPr>
        <w:pStyle w:val="6"/>
        <w:spacing w:line="576" w:lineRule="exact"/>
        <w:rPr>
          <w:rFonts w:ascii="仿宋" w:hAnsi="仿宋" w:eastAsia="仿宋"/>
        </w:rPr>
      </w:pPr>
      <w:r>
        <w:rPr>
          <w:rStyle w:val="35"/>
          <w:rFonts w:hint="eastAsia" w:ascii="仿宋" w:hAnsi="仿宋" w:eastAsia="仿宋"/>
          <w:b w:val="0"/>
          <w:bCs w:val="0"/>
        </w:rPr>
        <w:t>六、</w:t>
      </w:r>
      <w:r>
        <w:rPr>
          <w:rFonts w:hint="eastAsia" w:ascii="仿宋" w:hAnsi="仿宋" w:eastAsia="仿宋"/>
          <w:b w:val="0"/>
        </w:rPr>
        <w:t>一</w:t>
      </w:r>
      <w:r>
        <w:rPr>
          <w:rStyle w:val="35"/>
          <w:rFonts w:hint="eastAsia" w:ascii="仿宋" w:hAnsi="仿宋" w:eastAsia="仿宋"/>
          <w:b w:val="0"/>
          <w:bCs w:val="0"/>
        </w:rPr>
        <w:t>般公共预算财政拨款支出决算表</w:t>
      </w:r>
    </w:p>
    <w:p w14:paraId="1B24D4E9">
      <w:pPr>
        <w:pStyle w:val="6"/>
        <w:spacing w:line="576" w:lineRule="exact"/>
        <w:rPr>
          <w:rFonts w:ascii="仿宋" w:hAnsi="仿宋" w:eastAsia="仿宋"/>
        </w:rPr>
      </w:pPr>
      <w:r>
        <w:rPr>
          <w:rStyle w:val="35"/>
          <w:rFonts w:hint="eastAsia" w:ascii="仿宋" w:hAnsi="仿宋" w:eastAsia="仿宋"/>
          <w:b w:val="0"/>
          <w:bCs w:val="0"/>
        </w:rPr>
        <w:t>七、</w:t>
      </w:r>
      <w:r>
        <w:rPr>
          <w:rFonts w:hint="eastAsia" w:ascii="仿宋" w:hAnsi="仿宋" w:eastAsia="仿宋"/>
          <w:b w:val="0"/>
        </w:rPr>
        <w:t>一</w:t>
      </w:r>
      <w:r>
        <w:rPr>
          <w:rStyle w:val="35"/>
          <w:rFonts w:hint="eastAsia" w:ascii="仿宋" w:hAnsi="仿宋" w:eastAsia="仿宋"/>
          <w:b w:val="0"/>
          <w:bCs w:val="0"/>
        </w:rPr>
        <w:t>般公共预算财政拨款支出决算明细表</w:t>
      </w:r>
    </w:p>
    <w:p w14:paraId="7DA150A1">
      <w:pPr>
        <w:pStyle w:val="6"/>
        <w:spacing w:line="576" w:lineRule="exact"/>
        <w:rPr>
          <w:rFonts w:ascii="仿宋" w:hAnsi="仿宋" w:eastAsia="仿宋"/>
        </w:rPr>
      </w:pPr>
      <w:r>
        <w:rPr>
          <w:rStyle w:val="35"/>
          <w:rFonts w:hint="eastAsia" w:ascii="仿宋" w:hAnsi="仿宋" w:eastAsia="仿宋"/>
          <w:b w:val="0"/>
          <w:bCs w:val="0"/>
        </w:rPr>
        <w:t>八、</w:t>
      </w:r>
      <w:r>
        <w:rPr>
          <w:rFonts w:hint="eastAsia" w:ascii="仿宋" w:hAnsi="仿宋" w:eastAsia="仿宋"/>
          <w:b w:val="0"/>
        </w:rPr>
        <w:t>一</w:t>
      </w:r>
      <w:r>
        <w:rPr>
          <w:rStyle w:val="35"/>
          <w:rFonts w:hint="eastAsia" w:ascii="仿宋" w:hAnsi="仿宋" w:eastAsia="仿宋"/>
          <w:b w:val="0"/>
          <w:bCs w:val="0"/>
        </w:rPr>
        <w:t>般公共预算财政拨款基本支出决算</w:t>
      </w:r>
    </w:p>
    <w:p w14:paraId="269BB22E">
      <w:pPr>
        <w:pStyle w:val="6"/>
        <w:spacing w:line="576" w:lineRule="exact"/>
        <w:rPr>
          <w:rFonts w:ascii="仿宋" w:hAnsi="仿宋" w:eastAsia="仿宋"/>
        </w:rPr>
      </w:pPr>
      <w:r>
        <w:rPr>
          <w:rStyle w:val="35"/>
          <w:rFonts w:hint="eastAsia" w:ascii="仿宋" w:hAnsi="仿宋" w:eastAsia="仿宋"/>
          <w:b w:val="0"/>
          <w:bCs w:val="0"/>
        </w:rPr>
        <w:t>九、</w:t>
      </w:r>
      <w:r>
        <w:rPr>
          <w:rFonts w:hint="eastAsia" w:ascii="仿宋" w:hAnsi="仿宋" w:eastAsia="仿宋"/>
          <w:b w:val="0"/>
        </w:rPr>
        <w:t>一</w:t>
      </w:r>
      <w:r>
        <w:rPr>
          <w:rStyle w:val="35"/>
          <w:rFonts w:hint="eastAsia" w:ascii="仿宋" w:hAnsi="仿宋" w:eastAsia="仿宋"/>
          <w:b w:val="0"/>
          <w:bCs w:val="0"/>
        </w:rPr>
        <w:t>般公共预算财政拨款项目支出决算表</w:t>
      </w:r>
    </w:p>
    <w:p w14:paraId="440CE51B">
      <w:pPr>
        <w:pStyle w:val="6"/>
        <w:spacing w:line="576" w:lineRule="exact"/>
        <w:rPr>
          <w:rFonts w:ascii="仿宋" w:hAnsi="仿宋" w:eastAsia="仿宋"/>
        </w:rPr>
      </w:pPr>
      <w:r>
        <w:rPr>
          <w:rStyle w:val="35"/>
          <w:rFonts w:hint="eastAsia" w:ascii="仿宋" w:hAnsi="仿宋" w:eastAsia="仿宋"/>
          <w:b w:val="0"/>
          <w:bCs w:val="0"/>
        </w:rPr>
        <w:t>十、</w:t>
      </w:r>
      <w:r>
        <w:rPr>
          <w:rFonts w:hint="eastAsia" w:ascii="仿宋" w:hAnsi="仿宋" w:eastAsia="仿宋"/>
          <w:b w:val="0"/>
        </w:rPr>
        <w:t>政</w:t>
      </w:r>
      <w:r>
        <w:rPr>
          <w:rStyle w:val="35"/>
          <w:rFonts w:hint="eastAsia" w:ascii="仿宋" w:hAnsi="仿宋" w:eastAsia="仿宋"/>
          <w:b w:val="0"/>
          <w:bCs w:val="0"/>
        </w:rPr>
        <w:t>府性基金预算财政拨款收入支出决算表</w:t>
      </w:r>
    </w:p>
    <w:p w14:paraId="6C635B09">
      <w:pPr>
        <w:pStyle w:val="6"/>
        <w:spacing w:line="576" w:lineRule="exact"/>
        <w:rPr>
          <w:rFonts w:ascii="仿宋" w:hAnsi="仿宋" w:eastAsia="仿宋"/>
        </w:rPr>
      </w:pPr>
      <w:r>
        <w:rPr>
          <w:rStyle w:val="35"/>
          <w:rFonts w:hint="eastAsia" w:ascii="仿宋" w:hAnsi="仿宋" w:eastAsia="仿宋"/>
          <w:b w:val="0"/>
          <w:bCs w:val="0"/>
        </w:rPr>
        <w:t>十一、</w:t>
      </w:r>
      <w:r>
        <w:rPr>
          <w:rFonts w:hint="eastAsia" w:ascii="仿宋" w:hAnsi="仿宋" w:eastAsia="仿宋"/>
          <w:b w:val="0"/>
        </w:rPr>
        <w:t>国</w:t>
      </w:r>
      <w:r>
        <w:rPr>
          <w:rStyle w:val="35"/>
          <w:rFonts w:hint="eastAsia" w:ascii="仿宋" w:hAnsi="仿宋" w:eastAsia="仿宋"/>
          <w:b w:val="0"/>
          <w:bCs w:val="0"/>
        </w:rPr>
        <w:t>有资本经营预算财政拨款收入支出决算表</w:t>
      </w:r>
    </w:p>
    <w:p w14:paraId="1B06CC1C">
      <w:pPr>
        <w:pStyle w:val="6"/>
        <w:spacing w:line="576" w:lineRule="exact"/>
        <w:rPr>
          <w:rFonts w:ascii="仿宋" w:hAnsi="仿宋" w:eastAsia="仿宋"/>
        </w:rPr>
      </w:pPr>
      <w:r>
        <w:rPr>
          <w:rStyle w:val="35"/>
          <w:rFonts w:hint="eastAsia" w:ascii="仿宋" w:hAnsi="仿宋" w:eastAsia="仿宋"/>
          <w:b w:val="0"/>
          <w:bCs w:val="0"/>
        </w:rPr>
        <w:t>十二、国有资本经营预算财政拨款支出决算表</w:t>
      </w:r>
    </w:p>
    <w:p w14:paraId="1AC2EF26">
      <w:pPr>
        <w:pStyle w:val="6"/>
        <w:spacing w:line="576" w:lineRule="exact"/>
        <w:rPr>
          <w:rFonts w:eastAsia="仿宋"/>
        </w:rPr>
      </w:pPr>
      <w:r>
        <w:rPr>
          <w:rStyle w:val="35"/>
          <w:rFonts w:hint="eastAsia" w:ascii="仿宋" w:hAnsi="仿宋" w:eastAsia="仿宋"/>
          <w:b w:val="0"/>
          <w:bCs w:val="0"/>
        </w:rPr>
        <w:t>十三、财政拨款“三公”经费支出决算表</w:t>
      </w:r>
    </w:p>
    <w:p w14:paraId="27657EE8">
      <w:pPr>
        <w:pStyle w:val="2"/>
        <w:spacing w:line="576" w:lineRule="exact"/>
      </w:pPr>
    </w:p>
    <w:bookmarkEnd w:id="45"/>
    <w:bookmarkEnd w:id="46"/>
    <w:bookmarkEnd w:id="47"/>
    <w:p w14:paraId="11418F9D">
      <w:pPr>
        <w:spacing w:line="576" w:lineRule="exact"/>
        <w:outlineLvl w:val="0"/>
        <w:rPr>
          <w:rFonts w:ascii="仿宋" w:hAnsi="仿宋" w:eastAsia="仿宋"/>
        </w:rPr>
      </w:pPr>
    </w:p>
    <w:sectPr>
      <w:footerReference r:id="rId3" w:type="default"/>
      <w:pgSz w:w="11906" w:h="16838"/>
      <w:pgMar w:top="2098" w:right="1474" w:bottom="1984" w:left="1587" w:header="851" w:footer="992" w:gutter="0"/>
      <w:pgNumType w:start="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718ED59-D408-492A-A605-A137E6F74CD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FD01825D-5343-484F-AACC-26D4CA8FFE14}"/>
  </w:font>
  <w:font w:name="Cambria">
    <w:panose1 w:val="02040503050406030204"/>
    <w:charset w:val="00"/>
    <w:family w:val="roman"/>
    <w:pitch w:val="default"/>
    <w:sig w:usb0="E00002FF" w:usb1="400004FF" w:usb2="00000000" w:usb3="00000000" w:csb0="2000019F" w:csb1="00000000"/>
    <w:embedRegular r:id="rId3" w:fontKey="{86DCCA7F-81E3-4D76-B70A-074A55A570D6}"/>
  </w:font>
  <w:font w:name="仿宋_GB2312">
    <w:panose1 w:val="02010609030101010101"/>
    <w:charset w:val="86"/>
    <w:family w:val="auto"/>
    <w:pitch w:val="default"/>
    <w:sig w:usb0="00000001" w:usb1="080E0000" w:usb2="00000000" w:usb3="00000000" w:csb0="00040000" w:csb1="00000000"/>
    <w:embedRegular r:id="rId4" w:fontKey="{70FE21E8-500C-4C96-8554-195A2FA5A60F}"/>
  </w:font>
  <w:font w:name="仿宋">
    <w:panose1 w:val="02010609060101010101"/>
    <w:charset w:val="86"/>
    <w:family w:val="modern"/>
    <w:pitch w:val="default"/>
    <w:sig w:usb0="800002BF" w:usb1="38CF7CFA" w:usb2="00000016" w:usb3="00000000" w:csb0="00040001" w:csb1="00000000"/>
    <w:embedRegular r:id="rId5" w:fontKey="{6C8BA907-6FC1-4E1E-8DF1-8C90A37D738F}"/>
  </w:font>
  <w:font w:name="方正仿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embedRegular r:id="rId6" w:fontKey="{1D148A8F-8C98-4F53-9018-453DE94CBE2A}"/>
  </w:font>
  <w:font w:name="等线">
    <w:altName w:val="微软雅黑"/>
    <w:panose1 w:val="02010600030101010101"/>
    <w:charset w:val="86"/>
    <w:family w:val="auto"/>
    <w:pitch w:val="default"/>
    <w:sig w:usb0="00000000" w:usb1="00000000" w:usb2="00000016" w:usb3="00000000" w:csb0="0004000F" w:csb1="00000000"/>
  </w:font>
  <w:font w:name="方正小标宋_GBK">
    <w:panose1 w:val="03000509000000000000"/>
    <w:charset w:val="86"/>
    <w:family w:val="auto"/>
    <w:pitch w:val="default"/>
    <w:sig w:usb0="00000001" w:usb1="080E0000" w:usb2="00000000" w:usb3="00000000" w:csb0="00040000" w:csb1="00000000"/>
    <w:embedRegular r:id="rId7" w:fontKey="{822B6CA8-01E7-49A5-B417-9DB2AC8417E5}"/>
  </w:font>
  <w:font w:name="方正小标宋简体">
    <w:panose1 w:val="02000000000000000000"/>
    <w:charset w:val="86"/>
    <w:family w:val="script"/>
    <w:pitch w:val="default"/>
    <w:sig w:usb0="00000001" w:usb1="08000000" w:usb2="00000000" w:usb3="00000000" w:csb0="00040000" w:csb1="00000000"/>
    <w:embedRegular r:id="rId8" w:fontKey="{3B0E591D-CD2B-4F3B-8C5B-DDD4D85440FF}"/>
  </w:font>
  <w:font w:name="楷体_GB2312">
    <w:panose1 w:val="02010609030101010101"/>
    <w:charset w:val="86"/>
    <w:family w:val="modern"/>
    <w:pitch w:val="default"/>
    <w:sig w:usb0="00000001" w:usb1="080E0000" w:usb2="00000000" w:usb3="00000000" w:csb0="00040000" w:csb1="00000000"/>
    <w:embedRegular r:id="rId9" w:fontKey="{08E2FA8F-A508-4BCA-84D9-F1E7CF873B5D}"/>
  </w:font>
  <w:font w:name="楷体">
    <w:panose1 w:val="02010609060101010101"/>
    <w:charset w:val="86"/>
    <w:family w:val="modern"/>
    <w:pitch w:val="default"/>
    <w:sig w:usb0="800002BF" w:usb1="38CF7CFA" w:usb2="00000016" w:usb3="00000000" w:csb0="00040001" w:csb1="00000000"/>
    <w:embedRegular r:id="rId10" w:fontKey="{C676EEE1-9C5A-4DD5-87E3-34A3F3A996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71270A6">
        <w:pPr>
          <w:pStyle w:val="12"/>
          <w:jc w:val="center"/>
        </w:pPr>
        <w:r>
          <w:fldChar w:fldCharType="begin"/>
        </w:r>
        <w:r>
          <w:instrText xml:space="preserve">PAGE   \* MERGEFORMAT</w:instrText>
        </w:r>
        <w:r>
          <w:fldChar w:fldCharType="separate"/>
        </w:r>
        <w:r>
          <w:rPr>
            <w:lang w:val="zh-CN"/>
          </w:rPr>
          <w:t>9</w:t>
        </w:r>
        <w:r>
          <w:fldChar w:fldCharType="end"/>
        </w:r>
      </w:p>
    </w:sdtContent>
  </w:sdt>
  <w:p w14:paraId="4223DB6B">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AA7B18"/>
    <w:multiLevelType w:val="singleLevel"/>
    <w:tmpl w:val="BFAA7B18"/>
    <w:lvl w:ilvl="0" w:tentative="0">
      <w:start w:val="6"/>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FFF9682B"/>
    <w:multiLevelType w:val="singleLevel"/>
    <w:tmpl w:val="FFF9682B"/>
    <w:lvl w:ilvl="0" w:tentative="0">
      <w:start w:val="1"/>
      <w:numFmt w:val="chineseCounting"/>
      <w:suff w:val="nothing"/>
      <w:lvlText w:val="%1、"/>
      <w:lvlJc w:val="left"/>
      <w:rPr>
        <w:rFonts w:hint="eastAsia"/>
      </w:rPr>
    </w:lvl>
  </w:abstractNum>
  <w:abstractNum w:abstractNumId="3">
    <w:nsid w:val="0C54A59D"/>
    <w:multiLevelType w:val="singleLevel"/>
    <w:tmpl w:val="0C54A59D"/>
    <w:lvl w:ilvl="0" w:tentative="0">
      <w:start w:val="2"/>
      <w:numFmt w:val="chineseCounting"/>
      <w:suff w:val="nothing"/>
      <w:lvlText w:val="（%1）"/>
      <w:lvlJc w:val="left"/>
      <w:pPr>
        <w:ind w:left="197"/>
      </w:pPr>
      <w:rPr>
        <w:rFonts w:hint="eastAsia"/>
      </w:rPr>
    </w:lvl>
  </w:abstractNum>
  <w:abstractNum w:abstractNumId="4">
    <w:nsid w:val="1272550B"/>
    <w:multiLevelType w:val="multilevel"/>
    <w:tmpl w:val="1272550B"/>
    <w:lvl w:ilvl="0" w:tentative="0">
      <w:start w:val="1"/>
      <w:numFmt w:val="japaneseCounting"/>
      <w:lvlText w:val="%1、"/>
      <w:lvlJc w:val="left"/>
      <w:pPr>
        <w:ind w:left="1429" w:hanging="720"/>
      </w:pPr>
      <w:rPr>
        <w:rFonts w:hint="eastAsia"/>
        <w:b w:val="0"/>
        <w:bCs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389F62CE"/>
    <w:multiLevelType w:val="singleLevel"/>
    <w:tmpl w:val="389F62CE"/>
    <w:lvl w:ilvl="0" w:tentative="0">
      <w:start w:val="3"/>
      <w:numFmt w:val="chineseCounting"/>
      <w:suff w:val="nothing"/>
      <w:lvlText w:val="（%1）"/>
      <w:lvlJc w:val="left"/>
      <w:rPr>
        <w:rFonts w:hint="eastAsia"/>
      </w:rPr>
    </w:lvl>
  </w:abstractNum>
  <w:abstractNum w:abstractNumId="6">
    <w:nsid w:val="59B88D60"/>
    <w:multiLevelType w:val="singleLevel"/>
    <w:tmpl w:val="59B88D60"/>
    <w:lvl w:ilvl="0" w:tentative="0">
      <w:start w:val="2"/>
      <w:numFmt w:val="chineseCounting"/>
      <w:suff w:val="nothing"/>
      <w:lvlText w:val="（%1）"/>
      <w:lvlJc w:val="left"/>
      <w:pPr>
        <w:ind w:left="-10"/>
      </w:pPr>
      <w:rPr>
        <w:rFonts w:hint="eastAsia"/>
        <w:b/>
        <w:bCs/>
      </w:rPr>
    </w:lvl>
  </w:abstractNum>
  <w:abstractNum w:abstractNumId="7">
    <w:nsid w:val="622ED06E"/>
    <w:multiLevelType w:val="singleLevel"/>
    <w:tmpl w:val="622ED06E"/>
    <w:lvl w:ilvl="0" w:tentative="0">
      <w:start w:val="2"/>
      <w:numFmt w:val="chineseCounting"/>
      <w:suff w:val="nothing"/>
      <w:lvlText w:val="%1、"/>
      <w:lvlJc w:val="left"/>
      <w:pPr>
        <w:ind w:left="-430"/>
      </w:pPr>
      <w:rPr>
        <w:rFonts w:hint="eastAsia"/>
      </w:rPr>
    </w:lvl>
  </w:abstractNum>
  <w:abstractNum w:abstractNumId="8">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9">
    <w:nsid w:val="76BC91BC"/>
    <w:multiLevelType w:val="singleLevel"/>
    <w:tmpl w:val="76BC91BC"/>
    <w:lvl w:ilvl="0" w:tentative="0">
      <w:start w:val="1"/>
      <w:numFmt w:val="decimal"/>
      <w:pStyle w:val="8"/>
      <w:lvlText w:val="%1."/>
      <w:lvlJc w:val="left"/>
      <w:pPr>
        <w:tabs>
          <w:tab w:val="left" w:pos="360"/>
        </w:tabs>
        <w:ind w:left="360" w:hanging="360"/>
      </w:pPr>
    </w:lvl>
  </w:abstractNum>
  <w:num w:numId="1">
    <w:abstractNumId w:val="9"/>
  </w:num>
  <w:num w:numId="2">
    <w:abstractNumId w:val="8"/>
  </w:num>
  <w:num w:numId="3">
    <w:abstractNumId w:val="4"/>
  </w:num>
  <w:num w:numId="4">
    <w:abstractNumId w:val="1"/>
  </w:num>
  <w:num w:numId="5">
    <w:abstractNumId w:val="6"/>
  </w:num>
  <w:num w:numId="6">
    <w:abstractNumId w:val="5"/>
  </w:num>
  <w:num w:numId="7">
    <w:abstractNumId w:val="7"/>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MDE5MDYzMDRjNTJmNmJlYzc3MzIxMzc1MjJhNmYifQ=="/>
  </w:docVars>
  <w:rsids>
    <w:rsidRoot w:val="00F1361C"/>
    <w:rsid w:val="000003E8"/>
    <w:rsid w:val="00013150"/>
    <w:rsid w:val="00021ED5"/>
    <w:rsid w:val="000222C6"/>
    <w:rsid w:val="0002549F"/>
    <w:rsid w:val="000270E0"/>
    <w:rsid w:val="0006487A"/>
    <w:rsid w:val="00065F8F"/>
    <w:rsid w:val="000672E3"/>
    <w:rsid w:val="0007317A"/>
    <w:rsid w:val="0007322E"/>
    <w:rsid w:val="000768F2"/>
    <w:rsid w:val="0009184B"/>
    <w:rsid w:val="00094A3C"/>
    <w:rsid w:val="0009593C"/>
    <w:rsid w:val="0009702A"/>
    <w:rsid w:val="000B047F"/>
    <w:rsid w:val="000B4D87"/>
    <w:rsid w:val="000B5923"/>
    <w:rsid w:val="000B5A48"/>
    <w:rsid w:val="000B6FF3"/>
    <w:rsid w:val="000C3467"/>
    <w:rsid w:val="000C3CA6"/>
    <w:rsid w:val="000C60DA"/>
    <w:rsid w:val="000C6E3B"/>
    <w:rsid w:val="000D1267"/>
    <w:rsid w:val="000D1D50"/>
    <w:rsid w:val="000D5782"/>
    <w:rsid w:val="000E3280"/>
    <w:rsid w:val="000E6613"/>
    <w:rsid w:val="000E6F52"/>
    <w:rsid w:val="000E7119"/>
    <w:rsid w:val="001068A9"/>
    <w:rsid w:val="00114E9B"/>
    <w:rsid w:val="00134EF0"/>
    <w:rsid w:val="0014729F"/>
    <w:rsid w:val="0015534D"/>
    <w:rsid w:val="00157BAB"/>
    <w:rsid w:val="001654D1"/>
    <w:rsid w:val="00176DF0"/>
    <w:rsid w:val="0018106D"/>
    <w:rsid w:val="001870C7"/>
    <w:rsid w:val="001877A7"/>
    <w:rsid w:val="0019041D"/>
    <w:rsid w:val="0019088A"/>
    <w:rsid w:val="00190D43"/>
    <w:rsid w:val="00191536"/>
    <w:rsid w:val="00196687"/>
    <w:rsid w:val="001A42E5"/>
    <w:rsid w:val="001C0962"/>
    <w:rsid w:val="001D1B7A"/>
    <w:rsid w:val="001D2D99"/>
    <w:rsid w:val="001D7531"/>
    <w:rsid w:val="001E2DA8"/>
    <w:rsid w:val="001E737D"/>
    <w:rsid w:val="001F0592"/>
    <w:rsid w:val="001F7506"/>
    <w:rsid w:val="001F773F"/>
    <w:rsid w:val="002006CD"/>
    <w:rsid w:val="00200E8B"/>
    <w:rsid w:val="00202B36"/>
    <w:rsid w:val="00204B7A"/>
    <w:rsid w:val="00204B99"/>
    <w:rsid w:val="00205823"/>
    <w:rsid w:val="0021101A"/>
    <w:rsid w:val="00214624"/>
    <w:rsid w:val="00220536"/>
    <w:rsid w:val="00235629"/>
    <w:rsid w:val="002545C1"/>
    <w:rsid w:val="00260C38"/>
    <w:rsid w:val="002616C0"/>
    <w:rsid w:val="0026458E"/>
    <w:rsid w:val="002662AA"/>
    <w:rsid w:val="00271971"/>
    <w:rsid w:val="0027353A"/>
    <w:rsid w:val="00280496"/>
    <w:rsid w:val="002810E6"/>
    <w:rsid w:val="00295495"/>
    <w:rsid w:val="002B11C0"/>
    <w:rsid w:val="002B2451"/>
    <w:rsid w:val="002B2613"/>
    <w:rsid w:val="002D6338"/>
    <w:rsid w:val="002F1818"/>
    <w:rsid w:val="002F567B"/>
    <w:rsid w:val="00315DE0"/>
    <w:rsid w:val="003216A9"/>
    <w:rsid w:val="00324930"/>
    <w:rsid w:val="00327359"/>
    <w:rsid w:val="003515AE"/>
    <w:rsid w:val="00351F90"/>
    <w:rsid w:val="00364406"/>
    <w:rsid w:val="0037013F"/>
    <w:rsid w:val="00370995"/>
    <w:rsid w:val="00380C92"/>
    <w:rsid w:val="00384DEA"/>
    <w:rsid w:val="00384FD6"/>
    <w:rsid w:val="003A484F"/>
    <w:rsid w:val="003B0BE0"/>
    <w:rsid w:val="003B0C1B"/>
    <w:rsid w:val="003B688C"/>
    <w:rsid w:val="003C0291"/>
    <w:rsid w:val="003C1B7B"/>
    <w:rsid w:val="003C39AE"/>
    <w:rsid w:val="003C7B60"/>
    <w:rsid w:val="003D1FB2"/>
    <w:rsid w:val="003D66DA"/>
    <w:rsid w:val="003E1310"/>
    <w:rsid w:val="003E6F55"/>
    <w:rsid w:val="004043F1"/>
    <w:rsid w:val="00406254"/>
    <w:rsid w:val="00410555"/>
    <w:rsid w:val="00412499"/>
    <w:rsid w:val="004223DE"/>
    <w:rsid w:val="004340C5"/>
    <w:rsid w:val="00434489"/>
    <w:rsid w:val="00434CC6"/>
    <w:rsid w:val="00437085"/>
    <w:rsid w:val="00443880"/>
    <w:rsid w:val="004464F4"/>
    <w:rsid w:val="00460FE2"/>
    <w:rsid w:val="004634E0"/>
    <w:rsid w:val="00471401"/>
    <w:rsid w:val="00471558"/>
    <w:rsid w:val="00473F31"/>
    <w:rsid w:val="00474B7B"/>
    <w:rsid w:val="0048263A"/>
    <w:rsid w:val="00482C4B"/>
    <w:rsid w:val="00487E5D"/>
    <w:rsid w:val="004901D4"/>
    <w:rsid w:val="00496DA9"/>
    <w:rsid w:val="004A22F1"/>
    <w:rsid w:val="004A5332"/>
    <w:rsid w:val="004A711F"/>
    <w:rsid w:val="004A7B71"/>
    <w:rsid w:val="004B199D"/>
    <w:rsid w:val="004B4690"/>
    <w:rsid w:val="004E0A2D"/>
    <w:rsid w:val="004E206B"/>
    <w:rsid w:val="004E6DF7"/>
    <w:rsid w:val="004F0FBD"/>
    <w:rsid w:val="005001B0"/>
    <w:rsid w:val="00505A47"/>
    <w:rsid w:val="00512FDA"/>
    <w:rsid w:val="00514F58"/>
    <w:rsid w:val="00520DA0"/>
    <w:rsid w:val="00525D81"/>
    <w:rsid w:val="00527B74"/>
    <w:rsid w:val="00542539"/>
    <w:rsid w:val="005461A7"/>
    <w:rsid w:val="005664BB"/>
    <w:rsid w:val="0057481D"/>
    <w:rsid w:val="0058486E"/>
    <w:rsid w:val="005915DE"/>
    <w:rsid w:val="00594BC9"/>
    <w:rsid w:val="005B6AD4"/>
    <w:rsid w:val="005C7790"/>
    <w:rsid w:val="005D0B76"/>
    <w:rsid w:val="005D1C8B"/>
    <w:rsid w:val="005D2F2B"/>
    <w:rsid w:val="005D3C92"/>
    <w:rsid w:val="005D5CED"/>
    <w:rsid w:val="005E4DFC"/>
    <w:rsid w:val="005F1A4C"/>
    <w:rsid w:val="00602E4C"/>
    <w:rsid w:val="00605688"/>
    <w:rsid w:val="006070AF"/>
    <w:rsid w:val="00607E6C"/>
    <w:rsid w:val="006101B1"/>
    <w:rsid w:val="0061243A"/>
    <w:rsid w:val="00614E44"/>
    <w:rsid w:val="00616F9F"/>
    <w:rsid w:val="00622830"/>
    <w:rsid w:val="00630AEF"/>
    <w:rsid w:val="006325F8"/>
    <w:rsid w:val="00634C9A"/>
    <w:rsid w:val="006440E4"/>
    <w:rsid w:val="0065533F"/>
    <w:rsid w:val="006558F5"/>
    <w:rsid w:val="0066343B"/>
    <w:rsid w:val="00664187"/>
    <w:rsid w:val="00664777"/>
    <w:rsid w:val="00672A24"/>
    <w:rsid w:val="006748A4"/>
    <w:rsid w:val="0067780B"/>
    <w:rsid w:val="00683E73"/>
    <w:rsid w:val="00684C8C"/>
    <w:rsid w:val="00691F79"/>
    <w:rsid w:val="006A3141"/>
    <w:rsid w:val="006A5E34"/>
    <w:rsid w:val="006B2422"/>
    <w:rsid w:val="006B2B9A"/>
    <w:rsid w:val="006B5BB6"/>
    <w:rsid w:val="006C0E42"/>
    <w:rsid w:val="006C1937"/>
    <w:rsid w:val="006C7A8F"/>
    <w:rsid w:val="006D0C79"/>
    <w:rsid w:val="006E021D"/>
    <w:rsid w:val="006E23EC"/>
    <w:rsid w:val="006F020C"/>
    <w:rsid w:val="007006AF"/>
    <w:rsid w:val="007100E2"/>
    <w:rsid w:val="007127B7"/>
    <w:rsid w:val="007416B6"/>
    <w:rsid w:val="00746F48"/>
    <w:rsid w:val="0075404D"/>
    <w:rsid w:val="0076182A"/>
    <w:rsid w:val="00767B7E"/>
    <w:rsid w:val="00773811"/>
    <w:rsid w:val="007764CE"/>
    <w:rsid w:val="007770C3"/>
    <w:rsid w:val="00784D24"/>
    <w:rsid w:val="00785FBA"/>
    <w:rsid w:val="00786E4A"/>
    <w:rsid w:val="007875EB"/>
    <w:rsid w:val="0079426B"/>
    <w:rsid w:val="007C6118"/>
    <w:rsid w:val="007D312A"/>
    <w:rsid w:val="007D3BFE"/>
    <w:rsid w:val="007D3F19"/>
    <w:rsid w:val="007E23B0"/>
    <w:rsid w:val="007F1991"/>
    <w:rsid w:val="007F2C2F"/>
    <w:rsid w:val="007F55FC"/>
    <w:rsid w:val="007F5665"/>
    <w:rsid w:val="00800112"/>
    <w:rsid w:val="00812974"/>
    <w:rsid w:val="008158FB"/>
    <w:rsid w:val="0082317A"/>
    <w:rsid w:val="008253BB"/>
    <w:rsid w:val="00827FDC"/>
    <w:rsid w:val="0083706E"/>
    <w:rsid w:val="008377DE"/>
    <w:rsid w:val="008408C6"/>
    <w:rsid w:val="008423A5"/>
    <w:rsid w:val="00850625"/>
    <w:rsid w:val="00853718"/>
    <w:rsid w:val="00855221"/>
    <w:rsid w:val="00860645"/>
    <w:rsid w:val="00871F71"/>
    <w:rsid w:val="00873C6E"/>
    <w:rsid w:val="008754E9"/>
    <w:rsid w:val="00884047"/>
    <w:rsid w:val="00885AF4"/>
    <w:rsid w:val="008939CD"/>
    <w:rsid w:val="008A483C"/>
    <w:rsid w:val="008B0D8D"/>
    <w:rsid w:val="008B768C"/>
    <w:rsid w:val="008C4DB1"/>
    <w:rsid w:val="008C4EAF"/>
    <w:rsid w:val="008C5176"/>
    <w:rsid w:val="008C7FD0"/>
    <w:rsid w:val="008D1825"/>
    <w:rsid w:val="008E1DE7"/>
    <w:rsid w:val="008E707C"/>
    <w:rsid w:val="008F1F62"/>
    <w:rsid w:val="0090086C"/>
    <w:rsid w:val="00900B08"/>
    <w:rsid w:val="00902155"/>
    <w:rsid w:val="00902FA3"/>
    <w:rsid w:val="00917DEA"/>
    <w:rsid w:val="00921B5D"/>
    <w:rsid w:val="00922B1A"/>
    <w:rsid w:val="00923564"/>
    <w:rsid w:val="0092392E"/>
    <w:rsid w:val="009315F9"/>
    <w:rsid w:val="00935725"/>
    <w:rsid w:val="00946945"/>
    <w:rsid w:val="00951248"/>
    <w:rsid w:val="0095152F"/>
    <w:rsid w:val="00954C49"/>
    <w:rsid w:val="0097099F"/>
    <w:rsid w:val="00971997"/>
    <w:rsid w:val="00971FFC"/>
    <w:rsid w:val="00974B5F"/>
    <w:rsid w:val="0097688D"/>
    <w:rsid w:val="00977DB2"/>
    <w:rsid w:val="00980EEE"/>
    <w:rsid w:val="0098660A"/>
    <w:rsid w:val="00990956"/>
    <w:rsid w:val="009931C3"/>
    <w:rsid w:val="00995344"/>
    <w:rsid w:val="00996787"/>
    <w:rsid w:val="00996A8E"/>
    <w:rsid w:val="009B2330"/>
    <w:rsid w:val="009B2C43"/>
    <w:rsid w:val="009B4EAE"/>
    <w:rsid w:val="009B7573"/>
    <w:rsid w:val="009C22F4"/>
    <w:rsid w:val="009C2E98"/>
    <w:rsid w:val="009D3447"/>
    <w:rsid w:val="009D4711"/>
    <w:rsid w:val="009E4F6D"/>
    <w:rsid w:val="009E5654"/>
    <w:rsid w:val="009F1185"/>
    <w:rsid w:val="009F18CD"/>
    <w:rsid w:val="009F2A13"/>
    <w:rsid w:val="00A04EB0"/>
    <w:rsid w:val="00A07E40"/>
    <w:rsid w:val="00A13CC1"/>
    <w:rsid w:val="00A16847"/>
    <w:rsid w:val="00A169E5"/>
    <w:rsid w:val="00A237D8"/>
    <w:rsid w:val="00A268C4"/>
    <w:rsid w:val="00A307CD"/>
    <w:rsid w:val="00A30DD0"/>
    <w:rsid w:val="00A40A00"/>
    <w:rsid w:val="00A4142F"/>
    <w:rsid w:val="00A56DF2"/>
    <w:rsid w:val="00A613B7"/>
    <w:rsid w:val="00A64104"/>
    <w:rsid w:val="00A67AB5"/>
    <w:rsid w:val="00A8356C"/>
    <w:rsid w:val="00A9172C"/>
    <w:rsid w:val="00A91760"/>
    <w:rsid w:val="00A93B00"/>
    <w:rsid w:val="00A93C21"/>
    <w:rsid w:val="00AB0F69"/>
    <w:rsid w:val="00AB108B"/>
    <w:rsid w:val="00AB70BF"/>
    <w:rsid w:val="00AC3C6A"/>
    <w:rsid w:val="00AC455D"/>
    <w:rsid w:val="00AC5092"/>
    <w:rsid w:val="00AC53B8"/>
    <w:rsid w:val="00AC7DBC"/>
    <w:rsid w:val="00AD1DE9"/>
    <w:rsid w:val="00AD5620"/>
    <w:rsid w:val="00AD7C1B"/>
    <w:rsid w:val="00AE16BA"/>
    <w:rsid w:val="00AE1EBE"/>
    <w:rsid w:val="00AF5CCD"/>
    <w:rsid w:val="00AF754D"/>
    <w:rsid w:val="00B03C9D"/>
    <w:rsid w:val="00B060AE"/>
    <w:rsid w:val="00B10517"/>
    <w:rsid w:val="00B14E76"/>
    <w:rsid w:val="00B161B8"/>
    <w:rsid w:val="00B2048C"/>
    <w:rsid w:val="00B2197C"/>
    <w:rsid w:val="00B30DBC"/>
    <w:rsid w:val="00B310B9"/>
    <w:rsid w:val="00B35F3F"/>
    <w:rsid w:val="00B36CBB"/>
    <w:rsid w:val="00B376E0"/>
    <w:rsid w:val="00B425E0"/>
    <w:rsid w:val="00B43069"/>
    <w:rsid w:val="00B440AA"/>
    <w:rsid w:val="00B44B70"/>
    <w:rsid w:val="00B53C56"/>
    <w:rsid w:val="00B53C66"/>
    <w:rsid w:val="00B66186"/>
    <w:rsid w:val="00B774DA"/>
    <w:rsid w:val="00B77EA6"/>
    <w:rsid w:val="00B81598"/>
    <w:rsid w:val="00B841F1"/>
    <w:rsid w:val="00B944D6"/>
    <w:rsid w:val="00B96B62"/>
    <w:rsid w:val="00BB4DF0"/>
    <w:rsid w:val="00BC289F"/>
    <w:rsid w:val="00BC5361"/>
    <w:rsid w:val="00BC5460"/>
    <w:rsid w:val="00BC6B50"/>
    <w:rsid w:val="00BD0E25"/>
    <w:rsid w:val="00BF5BD6"/>
    <w:rsid w:val="00C000DF"/>
    <w:rsid w:val="00C034E1"/>
    <w:rsid w:val="00C03E31"/>
    <w:rsid w:val="00C33E72"/>
    <w:rsid w:val="00C354B2"/>
    <w:rsid w:val="00C35554"/>
    <w:rsid w:val="00C3642B"/>
    <w:rsid w:val="00C412E2"/>
    <w:rsid w:val="00C41719"/>
    <w:rsid w:val="00C42709"/>
    <w:rsid w:val="00C43F2D"/>
    <w:rsid w:val="00C533CC"/>
    <w:rsid w:val="00C5751C"/>
    <w:rsid w:val="00C61BFC"/>
    <w:rsid w:val="00C62B85"/>
    <w:rsid w:val="00C65438"/>
    <w:rsid w:val="00C72989"/>
    <w:rsid w:val="00C73382"/>
    <w:rsid w:val="00C91CBB"/>
    <w:rsid w:val="00CB0C9A"/>
    <w:rsid w:val="00CC09B6"/>
    <w:rsid w:val="00CC2A62"/>
    <w:rsid w:val="00CC666F"/>
    <w:rsid w:val="00CD1E3F"/>
    <w:rsid w:val="00CD7870"/>
    <w:rsid w:val="00CE44F6"/>
    <w:rsid w:val="00CE49DA"/>
    <w:rsid w:val="00CE7B61"/>
    <w:rsid w:val="00D00095"/>
    <w:rsid w:val="00D01EE9"/>
    <w:rsid w:val="00D1055F"/>
    <w:rsid w:val="00D1300C"/>
    <w:rsid w:val="00D14D1D"/>
    <w:rsid w:val="00D1736A"/>
    <w:rsid w:val="00D20620"/>
    <w:rsid w:val="00D24B9C"/>
    <w:rsid w:val="00D26091"/>
    <w:rsid w:val="00D34E7C"/>
    <w:rsid w:val="00D35489"/>
    <w:rsid w:val="00D51276"/>
    <w:rsid w:val="00D7035F"/>
    <w:rsid w:val="00D94589"/>
    <w:rsid w:val="00D95230"/>
    <w:rsid w:val="00DA3D51"/>
    <w:rsid w:val="00DA5622"/>
    <w:rsid w:val="00DA65AC"/>
    <w:rsid w:val="00DB1913"/>
    <w:rsid w:val="00DC410D"/>
    <w:rsid w:val="00DC68CA"/>
    <w:rsid w:val="00DC7CBA"/>
    <w:rsid w:val="00DD611C"/>
    <w:rsid w:val="00DD73B7"/>
    <w:rsid w:val="00DE1D1E"/>
    <w:rsid w:val="00DF28BC"/>
    <w:rsid w:val="00DF34B9"/>
    <w:rsid w:val="00E01053"/>
    <w:rsid w:val="00E0191C"/>
    <w:rsid w:val="00E0541D"/>
    <w:rsid w:val="00E07ACF"/>
    <w:rsid w:val="00E14286"/>
    <w:rsid w:val="00E331A1"/>
    <w:rsid w:val="00E33202"/>
    <w:rsid w:val="00E33249"/>
    <w:rsid w:val="00E336A9"/>
    <w:rsid w:val="00E35F95"/>
    <w:rsid w:val="00E43A4C"/>
    <w:rsid w:val="00E47637"/>
    <w:rsid w:val="00E50624"/>
    <w:rsid w:val="00E52AE9"/>
    <w:rsid w:val="00E55226"/>
    <w:rsid w:val="00E568DF"/>
    <w:rsid w:val="00E56E5A"/>
    <w:rsid w:val="00E56E5E"/>
    <w:rsid w:val="00E64269"/>
    <w:rsid w:val="00E663CA"/>
    <w:rsid w:val="00E6793A"/>
    <w:rsid w:val="00E715F6"/>
    <w:rsid w:val="00E71EC2"/>
    <w:rsid w:val="00E82267"/>
    <w:rsid w:val="00E92E58"/>
    <w:rsid w:val="00EA010F"/>
    <w:rsid w:val="00EA310F"/>
    <w:rsid w:val="00EC1508"/>
    <w:rsid w:val="00ED1B63"/>
    <w:rsid w:val="00ED3C1F"/>
    <w:rsid w:val="00ED4085"/>
    <w:rsid w:val="00ED420E"/>
    <w:rsid w:val="00EE2F57"/>
    <w:rsid w:val="00EF4C34"/>
    <w:rsid w:val="00EF75CD"/>
    <w:rsid w:val="00EF77C6"/>
    <w:rsid w:val="00F05438"/>
    <w:rsid w:val="00F1361C"/>
    <w:rsid w:val="00F15E7E"/>
    <w:rsid w:val="00F160C7"/>
    <w:rsid w:val="00F20641"/>
    <w:rsid w:val="00F33B98"/>
    <w:rsid w:val="00F36D8F"/>
    <w:rsid w:val="00F36FD1"/>
    <w:rsid w:val="00F40AC1"/>
    <w:rsid w:val="00F417B1"/>
    <w:rsid w:val="00F44EFC"/>
    <w:rsid w:val="00F602DF"/>
    <w:rsid w:val="00F61683"/>
    <w:rsid w:val="00F81FD9"/>
    <w:rsid w:val="00F841AA"/>
    <w:rsid w:val="00F90F1F"/>
    <w:rsid w:val="00F95F1E"/>
    <w:rsid w:val="00FA23E8"/>
    <w:rsid w:val="00FA45A8"/>
    <w:rsid w:val="00FB7ACA"/>
    <w:rsid w:val="00FD3CC1"/>
    <w:rsid w:val="00FD68A9"/>
    <w:rsid w:val="00FE12B9"/>
    <w:rsid w:val="00FF0954"/>
    <w:rsid w:val="00FF0FC7"/>
    <w:rsid w:val="00FF1E02"/>
    <w:rsid w:val="00FF30B4"/>
    <w:rsid w:val="00FF7EA6"/>
    <w:rsid w:val="012F2443"/>
    <w:rsid w:val="01372323"/>
    <w:rsid w:val="01452E0B"/>
    <w:rsid w:val="018B6369"/>
    <w:rsid w:val="018F60B7"/>
    <w:rsid w:val="01936A02"/>
    <w:rsid w:val="0198587D"/>
    <w:rsid w:val="01A61282"/>
    <w:rsid w:val="0203374D"/>
    <w:rsid w:val="02347682"/>
    <w:rsid w:val="024B505A"/>
    <w:rsid w:val="02A72A45"/>
    <w:rsid w:val="02F0551E"/>
    <w:rsid w:val="037A63A2"/>
    <w:rsid w:val="03AA7B5F"/>
    <w:rsid w:val="03C3515A"/>
    <w:rsid w:val="03E001ED"/>
    <w:rsid w:val="040333C4"/>
    <w:rsid w:val="04185F6B"/>
    <w:rsid w:val="0441308B"/>
    <w:rsid w:val="04AF13C9"/>
    <w:rsid w:val="04DB3E3D"/>
    <w:rsid w:val="04F840FD"/>
    <w:rsid w:val="04FF037E"/>
    <w:rsid w:val="05082E32"/>
    <w:rsid w:val="05137986"/>
    <w:rsid w:val="05281683"/>
    <w:rsid w:val="052971A9"/>
    <w:rsid w:val="054A01C5"/>
    <w:rsid w:val="055B3806"/>
    <w:rsid w:val="056F215F"/>
    <w:rsid w:val="057E6BBA"/>
    <w:rsid w:val="058F4061"/>
    <w:rsid w:val="05AA193F"/>
    <w:rsid w:val="05C42179"/>
    <w:rsid w:val="05DC421B"/>
    <w:rsid w:val="05E355AA"/>
    <w:rsid w:val="062005AC"/>
    <w:rsid w:val="06540DA8"/>
    <w:rsid w:val="06562AE5"/>
    <w:rsid w:val="069B3ACF"/>
    <w:rsid w:val="06CD269B"/>
    <w:rsid w:val="06FA0DFD"/>
    <w:rsid w:val="070B4DB8"/>
    <w:rsid w:val="07344328"/>
    <w:rsid w:val="07507D43"/>
    <w:rsid w:val="07941430"/>
    <w:rsid w:val="07A20778"/>
    <w:rsid w:val="07A442D4"/>
    <w:rsid w:val="07C37441"/>
    <w:rsid w:val="07CA6A21"/>
    <w:rsid w:val="07E86DBF"/>
    <w:rsid w:val="07EF0236"/>
    <w:rsid w:val="08181475"/>
    <w:rsid w:val="08206641"/>
    <w:rsid w:val="08323C43"/>
    <w:rsid w:val="08397703"/>
    <w:rsid w:val="0841191C"/>
    <w:rsid w:val="0876260D"/>
    <w:rsid w:val="087F2C26"/>
    <w:rsid w:val="08BB45BC"/>
    <w:rsid w:val="09465142"/>
    <w:rsid w:val="095C787A"/>
    <w:rsid w:val="09644C54"/>
    <w:rsid w:val="0992531D"/>
    <w:rsid w:val="09BA4874"/>
    <w:rsid w:val="0A0106F5"/>
    <w:rsid w:val="0A073817"/>
    <w:rsid w:val="0A8438E2"/>
    <w:rsid w:val="0ABA1821"/>
    <w:rsid w:val="0B180A1F"/>
    <w:rsid w:val="0B1D50BA"/>
    <w:rsid w:val="0B2C375A"/>
    <w:rsid w:val="0B6E03CB"/>
    <w:rsid w:val="0B8433A4"/>
    <w:rsid w:val="0BC458DB"/>
    <w:rsid w:val="0C436C39"/>
    <w:rsid w:val="0C623A17"/>
    <w:rsid w:val="0C8438E1"/>
    <w:rsid w:val="0C9F142C"/>
    <w:rsid w:val="0D3054C3"/>
    <w:rsid w:val="0D48419E"/>
    <w:rsid w:val="0D485133"/>
    <w:rsid w:val="0D6D074D"/>
    <w:rsid w:val="0D9762BB"/>
    <w:rsid w:val="0DBA567A"/>
    <w:rsid w:val="0DE45C36"/>
    <w:rsid w:val="0E186D0D"/>
    <w:rsid w:val="0E245843"/>
    <w:rsid w:val="0E2E324F"/>
    <w:rsid w:val="0E540297"/>
    <w:rsid w:val="0E614C23"/>
    <w:rsid w:val="0E7E40C2"/>
    <w:rsid w:val="0ED92450"/>
    <w:rsid w:val="0EDB1514"/>
    <w:rsid w:val="0EE2323D"/>
    <w:rsid w:val="0EE526EA"/>
    <w:rsid w:val="0F0236B0"/>
    <w:rsid w:val="0F0F5E83"/>
    <w:rsid w:val="0F3D663F"/>
    <w:rsid w:val="0F6C5E22"/>
    <w:rsid w:val="0F752A44"/>
    <w:rsid w:val="0F7A73CD"/>
    <w:rsid w:val="0F7D0B61"/>
    <w:rsid w:val="0FB84A56"/>
    <w:rsid w:val="0FD0094D"/>
    <w:rsid w:val="0FE86898"/>
    <w:rsid w:val="0FFA949C"/>
    <w:rsid w:val="10477253"/>
    <w:rsid w:val="10B169D0"/>
    <w:rsid w:val="10C055FF"/>
    <w:rsid w:val="10E46825"/>
    <w:rsid w:val="10E96DF4"/>
    <w:rsid w:val="10EC5C5A"/>
    <w:rsid w:val="10EE728C"/>
    <w:rsid w:val="1109680C"/>
    <w:rsid w:val="11160D6C"/>
    <w:rsid w:val="112027B1"/>
    <w:rsid w:val="1143693A"/>
    <w:rsid w:val="11576F21"/>
    <w:rsid w:val="116D1637"/>
    <w:rsid w:val="117479FE"/>
    <w:rsid w:val="1199051F"/>
    <w:rsid w:val="11A440CD"/>
    <w:rsid w:val="11B30526"/>
    <w:rsid w:val="11BD75F7"/>
    <w:rsid w:val="11DF42E2"/>
    <w:rsid w:val="11E155E3"/>
    <w:rsid w:val="11F31F18"/>
    <w:rsid w:val="12352BEA"/>
    <w:rsid w:val="12527D3F"/>
    <w:rsid w:val="12595693"/>
    <w:rsid w:val="126F39E8"/>
    <w:rsid w:val="12832B06"/>
    <w:rsid w:val="12977E48"/>
    <w:rsid w:val="12A02307"/>
    <w:rsid w:val="12B34F44"/>
    <w:rsid w:val="12FE64DD"/>
    <w:rsid w:val="13004FCA"/>
    <w:rsid w:val="133E57D7"/>
    <w:rsid w:val="1350242C"/>
    <w:rsid w:val="13A97E33"/>
    <w:rsid w:val="1427548C"/>
    <w:rsid w:val="142C0307"/>
    <w:rsid w:val="145206F0"/>
    <w:rsid w:val="1459432B"/>
    <w:rsid w:val="146A1E01"/>
    <w:rsid w:val="14982E7D"/>
    <w:rsid w:val="14BB1B4E"/>
    <w:rsid w:val="14C8078D"/>
    <w:rsid w:val="14D56A06"/>
    <w:rsid w:val="15585F9B"/>
    <w:rsid w:val="158B2E33"/>
    <w:rsid w:val="15B813A4"/>
    <w:rsid w:val="15C24A39"/>
    <w:rsid w:val="15C50828"/>
    <w:rsid w:val="15D078F9"/>
    <w:rsid w:val="15E058EE"/>
    <w:rsid w:val="15ED227C"/>
    <w:rsid w:val="16077FC8"/>
    <w:rsid w:val="160D48E0"/>
    <w:rsid w:val="16290DB7"/>
    <w:rsid w:val="164B6F7F"/>
    <w:rsid w:val="16571A99"/>
    <w:rsid w:val="16730E77"/>
    <w:rsid w:val="16895325"/>
    <w:rsid w:val="16BB723D"/>
    <w:rsid w:val="16C31E29"/>
    <w:rsid w:val="16E946C7"/>
    <w:rsid w:val="16EF4171"/>
    <w:rsid w:val="17577BA6"/>
    <w:rsid w:val="176641FA"/>
    <w:rsid w:val="17964DF6"/>
    <w:rsid w:val="17E3061E"/>
    <w:rsid w:val="185540E5"/>
    <w:rsid w:val="18622F95"/>
    <w:rsid w:val="186E164B"/>
    <w:rsid w:val="188E66C6"/>
    <w:rsid w:val="189A2440"/>
    <w:rsid w:val="18AB1F57"/>
    <w:rsid w:val="18AE6838"/>
    <w:rsid w:val="18EA12A6"/>
    <w:rsid w:val="18EB61BE"/>
    <w:rsid w:val="18F6471E"/>
    <w:rsid w:val="190459E4"/>
    <w:rsid w:val="19063631"/>
    <w:rsid w:val="190A2AF7"/>
    <w:rsid w:val="19144D19"/>
    <w:rsid w:val="19350653"/>
    <w:rsid w:val="194427E8"/>
    <w:rsid w:val="19B97302"/>
    <w:rsid w:val="19EB628B"/>
    <w:rsid w:val="1A3B20FD"/>
    <w:rsid w:val="1A756CC1"/>
    <w:rsid w:val="1A8567D8"/>
    <w:rsid w:val="1AE76B0E"/>
    <w:rsid w:val="1B0A527B"/>
    <w:rsid w:val="1B1A1616"/>
    <w:rsid w:val="1B2221CB"/>
    <w:rsid w:val="1B285340"/>
    <w:rsid w:val="1B410951"/>
    <w:rsid w:val="1B456347"/>
    <w:rsid w:val="1B4F54AC"/>
    <w:rsid w:val="1B707488"/>
    <w:rsid w:val="1B805EED"/>
    <w:rsid w:val="1B8A22F8"/>
    <w:rsid w:val="1B9C7162"/>
    <w:rsid w:val="1BCB180E"/>
    <w:rsid w:val="1BD7751C"/>
    <w:rsid w:val="1C061BA9"/>
    <w:rsid w:val="1C4630E0"/>
    <w:rsid w:val="1C4E4299"/>
    <w:rsid w:val="1C556DAA"/>
    <w:rsid w:val="1C5F19D6"/>
    <w:rsid w:val="1C672639"/>
    <w:rsid w:val="1C744D1F"/>
    <w:rsid w:val="1C7F5BD5"/>
    <w:rsid w:val="1C8E1370"/>
    <w:rsid w:val="1C902EE5"/>
    <w:rsid w:val="1CE67A02"/>
    <w:rsid w:val="1D426418"/>
    <w:rsid w:val="1D4D7A81"/>
    <w:rsid w:val="1D741B87"/>
    <w:rsid w:val="1DA65540"/>
    <w:rsid w:val="1DC75A85"/>
    <w:rsid w:val="1DDC0E05"/>
    <w:rsid w:val="1E0F08FC"/>
    <w:rsid w:val="1E3D05D9"/>
    <w:rsid w:val="1E591960"/>
    <w:rsid w:val="1E5E7A6C"/>
    <w:rsid w:val="1E8474D2"/>
    <w:rsid w:val="1E95099F"/>
    <w:rsid w:val="1ED33D2F"/>
    <w:rsid w:val="1EE9068F"/>
    <w:rsid w:val="1F1D2E05"/>
    <w:rsid w:val="1F6160EF"/>
    <w:rsid w:val="1F774821"/>
    <w:rsid w:val="1F7C16EF"/>
    <w:rsid w:val="1F972093"/>
    <w:rsid w:val="1FB55B25"/>
    <w:rsid w:val="201F0D25"/>
    <w:rsid w:val="20474C5B"/>
    <w:rsid w:val="205963E5"/>
    <w:rsid w:val="206E4C3E"/>
    <w:rsid w:val="208323B0"/>
    <w:rsid w:val="20895274"/>
    <w:rsid w:val="209031B7"/>
    <w:rsid w:val="20DA0A71"/>
    <w:rsid w:val="21385595"/>
    <w:rsid w:val="219F2875"/>
    <w:rsid w:val="21D966CE"/>
    <w:rsid w:val="21F42BC1"/>
    <w:rsid w:val="21FE197F"/>
    <w:rsid w:val="222A1053"/>
    <w:rsid w:val="223960B1"/>
    <w:rsid w:val="225C57E4"/>
    <w:rsid w:val="226905E7"/>
    <w:rsid w:val="22C73CA1"/>
    <w:rsid w:val="22E30C4F"/>
    <w:rsid w:val="230128B1"/>
    <w:rsid w:val="23045086"/>
    <w:rsid w:val="235E52BF"/>
    <w:rsid w:val="236553F8"/>
    <w:rsid w:val="23CA52D6"/>
    <w:rsid w:val="23D93670"/>
    <w:rsid w:val="240371BF"/>
    <w:rsid w:val="241A2891"/>
    <w:rsid w:val="242F69A3"/>
    <w:rsid w:val="24301D2C"/>
    <w:rsid w:val="2432645D"/>
    <w:rsid w:val="24463935"/>
    <w:rsid w:val="246612E9"/>
    <w:rsid w:val="247E2E8E"/>
    <w:rsid w:val="248E0275"/>
    <w:rsid w:val="249D3030"/>
    <w:rsid w:val="24C26FA6"/>
    <w:rsid w:val="24CC6F10"/>
    <w:rsid w:val="24F506AF"/>
    <w:rsid w:val="25044C48"/>
    <w:rsid w:val="252E2EF9"/>
    <w:rsid w:val="253D3678"/>
    <w:rsid w:val="254C061E"/>
    <w:rsid w:val="254C7CA4"/>
    <w:rsid w:val="257F3371"/>
    <w:rsid w:val="259F4BF2"/>
    <w:rsid w:val="25A01B64"/>
    <w:rsid w:val="25B14925"/>
    <w:rsid w:val="25C97EC1"/>
    <w:rsid w:val="25D53C59"/>
    <w:rsid w:val="26230386"/>
    <w:rsid w:val="26355721"/>
    <w:rsid w:val="26A052BD"/>
    <w:rsid w:val="26C47DDC"/>
    <w:rsid w:val="26D42FC1"/>
    <w:rsid w:val="26DB434F"/>
    <w:rsid w:val="271E7DEC"/>
    <w:rsid w:val="272F01F7"/>
    <w:rsid w:val="273B6097"/>
    <w:rsid w:val="27AE0B8A"/>
    <w:rsid w:val="286F3F21"/>
    <w:rsid w:val="28700AC7"/>
    <w:rsid w:val="28795BCE"/>
    <w:rsid w:val="287C708A"/>
    <w:rsid w:val="287E3CFF"/>
    <w:rsid w:val="288D0CE6"/>
    <w:rsid w:val="289305C8"/>
    <w:rsid w:val="28A41280"/>
    <w:rsid w:val="29062EB9"/>
    <w:rsid w:val="298731E1"/>
    <w:rsid w:val="29B038A5"/>
    <w:rsid w:val="29B361B4"/>
    <w:rsid w:val="29DA1DCD"/>
    <w:rsid w:val="29F106E0"/>
    <w:rsid w:val="29FD04D3"/>
    <w:rsid w:val="2A043BBD"/>
    <w:rsid w:val="2A0C2A72"/>
    <w:rsid w:val="2A107F74"/>
    <w:rsid w:val="2A303B17"/>
    <w:rsid w:val="2A473F23"/>
    <w:rsid w:val="2A566BA5"/>
    <w:rsid w:val="2A64465C"/>
    <w:rsid w:val="2A6D3AE5"/>
    <w:rsid w:val="2A7379D6"/>
    <w:rsid w:val="2A7523C5"/>
    <w:rsid w:val="2AAA6513"/>
    <w:rsid w:val="2AAF11D9"/>
    <w:rsid w:val="2AC6406E"/>
    <w:rsid w:val="2ADB491E"/>
    <w:rsid w:val="2AFA3507"/>
    <w:rsid w:val="2B08148B"/>
    <w:rsid w:val="2B147E30"/>
    <w:rsid w:val="2B3B53BD"/>
    <w:rsid w:val="2B5B62B2"/>
    <w:rsid w:val="2B5C7557"/>
    <w:rsid w:val="2B6658FC"/>
    <w:rsid w:val="2C077995"/>
    <w:rsid w:val="2C2C48E1"/>
    <w:rsid w:val="2C6B2D25"/>
    <w:rsid w:val="2C720488"/>
    <w:rsid w:val="2C7F44E0"/>
    <w:rsid w:val="2C8132A3"/>
    <w:rsid w:val="2C88736B"/>
    <w:rsid w:val="2C8F4334"/>
    <w:rsid w:val="2CAD5B68"/>
    <w:rsid w:val="2CDC37A3"/>
    <w:rsid w:val="2CF7AE72"/>
    <w:rsid w:val="2D047A30"/>
    <w:rsid w:val="2D1905F2"/>
    <w:rsid w:val="2D346567"/>
    <w:rsid w:val="2D9E1C33"/>
    <w:rsid w:val="2E344345"/>
    <w:rsid w:val="2E4427DA"/>
    <w:rsid w:val="2E497DF1"/>
    <w:rsid w:val="2E7D3AD5"/>
    <w:rsid w:val="2EBA2261"/>
    <w:rsid w:val="2ED93001"/>
    <w:rsid w:val="2F467ADC"/>
    <w:rsid w:val="2F745341"/>
    <w:rsid w:val="2F760120"/>
    <w:rsid w:val="2FC763B4"/>
    <w:rsid w:val="300436BA"/>
    <w:rsid w:val="30515C27"/>
    <w:rsid w:val="306727B0"/>
    <w:rsid w:val="3069477A"/>
    <w:rsid w:val="309C4B4F"/>
    <w:rsid w:val="30AF5DF7"/>
    <w:rsid w:val="30E2500D"/>
    <w:rsid w:val="30F3375D"/>
    <w:rsid w:val="310B2313"/>
    <w:rsid w:val="312B1A2F"/>
    <w:rsid w:val="314E65C2"/>
    <w:rsid w:val="317B7B75"/>
    <w:rsid w:val="31971C15"/>
    <w:rsid w:val="31996026"/>
    <w:rsid w:val="319F7F4E"/>
    <w:rsid w:val="31AE58EC"/>
    <w:rsid w:val="31D1096D"/>
    <w:rsid w:val="31D125D7"/>
    <w:rsid w:val="31FF2533"/>
    <w:rsid w:val="32122118"/>
    <w:rsid w:val="3234700A"/>
    <w:rsid w:val="325A081E"/>
    <w:rsid w:val="325D20BC"/>
    <w:rsid w:val="326351F9"/>
    <w:rsid w:val="32F01183"/>
    <w:rsid w:val="32F608EE"/>
    <w:rsid w:val="33010F83"/>
    <w:rsid w:val="33113676"/>
    <w:rsid w:val="3317670F"/>
    <w:rsid w:val="337C11F3"/>
    <w:rsid w:val="337F0EAF"/>
    <w:rsid w:val="33B87464"/>
    <w:rsid w:val="33D67AFA"/>
    <w:rsid w:val="33E71570"/>
    <w:rsid w:val="33F541D5"/>
    <w:rsid w:val="34737C2A"/>
    <w:rsid w:val="34CD0256"/>
    <w:rsid w:val="34CE72A2"/>
    <w:rsid w:val="34DC01CF"/>
    <w:rsid w:val="354421E9"/>
    <w:rsid w:val="357A3CA7"/>
    <w:rsid w:val="358D2CB9"/>
    <w:rsid w:val="358F4C83"/>
    <w:rsid w:val="35A81DE2"/>
    <w:rsid w:val="35B37503"/>
    <w:rsid w:val="35FB2318"/>
    <w:rsid w:val="35FC399A"/>
    <w:rsid w:val="36330222"/>
    <w:rsid w:val="36527A5E"/>
    <w:rsid w:val="36571524"/>
    <w:rsid w:val="366D189D"/>
    <w:rsid w:val="37270EEB"/>
    <w:rsid w:val="372E5533"/>
    <w:rsid w:val="373165B0"/>
    <w:rsid w:val="37330D1A"/>
    <w:rsid w:val="374C32F3"/>
    <w:rsid w:val="37593BA1"/>
    <w:rsid w:val="37600606"/>
    <w:rsid w:val="37620175"/>
    <w:rsid w:val="37AB4489"/>
    <w:rsid w:val="37AF27C1"/>
    <w:rsid w:val="37B502A5"/>
    <w:rsid w:val="37C41701"/>
    <w:rsid w:val="37D77DB4"/>
    <w:rsid w:val="37E312B6"/>
    <w:rsid w:val="382471D8"/>
    <w:rsid w:val="387D1A86"/>
    <w:rsid w:val="387D5266"/>
    <w:rsid w:val="387E6334"/>
    <w:rsid w:val="3880428F"/>
    <w:rsid w:val="389E210A"/>
    <w:rsid w:val="38E0550C"/>
    <w:rsid w:val="3902751A"/>
    <w:rsid w:val="391060DB"/>
    <w:rsid w:val="39175FEC"/>
    <w:rsid w:val="392B75FF"/>
    <w:rsid w:val="394D42A6"/>
    <w:rsid w:val="395F0017"/>
    <w:rsid w:val="39684643"/>
    <w:rsid w:val="396C0181"/>
    <w:rsid w:val="397E41D7"/>
    <w:rsid w:val="399C472B"/>
    <w:rsid w:val="39DBC691"/>
    <w:rsid w:val="3A042DE1"/>
    <w:rsid w:val="3A1A0893"/>
    <w:rsid w:val="3A252AB1"/>
    <w:rsid w:val="3A4C1AFC"/>
    <w:rsid w:val="3A5D298A"/>
    <w:rsid w:val="3A685AA2"/>
    <w:rsid w:val="3A720BEE"/>
    <w:rsid w:val="3A786BAA"/>
    <w:rsid w:val="3A8054C4"/>
    <w:rsid w:val="3AFF6407"/>
    <w:rsid w:val="3B0A4DAB"/>
    <w:rsid w:val="3B1D3F71"/>
    <w:rsid w:val="3B234861"/>
    <w:rsid w:val="3B65138C"/>
    <w:rsid w:val="3B7D37CF"/>
    <w:rsid w:val="3B7EB574"/>
    <w:rsid w:val="3B9C1EA7"/>
    <w:rsid w:val="3BA36399"/>
    <w:rsid w:val="3BC608D8"/>
    <w:rsid w:val="3BE4055E"/>
    <w:rsid w:val="3C321FC6"/>
    <w:rsid w:val="3C325206"/>
    <w:rsid w:val="3C337A30"/>
    <w:rsid w:val="3C437221"/>
    <w:rsid w:val="3C461E13"/>
    <w:rsid w:val="3C6A1695"/>
    <w:rsid w:val="3C933C18"/>
    <w:rsid w:val="3C9E05D8"/>
    <w:rsid w:val="3D1A36B2"/>
    <w:rsid w:val="3D2C61BE"/>
    <w:rsid w:val="3D373BF8"/>
    <w:rsid w:val="3D6947FF"/>
    <w:rsid w:val="3D8A5D30"/>
    <w:rsid w:val="3D9C12F8"/>
    <w:rsid w:val="3DC237F9"/>
    <w:rsid w:val="3E017148"/>
    <w:rsid w:val="3E077597"/>
    <w:rsid w:val="3E594C13"/>
    <w:rsid w:val="3E614CE2"/>
    <w:rsid w:val="3E7978B4"/>
    <w:rsid w:val="3E970658"/>
    <w:rsid w:val="3F04284B"/>
    <w:rsid w:val="3F157DE5"/>
    <w:rsid w:val="3F1C2842"/>
    <w:rsid w:val="3F1D03FE"/>
    <w:rsid w:val="3F38695E"/>
    <w:rsid w:val="3F3BCA67"/>
    <w:rsid w:val="3F3E5454"/>
    <w:rsid w:val="3F9B4224"/>
    <w:rsid w:val="3FA330D9"/>
    <w:rsid w:val="3FA4132B"/>
    <w:rsid w:val="3FA52EF5"/>
    <w:rsid w:val="3FA7706D"/>
    <w:rsid w:val="3FAFFBCC"/>
    <w:rsid w:val="3FDB2873"/>
    <w:rsid w:val="40007212"/>
    <w:rsid w:val="400E5A36"/>
    <w:rsid w:val="40123390"/>
    <w:rsid w:val="402D6810"/>
    <w:rsid w:val="40A504A7"/>
    <w:rsid w:val="40AF3345"/>
    <w:rsid w:val="40DA14E7"/>
    <w:rsid w:val="40E554EF"/>
    <w:rsid w:val="40EA4655"/>
    <w:rsid w:val="41067DC3"/>
    <w:rsid w:val="41151DB4"/>
    <w:rsid w:val="41232723"/>
    <w:rsid w:val="413055C9"/>
    <w:rsid w:val="41764A2D"/>
    <w:rsid w:val="41A43864"/>
    <w:rsid w:val="41CC6917"/>
    <w:rsid w:val="41D57EC1"/>
    <w:rsid w:val="41FFF935"/>
    <w:rsid w:val="423B34B2"/>
    <w:rsid w:val="427C24E1"/>
    <w:rsid w:val="42B13B71"/>
    <w:rsid w:val="42C4406E"/>
    <w:rsid w:val="42D9096F"/>
    <w:rsid w:val="43070205"/>
    <w:rsid w:val="43AE09CA"/>
    <w:rsid w:val="43F9776B"/>
    <w:rsid w:val="43FA284D"/>
    <w:rsid w:val="442A3DC9"/>
    <w:rsid w:val="44626F67"/>
    <w:rsid w:val="446A68AD"/>
    <w:rsid w:val="448E5F87"/>
    <w:rsid w:val="44AD6B1E"/>
    <w:rsid w:val="44B10203"/>
    <w:rsid w:val="452E0CAB"/>
    <w:rsid w:val="45366A52"/>
    <w:rsid w:val="45682DFA"/>
    <w:rsid w:val="458B0897"/>
    <w:rsid w:val="45A41848"/>
    <w:rsid w:val="45ED68FD"/>
    <w:rsid w:val="46081C5D"/>
    <w:rsid w:val="46192D48"/>
    <w:rsid w:val="46346EA6"/>
    <w:rsid w:val="46485133"/>
    <w:rsid w:val="46652972"/>
    <w:rsid w:val="4670445C"/>
    <w:rsid w:val="46722E9B"/>
    <w:rsid w:val="468460CE"/>
    <w:rsid w:val="46A07F0F"/>
    <w:rsid w:val="46A936CA"/>
    <w:rsid w:val="46E73CB4"/>
    <w:rsid w:val="470D5149"/>
    <w:rsid w:val="474D77F3"/>
    <w:rsid w:val="47617B01"/>
    <w:rsid w:val="47C80F98"/>
    <w:rsid w:val="47D62807"/>
    <w:rsid w:val="48524222"/>
    <w:rsid w:val="486149F0"/>
    <w:rsid w:val="487E0519"/>
    <w:rsid w:val="4893018E"/>
    <w:rsid w:val="48981C49"/>
    <w:rsid w:val="489C7442"/>
    <w:rsid w:val="48C60564"/>
    <w:rsid w:val="48D20B5D"/>
    <w:rsid w:val="48F03833"/>
    <w:rsid w:val="48F7696F"/>
    <w:rsid w:val="48FF4AAA"/>
    <w:rsid w:val="491230DD"/>
    <w:rsid w:val="493279A7"/>
    <w:rsid w:val="493769EF"/>
    <w:rsid w:val="4952185C"/>
    <w:rsid w:val="495C0214"/>
    <w:rsid w:val="495E69EE"/>
    <w:rsid w:val="496E1A1B"/>
    <w:rsid w:val="499D3DA6"/>
    <w:rsid w:val="4A062BE2"/>
    <w:rsid w:val="4A08201A"/>
    <w:rsid w:val="4A436FF1"/>
    <w:rsid w:val="4AF9070D"/>
    <w:rsid w:val="4B152FF0"/>
    <w:rsid w:val="4B4F4CE6"/>
    <w:rsid w:val="4B862B49"/>
    <w:rsid w:val="4B940289"/>
    <w:rsid w:val="4BE62177"/>
    <w:rsid w:val="4C0849EF"/>
    <w:rsid w:val="4C171BFB"/>
    <w:rsid w:val="4C2430E8"/>
    <w:rsid w:val="4C6C31D0"/>
    <w:rsid w:val="4C792879"/>
    <w:rsid w:val="4CA65A91"/>
    <w:rsid w:val="4CBB672C"/>
    <w:rsid w:val="4CBF59F6"/>
    <w:rsid w:val="4CE2660F"/>
    <w:rsid w:val="4D135D42"/>
    <w:rsid w:val="4D374464"/>
    <w:rsid w:val="4D6A2335"/>
    <w:rsid w:val="4D780280"/>
    <w:rsid w:val="4DB90697"/>
    <w:rsid w:val="4DC540A1"/>
    <w:rsid w:val="4DCB77B3"/>
    <w:rsid w:val="4DE369B4"/>
    <w:rsid w:val="4DEC2A80"/>
    <w:rsid w:val="4E4D5283"/>
    <w:rsid w:val="4E5E1682"/>
    <w:rsid w:val="4E6879C7"/>
    <w:rsid w:val="4E764940"/>
    <w:rsid w:val="4EB33338"/>
    <w:rsid w:val="4EBB043F"/>
    <w:rsid w:val="4EBBD869"/>
    <w:rsid w:val="4EC55EBD"/>
    <w:rsid w:val="4EE91AC2"/>
    <w:rsid w:val="4F18387B"/>
    <w:rsid w:val="4F2024E8"/>
    <w:rsid w:val="4F435AAB"/>
    <w:rsid w:val="4F475C45"/>
    <w:rsid w:val="4F541A58"/>
    <w:rsid w:val="4F875B23"/>
    <w:rsid w:val="4FA36ED3"/>
    <w:rsid w:val="4FC71344"/>
    <w:rsid w:val="4FDF63AF"/>
    <w:rsid w:val="4FE14544"/>
    <w:rsid w:val="4FFCD6C3"/>
    <w:rsid w:val="502B5150"/>
    <w:rsid w:val="50347D02"/>
    <w:rsid w:val="5037387C"/>
    <w:rsid w:val="50485B88"/>
    <w:rsid w:val="50734785"/>
    <w:rsid w:val="507840EC"/>
    <w:rsid w:val="507C1C17"/>
    <w:rsid w:val="509D42D8"/>
    <w:rsid w:val="512F7200"/>
    <w:rsid w:val="516E1AB0"/>
    <w:rsid w:val="51752B27"/>
    <w:rsid w:val="517B2107"/>
    <w:rsid w:val="51E26CB5"/>
    <w:rsid w:val="51E47F7B"/>
    <w:rsid w:val="520D3941"/>
    <w:rsid w:val="525743CB"/>
    <w:rsid w:val="526003A1"/>
    <w:rsid w:val="526D5C04"/>
    <w:rsid w:val="527E68E2"/>
    <w:rsid w:val="52A16809"/>
    <w:rsid w:val="52B81FBE"/>
    <w:rsid w:val="52E15745"/>
    <w:rsid w:val="5311687F"/>
    <w:rsid w:val="53424C8B"/>
    <w:rsid w:val="535B479F"/>
    <w:rsid w:val="538F0D7F"/>
    <w:rsid w:val="539741EF"/>
    <w:rsid w:val="53986FA1"/>
    <w:rsid w:val="539E0814"/>
    <w:rsid w:val="53BE3A4E"/>
    <w:rsid w:val="53E671BA"/>
    <w:rsid w:val="5452714F"/>
    <w:rsid w:val="54803E05"/>
    <w:rsid w:val="54A828BF"/>
    <w:rsid w:val="54D41A0F"/>
    <w:rsid w:val="54F52976"/>
    <w:rsid w:val="550D2661"/>
    <w:rsid w:val="55174DBD"/>
    <w:rsid w:val="552F2E48"/>
    <w:rsid w:val="55365700"/>
    <w:rsid w:val="55626A0C"/>
    <w:rsid w:val="556B22E7"/>
    <w:rsid w:val="556C47F5"/>
    <w:rsid w:val="556D1A0F"/>
    <w:rsid w:val="55981E45"/>
    <w:rsid w:val="55B773AB"/>
    <w:rsid w:val="55BE07DD"/>
    <w:rsid w:val="55E96A3A"/>
    <w:rsid w:val="55FA3400"/>
    <w:rsid w:val="56365FAA"/>
    <w:rsid w:val="564E3947"/>
    <w:rsid w:val="5674365D"/>
    <w:rsid w:val="56764C4B"/>
    <w:rsid w:val="568E0ABB"/>
    <w:rsid w:val="56971BE9"/>
    <w:rsid w:val="56A156AF"/>
    <w:rsid w:val="56A16762"/>
    <w:rsid w:val="56B65760"/>
    <w:rsid w:val="57124D66"/>
    <w:rsid w:val="571844CB"/>
    <w:rsid w:val="571E71F4"/>
    <w:rsid w:val="572130FA"/>
    <w:rsid w:val="574662D9"/>
    <w:rsid w:val="57767B4A"/>
    <w:rsid w:val="577E025B"/>
    <w:rsid w:val="578C4726"/>
    <w:rsid w:val="57AA5A4B"/>
    <w:rsid w:val="57E411DB"/>
    <w:rsid w:val="580740FF"/>
    <w:rsid w:val="582E1C82"/>
    <w:rsid w:val="588C2079"/>
    <w:rsid w:val="58C433D3"/>
    <w:rsid w:val="58C7642D"/>
    <w:rsid w:val="58C919AA"/>
    <w:rsid w:val="58DE5456"/>
    <w:rsid w:val="590429E2"/>
    <w:rsid w:val="59114C9C"/>
    <w:rsid w:val="593908DE"/>
    <w:rsid w:val="593B0A22"/>
    <w:rsid w:val="59413C36"/>
    <w:rsid w:val="59500C86"/>
    <w:rsid w:val="595A63D8"/>
    <w:rsid w:val="59796F2C"/>
    <w:rsid w:val="59B87ACB"/>
    <w:rsid w:val="59BD150F"/>
    <w:rsid w:val="59C81AD1"/>
    <w:rsid w:val="59CA248B"/>
    <w:rsid w:val="59DFDDB8"/>
    <w:rsid w:val="59ED7E16"/>
    <w:rsid w:val="59F1199A"/>
    <w:rsid w:val="5A4B1DC3"/>
    <w:rsid w:val="5A5B72E5"/>
    <w:rsid w:val="5A646463"/>
    <w:rsid w:val="5ABC17C7"/>
    <w:rsid w:val="5AC111EA"/>
    <w:rsid w:val="5AD308BE"/>
    <w:rsid w:val="5AE76118"/>
    <w:rsid w:val="5B053BD0"/>
    <w:rsid w:val="5B7D79B0"/>
    <w:rsid w:val="5B992A9D"/>
    <w:rsid w:val="5BC325E3"/>
    <w:rsid w:val="5BD73DDE"/>
    <w:rsid w:val="5BF62AB6"/>
    <w:rsid w:val="5C1476F5"/>
    <w:rsid w:val="5C351D6C"/>
    <w:rsid w:val="5C9D73D6"/>
    <w:rsid w:val="5CA7745A"/>
    <w:rsid w:val="5CA86647"/>
    <w:rsid w:val="5CB07109"/>
    <w:rsid w:val="5CDC6F31"/>
    <w:rsid w:val="5CEE29A8"/>
    <w:rsid w:val="5CF03E38"/>
    <w:rsid w:val="5D537A94"/>
    <w:rsid w:val="5D8A2160"/>
    <w:rsid w:val="5DAB2230"/>
    <w:rsid w:val="5DDD048B"/>
    <w:rsid w:val="5DF66D9E"/>
    <w:rsid w:val="5DFB447D"/>
    <w:rsid w:val="5E426BFA"/>
    <w:rsid w:val="5EA61862"/>
    <w:rsid w:val="5EBB6655"/>
    <w:rsid w:val="5EE06497"/>
    <w:rsid w:val="5F435AE3"/>
    <w:rsid w:val="5F463D55"/>
    <w:rsid w:val="5F6D7FCB"/>
    <w:rsid w:val="5F8D25F1"/>
    <w:rsid w:val="5FBA6DCA"/>
    <w:rsid w:val="5FEFD673"/>
    <w:rsid w:val="60280797"/>
    <w:rsid w:val="604A30F2"/>
    <w:rsid w:val="604B408B"/>
    <w:rsid w:val="607B4B12"/>
    <w:rsid w:val="607B5C80"/>
    <w:rsid w:val="608E6BD3"/>
    <w:rsid w:val="6092190E"/>
    <w:rsid w:val="60D40EEC"/>
    <w:rsid w:val="60E5331F"/>
    <w:rsid w:val="60EB43D1"/>
    <w:rsid w:val="610F38D5"/>
    <w:rsid w:val="61130803"/>
    <w:rsid w:val="615C160D"/>
    <w:rsid w:val="61E84DE1"/>
    <w:rsid w:val="61F25ACE"/>
    <w:rsid w:val="61F93300"/>
    <w:rsid w:val="624D2357"/>
    <w:rsid w:val="62853336"/>
    <w:rsid w:val="62A71C28"/>
    <w:rsid w:val="63016E98"/>
    <w:rsid w:val="630A38B9"/>
    <w:rsid w:val="631D3C48"/>
    <w:rsid w:val="63212B20"/>
    <w:rsid w:val="637B747D"/>
    <w:rsid w:val="638149DD"/>
    <w:rsid w:val="63886CD4"/>
    <w:rsid w:val="63B70D7D"/>
    <w:rsid w:val="63C24D92"/>
    <w:rsid w:val="63C811DC"/>
    <w:rsid w:val="63CA75F7"/>
    <w:rsid w:val="63E63410"/>
    <w:rsid w:val="63E74E45"/>
    <w:rsid w:val="63F43D7F"/>
    <w:rsid w:val="63F95BBE"/>
    <w:rsid w:val="6419731B"/>
    <w:rsid w:val="64457352"/>
    <w:rsid w:val="6446024F"/>
    <w:rsid w:val="644B1898"/>
    <w:rsid w:val="64540CC2"/>
    <w:rsid w:val="64634735"/>
    <w:rsid w:val="64892826"/>
    <w:rsid w:val="64C47668"/>
    <w:rsid w:val="64C57861"/>
    <w:rsid w:val="64CC2177"/>
    <w:rsid w:val="64E33DF4"/>
    <w:rsid w:val="64EA3C4C"/>
    <w:rsid w:val="64F93617"/>
    <w:rsid w:val="650107CC"/>
    <w:rsid w:val="65114489"/>
    <w:rsid w:val="651A2EB3"/>
    <w:rsid w:val="654C7BEB"/>
    <w:rsid w:val="65625754"/>
    <w:rsid w:val="657E5748"/>
    <w:rsid w:val="657F8307"/>
    <w:rsid w:val="65997D9E"/>
    <w:rsid w:val="65A96DEB"/>
    <w:rsid w:val="65D87EDC"/>
    <w:rsid w:val="661C7228"/>
    <w:rsid w:val="662446C4"/>
    <w:rsid w:val="66447577"/>
    <w:rsid w:val="664A008B"/>
    <w:rsid w:val="665F205C"/>
    <w:rsid w:val="666D1BC7"/>
    <w:rsid w:val="66966C74"/>
    <w:rsid w:val="669B6734"/>
    <w:rsid w:val="66A80E51"/>
    <w:rsid w:val="66BC4768"/>
    <w:rsid w:val="66DB065F"/>
    <w:rsid w:val="66F75934"/>
    <w:rsid w:val="66FF18CD"/>
    <w:rsid w:val="67183FE6"/>
    <w:rsid w:val="671B0B44"/>
    <w:rsid w:val="672506F4"/>
    <w:rsid w:val="672A58BC"/>
    <w:rsid w:val="677E6BDE"/>
    <w:rsid w:val="67CA7051"/>
    <w:rsid w:val="67EFDBC6"/>
    <w:rsid w:val="683A256D"/>
    <w:rsid w:val="6856444C"/>
    <w:rsid w:val="685B2023"/>
    <w:rsid w:val="686F3C52"/>
    <w:rsid w:val="69074555"/>
    <w:rsid w:val="69170F6E"/>
    <w:rsid w:val="693A00BE"/>
    <w:rsid w:val="693F133B"/>
    <w:rsid w:val="696D2018"/>
    <w:rsid w:val="697119CE"/>
    <w:rsid w:val="69996745"/>
    <w:rsid w:val="69A768F0"/>
    <w:rsid w:val="69D514E6"/>
    <w:rsid w:val="69E814A3"/>
    <w:rsid w:val="69FF347E"/>
    <w:rsid w:val="69FF9EAC"/>
    <w:rsid w:val="6A234995"/>
    <w:rsid w:val="6A462E5B"/>
    <w:rsid w:val="6A510A4B"/>
    <w:rsid w:val="6A641533"/>
    <w:rsid w:val="6A7F45BF"/>
    <w:rsid w:val="6A861EB5"/>
    <w:rsid w:val="6AB51F79"/>
    <w:rsid w:val="6AF67290"/>
    <w:rsid w:val="6B204DC6"/>
    <w:rsid w:val="6B2B3D58"/>
    <w:rsid w:val="6B66305F"/>
    <w:rsid w:val="6B740AAD"/>
    <w:rsid w:val="6B8E2D0B"/>
    <w:rsid w:val="6C1A634D"/>
    <w:rsid w:val="6C246D92"/>
    <w:rsid w:val="6C307743"/>
    <w:rsid w:val="6C72739D"/>
    <w:rsid w:val="6C7D068A"/>
    <w:rsid w:val="6CB30550"/>
    <w:rsid w:val="6CCF1E61"/>
    <w:rsid w:val="6CFE1653"/>
    <w:rsid w:val="6D197479"/>
    <w:rsid w:val="6D4F4D28"/>
    <w:rsid w:val="6D5F4877"/>
    <w:rsid w:val="6DBF05B0"/>
    <w:rsid w:val="6DD644F6"/>
    <w:rsid w:val="6E002CD0"/>
    <w:rsid w:val="6E26547D"/>
    <w:rsid w:val="6E58107A"/>
    <w:rsid w:val="6EAA3465"/>
    <w:rsid w:val="6EBE56B6"/>
    <w:rsid w:val="6EC802E2"/>
    <w:rsid w:val="6EC81378"/>
    <w:rsid w:val="6ED8604B"/>
    <w:rsid w:val="6EDF463C"/>
    <w:rsid w:val="6EEE586F"/>
    <w:rsid w:val="6EF268B4"/>
    <w:rsid w:val="6EFA0593"/>
    <w:rsid w:val="6F261C3D"/>
    <w:rsid w:val="6F265009"/>
    <w:rsid w:val="6F2B6AC3"/>
    <w:rsid w:val="6F3E0E07"/>
    <w:rsid w:val="6F405CB1"/>
    <w:rsid w:val="6F411E43"/>
    <w:rsid w:val="6F575304"/>
    <w:rsid w:val="6F585B10"/>
    <w:rsid w:val="6F5A323E"/>
    <w:rsid w:val="6F7B36D0"/>
    <w:rsid w:val="6F7DF2A2"/>
    <w:rsid w:val="6F7E71C4"/>
    <w:rsid w:val="6F9E4144"/>
    <w:rsid w:val="6FF15617"/>
    <w:rsid w:val="70562594"/>
    <w:rsid w:val="706C6B8C"/>
    <w:rsid w:val="70C04FE9"/>
    <w:rsid w:val="70DB6375"/>
    <w:rsid w:val="710E5DCB"/>
    <w:rsid w:val="71437FF0"/>
    <w:rsid w:val="7146353F"/>
    <w:rsid w:val="715045BF"/>
    <w:rsid w:val="71A76B79"/>
    <w:rsid w:val="71A87053"/>
    <w:rsid w:val="71B303F4"/>
    <w:rsid w:val="71B86F70"/>
    <w:rsid w:val="71C34F12"/>
    <w:rsid w:val="71EB7655"/>
    <w:rsid w:val="71F320E9"/>
    <w:rsid w:val="721747C0"/>
    <w:rsid w:val="72324F33"/>
    <w:rsid w:val="723922CE"/>
    <w:rsid w:val="72767A5F"/>
    <w:rsid w:val="728170B1"/>
    <w:rsid w:val="729606F7"/>
    <w:rsid w:val="72B33057"/>
    <w:rsid w:val="72DC7D4F"/>
    <w:rsid w:val="72E11363"/>
    <w:rsid w:val="72F3DE6C"/>
    <w:rsid w:val="731F2B02"/>
    <w:rsid w:val="73586C69"/>
    <w:rsid w:val="73830C7C"/>
    <w:rsid w:val="739C53B6"/>
    <w:rsid w:val="73CE5B38"/>
    <w:rsid w:val="73CF1E02"/>
    <w:rsid w:val="73EE76F6"/>
    <w:rsid w:val="74115AF7"/>
    <w:rsid w:val="74143A77"/>
    <w:rsid w:val="744B3D4C"/>
    <w:rsid w:val="744B64ED"/>
    <w:rsid w:val="74E16A4F"/>
    <w:rsid w:val="750C629B"/>
    <w:rsid w:val="75262EE3"/>
    <w:rsid w:val="752B3379"/>
    <w:rsid w:val="753C5586"/>
    <w:rsid w:val="75441A50"/>
    <w:rsid w:val="755F2CCE"/>
    <w:rsid w:val="757907EE"/>
    <w:rsid w:val="757A1FAF"/>
    <w:rsid w:val="75872335"/>
    <w:rsid w:val="75AE4F3A"/>
    <w:rsid w:val="763C1BDE"/>
    <w:rsid w:val="76832D41"/>
    <w:rsid w:val="769431A0"/>
    <w:rsid w:val="76A52DAB"/>
    <w:rsid w:val="76AFD825"/>
    <w:rsid w:val="76FFC46E"/>
    <w:rsid w:val="77011AA1"/>
    <w:rsid w:val="770352A3"/>
    <w:rsid w:val="771B11CB"/>
    <w:rsid w:val="77396308"/>
    <w:rsid w:val="77496305"/>
    <w:rsid w:val="776A2E53"/>
    <w:rsid w:val="776FCCA0"/>
    <w:rsid w:val="778112FB"/>
    <w:rsid w:val="779D5B82"/>
    <w:rsid w:val="77D23F80"/>
    <w:rsid w:val="77D7AAF1"/>
    <w:rsid w:val="77F68E34"/>
    <w:rsid w:val="780600CD"/>
    <w:rsid w:val="783338F4"/>
    <w:rsid w:val="786D1EFA"/>
    <w:rsid w:val="787B3D14"/>
    <w:rsid w:val="78886D34"/>
    <w:rsid w:val="78976F0C"/>
    <w:rsid w:val="789B5C31"/>
    <w:rsid w:val="789D129D"/>
    <w:rsid w:val="78DB41CB"/>
    <w:rsid w:val="791505C8"/>
    <w:rsid w:val="796B468C"/>
    <w:rsid w:val="79767427"/>
    <w:rsid w:val="7993773F"/>
    <w:rsid w:val="79991713"/>
    <w:rsid w:val="799D5D00"/>
    <w:rsid w:val="79EC7EEF"/>
    <w:rsid w:val="79FA5A10"/>
    <w:rsid w:val="7A036672"/>
    <w:rsid w:val="7A341497"/>
    <w:rsid w:val="7A3A405E"/>
    <w:rsid w:val="7A4B6990"/>
    <w:rsid w:val="7A5E7D4D"/>
    <w:rsid w:val="7A622F64"/>
    <w:rsid w:val="7AA31D42"/>
    <w:rsid w:val="7AAC6D0A"/>
    <w:rsid w:val="7AC878BC"/>
    <w:rsid w:val="7AEE2F60"/>
    <w:rsid w:val="7B1135CA"/>
    <w:rsid w:val="7B264158"/>
    <w:rsid w:val="7B8A1FFF"/>
    <w:rsid w:val="7BDEAEB9"/>
    <w:rsid w:val="7BDF60AA"/>
    <w:rsid w:val="7BFD2271"/>
    <w:rsid w:val="7C0C49DC"/>
    <w:rsid w:val="7C1B0A60"/>
    <w:rsid w:val="7C347B67"/>
    <w:rsid w:val="7C533906"/>
    <w:rsid w:val="7C57CA43"/>
    <w:rsid w:val="7C672E3A"/>
    <w:rsid w:val="7C836A62"/>
    <w:rsid w:val="7C8D4919"/>
    <w:rsid w:val="7CB40242"/>
    <w:rsid w:val="7CCC5441"/>
    <w:rsid w:val="7CE00EED"/>
    <w:rsid w:val="7D1D2B0E"/>
    <w:rsid w:val="7D2517DF"/>
    <w:rsid w:val="7D252BD6"/>
    <w:rsid w:val="7D3E1B77"/>
    <w:rsid w:val="7D62054B"/>
    <w:rsid w:val="7D796C4C"/>
    <w:rsid w:val="7D7F7B80"/>
    <w:rsid w:val="7D913F95"/>
    <w:rsid w:val="7DA35FE0"/>
    <w:rsid w:val="7DA55367"/>
    <w:rsid w:val="7DA8331F"/>
    <w:rsid w:val="7DAFE742"/>
    <w:rsid w:val="7DDE2CE3"/>
    <w:rsid w:val="7E3C2153"/>
    <w:rsid w:val="7E633B84"/>
    <w:rsid w:val="7E9975A5"/>
    <w:rsid w:val="7EAA2BA5"/>
    <w:rsid w:val="7EBB1AD8"/>
    <w:rsid w:val="7EDF7D96"/>
    <w:rsid w:val="7EFB1853"/>
    <w:rsid w:val="7F0268C4"/>
    <w:rsid w:val="7F0B4083"/>
    <w:rsid w:val="7F0F7867"/>
    <w:rsid w:val="7F2A478F"/>
    <w:rsid w:val="7F403EC5"/>
    <w:rsid w:val="7F54153E"/>
    <w:rsid w:val="7F691DCC"/>
    <w:rsid w:val="7F8042C1"/>
    <w:rsid w:val="7F8A15E4"/>
    <w:rsid w:val="7FB6068D"/>
    <w:rsid w:val="7FBDE135"/>
    <w:rsid w:val="7FC339EC"/>
    <w:rsid w:val="7FFB7DEC"/>
    <w:rsid w:val="8EBFC04B"/>
    <w:rsid w:val="8F77BB45"/>
    <w:rsid w:val="8FDF20F0"/>
    <w:rsid w:val="8FE7215D"/>
    <w:rsid w:val="9FEF32FC"/>
    <w:rsid w:val="9FF1F02C"/>
    <w:rsid w:val="B8BEF1CB"/>
    <w:rsid w:val="BBC45499"/>
    <w:rsid w:val="BD9DDDC5"/>
    <w:rsid w:val="BF673A72"/>
    <w:rsid w:val="BFAFD25F"/>
    <w:rsid w:val="CBFF726A"/>
    <w:rsid w:val="CFBEE144"/>
    <w:rsid w:val="CFFBDBB1"/>
    <w:rsid w:val="DC5AA26A"/>
    <w:rsid w:val="DCFF9EB6"/>
    <w:rsid w:val="DF7F9FDB"/>
    <w:rsid w:val="E3BE116F"/>
    <w:rsid w:val="E5FF3489"/>
    <w:rsid w:val="E7FE8B0C"/>
    <w:rsid w:val="E8FD0132"/>
    <w:rsid w:val="EADBFD5E"/>
    <w:rsid w:val="EDB7A5A2"/>
    <w:rsid w:val="EFCBBD96"/>
    <w:rsid w:val="F5DBD0DD"/>
    <w:rsid w:val="F6F9CCE8"/>
    <w:rsid w:val="F7537349"/>
    <w:rsid w:val="F76F813A"/>
    <w:rsid w:val="F7AF5645"/>
    <w:rsid w:val="F7EFB430"/>
    <w:rsid w:val="F7FDF939"/>
    <w:rsid w:val="F93EDD3C"/>
    <w:rsid w:val="FBDF1884"/>
    <w:rsid w:val="FDEF2E79"/>
    <w:rsid w:val="FDF68160"/>
    <w:rsid w:val="FDFFC3FA"/>
    <w:rsid w:val="FFD8CA72"/>
    <w:rsid w:val="FFDE7FF0"/>
    <w:rsid w:val="FFF3C3F2"/>
    <w:rsid w:val="FFFF2AD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42"/>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38"/>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link w:val="43"/>
    <w:semiHidden/>
    <w:qFormat/>
    <w:uiPriority w:val="99"/>
    <w:pPr>
      <w:snapToGrid w:val="0"/>
      <w:jc w:val="left"/>
    </w:pPr>
    <w:rPr>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qFormat/>
    <w:uiPriority w:val="0"/>
    <w:pPr>
      <w:spacing w:after="120"/>
      <w:ind w:left="200" w:leftChars="200"/>
    </w:pPr>
    <w:rPr>
      <w:rFonts w:ascii="仿宋_GB2312"/>
      <w:szCs w:val="32"/>
    </w:rPr>
  </w:style>
  <w:style w:type="paragraph" w:styleId="8">
    <w:name w:val="List Number"/>
    <w:basedOn w:val="1"/>
    <w:semiHidden/>
    <w:unhideWhenUsed/>
    <w:qFormat/>
    <w:uiPriority w:val="99"/>
    <w:pPr>
      <w:numPr>
        <w:ilvl w:val="0"/>
        <w:numId w:val="1"/>
      </w:numPr>
    </w:pPr>
  </w:style>
  <w:style w:type="paragraph" w:styleId="9">
    <w:name w:val="Body Text"/>
    <w:basedOn w:val="1"/>
    <w:link w:val="31"/>
    <w:qFormat/>
    <w:uiPriority w:val="99"/>
    <w:pPr>
      <w:spacing w:beforeLines="30"/>
    </w:pPr>
    <w:rPr>
      <w:rFonts w:ascii="仿宋_GB2312" w:eastAsia="仿宋_GB2312"/>
      <w:kern w:val="0"/>
      <w:sz w:val="30"/>
    </w:r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7"/>
    <w:semiHidden/>
    <w:unhideWhenUsed/>
    <w:qFormat/>
    <w:uiPriority w:val="99"/>
    <w:rPr>
      <w:sz w:val="18"/>
      <w:szCs w:val="18"/>
    </w:rPr>
  </w:style>
  <w:style w:type="paragraph" w:styleId="12">
    <w:name w:val="footer"/>
    <w:basedOn w:val="1"/>
    <w:link w:val="29"/>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7"/>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able of figures"/>
    <w:basedOn w:val="1"/>
    <w:next w:val="1"/>
    <w:qFormat/>
    <w:uiPriority w:val="0"/>
    <w:rPr>
      <w:rFonts w:ascii="Calibri" w:hAnsi="Calibri"/>
    </w:rPr>
  </w:style>
  <w:style w:type="paragraph" w:styleId="16">
    <w:name w:val="toc 2"/>
    <w:basedOn w:val="1"/>
    <w:next w:val="1"/>
    <w:unhideWhenUsed/>
    <w:qFormat/>
    <w:uiPriority w:val="39"/>
    <w:pPr>
      <w:tabs>
        <w:tab w:val="right" w:leader="dot" w:pos="8296"/>
      </w:tabs>
      <w:ind w:left="420" w:leftChars="200"/>
    </w:pPr>
  </w:style>
  <w:style w:type="paragraph" w:styleId="17">
    <w:name w:val="Normal (Web)"/>
    <w:basedOn w:val="1"/>
    <w:unhideWhenUsed/>
    <w:qFormat/>
    <w:uiPriority w:val="99"/>
    <w:pPr>
      <w:spacing w:before="100" w:beforeAutospacing="1" w:after="100" w:afterAutospacing="1"/>
      <w:jc w:val="left"/>
    </w:pPr>
    <w:rPr>
      <w:rFonts w:ascii="Calibri" w:hAnsi="Calibri"/>
      <w:kern w:val="0"/>
      <w:sz w:val="24"/>
    </w:rPr>
  </w:style>
  <w:style w:type="character" w:styleId="20">
    <w:name w:val="Strong"/>
    <w:basedOn w:val="19"/>
    <w:qFormat/>
    <w:uiPriority w:val="99"/>
    <w:rPr>
      <w:b/>
    </w:rPr>
  </w:style>
  <w:style w:type="character" w:styleId="21">
    <w:name w:val="FollowedHyperlink"/>
    <w:basedOn w:val="19"/>
    <w:semiHidden/>
    <w:unhideWhenUsed/>
    <w:qFormat/>
    <w:uiPriority w:val="99"/>
    <w:rPr>
      <w:color w:val="954F72"/>
      <w:u w:val="single"/>
    </w:rPr>
  </w:style>
  <w:style w:type="character" w:styleId="22">
    <w:name w:val="Hyperlink"/>
    <w:basedOn w:val="19"/>
    <w:unhideWhenUsed/>
    <w:qFormat/>
    <w:uiPriority w:val="99"/>
    <w:rPr>
      <w:color w:val="0000FF" w:themeColor="hyperlink"/>
      <w:u w:val="single"/>
      <w14:textFill>
        <w14:solidFill>
          <w14:schemeClr w14:val="hlink"/>
        </w14:solidFill>
      </w14:textFill>
    </w:rPr>
  </w:style>
  <w:style w:type="paragraph" w:customStyle="1" w:styleId="23">
    <w:name w:val="正文2"/>
    <w:basedOn w:val="1"/>
    <w:next w:val="1"/>
    <w:unhideWhenUsed/>
    <w:qFormat/>
    <w:uiPriority w:val="99"/>
    <w:rPr>
      <w:rFonts w:hint="eastAsia"/>
    </w:rPr>
  </w:style>
  <w:style w:type="paragraph" w:customStyle="1" w:styleId="24">
    <w:name w:val="章标题"/>
    <w:basedOn w:val="1"/>
    <w:next w:val="25"/>
    <w:qFormat/>
    <w:uiPriority w:val="99"/>
    <w:pPr>
      <w:widowControl/>
      <w:spacing w:before="158" w:after="153" w:line="323" w:lineRule="atLeast"/>
      <w:ind w:right="-120"/>
      <w:jc w:val="left"/>
      <w:textAlignment w:val="baseline"/>
    </w:pPr>
    <w:rPr>
      <w:rFonts w:ascii="Calibri" w:hAnsi="Calibri" w:eastAsia="仿宋_GB2312"/>
      <w:color w:val="000000"/>
      <w:sz w:val="32"/>
    </w:rPr>
  </w:style>
  <w:style w:type="paragraph" w:customStyle="1" w:styleId="25">
    <w:name w:val="节标题"/>
    <w:basedOn w:val="1"/>
    <w:next w:val="1"/>
    <w:qFormat/>
    <w:uiPriority w:val="99"/>
    <w:pPr>
      <w:widowControl/>
      <w:spacing w:line="289" w:lineRule="atLeast"/>
      <w:jc w:val="center"/>
      <w:textAlignment w:val="baseline"/>
    </w:pPr>
    <w:rPr>
      <w:color w:val="000000"/>
      <w:sz w:val="28"/>
    </w:rPr>
  </w:style>
  <w:style w:type="character" w:customStyle="1" w:styleId="26">
    <w:name w:val="Header Char"/>
    <w:basedOn w:val="19"/>
    <w:semiHidden/>
    <w:qFormat/>
    <w:uiPriority w:val="99"/>
    <w:rPr>
      <w:rFonts w:ascii="Times New Roman" w:hAnsi="Times New Roman"/>
      <w:sz w:val="18"/>
      <w:szCs w:val="18"/>
    </w:rPr>
  </w:style>
  <w:style w:type="character" w:customStyle="1" w:styleId="27">
    <w:name w:val="页眉 字符"/>
    <w:link w:val="13"/>
    <w:semiHidden/>
    <w:qFormat/>
    <w:locked/>
    <w:uiPriority w:val="99"/>
    <w:rPr>
      <w:rFonts w:eastAsia="宋体"/>
      <w:sz w:val="18"/>
    </w:rPr>
  </w:style>
  <w:style w:type="character" w:customStyle="1" w:styleId="28">
    <w:name w:val="Footer Char"/>
    <w:basedOn w:val="19"/>
    <w:semiHidden/>
    <w:qFormat/>
    <w:uiPriority w:val="99"/>
    <w:rPr>
      <w:rFonts w:ascii="Times New Roman" w:hAnsi="Times New Roman"/>
      <w:sz w:val="18"/>
      <w:szCs w:val="18"/>
    </w:rPr>
  </w:style>
  <w:style w:type="character" w:customStyle="1" w:styleId="29">
    <w:name w:val="页脚 字符"/>
    <w:link w:val="12"/>
    <w:qFormat/>
    <w:locked/>
    <w:uiPriority w:val="99"/>
    <w:rPr>
      <w:sz w:val="18"/>
    </w:rPr>
  </w:style>
  <w:style w:type="character" w:customStyle="1" w:styleId="30">
    <w:name w:val="Body Text Char"/>
    <w:basedOn w:val="19"/>
    <w:semiHidden/>
    <w:qFormat/>
    <w:uiPriority w:val="99"/>
    <w:rPr>
      <w:rFonts w:ascii="Times New Roman" w:hAnsi="Times New Roman"/>
      <w:szCs w:val="24"/>
    </w:rPr>
  </w:style>
  <w:style w:type="character" w:customStyle="1" w:styleId="31">
    <w:name w:val="正文文本 字符"/>
    <w:link w:val="9"/>
    <w:qFormat/>
    <w:locked/>
    <w:uiPriority w:val="99"/>
    <w:rPr>
      <w:rFonts w:ascii="仿宋_GB2312" w:hAnsi="Times New Roman" w:eastAsia="仿宋_GB2312"/>
      <w:sz w:val="24"/>
    </w:rPr>
  </w:style>
  <w:style w:type="paragraph" w:customStyle="1" w:styleId="3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3">
    <w:name w:val="List Paragraph"/>
    <w:basedOn w:val="1"/>
    <w:qFormat/>
    <w:uiPriority w:val="34"/>
    <w:pPr>
      <w:ind w:firstLine="420" w:firstLineChars="200"/>
    </w:pPr>
  </w:style>
  <w:style w:type="character" w:customStyle="1" w:styleId="34">
    <w:name w:val="标题 1 字符"/>
    <w:basedOn w:val="19"/>
    <w:qFormat/>
    <w:uiPriority w:val="9"/>
    <w:rPr>
      <w:rFonts w:ascii="Times New Roman" w:hAnsi="Times New Roman"/>
      <w:b/>
      <w:bCs/>
      <w:kern w:val="44"/>
      <w:sz w:val="44"/>
      <w:szCs w:val="44"/>
    </w:rPr>
  </w:style>
  <w:style w:type="character" w:customStyle="1" w:styleId="35">
    <w:name w:val="标题 2 字符"/>
    <w:basedOn w:val="19"/>
    <w:link w:val="6"/>
    <w:qFormat/>
    <w:uiPriority w:val="9"/>
    <w:rPr>
      <w:rFonts w:asciiTheme="majorHAnsi" w:hAnsiTheme="majorHAnsi" w:eastAsiaTheme="majorEastAsia" w:cstheme="majorBidi"/>
      <w:b/>
      <w:bCs/>
      <w:kern w:val="2"/>
      <w:sz w:val="32"/>
      <w:szCs w:val="32"/>
    </w:rPr>
  </w:style>
  <w:style w:type="paragraph" w:customStyle="1" w:styleId="36">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7">
    <w:name w:val="批注框文本 字符"/>
    <w:basedOn w:val="19"/>
    <w:link w:val="11"/>
    <w:semiHidden/>
    <w:qFormat/>
    <w:uiPriority w:val="99"/>
    <w:rPr>
      <w:rFonts w:ascii="Times New Roman" w:hAnsi="Times New Roman"/>
      <w:kern w:val="2"/>
      <w:sz w:val="18"/>
      <w:szCs w:val="18"/>
    </w:rPr>
  </w:style>
  <w:style w:type="character" w:customStyle="1" w:styleId="38">
    <w:name w:val="标题 3 字符"/>
    <w:basedOn w:val="19"/>
    <w:link w:val="7"/>
    <w:qFormat/>
    <w:uiPriority w:val="9"/>
    <w:rPr>
      <w:rFonts w:ascii="Times New Roman" w:hAnsi="Times New Roman"/>
      <w:b/>
      <w:bCs/>
      <w:kern w:val="2"/>
      <w:sz w:val="32"/>
      <w:szCs w:val="32"/>
    </w:rPr>
  </w:style>
  <w:style w:type="paragraph" w:customStyle="1" w:styleId="39">
    <w:name w:val="常用样式（方正仿宋简）"/>
    <w:basedOn w:val="1"/>
    <w:qFormat/>
    <w:uiPriority w:val="99"/>
    <w:pPr>
      <w:spacing w:line="560" w:lineRule="exact"/>
      <w:ind w:firstLine="640" w:firstLineChars="200"/>
    </w:pPr>
    <w:rPr>
      <w:rFonts w:ascii="Calibri" w:hAnsi="Calibri" w:eastAsia="方正仿宋简体"/>
      <w:sz w:val="32"/>
    </w:rPr>
  </w:style>
  <w:style w:type="character" w:customStyle="1" w:styleId="40">
    <w:name w:val="font61"/>
    <w:basedOn w:val="19"/>
    <w:qFormat/>
    <w:uiPriority w:val="0"/>
    <w:rPr>
      <w:rFonts w:hint="eastAsia" w:ascii="宋体" w:hAnsi="宋体" w:eastAsia="宋体" w:cs="宋体"/>
      <w:color w:val="000000"/>
      <w:sz w:val="18"/>
      <w:szCs w:val="18"/>
      <w:u w:val="none"/>
    </w:rPr>
  </w:style>
  <w:style w:type="character" w:customStyle="1" w:styleId="41">
    <w:name w:val="font51"/>
    <w:basedOn w:val="19"/>
    <w:qFormat/>
    <w:uiPriority w:val="0"/>
    <w:rPr>
      <w:rFonts w:hint="eastAsia" w:ascii="微软雅黑" w:hAnsi="微软雅黑" w:eastAsia="微软雅黑" w:cs="微软雅黑"/>
      <w:i/>
      <w:iCs/>
      <w:color w:val="000000"/>
      <w:sz w:val="16"/>
      <w:szCs w:val="16"/>
      <w:u w:val="none"/>
    </w:rPr>
  </w:style>
  <w:style w:type="character" w:customStyle="1" w:styleId="42">
    <w:name w:val="标题 1 字符1"/>
    <w:basedOn w:val="19"/>
    <w:link w:val="5"/>
    <w:qFormat/>
    <w:uiPriority w:val="9"/>
    <w:rPr>
      <w:b/>
      <w:bCs/>
      <w:kern w:val="44"/>
      <w:sz w:val="44"/>
      <w:szCs w:val="44"/>
    </w:rPr>
  </w:style>
  <w:style w:type="character" w:customStyle="1" w:styleId="43">
    <w:name w:val="脚注文本 字符"/>
    <w:basedOn w:val="19"/>
    <w:link w:val="2"/>
    <w:semiHidden/>
    <w:qFormat/>
    <w:uiPriority w:val="99"/>
    <w:rPr>
      <w:kern w:val="2"/>
      <w:sz w:val="18"/>
      <w:szCs w:val="18"/>
    </w:rPr>
  </w:style>
  <w:style w:type="paragraph" w:customStyle="1" w:styleId="44">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5">
    <w:name w:val="font5"/>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46">
    <w:name w:val="xl65"/>
    <w:basedOn w:val="1"/>
    <w:qFormat/>
    <w:uiPriority w:val="0"/>
    <w:pPr>
      <w:widowControl/>
      <w:spacing w:before="100" w:beforeAutospacing="1" w:after="100" w:afterAutospacing="1"/>
      <w:jc w:val="left"/>
    </w:pPr>
    <w:rPr>
      <w:rFonts w:ascii="黑体" w:hAnsi="黑体" w:cs="宋体"/>
      <w:color w:val="000000"/>
      <w:kern w:val="0"/>
      <w:sz w:val="18"/>
      <w:szCs w:val="18"/>
    </w:rPr>
  </w:style>
  <w:style w:type="paragraph" w:customStyle="1" w:styleId="47">
    <w:name w:val="xl6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48">
    <w:name w:val="xl6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9">
    <w:name w:val="xl6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0">
    <w:name w:val="xl6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1">
    <w:name w:val="xl7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微软雅黑" w:hAnsi="微软雅黑" w:eastAsia="微软雅黑" w:cs="宋体"/>
      <w:i/>
      <w:iCs/>
      <w:color w:val="000000"/>
      <w:kern w:val="0"/>
      <w:sz w:val="16"/>
      <w:szCs w:val="16"/>
    </w:rPr>
  </w:style>
  <w:style w:type="paragraph" w:customStyle="1" w:styleId="52">
    <w:name w:val="xl7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53">
    <w:name w:val="xl7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eastAsia="黑体" w:cs="宋体"/>
      <w:b/>
      <w:bCs/>
      <w:color w:val="000000"/>
      <w:kern w:val="0"/>
      <w:sz w:val="30"/>
      <w:szCs w:val="30"/>
    </w:rPr>
  </w:style>
  <w:style w:type="paragraph" w:customStyle="1" w:styleId="54">
    <w:name w:val="xl7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黑体" w:cs="宋体"/>
      <w:i/>
      <w:iCs/>
      <w:color w:val="000000"/>
      <w:kern w:val="0"/>
      <w:sz w:val="18"/>
      <w:szCs w:val="18"/>
    </w:rPr>
  </w:style>
  <w:style w:type="paragraph" w:customStyle="1" w:styleId="55">
    <w:name w:val="xl7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黑体" w:cs="宋体"/>
      <w:color w:val="000000"/>
      <w:kern w:val="0"/>
      <w:sz w:val="18"/>
      <w:szCs w:val="18"/>
    </w:rPr>
  </w:style>
  <w:style w:type="paragraph" w:customStyle="1" w:styleId="56">
    <w:name w:val="xl7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黑体" w:hAnsi="黑体" w:cs="宋体"/>
      <w:color w:val="000000"/>
      <w:kern w:val="0"/>
      <w:sz w:val="18"/>
      <w:szCs w:val="18"/>
    </w:rPr>
  </w:style>
  <w:style w:type="paragraph" w:customStyle="1" w:styleId="57">
    <w:name w:val="xl7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58">
    <w:name w:val="xl77"/>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59">
    <w:name w:val="xl78"/>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60">
    <w:name w:val="xl79"/>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18"/>
      <w:szCs w:val="18"/>
    </w:rPr>
  </w:style>
  <w:style w:type="paragraph" w:customStyle="1" w:styleId="61">
    <w:name w:val="xl8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2">
    <w:name w:val="xl81"/>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3">
    <w:name w:val="xl8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18"/>
      <w:szCs w:val="18"/>
    </w:rPr>
  </w:style>
  <w:style w:type="paragraph" w:customStyle="1" w:styleId="64">
    <w:name w:val="xl83"/>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top"/>
    </w:pPr>
    <w:rPr>
      <w:rFonts w:ascii="宋体" w:hAnsi="宋体" w:cs="宋体"/>
      <w:color w:val="000000"/>
      <w:kern w:val="0"/>
      <w:sz w:val="18"/>
      <w:szCs w:val="18"/>
    </w:rPr>
  </w:style>
  <w:style w:type="paragraph" w:customStyle="1" w:styleId="65">
    <w:name w:val="xl84"/>
    <w:basedOn w:val="1"/>
    <w:qFormat/>
    <w:uiPriority w:val="0"/>
    <w:pPr>
      <w:widowControl/>
      <w:pBdr>
        <w:top w:val="single" w:color="000000" w:sz="4" w:space="0"/>
        <w:bottom w:val="single" w:color="000000" w:sz="4" w:space="0"/>
      </w:pBdr>
      <w:spacing w:before="100" w:beforeAutospacing="1" w:after="100" w:afterAutospacing="1"/>
      <w:jc w:val="center"/>
      <w:textAlignment w:val="top"/>
    </w:pPr>
    <w:rPr>
      <w:rFonts w:ascii="宋体" w:hAnsi="宋体" w:cs="宋体"/>
      <w:color w:val="000000"/>
      <w:kern w:val="0"/>
      <w:sz w:val="18"/>
      <w:szCs w:val="18"/>
    </w:rPr>
  </w:style>
  <w:style w:type="paragraph" w:customStyle="1" w:styleId="66">
    <w:name w:val="xl85"/>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top"/>
    </w:pPr>
    <w:rPr>
      <w:rFonts w:ascii="宋体" w:hAnsi="宋体" w:cs="宋体"/>
      <w:color w:val="000000"/>
      <w:kern w:val="0"/>
      <w:sz w:val="18"/>
      <w:szCs w:val="18"/>
    </w:rPr>
  </w:style>
  <w:style w:type="paragraph" w:customStyle="1" w:styleId="67">
    <w:name w:val="xl86"/>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textAlignment w:val="top"/>
    </w:pPr>
    <w:rPr>
      <w:rFonts w:ascii="宋体" w:hAnsi="宋体" w:cs="宋体"/>
      <w:color w:val="000000"/>
      <w:kern w:val="0"/>
      <w:sz w:val="18"/>
      <w:szCs w:val="18"/>
    </w:rPr>
  </w:style>
  <w:style w:type="paragraph" w:customStyle="1" w:styleId="68">
    <w:name w:val="xl87"/>
    <w:basedOn w:val="1"/>
    <w:qFormat/>
    <w:uiPriority w:val="0"/>
    <w:pPr>
      <w:widowControl/>
      <w:pBdr>
        <w:top w:val="single" w:color="000000" w:sz="4" w:space="0"/>
        <w:bottom w:val="single" w:color="000000" w:sz="4" w:space="0"/>
      </w:pBdr>
      <w:spacing w:before="100" w:beforeAutospacing="1" w:after="100" w:afterAutospacing="1"/>
      <w:jc w:val="left"/>
      <w:textAlignment w:val="top"/>
    </w:pPr>
    <w:rPr>
      <w:rFonts w:ascii="宋体" w:hAnsi="宋体" w:cs="宋体"/>
      <w:color w:val="000000"/>
      <w:kern w:val="0"/>
      <w:sz w:val="18"/>
      <w:szCs w:val="18"/>
    </w:rPr>
  </w:style>
  <w:style w:type="paragraph" w:customStyle="1" w:styleId="69">
    <w:name w:val="xl88"/>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textAlignment w:val="top"/>
    </w:pPr>
    <w:rPr>
      <w:rFonts w:ascii="宋体" w:hAnsi="宋体" w:cs="宋体"/>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Workbook2.xls"/><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1.png"/><Relationship Id="rId5" Type="http://schemas.openxmlformats.org/officeDocument/2006/relationships/oleObject" Target="embeddings/Workbook1.xls"/><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Lbls>
            <c:dLbl>
              <c:idx val="1"/>
              <c:layout>
                <c:manualLayout>
                  <c:x val="-0.103972895036202"/>
                  <c:y val="0.013554871560719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delete val="1"/>
            </c:dLbl>
            <c:dLbl>
              <c:idx val="3"/>
              <c:delete val="1"/>
            </c:dLbl>
            <c:dLbl>
              <c:idx val="4"/>
              <c:delete val="1"/>
            </c:dLbl>
            <c:dLbl>
              <c:idx val="5"/>
              <c:delete val="1"/>
            </c:dLbl>
            <c:dLbl>
              <c:idx val="6"/>
              <c:delete val="1"/>
            </c:dLbl>
            <c:dLbl>
              <c:idx val="7"/>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一般公共预算财政拨款收入</c:v>
                </c:pt>
                <c:pt idx="1">
                  <c:v>政府性基金预算财政拨款收入</c:v>
                </c:pt>
                <c:pt idx="2">
                  <c:v>国有资本经营预算财政拨款收入</c:v>
                </c:pt>
                <c:pt idx="3">
                  <c:v>上级补助收入</c:v>
                </c:pt>
                <c:pt idx="4">
                  <c:v>事业收入</c:v>
                </c:pt>
                <c:pt idx="5">
                  <c:v>经营收入</c:v>
                </c:pt>
                <c:pt idx="6">
                  <c:v>附属单位上缴收入</c:v>
                </c:pt>
                <c:pt idx="7">
                  <c:v>其他收入</c:v>
                </c:pt>
              </c:strCache>
            </c:strRef>
          </c:cat>
          <c:val>
            <c:numRef>
              <c:f>Sheet1!$B$2:$B$9</c:f>
              <c:numCache>
                <c:formatCode>0.00%</c:formatCode>
                <c:ptCount val="8"/>
                <c:pt idx="0">
                  <c:v>0.9721</c:v>
                </c:pt>
                <c:pt idx="1">
                  <c:v>0.0279</c:v>
                </c:pt>
                <c:pt idx="2">
                  <c:v>0</c:v>
                </c:pt>
                <c:pt idx="3">
                  <c:v>0</c:v>
                </c:pt>
                <c:pt idx="4">
                  <c:v>0</c:v>
                </c:pt>
                <c:pt idx="5">
                  <c:v>0</c:v>
                </c:pt>
                <c:pt idx="6">
                  <c:v>0</c:v>
                </c:pt>
                <c:pt idx="7">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2"/>
              <c:delete val="1"/>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0.00%</c:formatCode>
                <c:ptCount val="5"/>
                <c:pt idx="0">
                  <c:v>0.7276</c:v>
                </c:pt>
                <c:pt idx="1">
                  <c:v>0.2724</c:v>
                </c:pt>
                <c:pt idx="2" c:formatCode="General">
                  <c:v>0</c:v>
                </c:pt>
                <c:pt idx="3" c:formatCode="General">
                  <c:v>0</c:v>
                </c:pt>
                <c:pt idx="4" c:formatCode="General">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一般公共预算财政拨款支出决算变动情况图</c:v>
                </c:pt>
              </c:strCache>
            </c:strRef>
          </c:tx>
          <c:spPr>
            <a:solidFill>
              <a:schemeClr val="accent1"/>
            </a:solidFill>
            <a:ln>
              <a:noFill/>
            </a:ln>
            <a:effectLst/>
          </c:spPr>
          <c:invertIfNegative val="0"/>
          <c:dLbls>
            <c:dLbl>
              <c:idx val="0"/>
              <c:layout>
                <c:manualLayout>
                  <c:x val="0"/>
                  <c:y val="-0.16"/>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4"/>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2023年一般公共预算财政拨款决算支出</c:v>
                </c:pt>
                <c:pt idx="1">
                  <c:v>2022年一般公共预算财政拨款决算支出</c:v>
                </c:pt>
              </c:strCache>
            </c:strRef>
          </c:cat>
          <c:val>
            <c:numRef>
              <c:f>Sheet1!$B$2:$B$3</c:f>
              <c:numCache>
                <c:formatCode>General</c:formatCode>
                <c:ptCount val="2"/>
                <c:pt idx="0">
                  <c:v>1448.89</c:v>
                </c:pt>
                <c:pt idx="1">
                  <c:v>1454.31</c:v>
                </c:pt>
              </c:numCache>
            </c:numRef>
          </c:val>
        </c:ser>
        <c:dLbls>
          <c:showLegendKey val="0"/>
          <c:showVal val="0"/>
          <c:showCatName val="0"/>
          <c:showSerName val="0"/>
          <c:showPercent val="0"/>
          <c:showBubbleSize val="0"/>
        </c:dLbls>
        <c:gapWidth val="150"/>
        <c:overlap val="100"/>
        <c:axId val="54471296"/>
        <c:axId val="54493568"/>
      </c:barChart>
      <c:catAx>
        <c:axId val="544712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493568"/>
        <c:crosses val="autoZero"/>
        <c:auto val="1"/>
        <c:lblAlgn val="ctr"/>
        <c:lblOffset val="100"/>
        <c:noMultiLvlLbl val="0"/>
      </c:catAx>
      <c:valAx>
        <c:axId val="5449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471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0.0208450537229432"/>
                  <c:y val="-0.04718419269712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670213972953332"/>
                  <c:y val="-0.0009287609505516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4125816066662"/>
                  <c:y val="0.01423543617239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670641791838"/>
                  <c:y val="0.020961414399463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37751700866287"/>
                  <c:y val="0.026186872265108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926833423918345"/>
                  <c:y val="-0.015790400850309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25898630969482"/>
                  <c:y val="-0.026578940109249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00302287660306"/>
                  <c:y val="0.0013749332167498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674349897424348"/>
                  <c:y val="-0.010104878178977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一般公共服务支出</c:v>
                </c:pt>
                <c:pt idx="1">
                  <c:v>文化旅游体育与传媒支出</c:v>
                </c:pt>
                <c:pt idx="2">
                  <c:v>社会保障和就业支出</c:v>
                </c:pt>
                <c:pt idx="3">
                  <c:v>卫生健康支出</c:v>
                </c:pt>
                <c:pt idx="4">
                  <c:v>节能环保支出</c:v>
                </c:pt>
                <c:pt idx="5">
                  <c:v>城乡社区支出</c:v>
                </c:pt>
                <c:pt idx="6">
                  <c:v>农林水支出</c:v>
                </c:pt>
                <c:pt idx="7">
                  <c:v>住房保障支出</c:v>
                </c:pt>
                <c:pt idx="8">
                  <c:v>灾害防治应急管理支出</c:v>
                </c:pt>
              </c:strCache>
            </c:strRef>
          </c:cat>
          <c:val>
            <c:numRef>
              <c:f>Sheet1!$B$2:$B$10</c:f>
              <c:numCache>
                <c:formatCode>0.00%</c:formatCode>
                <c:ptCount val="9"/>
                <c:pt idx="0">
                  <c:v>0.4329</c:v>
                </c:pt>
                <c:pt idx="1">
                  <c:v>0.0007</c:v>
                </c:pt>
                <c:pt idx="2">
                  <c:v>0.0878</c:v>
                </c:pt>
                <c:pt idx="3">
                  <c:v>0.0306</c:v>
                </c:pt>
                <c:pt idx="4">
                  <c:v>0.0056</c:v>
                </c:pt>
                <c:pt idx="5">
                  <c:v>0.0056</c:v>
                </c:pt>
                <c:pt idx="6">
                  <c:v>0.3924</c:v>
                </c:pt>
                <c:pt idx="7">
                  <c:v>0.0413</c:v>
                </c:pt>
                <c:pt idx="8">
                  <c:v>0.0031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“三公”经费财政拨款支出结构图</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40999107492333"/>
                  <c:y val="-0.011068254034920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a:t>100%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公务接待费</c:v>
                </c:pt>
                <c:pt idx="1">
                  <c:v>因公出国（境）费用</c:v>
                </c:pt>
                <c:pt idx="2">
                  <c:v>公务用车购置及运行维护费</c:v>
                </c:pt>
              </c:strCache>
            </c:strRef>
          </c:cat>
          <c:val>
            <c:numRef>
              <c:f>Sheet1!$B$2:$B$4</c:f>
              <c:numCache>
                <c:formatCode>General</c:formatCode>
                <c:ptCount val="3"/>
                <c:pt idx="0">
                  <c:v>2.09</c:v>
                </c:pt>
                <c:pt idx="1">
                  <c:v>0</c:v>
                </c:pt>
                <c:pt idx="2">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四川省财政厅</Company>
  <Pages>112</Pages>
  <Words>44572</Words>
  <Characters>47545</Characters>
  <Lines>368</Lines>
  <Paragraphs>103</Paragraphs>
  <TotalTime>78</TotalTime>
  <ScaleCrop>false</ScaleCrop>
  <LinksUpToDate>false</LinksUpToDate>
  <CharactersWithSpaces>48127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2023-08-19T15:17:00Z</dcterms:created>
  <dc:creator>张彬茜</dc:creator>
  <cp:lastModifiedBy>Administrator</cp:lastModifiedBy>
  <cp:lastPrinted>2021-10-10T10:31:00Z</cp:lastPrinted>
  <dcterms:modified xsi:type="dcterms:W3CDTF">2024-09-04T01:33:54Z</dcterms:modified>
  <dc:title>四川省***</dc:title>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94BC4F81A54A487CA408514DAC87B945_13</vt:lpwstr>
  </property>
</Properties>
</file>