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326A">
      <w:pPr>
        <w:spacing w:line="360" w:lineRule="auto"/>
        <w:jc w:val="left"/>
        <w:rPr>
          <w:rFonts w:hint="eastAsia" w:ascii="Times New Roman" w:hAnsi="Times New Roman" w:eastAsia="方正黑体_GBK"/>
          <w:sz w:val="30"/>
          <w:szCs w:val="30"/>
          <w:lang w:val="en-US" w:eastAsia="zh-CN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sz w:val="30"/>
          <w:szCs w:val="30"/>
          <w:lang w:val="en-US" w:eastAsia="zh-CN"/>
        </w:rPr>
        <w:t>2</w:t>
      </w:r>
    </w:p>
    <w:p w14:paraId="1EE8C5AA">
      <w:pPr>
        <w:tabs>
          <w:tab w:val="left" w:pos="706"/>
        </w:tabs>
        <w:bidi w:val="0"/>
        <w:jc w:val="left"/>
        <w:rPr>
          <w:lang w:val="en-US" w:eastAsia="zh-CN"/>
        </w:rPr>
      </w:pPr>
    </w:p>
    <w:p w14:paraId="79B60299"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hint="default" w:ascii="Times New Roman" w:hAnsi="Times New Roman" w:eastAsia="方正小标宋_GBK" w:cs="方正小标宋_GBK"/>
          <w:sz w:val="40"/>
          <w:szCs w:val="40"/>
          <w:lang w:val="en"/>
        </w:rPr>
        <w:t>202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"/>
        </w:rPr>
        <w:t>年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-US"/>
        </w:rPr>
        <w:t>提前</w:t>
      </w:r>
      <w:r>
        <w:rPr>
          <w:rFonts w:hint="default" w:ascii="Times New Roman" w:hAnsi="Times New Roman" w:eastAsia="方正小标宋_GBK" w:cs="方正小标宋_GBK"/>
          <w:sz w:val="40"/>
          <w:szCs w:val="40"/>
          <w:lang w:val="en"/>
        </w:rPr>
        <w:t>批</w:t>
      </w:r>
      <w:r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  <w:t>以工代赈</w:t>
      </w:r>
      <w:r>
        <w:rPr>
          <w:rFonts w:ascii="Times New Roman" w:hAnsi="Times New Roman" w:eastAsia="方正小标宋_GBK"/>
          <w:sz w:val="40"/>
          <w:szCs w:val="40"/>
        </w:rPr>
        <w:t>中央预算内投资计划</w:t>
      </w:r>
    </w:p>
    <w:p w14:paraId="5EF16D4F">
      <w:pPr>
        <w:spacing w:line="360" w:lineRule="auto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绩效目标表</w:t>
      </w:r>
    </w:p>
    <w:p w14:paraId="762333AB">
      <w:pPr>
        <w:jc w:val="center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（202</w:t>
      </w:r>
      <w:r>
        <w:rPr>
          <w:rFonts w:hint="eastAsia" w:ascii="Times New Roman" w:hAnsi="Times New Roman" w:eastAsia="方正楷体_GBK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楷体_GBK"/>
          <w:sz w:val="30"/>
          <w:szCs w:val="30"/>
        </w:rPr>
        <w:t>年度）</w:t>
      </w:r>
    </w:p>
    <w:p w14:paraId="668F63E7">
      <w:pPr>
        <w:jc w:val="center"/>
        <w:rPr>
          <w:rFonts w:ascii="Times New Roman" w:hAnsi="Times New Roman" w:eastAsia="黑体"/>
          <w:color w:val="auto"/>
          <w:sz w:val="24"/>
          <w:szCs w:val="24"/>
        </w:rPr>
      </w:pPr>
    </w:p>
    <w:tbl>
      <w:tblPr>
        <w:tblStyle w:val="4"/>
        <w:tblW w:w="8610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95"/>
        <w:gridCol w:w="1559"/>
        <w:gridCol w:w="850"/>
        <w:gridCol w:w="2413"/>
        <w:gridCol w:w="1598"/>
      </w:tblGrid>
      <w:tr w14:paraId="21EC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99" w:type="dxa"/>
            <w:gridSpan w:val="4"/>
            <w:vAlign w:val="center"/>
          </w:tcPr>
          <w:p w14:paraId="2C0B3EC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专项名称</w:t>
            </w:r>
          </w:p>
        </w:tc>
        <w:tc>
          <w:tcPr>
            <w:tcW w:w="4011" w:type="dxa"/>
            <w:gridSpan w:val="2"/>
            <w:vAlign w:val="center"/>
          </w:tcPr>
          <w:p w14:paraId="5110EEEE">
            <w:pPr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以工代赈</w:t>
            </w:r>
          </w:p>
        </w:tc>
      </w:tr>
      <w:tr w14:paraId="600E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99" w:type="dxa"/>
            <w:gridSpan w:val="4"/>
            <w:vAlign w:val="center"/>
          </w:tcPr>
          <w:p w14:paraId="7EF32DD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申报地方或单位</w:t>
            </w:r>
          </w:p>
        </w:tc>
        <w:tc>
          <w:tcPr>
            <w:tcW w:w="4011" w:type="dxa"/>
            <w:gridSpan w:val="2"/>
            <w:vAlign w:val="center"/>
          </w:tcPr>
          <w:p w14:paraId="0323A8AC">
            <w:pPr>
              <w:jc w:val="center"/>
              <w:rPr>
                <w:rFonts w:hint="default" w:ascii="Times New Roman" w:hAnsi="Times New Roman" w:eastAsia="方正仿宋_GBK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安居区保石镇</w:t>
            </w:r>
          </w:p>
        </w:tc>
      </w:tr>
      <w:tr w14:paraId="5F70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99" w:type="dxa"/>
            <w:gridSpan w:val="4"/>
            <w:vAlign w:val="center"/>
          </w:tcPr>
          <w:p w14:paraId="3FB575A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申请中央预算内投资（万元）</w:t>
            </w:r>
          </w:p>
        </w:tc>
        <w:tc>
          <w:tcPr>
            <w:tcW w:w="4011" w:type="dxa"/>
            <w:gridSpan w:val="2"/>
            <w:vAlign w:val="center"/>
          </w:tcPr>
          <w:p w14:paraId="4AAFA0C7">
            <w:pPr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700</w:t>
            </w:r>
          </w:p>
        </w:tc>
      </w:tr>
      <w:tr w14:paraId="6692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095" w:type="dxa"/>
            <w:vAlign w:val="center"/>
          </w:tcPr>
          <w:p w14:paraId="4861EF3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总体目标</w:t>
            </w:r>
          </w:p>
        </w:tc>
        <w:tc>
          <w:tcPr>
            <w:tcW w:w="7515" w:type="dxa"/>
            <w:gridSpan w:val="5"/>
            <w:vAlign w:val="center"/>
          </w:tcPr>
          <w:p w14:paraId="6CA1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outlineLvl w:val="9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在安居区保石镇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实施1个以工代赈项目，支持实施农村中小型公益性基础设施工程，在确保劳务报酬发放金额占中央投资的比例高于30%的基础上，尽可能进一步提高占比，广泛吸纳当地农村劳动力、城乡低收入人口和其他就业困难群体参与工程建设，实现就近就业增收。</w:t>
            </w:r>
          </w:p>
        </w:tc>
      </w:tr>
      <w:tr w14:paraId="16F7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restart"/>
            <w:vAlign w:val="center"/>
          </w:tcPr>
          <w:p w14:paraId="7BE4392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绩</w:t>
            </w:r>
          </w:p>
          <w:p w14:paraId="5BE812BD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  <w:p w14:paraId="2B562A0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效</w:t>
            </w:r>
          </w:p>
          <w:p w14:paraId="52AF44D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  <w:p w14:paraId="3485A653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指</w:t>
            </w:r>
          </w:p>
          <w:p w14:paraId="15CC6E5D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  <w:p w14:paraId="12F160D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标</w:t>
            </w:r>
          </w:p>
        </w:tc>
        <w:tc>
          <w:tcPr>
            <w:tcW w:w="1095" w:type="dxa"/>
            <w:vAlign w:val="center"/>
          </w:tcPr>
          <w:p w14:paraId="62FABE5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一级指标</w:t>
            </w:r>
          </w:p>
        </w:tc>
        <w:tc>
          <w:tcPr>
            <w:tcW w:w="1559" w:type="dxa"/>
            <w:vAlign w:val="center"/>
          </w:tcPr>
          <w:p w14:paraId="05063C6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二级指标</w:t>
            </w:r>
          </w:p>
        </w:tc>
        <w:tc>
          <w:tcPr>
            <w:tcW w:w="3263" w:type="dxa"/>
            <w:gridSpan w:val="2"/>
            <w:vAlign w:val="center"/>
          </w:tcPr>
          <w:p w14:paraId="3B3A5E9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三级指标</w:t>
            </w:r>
          </w:p>
        </w:tc>
        <w:tc>
          <w:tcPr>
            <w:tcW w:w="1598" w:type="dxa"/>
            <w:vAlign w:val="center"/>
          </w:tcPr>
          <w:p w14:paraId="610DB74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指标值</w:t>
            </w:r>
          </w:p>
        </w:tc>
      </w:tr>
      <w:tr w14:paraId="61FD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0010DA0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458B36D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实施效果指标</w:t>
            </w:r>
          </w:p>
        </w:tc>
        <w:tc>
          <w:tcPr>
            <w:tcW w:w="1559" w:type="dxa"/>
            <w:vAlign w:val="center"/>
          </w:tcPr>
          <w:p w14:paraId="71385F9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产出指标</w:t>
            </w:r>
          </w:p>
        </w:tc>
        <w:tc>
          <w:tcPr>
            <w:tcW w:w="3263" w:type="dxa"/>
            <w:gridSpan w:val="2"/>
            <w:vAlign w:val="center"/>
          </w:tcPr>
          <w:p w14:paraId="5F10F8B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劳务报酬占中央投资比例</w:t>
            </w:r>
          </w:p>
        </w:tc>
        <w:tc>
          <w:tcPr>
            <w:tcW w:w="1598" w:type="dxa"/>
            <w:vAlign w:val="center"/>
          </w:tcPr>
          <w:p w14:paraId="7A781457">
            <w:pPr>
              <w:jc w:val="center"/>
              <w:rPr>
                <w:rFonts w:hint="eastAsia" w:ascii="Times New Roman" w:hAnsi="Times New Roman" w:eastAsia="方正仿宋_GBK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≥30%</w:t>
            </w:r>
          </w:p>
        </w:tc>
      </w:tr>
      <w:tr w14:paraId="19F5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05F5F25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15C0E89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1990E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效益指标</w:t>
            </w:r>
          </w:p>
        </w:tc>
        <w:tc>
          <w:tcPr>
            <w:tcW w:w="3263" w:type="dxa"/>
            <w:gridSpan w:val="2"/>
            <w:vAlign w:val="center"/>
          </w:tcPr>
          <w:p w14:paraId="0EE7B07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项目区基础设施条件</w:t>
            </w:r>
          </w:p>
        </w:tc>
        <w:tc>
          <w:tcPr>
            <w:tcW w:w="1598" w:type="dxa"/>
            <w:vAlign w:val="center"/>
          </w:tcPr>
          <w:p w14:paraId="58F84885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持续改善</w:t>
            </w:r>
          </w:p>
        </w:tc>
      </w:tr>
      <w:tr w14:paraId="73DE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72D6083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2F2D2C6B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DA9230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满意度指标</w:t>
            </w:r>
          </w:p>
        </w:tc>
        <w:tc>
          <w:tcPr>
            <w:tcW w:w="3263" w:type="dxa"/>
            <w:gridSpan w:val="2"/>
            <w:vAlign w:val="center"/>
          </w:tcPr>
          <w:p w14:paraId="2E46AE1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参与工程建设的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务工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群众满意度</w:t>
            </w:r>
          </w:p>
        </w:tc>
        <w:tc>
          <w:tcPr>
            <w:tcW w:w="1598" w:type="dxa"/>
            <w:vAlign w:val="center"/>
          </w:tcPr>
          <w:p w14:paraId="44E8CB5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90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0B73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05ACFDB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2713BE4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过程管理指标</w:t>
            </w:r>
          </w:p>
        </w:tc>
        <w:tc>
          <w:tcPr>
            <w:tcW w:w="1559" w:type="dxa"/>
            <w:vMerge w:val="restart"/>
            <w:vAlign w:val="center"/>
          </w:tcPr>
          <w:p w14:paraId="6414C915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计划管理指标</w:t>
            </w:r>
          </w:p>
        </w:tc>
        <w:tc>
          <w:tcPr>
            <w:tcW w:w="3263" w:type="dxa"/>
            <w:gridSpan w:val="2"/>
            <w:vAlign w:val="center"/>
          </w:tcPr>
          <w:p w14:paraId="133CBB7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投资计划分解（转发）用时</w:t>
            </w:r>
          </w:p>
        </w:tc>
        <w:tc>
          <w:tcPr>
            <w:tcW w:w="1598" w:type="dxa"/>
            <w:vAlign w:val="center"/>
          </w:tcPr>
          <w:p w14:paraId="74C1488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≤20个工作日</w:t>
            </w:r>
          </w:p>
        </w:tc>
      </w:tr>
      <w:tr w14:paraId="2098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7FA1785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866D80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51933C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540277B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两个责任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按项目落实到位率</w:t>
            </w:r>
          </w:p>
        </w:tc>
        <w:tc>
          <w:tcPr>
            <w:tcW w:w="1598" w:type="dxa"/>
            <w:vAlign w:val="center"/>
          </w:tcPr>
          <w:p w14:paraId="74A71C43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100%</w:t>
            </w:r>
          </w:p>
        </w:tc>
      </w:tr>
      <w:tr w14:paraId="04A7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5401A62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9DC3DA3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AD4A310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资金管理指标</w:t>
            </w:r>
          </w:p>
        </w:tc>
        <w:tc>
          <w:tcPr>
            <w:tcW w:w="3263" w:type="dxa"/>
            <w:gridSpan w:val="2"/>
            <w:vAlign w:val="center"/>
          </w:tcPr>
          <w:p w14:paraId="457F4C0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中央预算内投资支付率</w:t>
            </w:r>
          </w:p>
        </w:tc>
        <w:tc>
          <w:tcPr>
            <w:tcW w:w="1598" w:type="dxa"/>
            <w:vAlign w:val="center"/>
          </w:tcPr>
          <w:p w14:paraId="0BC2B29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95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3537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593AA20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0F2AC25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BF2F47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2A5F4663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年度计划投资完成率</w:t>
            </w:r>
          </w:p>
        </w:tc>
        <w:tc>
          <w:tcPr>
            <w:tcW w:w="1598" w:type="dxa"/>
            <w:vAlign w:val="center"/>
          </w:tcPr>
          <w:p w14:paraId="74CC9E7D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95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27DE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4C08657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CC104C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AA3485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项目管理指标</w:t>
            </w:r>
          </w:p>
        </w:tc>
        <w:tc>
          <w:tcPr>
            <w:tcW w:w="3263" w:type="dxa"/>
            <w:gridSpan w:val="2"/>
            <w:vAlign w:val="center"/>
          </w:tcPr>
          <w:p w14:paraId="5CD9423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项目开工率</w:t>
            </w:r>
          </w:p>
        </w:tc>
        <w:tc>
          <w:tcPr>
            <w:tcW w:w="1598" w:type="dxa"/>
            <w:vAlign w:val="center"/>
          </w:tcPr>
          <w:p w14:paraId="45DF9A8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95</w:t>
            </w:r>
            <w:r>
              <w:rPr>
                <w:rFonts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  <w:tr w14:paraId="6E0F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0EE1F31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B5AD53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Merge w:val="continue"/>
            <w:vAlign w:val="top"/>
          </w:tcPr>
          <w:p w14:paraId="2C16827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7A70552C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超规模、超标准、超概算项目比例</w:t>
            </w:r>
          </w:p>
        </w:tc>
        <w:tc>
          <w:tcPr>
            <w:tcW w:w="1598" w:type="dxa"/>
            <w:vAlign w:val="center"/>
          </w:tcPr>
          <w:p w14:paraId="24FF01AA">
            <w:pPr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AEB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 w14:paraId="4A9C42F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8402F96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CA1420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监督检查指标</w:t>
            </w:r>
          </w:p>
        </w:tc>
        <w:tc>
          <w:tcPr>
            <w:tcW w:w="3263" w:type="dxa"/>
            <w:gridSpan w:val="2"/>
            <w:vAlign w:val="center"/>
          </w:tcPr>
          <w:p w14:paraId="30ED16D4">
            <w:pPr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</w:rPr>
              <w:t>审计、督查、巡视等指出问题项目比例</w:t>
            </w:r>
          </w:p>
        </w:tc>
        <w:tc>
          <w:tcPr>
            <w:tcW w:w="1598" w:type="dxa"/>
            <w:vAlign w:val="center"/>
          </w:tcPr>
          <w:p w14:paraId="546C1377">
            <w:pPr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</w:rPr>
              <w:t>%</w:t>
            </w:r>
          </w:p>
        </w:tc>
      </w:tr>
    </w:tbl>
    <w:p w14:paraId="39F4CE51">
      <w:pPr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6D3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0E8D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0E8D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91F5"/>
    <w:rsid w:val="37FFF7DA"/>
    <w:rsid w:val="52D750E4"/>
    <w:rsid w:val="6DF7A0C1"/>
    <w:rsid w:val="6E569028"/>
    <w:rsid w:val="7F9774C1"/>
    <w:rsid w:val="7FFE8D5D"/>
    <w:rsid w:val="CAF13D7C"/>
    <w:rsid w:val="E7FDD6F1"/>
    <w:rsid w:val="EF71CE6F"/>
    <w:rsid w:val="F3FF91F5"/>
    <w:rsid w:val="FFB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center"/>
    </w:pPr>
    <w:rPr>
      <w:rFonts w:ascii="Times New Roman" w:hAnsi="Times New Roman" w:eastAsia="方正仿宋_GBK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1555</Words>
  <Characters>1655</Characters>
  <Lines>0</Lines>
  <Paragraphs>0</Paragraphs>
  <TotalTime>4</TotalTime>
  <ScaleCrop>false</ScaleCrop>
  <LinksUpToDate>false</LinksUpToDate>
  <CharactersWithSpaces>1655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2024-11-24T03:58:00Z</dcterms:created>
  <dc:creator>user</dc:creator>
  <cp:lastModifiedBy>燕姐</cp:lastModifiedBy>
  <cp:lastPrinted>2024-11-27T03:28:00Z</cp:lastPrinted>
  <dcterms:modified xsi:type="dcterms:W3CDTF">2024-12-04T01:59:08Z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6FCFD4FF3B0A45C694014C8FB86A91DE_12</vt:lpwstr>
  </property>
</Properties>
</file>