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3A5F4C">
      <w:pPr>
        <w:spacing w:line="360" w:lineRule="auto"/>
        <w:jc w:val="center"/>
        <w:rPr>
          <w:rFonts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2022年度</w:t>
      </w:r>
    </w:p>
    <w:p w14:paraId="2F6D6B58">
      <w:pPr>
        <w:spacing w:line="360" w:lineRule="auto"/>
        <w:jc w:val="center"/>
        <w:rPr>
          <w:rFonts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四川省遂宁市安居区白马镇平宁小学校单位决算</w:t>
      </w:r>
    </w:p>
    <w:p w14:paraId="5079706C">
      <w:pPr>
        <w:spacing w:line="360" w:lineRule="auto"/>
        <w:jc w:val="center"/>
        <w:rPr>
          <w:rFonts w:ascii="方正小标宋简体" w:hAnsi="方正小标宋简体" w:eastAsia="方正小标宋简体"/>
          <w:kern w:val="2"/>
          <w:sz w:val="52"/>
          <w:lang w:val="zh-CN"/>
        </w:rPr>
      </w:pPr>
      <w:r>
        <w:rPr>
          <w:rFonts w:hint="eastAsia" w:ascii="方正小标宋简体" w:hAnsi="方正小标宋简体" w:eastAsia="方正小标宋简体"/>
          <w:kern w:val="2"/>
          <w:sz w:val="52"/>
          <w:lang w:val="zh-CN"/>
        </w:rPr>
        <w:t>(单位公开)</w:t>
      </w:r>
    </w:p>
    <w:p w14:paraId="1F6FCC10">
      <w:pPr>
        <w:keepNext/>
        <w:keepLines/>
        <w:tabs>
          <w:tab w:val="right" w:leader="dot" w:pos="8296"/>
        </w:tabs>
        <w:spacing w:line="576" w:lineRule="exact"/>
        <w:rPr>
          <w:rFonts w:ascii="黑体" w:hAnsi="黑体" w:eastAsia="黑体"/>
          <w:b/>
          <w:color w:val="FF0000"/>
          <w:kern w:val="2"/>
          <w:sz w:val="48"/>
          <w:lang w:val="zh-CN"/>
        </w:rPr>
      </w:pPr>
    </w:p>
    <w:p w14:paraId="73878BE5">
      <w:pPr>
        <w:jc w:val="center"/>
        <w:rPr>
          <w:rFonts w:ascii="黑体" w:hAnsi="黑体" w:eastAsia="黑体"/>
          <w:kern w:val="2"/>
          <w:sz w:val="48"/>
          <w:lang w:val="zh-CN"/>
        </w:rPr>
      </w:pPr>
    </w:p>
    <w:p w14:paraId="6EDA5FBB">
      <w:pPr>
        <w:jc w:val="center"/>
        <w:rPr>
          <w:rFonts w:ascii="黑体" w:hAnsi="黑体" w:eastAsia="黑体"/>
          <w:kern w:val="2"/>
          <w:sz w:val="48"/>
          <w:lang w:val="zh-CN"/>
        </w:rPr>
      </w:pPr>
    </w:p>
    <w:p w14:paraId="7B5B748A">
      <w:pPr>
        <w:jc w:val="center"/>
        <w:rPr>
          <w:rFonts w:ascii="黑体" w:hAnsi="黑体" w:eastAsia="黑体"/>
          <w:kern w:val="2"/>
          <w:sz w:val="48"/>
          <w:lang w:val="zh-CN"/>
        </w:rPr>
      </w:pPr>
    </w:p>
    <w:p w14:paraId="0CE0F722">
      <w:pPr>
        <w:jc w:val="center"/>
        <w:rPr>
          <w:rFonts w:ascii="黑体" w:hAnsi="黑体" w:eastAsia="黑体"/>
          <w:kern w:val="2"/>
          <w:sz w:val="48"/>
          <w:lang w:val="zh-CN"/>
        </w:rPr>
      </w:pPr>
    </w:p>
    <w:p w14:paraId="5472C145">
      <w:pPr>
        <w:jc w:val="center"/>
        <w:rPr>
          <w:rFonts w:ascii="黑体" w:hAnsi="黑体" w:eastAsia="黑体"/>
          <w:kern w:val="2"/>
          <w:sz w:val="48"/>
          <w:lang w:val="zh-CN"/>
        </w:rPr>
      </w:pPr>
    </w:p>
    <w:p w14:paraId="6E0716A1">
      <w:pPr>
        <w:jc w:val="center"/>
        <w:rPr>
          <w:rFonts w:ascii="黑体" w:hAnsi="黑体" w:eastAsia="黑体"/>
          <w:kern w:val="2"/>
          <w:sz w:val="48"/>
          <w:lang w:val="zh-CN"/>
        </w:rPr>
      </w:pPr>
    </w:p>
    <w:p w14:paraId="1B57C1F8">
      <w:pPr>
        <w:jc w:val="center"/>
        <w:rPr>
          <w:rFonts w:ascii="黑体" w:hAnsi="黑体" w:eastAsia="黑体"/>
          <w:kern w:val="2"/>
          <w:sz w:val="48"/>
          <w:lang w:val="zh-CN"/>
        </w:rPr>
      </w:pPr>
    </w:p>
    <w:p w14:paraId="21A1C773">
      <w:pPr>
        <w:jc w:val="center"/>
        <w:rPr>
          <w:rFonts w:ascii="黑体" w:hAnsi="黑体" w:eastAsia="黑体"/>
          <w:kern w:val="2"/>
          <w:sz w:val="48"/>
          <w:lang w:val="zh-CN"/>
        </w:rPr>
      </w:pPr>
    </w:p>
    <w:p w14:paraId="320B14D1">
      <w:pPr>
        <w:jc w:val="center"/>
        <w:rPr>
          <w:rFonts w:ascii="黑体" w:hAnsi="黑体" w:eastAsia="黑体"/>
          <w:kern w:val="2"/>
          <w:sz w:val="48"/>
          <w:lang w:val="zh-CN"/>
        </w:rPr>
      </w:pPr>
    </w:p>
    <w:p w14:paraId="19AA8B22">
      <w:pPr>
        <w:jc w:val="center"/>
        <w:rPr>
          <w:rFonts w:ascii="黑体" w:hAnsi="黑体" w:eastAsia="黑体"/>
          <w:kern w:val="2"/>
          <w:sz w:val="48"/>
          <w:lang w:val="zh-CN"/>
        </w:rPr>
      </w:pPr>
    </w:p>
    <w:p w14:paraId="7BCA3A9D">
      <w:pPr>
        <w:jc w:val="center"/>
        <w:rPr>
          <w:rFonts w:ascii="黑体" w:hAnsi="黑体" w:eastAsia="黑体"/>
          <w:kern w:val="2"/>
          <w:sz w:val="48"/>
          <w:lang w:val="zh-CN"/>
        </w:rPr>
      </w:pPr>
      <w:bookmarkStart w:id="16" w:name="_GoBack"/>
      <w:bookmarkEnd w:id="16"/>
    </w:p>
    <w:p w14:paraId="5EAF07B2">
      <w:pPr>
        <w:widowControl/>
        <w:jc w:val="center"/>
        <w:rPr>
          <w:rFonts w:ascii="黑体" w:hAnsi="黑体" w:eastAsia="黑体"/>
          <w:sz w:val="48"/>
        </w:rPr>
      </w:pPr>
      <w:r>
        <w:rPr>
          <w:rFonts w:hint="eastAsia" w:ascii="黑体" w:hAnsi="黑体" w:eastAsia="黑体"/>
          <w:sz w:val="48"/>
        </w:rPr>
        <w:t>目录</w:t>
      </w:r>
    </w:p>
    <w:p w14:paraId="4093B0B6">
      <w:pPr>
        <w:widowControl/>
        <w:jc w:val="center"/>
        <w:rPr>
          <w:rFonts w:ascii="黑体" w:hAnsi="黑体" w:eastAsia="黑体"/>
          <w:sz w:val="28"/>
          <w:szCs w:val="28"/>
        </w:rPr>
      </w:pPr>
    </w:p>
    <w:p w14:paraId="73287604">
      <w:pPr>
        <w:pStyle w:val="7"/>
        <w:rPr>
          <w:rFonts w:hint="default"/>
        </w:rPr>
      </w:pPr>
      <w:r>
        <w:t>公开时间：2023年8月2</w:t>
      </w:r>
      <w:r>
        <w:rPr>
          <w:rFonts w:hint="default"/>
        </w:rPr>
        <w:t>5</w:t>
      </w:r>
      <w:r>
        <w:t>日</w:t>
      </w:r>
    </w:p>
    <w:p w14:paraId="0E9DCC1C"/>
    <w:p w14:paraId="34FDCBAF">
      <w:pPr>
        <w:pStyle w:val="7"/>
        <w:snapToGrid w:val="0"/>
        <w:spacing w:before="0" w:line="440" w:lineRule="exact"/>
        <w:jc w:val="left"/>
        <w:rPr>
          <w:rFonts w:hint="default"/>
          <w:sz w:val="24"/>
        </w:rPr>
      </w:pPr>
      <w:r>
        <w:rPr>
          <w:sz w:val="24"/>
        </w:rPr>
        <w:t>第一部分单位概况</w:t>
      </w:r>
      <w:r>
        <w:tab/>
      </w:r>
      <w:r>
        <w:t>4-5</w:t>
      </w:r>
    </w:p>
    <w:p w14:paraId="2B143C69">
      <w:pPr>
        <w:pStyle w:val="8"/>
        <w:snapToGrid w:val="0"/>
        <w:spacing w:line="440" w:lineRule="exact"/>
        <w:ind w:left="480"/>
      </w:pPr>
      <w:r>
        <w:rPr>
          <w:rFonts w:hint="eastAsia"/>
        </w:rPr>
        <w:t>一、主要职责</w:t>
      </w:r>
      <w:r>
        <w:tab/>
      </w:r>
      <w:r>
        <w:rPr>
          <w:rFonts w:hint="eastAsia"/>
          <w:sz w:val="28"/>
        </w:rPr>
        <w:t>4-5</w:t>
      </w:r>
    </w:p>
    <w:p w14:paraId="5D8CA911">
      <w:pPr>
        <w:pStyle w:val="8"/>
        <w:snapToGrid w:val="0"/>
        <w:spacing w:line="440" w:lineRule="exact"/>
        <w:ind w:left="480"/>
      </w:pPr>
      <w:r>
        <w:rPr>
          <w:rFonts w:hint="eastAsia"/>
        </w:rPr>
        <w:t>二、机构设置</w:t>
      </w:r>
      <w:r>
        <w:tab/>
      </w:r>
      <w:r>
        <w:rPr>
          <w:rFonts w:hint="eastAsia"/>
        </w:rPr>
        <w:t>5</w:t>
      </w:r>
    </w:p>
    <w:p w14:paraId="5702DEA2">
      <w:pPr>
        <w:pStyle w:val="7"/>
        <w:snapToGrid w:val="0"/>
        <w:spacing w:before="0" w:line="440" w:lineRule="exact"/>
        <w:jc w:val="left"/>
        <w:rPr>
          <w:rFonts w:hint="default"/>
          <w:sz w:val="24"/>
        </w:rPr>
      </w:pPr>
      <w:r>
        <w:rPr>
          <w:sz w:val="24"/>
        </w:rPr>
        <w:t>第二部分 2022年度单位决算情况说明</w:t>
      </w:r>
      <w:r>
        <w:tab/>
      </w:r>
      <w:r>
        <w:t>5</w:t>
      </w:r>
    </w:p>
    <w:p w14:paraId="0B97CD0E">
      <w:pPr>
        <w:pStyle w:val="8"/>
        <w:snapToGrid w:val="0"/>
        <w:spacing w:line="440" w:lineRule="exact"/>
        <w:ind w:left="480"/>
        <w:rPr>
          <w:rFonts w:ascii="仿宋" w:hAnsi="仿宋" w:eastAsia="仿宋"/>
        </w:rPr>
      </w:pPr>
      <w:r>
        <w:rPr>
          <w:rFonts w:hint="eastAsia"/>
        </w:rPr>
        <w:t>一、收入支出决算总体情况说明</w:t>
      </w:r>
      <w:r>
        <w:tab/>
      </w:r>
      <w:r>
        <w:t>5</w:t>
      </w:r>
    </w:p>
    <w:p w14:paraId="786D8D0E">
      <w:pPr>
        <w:pStyle w:val="8"/>
        <w:snapToGrid w:val="0"/>
        <w:spacing w:line="440" w:lineRule="exact"/>
        <w:ind w:left="480"/>
        <w:rPr>
          <w:rFonts w:ascii="仿宋" w:hAnsi="仿宋"/>
        </w:rPr>
      </w:pPr>
      <w:r>
        <w:rPr>
          <w:rFonts w:hint="eastAsia"/>
        </w:rPr>
        <w:t>二、收入决算情况说明</w:t>
      </w:r>
      <w:r>
        <w:tab/>
      </w:r>
      <w:r>
        <w:rPr>
          <w:rFonts w:hint="eastAsia"/>
        </w:rPr>
        <w:t>6</w:t>
      </w:r>
    </w:p>
    <w:p w14:paraId="5730F4B8">
      <w:pPr>
        <w:pStyle w:val="8"/>
        <w:snapToGrid w:val="0"/>
        <w:spacing w:line="440" w:lineRule="exact"/>
        <w:ind w:left="480"/>
        <w:rPr>
          <w:rFonts w:ascii="仿宋" w:hAnsi="仿宋"/>
        </w:rPr>
      </w:pPr>
      <w:r>
        <w:rPr>
          <w:rFonts w:hint="eastAsia"/>
        </w:rPr>
        <w:t>三、支出决算情况说明</w:t>
      </w:r>
      <w:r>
        <w:tab/>
      </w:r>
      <w:r>
        <w:rPr>
          <w:rFonts w:hint="eastAsia"/>
        </w:rPr>
        <w:t>7</w:t>
      </w:r>
    </w:p>
    <w:p w14:paraId="1A81C76D">
      <w:pPr>
        <w:pStyle w:val="8"/>
        <w:snapToGrid w:val="0"/>
        <w:spacing w:line="440" w:lineRule="exact"/>
        <w:ind w:left="480"/>
        <w:rPr>
          <w:rFonts w:ascii="仿宋" w:hAnsi="仿宋"/>
        </w:rPr>
      </w:pPr>
      <w:r>
        <w:rPr>
          <w:rFonts w:hint="eastAsia"/>
        </w:rPr>
        <w:t>四、财政拨款收入支出决算总体情况说明</w:t>
      </w:r>
      <w:r>
        <w:tab/>
      </w:r>
      <w:r>
        <w:rPr>
          <w:rFonts w:hint="eastAsia"/>
        </w:rPr>
        <w:t>8</w:t>
      </w:r>
    </w:p>
    <w:p w14:paraId="4359A248">
      <w:pPr>
        <w:pStyle w:val="8"/>
        <w:snapToGrid w:val="0"/>
        <w:spacing w:line="440" w:lineRule="exact"/>
        <w:ind w:left="480"/>
        <w:rPr>
          <w:rFonts w:ascii="仿宋" w:hAnsi="仿宋"/>
        </w:rPr>
      </w:pPr>
      <w:r>
        <w:rPr>
          <w:rFonts w:hint="eastAsia"/>
        </w:rPr>
        <w:t>五、一般公共预算财政拨款支出决算情况说明</w:t>
      </w:r>
      <w:r>
        <w:tab/>
      </w:r>
      <w:r>
        <w:t>8</w:t>
      </w:r>
      <w:r>
        <w:rPr>
          <w:rFonts w:hint="eastAsia"/>
        </w:rPr>
        <w:t>-9</w:t>
      </w:r>
    </w:p>
    <w:p w14:paraId="4CE3979D">
      <w:pPr>
        <w:pStyle w:val="8"/>
        <w:snapToGrid w:val="0"/>
        <w:spacing w:line="440" w:lineRule="exact"/>
        <w:ind w:left="480"/>
        <w:rPr>
          <w:rFonts w:ascii="仿宋" w:hAnsi="仿宋"/>
        </w:rPr>
      </w:pPr>
      <w:r>
        <w:rPr>
          <w:rFonts w:hint="eastAsia"/>
        </w:rPr>
        <w:t>六、一般公共预算财政拨款基本支出决算情况说明</w:t>
      </w:r>
      <w:r>
        <w:tab/>
      </w:r>
      <w:r>
        <w:t>9</w:t>
      </w:r>
      <w:r>
        <w:rPr>
          <w:rFonts w:hint="eastAsia"/>
        </w:rPr>
        <w:t>-10</w:t>
      </w:r>
    </w:p>
    <w:p w14:paraId="6765862D">
      <w:pPr>
        <w:pStyle w:val="8"/>
        <w:snapToGrid w:val="0"/>
        <w:spacing w:line="440" w:lineRule="exact"/>
        <w:ind w:left="480"/>
        <w:rPr>
          <w:rFonts w:ascii="仿宋" w:hAnsi="仿宋"/>
        </w:rPr>
      </w:pPr>
      <w:r>
        <w:rPr>
          <w:rFonts w:hint="eastAsia"/>
        </w:rPr>
        <w:t>七、财政拨款“三公”经费支出决算情况说明</w:t>
      </w:r>
      <w:r>
        <w:tab/>
      </w:r>
      <w:r>
        <w:t>10</w:t>
      </w:r>
      <w:r>
        <w:rPr>
          <w:rFonts w:hint="eastAsia"/>
        </w:rPr>
        <w:t>-11</w:t>
      </w:r>
    </w:p>
    <w:p w14:paraId="7BF23F8E">
      <w:pPr>
        <w:pStyle w:val="8"/>
        <w:snapToGrid w:val="0"/>
        <w:spacing w:line="440" w:lineRule="exact"/>
        <w:ind w:left="480"/>
        <w:rPr>
          <w:rFonts w:ascii="仿宋" w:hAnsi="仿宋"/>
        </w:rPr>
      </w:pPr>
      <w:r>
        <w:rPr>
          <w:rFonts w:hint="eastAsia"/>
        </w:rPr>
        <w:t>八、政府性基金预算支出决算情况说明</w:t>
      </w:r>
      <w:r>
        <w:tab/>
      </w:r>
      <w:r>
        <w:t>1</w:t>
      </w:r>
      <w:r>
        <w:rPr>
          <w:rFonts w:hint="eastAsia"/>
        </w:rPr>
        <w:t>1-12</w:t>
      </w:r>
    </w:p>
    <w:p w14:paraId="77BF095F">
      <w:pPr>
        <w:pStyle w:val="8"/>
        <w:snapToGrid w:val="0"/>
        <w:spacing w:line="440" w:lineRule="exact"/>
        <w:ind w:left="480"/>
      </w:pPr>
      <w:r>
        <w:rPr>
          <w:rFonts w:hint="eastAsia"/>
        </w:rPr>
        <w:t>九、国有资本经营预算支出决算情况说明</w:t>
      </w:r>
      <w:r>
        <w:tab/>
      </w:r>
      <w:r>
        <w:t>10</w:t>
      </w:r>
    </w:p>
    <w:p w14:paraId="3F0EADA5">
      <w:pPr>
        <w:pStyle w:val="8"/>
        <w:snapToGrid w:val="0"/>
        <w:spacing w:line="440" w:lineRule="exact"/>
        <w:ind w:left="480"/>
      </w:pPr>
      <w:r>
        <w:rPr>
          <w:rFonts w:hint="eastAsia"/>
        </w:rPr>
        <w:t>十、其他重要事项的情况说明</w:t>
      </w:r>
      <w:r>
        <w:tab/>
      </w:r>
      <w:r>
        <w:t>11</w:t>
      </w:r>
    </w:p>
    <w:p w14:paraId="6276E665">
      <w:pPr>
        <w:pStyle w:val="7"/>
        <w:snapToGrid w:val="0"/>
        <w:spacing w:before="0" w:line="440" w:lineRule="exact"/>
        <w:jc w:val="left"/>
        <w:rPr>
          <w:rFonts w:hint="default"/>
          <w:sz w:val="24"/>
        </w:rPr>
      </w:pPr>
      <w:r>
        <w:rPr>
          <w:sz w:val="24"/>
        </w:rPr>
        <w:t>第三部分名词解释</w:t>
      </w:r>
      <w:r>
        <w:tab/>
      </w:r>
      <w:r>
        <w:t>12-14</w:t>
      </w:r>
    </w:p>
    <w:p w14:paraId="263880D4">
      <w:pPr>
        <w:pStyle w:val="7"/>
        <w:snapToGrid w:val="0"/>
        <w:spacing w:before="0" w:line="440" w:lineRule="exact"/>
        <w:jc w:val="left"/>
        <w:rPr>
          <w:rFonts w:hint="default"/>
          <w:sz w:val="24"/>
        </w:rPr>
      </w:pPr>
      <w:r>
        <w:rPr>
          <w:sz w:val="24"/>
        </w:rPr>
        <w:t>第四部分附件</w:t>
      </w:r>
      <w:r>
        <w:tab/>
      </w:r>
      <w:r>
        <w:t>14-21</w:t>
      </w:r>
    </w:p>
    <w:p w14:paraId="2E27420B">
      <w:pPr>
        <w:pStyle w:val="7"/>
        <w:snapToGrid w:val="0"/>
        <w:spacing w:before="0" w:line="440" w:lineRule="exact"/>
        <w:jc w:val="left"/>
        <w:rPr>
          <w:rFonts w:hint="default"/>
          <w:sz w:val="24"/>
        </w:rPr>
      </w:pPr>
      <w:r>
        <w:rPr>
          <w:sz w:val="24"/>
        </w:rPr>
        <w:t>第五部分附表</w:t>
      </w:r>
      <w:r>
        <w:tab/>
      </w:r>
      <w:r>
        <w:t>22</w:t>
      </w:r>
    </w:p>
    <w:p w14:paraId="31AECD2B">
      <w:pPr>
        <w:pStyle w:val="8"/>
        <w:snapToGrid w:val="0"/>
        <w:spacing w:line="440" w:lineRule="exact"/>
        <w:ind w:left="480"/>
      </w:pPr>
      <w:r>
        <w:rPr>
          <w:rFonts w:hint="eastAsia"/>
        </w:rPr>
        <w:t>一、收入支出决算总表</w:t>
      </w:r>
    </w:p>
    <w:p w14:paraId="40F9110D">
      <w:pPr>
        <w:pStyle w:val="8"/>
        <w:snapToGrid w:val="0"/>
        <w:spacing w:line="440" w:lineRule="exact"/>
        <w:ind w:left="480"/>
      </w:pPr>
      <w:r>
        <w:rPr>
          <w:rFonts w:hint="eastAsia"/>
        </w:rPr>
        <w:t>二、收入决算表</w:t>
      </w:r>
    </w:p>
    <w:p w14:paraId="7B414E9A">
      <w:pPr>
        <w:pStyle w:val="8"/>
        <w:snapToGrid w:val="0"/>
        <w:spacing w:line="440" w:lineRule="exact"/>
        <w:ind w:left="480"/>
      </w:pPr>
      <w:r>
        <w:rPr>
          <w:rFonts w:hint="eastAsia"/>
        </w:rPr>
        <w:t>三、支出决算表</w:t>
      </w:r>
    </w:p>
    <w:p w14:paraId="1E234F6E">
      <w:pPr>
        <w:pStyle w:val="8"/>
        <w:snapToGrid w:val="0"/>
        <w:spacing w:line="440" w:lineRule="exact"/>
        <w:ind w:left="480"/>
      </w:pPr>
      <w:r>
        <w:rPr>
          <w:rFonts w:hint="eastAsia"/>
        </w:rPr>
        <w:t>四、财政拨款收入支出决算总表</w:t>
      </w:r>
    </w:p>
    <w:p w14:paraId="0708863F">
      <w:pPr>
        <w:pStyle w:val="8"/>
        <w:snapToGrid w:val="0"/>
        <w:spacing w:line="440" w:lineRule="exact"/>
        <w:ind w:left="480"/>
      </w:pPr>
      <w:r>
        <w:rPr>
          <w:rFonts w:hint="eastAsia"/>
        </w:rPr>
        <w:t>五、财政拨款支出决算明细表</w:t>
      </w:r>
    </w:p>
    <w:p w14:paraId="2133CFAE">
      <w:pPr>
        <w:pStyle w:val="8"/>
        <w:snapToGrid w:val="0"/>
        <w:spacing w:line="440" w:lineRule="exact"/>
        <w:ind w:left="480"/>
      </w:pPr>
      <w:r>
        <w:rPr>
          <w:rFonts w:hint="eastAsia"/>
        </w:rPr>
        <w:t>六、一般公共预算财政拨款支出决算表</w:t>
      </w:r>
    </w:p>
    <w:p w14:paraId="6A5CFD04">
      <w:pPr>
        <w:pStyle w:val="8"/>
        <w:snapToGrid w:val="0"/>
        <w:spacing w:line="440" w:lineRule="exact"/>
        <w:ind w:left="480"/>
      </w:pPr>
      <w:r>
        <w:rPr>
          <w:rFonts w:hint="eastAsia"/>
        </w:rPr>
        <w:t>七、一般公共预算财政拨款支出决算明细表</w:t>
      </w:r>
    </w:p>
    <w:p w14:paraId="29DB90E9">
      <w:pPr>
        <w:pStyle w:val="8"/>
        <w:snapToGrid w:val="0"/>
        <w:spacing w:line="440" w:lineRule="exact"/>
        <w:ind w:left="480"/>
      </w:pPr>
      <w:r>
        <w:rPr>
          <w:rFonts w:hint="eastAsia"/>
        </w:rPr>
        <w:t>八、一般公共预算财政拨款基本支出决算明细表</w:t>
      </w:r>
    </w:p>
    <w:p w14:paraId="775FAB50">
      <w:pPr>
        <w:pStyle w:val="8"/>
        <w:snapToGrid w:val="0"/>
        <w:spacing w:line="440" w:lineRule="exact"/>
        <w:ind w:left="480"/>
      </w:pPr>
      <w:r>
        <w:rPr>
          <w:rFonts w:hint="eastAsia"/>
        </w:rPr>
        <w:t>九、一般公共预算财政拨款项目支出决算表</w:t>
      </w:r>
    </w:p>
    <w:p w14:paraId="332F31CA">
      <w:pPr>
        <w:pStyle w:val="8"/>
        <w:snapToGrid w:val="0"/>
        <w:spacing w:line="440" w:lineRule="exact"/>
        <w:ind w:left="480"/>
      </w:pPr>
      <w:r>
        <w:rPr>
          <w:rFonts w:hint="eastAsia"/>
        </w:rPr>
        <w:t>十、政府性基金预算财政拨款收入支出决算表</w:t>
      </w:r>
    </w:p>
    <w:p w14:paraId="21309EAA">
      <w:pPr>
        <w:pStyle w:val="8"/>
        <w:snapToGrid w:val="0"/>
        <w:spacing w:line="440" w:lineRule="exact"/>
        <w:ind w:left="480"/>
      </w:pPr>
      <w:r>
        <w:rPr>
          <w:rFonts w:hint="eastAsia"/>
        </w:rPr>
        <w:t>十一、国有资本经营预算财政拨款收入支出决算表</w:t>
      </w:r>
    </w:p>
    <w:p w14:paraId="18C66F19">
      <w:pPr>
        <w:pStyle w:val="8"/>
        <w:snapToGrid w:val="0"/>
        <w:spacing w:line="440" w:lineRule="exact"/>
        <w:ind w:left="480"/>
      </w:pPr>
      <w:r>
        <w:rPr>
          <w:rFonts w:hint="eastAsia"/>
        </w:rPr>
        <w:t>十二、国有资本经营预算财政拨款支出决算表</w:t>
      </w:r>
    </w:p>
    <w:p w14:paraId="0EE1078C">
      <w:pPr>
        <w:pStyle w:val="8"/>
        <w:snapToGrid w:val="0"/>
        <w:spacing w:line="440" w:lineRule="exact"/>
        <w:ind w:left="480"/>
      </w:pPr>
      <w:r>
        <w:rPr>
          <w:rFonts w:hint="eastAsia"/>
        </w:rPr>
        <w:t>十三、财政拨款“三公”经费支出决算表</w:t>
      </w:r>
    </w:p>
    <w:p w14:paraId="574A21B7">
      <w:pPr>
        <w:widowControl/>
        <w:spacing w:line="440" w:lineRule="exact"/>
        <w:rPr>
          <w:rFonts w:ascii="仿宋" w:hAnsi="仿宋" w:eastAsia="仿宋"/>
          <w:kern w:val="44"/>
        </w:rPr>
      </w:pPr>
      <w:r>
        <w:rPr>
          <w:rFonts w:hint="eastAsia" w:ascii="仿宋" w:hAnsi="仿宋" w:eastAsia="仿宋"/>
          <w:b/>
        </w:rPr>
        <w:br w:type="page"/>
      </w:r>
    </w:p>
    <w:p w14:paraId="58B9879A">
      <w:pPr>
        <w:spacing w:line="440" w:lineRule="exact"/>
        <w:ind w:firstLine="2640" w:firstLineChars="600"/>
        <w:rPr>
          <w:rFonts w:ascii="黑体" w:hAnsi="黑体" w:eastAsia="黑体"/>
          <w:b/>
          <w:kern w:val="44"/>
          <w:sz w:val="44"/>
          <w:lang w:val="zh-CN"/>
        </w:rPr>
      </w:pPr>
      <w:r>
        <w:rPr>
          <w:rFonts w:hint="eastAsia" w:ascii="黑体" w:hAnsi="黑体" w:eastAsia="黑体"/>
          <w:kern w:val="44"/>
          <w:sz w:val="44"/>
          <w:lang w:val="zh-CN"/>
        </w:rPr>
        <w:t>第一部分 单位概况</w:t>
      </w:r>
    </w:p>
    <w:p w14:paraId="15701EF1">
      <w:pPr>
        <w:widowControl/>
        <w:rPr>
          <w:rFonts w:ascii="黑体" w:eastAsia="黑体"/>
          <w:sz w:val="32"/>
        </w:rPr>
      </w:pPr>
    </w:p>
    <w:p w14:paraId="197412E2">
      <w:pPr>
        <w:pStyle w:val="4"/>
        <w:numPr>
          <w:ilvl w:val="0"/>
          <w:numId w:val="1"/>
        </w:numPr>
        <w:rPr>
          <w:rFonts w:ascii="仿宋" w:hAnsi="仿宋" w:eastAsia="仿宋"/>
          <w:sz w:val="32"/>
        </w:rPr>
      </w:pPr>
      <w:bookmarkStart w:id="0" w:name="_Toc15377197"/>
      <w:bookmarkStart w:id="1" w:name="_Toc15396600"/>
      <w:r>
        <w:rPr>
          <w:rStyle w:val="14"/>
          <w:rFonts w:hint="eastAsia" w:ascii="黑体" w:hAnsi="黑体" w:eastAsia="黑体"/>
          <w:sz w:val="32"/>
        </w:rPr>
        <w:t>职能简介</w:t>
      </w:r>
    </w:p>
    <w:p w14:paraId="01DBA0DC">
      <w:pPr>
        <w:pStyle w:val="4"/>
        <w:rPr>
          <w:rFonts w:ascii="仿宋" w:hAnsi="仿宋" w:eastAsia="仿宋"/>
          <w:sz w:val="32"/>
        </w:rPr>
      </w:pPr>
      <w:r>
        <w:rPr>
          <w:rFonts w:hint="eastAsia" w:ascii="仿宋" w:hAnsi="仿宋" w:eastAsia="仿宋"/>
          <w:sz w:val="32"/>
        </w:rPr>
        <w:t>主要职能：</w:t>
      </w:r>
    </w:p>
    <w:p w14:paraId="67BA1D5C">
      <w:pPr>
        <w:snapToGrid w:val="0"/>
        <w:spacing w:line="520" w:lineRule="exact"/>
        <w:ind w:firstLine="640" w:firstLineChars="200"/>
        <w:rPr>
          <w:rFonts w:ascii="仿宋" w:hAnsi="仿宋" w:eastAsia="仿宋"/>
          <w:sz w:val="32"/>
        </w:rPr>
      </w:pPr>
      <w:r>
        <w:rPr>
          <w:rFonts w:hint="eastAsia" w:ascii="仿宋" w:hAnsi="仿宋" w:eastAsia="仿宋"/>
          <w:sz w:val="32"/>
        </w:rPr>
        <w:t>贯彻执行国家、省、市、区有关教育工作方面的方针、政策和法律法规，实施小学义务教育，促进基础教育发展，负责本辖区内适龄儿童的小学学历教育及相关社会服务。</w:t>
      </w:r>
    </w:p>
    <w:p w14:paraId="564ED982"/>
    <w:p w14:paraId="4E99D1FA">
      <w:pPr>
        <w:pStyle w:val="4"/>
        <w:rPr>
          <w:rFonts w:ascii="黑体" w:hAnsi="黑体" w:eastAsia="黑体"/>
          <w:sz w:val="28"/>
        </w:rPr>
      </w:pPr>
      <w:r>
        <w:rPr>
          <w:rFonts w:hint="eastAsia" w:ascii="黑体" w:hAnsi="黑体" w:eastAsia="黑体"/>
          <w:sz w:val="28"/>
        </w:rPr>
        <w:t>二、2022年重点工作</w:t>
      </w:r>
      <w:bookmarkEnd w:id="0"/>
      <w:bookmarkEnd w:id="1"/>
      <w:r>
        <w:rPr>
          <w:rFonts w:hint="eastAsia" w:ascii="黑体" w:hAnsi="黑体" w:eastAsia="黑体"/>
          <w:sz w:val="28"/>
        </w:rPr>
        <w:t>完成情况</w:t>
      </w:r>
    </w:p>
    <w:p w14:paraId="5B8C1E9E">
      <w:pPr>
        <w:numPr>
          <w:ilvl w:val="0"/>
          <w:numId w:val="2"/>
        </w:numPr>
        <w:spacing w:line="576" w:lineRule="exact"/>
        <w:ind w:firstLine="643" w:firstLineChars="200"/>
        <w:rPr>
          <w:rFonts w:ascii="仿宋" w:hAnsi="仿宋" w:eastAsia="仿宋"/>
          <w:sz w:val="32"/>
        </w:rPr>
      </w:pPr>
      <w:r>
        <w:rPr>
          <w:rFonts w:hint="eastAsia" w:ascii="楷体" w:hAnsi="楷体" w:eastAsia="楷体" w:cs="楷体"/>
          <w:b/>
          <w:color w:val="000000"/>
          <w:sz w:val="32"/>
          <w:szCs w:val="32"/>
        </w:rPr>
        <w:t>育人质量书写新辉煌。</w:t>
      </w:r>
      <w:r>
        <w:rPr>
          <w:rFonts w:hint="eastAsia" w:ascii="仿宋" w:hAnsi="仿宋" w:eastAsia="仿宋"/>
          <w:sz w:val="32"/>
        </w:rPr>
        <w:t>一是教育教学排名全区同内学校前列。二是科技创新教育取得重大突破，获区教体局“德育工作先进集体”，获区教体局“安全工作先进集体”，获区教体局“信息报送工作先进集体”，获区教体局“师培工作先进集体”，获区教体局“教育资助工作先进集体”，获区教体局“教研工作先进集体”。</w:t>
      </w:r>
    </w:p>
    <w:p w14:paraId="7A4904A2">
      <w:pPr>
        <w:spacing w:line="576" w:lineRule="exact"/>
        <w:ind w:firstLine="643" w:firstLineChars="200"/>
        <w:rPr>
          <w:rFonts w:eastAsia="Times New Roman"/>
          <w:color w:val="000000"/>
          <w:sz w:val="32"/>
        </w:rPr>
      </w:pPr>
      <w:r>
        <w:rPr>
          <w:rFonts w:hint="eastAsia" w:ascii="楷体" w:hAnsi="楷体" w:eastAsia="楷体" w:cs="楷体"/>
          <w:b/>
          <w:color w:val="000000"/>
          <w:sz w:val="32"/>
          <w:szCs w:val="32"/>
        </w:rPr>
        <w:t>2.教育管理实现新突破。</w:t>
      </w:r>
      <w:r>
        <w:rPr>
          <w:rFonts w:hint="eastAsia" w:ascii="仿宋" w:hAnsi="仿宋" w:eastAsia="仿宋"/>
          <w:sz w:val="32"/>
        </w:rPr>
        <w:t>一是规范和加快小学教育发展，圆满完成上级下达的教育教学改革攻坚目标任务。二是创新教学机制，开辟优质教育资源移植、合成、再生，推动教育教学质量整体提高，促进学生全面发展。参与教育质量共同体1个、与安居三小、东禅小学等学校组成兄弟学校共同组织教学教研工作，实现“问题清单、责任清单、整改清单”三单制工作闭环。四是深化人事制度改革，培训干部教师30余人次，培养新教师3人、区优秀班主任各1名，区优秀教师1名。</w:t>
      </w:r>
    </w:p>
    <w:p w14:paraId="4A35F319">
      <w:pPr>
        <w:spacing w:line="576" w:lineRule="exact"/>
        <w:ind w:firstLine="640" w:firstLineChars="200"/>
        <w:rPr>
          <w:rFonts w:eastAsia="Times New Roman"/>
          <w:color w:val="000000"/>
          <w:sz w:val="32"/>
        </w:rPr>
      </w:pPr>
      <w:r>
        <w:rPr>
          <w:rFonts w:hint="eastAsia" w:eastAsia="仿宋_GB2312"/>
          <w:color w:val="000000"/>
          <w:sz w:val="32"/>
        </w:rPr>
        <w:t>3.</w:t>
      </w:r>
      <w:r>
        <w:rPr>
          <w:rFonts w:hint="eastAsia" w:ascii="楷体" w:hAnsi="楷体" w:eastAsia="楷体" w:cs="楷体"/>
          <w:b/>
          <w:color w:val="000000"/>
          <w:sz w:val="32"/>
          <w:szCs w:val="32"/>
        </w:rPr>
        <w:t>教育扶贫开启新篇章。</w:t>
      </w:r>
      <w:r>
        <w:rPr>
          <w:rFonts w:hint="eastAsia" w:ascii="仿宋" w:hAnsi="仿宋" w:eastAsia="仿宋"/>
          <w:sz w:val="32"/>
        </w:rPr>
        <w:t>一是资助覆盖面持续扩大，全年资助学生118人次、7.2万余元；发放教育扶贫救助基金72人次、3.6万余元，同比增加4人次、0.2万元；落实“扶贫日”捐赠0.3万元，连续3年实现增长。二是强化控辍保学举措，适龄残疾儿童入学率达100%，劝返稳控重点学生2人，圆满实现“零辍学”目标，教育扶贫专项考核连续5年未扣分。</w:t>
      </w:r>
    </w:p>
    <w:p w14:paraId="094C0D40">
      <w:pPr>
        <w:spacing w:line="576" w:lineRule="exact"/>
        <w:ind w:firstLine="643" w:firstLineChars="200"/>
        <w:rPr>
          <w:rFonts w:eastAsia="Times New Roman"/>
          <w:color w:val="000000"/>
          <w:sz w:val="32"/>
        </w:rPr>
      </w:pPr>
      <w:r>
        <w:rPr>
          <w:rFonts w:hint="eastAsia" w:ascii="楷体" w:hAnsi="楷体" w:eastAsia="楷体" w:cs="楷体"/>
          <w:b/>
          <w:color w:val="000000"/>
          <w:sz w:val="32"/>
          <w:szCs w:val="32"/>
        </w:rPr>
        <w:t>4.服务条件取得新改善。</w:t>
      </w:r>
      <w:r>
        <w:rPr>
          <w:rFonts w:hint="eastAsia" w:ascii="仿宋" w:hAnsi="仿宋" w:eastAsia="仿宋"/>
          <w:sz w:val="32"/>
        </w:rPr>
        <w:t>一是育人条件持续改善，投入资金16万元，完成校舍维修改造项目，二是体育惠民落实落地，组织开展</w:t>
      </w:r>
      <w:r>
        <w:rPr>
          <w:rFonts w:hint="eastAsia" w:ascii="仿宋" w:hAnsi="仿宋" w:eastAsia="仿宋"/>
          <w:sz w:val="32"/>
          <w:lang w:eastAsia="zh-CN"/>
        </w:rPr>
        <w:t>篮球比赛</w:t>
      </w:r>
      <w:r>
        <w:rPr>
          <w:rFonts w:hint="eastAsia" w:ascii="仿宋" w:hAnsi="仿宋" w:eastAsia="仿宋"/>
          <w:sz w:val="32"/>
        </w:rPr>
        <w:t>等体育赛事活动3次，参与国家三级社会体育指导员培训、夏令营等惠民活动2次，与当地村民举办各种比赛，得到市区领导组充分认可。</w:t>
      </w:r>
    </w:p>
    <w:p w14:paraId="53FA5C8C">
      <w:pPr>
        <w:spacing w:line="576" w:lineRule="exact"/>
        <w:ind w:firstLine="640" w:firstLineChars="200"/>
        <w:rPr>
          <w:rFonts w:eastAsia="Times New Roman"/>
          <w:color w:val="000000"/>
          <w:sz w:val="32"/>
        </w:rPr>
      </w:pPr>
      <w:r>
        <w:rPr>
          <w:rFonts w:hint="eastAsia" w:ascii="仿宋" w:hAnsi="仿宋" w:eastAsia="仿宋"/>
          <w:sz w:val="32"/>
        </w:rPr>
        <w:t>5.</w:t>
      </w:r>
      <w:r>
        <w:rPr>
          <w:rFonts w:hint="eastAsia" w:ascii="楷体" w:hAnsi="楷体" w:eastAsia="楷体" w:cs="楷体"/>
          <w:b/>
          <w:color w:val="000000"/>
          <w:sz w:val="32"/>
          <w:szCs w:val="32"/>
        </w:rPr>
        <w:t>疫情防控取得明显成效。</w:t>
      </w:r>
      <w:r>
        <w:rPr>
          <w:rFonts w:hint="eastAsia" w:ascii="仿宋" w:hAnsi="仿宋" w:eastAsia="仿宋"/>
          <w:sz w:val="32"/>
        </w:rPr>
        <w:t>一是精准防控“零感染”。严把校园入口关、健康监测关，建立台账20本，落实卫生工作人员4名，切实做到师生员工“零感染”，得到上级主要领导认可。二是育人秩序“全恢复”。执行了《线下教学》《春季开学复课“十个一”》《开学复课流程图》等指导性文件，创新线上教学模式，健全线下辅导机制，常态化实行健康分类动态管理、校园划区划片管理和教学活动“分级分段、错时错峰”管理，教育教学秩序全面恢复正常。</w:t>
      </w:r>
    </w:p>
    <w:p w14:paraId="7156965F">
      <w:pPr>
        <w:spacing w:line="576" w:lineRule="exact"/>
        <w:ind w:firstLine="640" w:firstLineChars="200"/>
        <w:rPr>
          <w:rFonts w:ascii="仿宋" w:hAnsi="仿宋" w:eastAsia="仿宋"/>
          <w:sz w:val="32"/>
        </w:rPr>
      </w:pPr>
      <w:r>
        <w:rPr>
          <w:rFonts w:hint="eastAsia" w:eastAsia="仿宋_GB2312"/>
          <w:color w:val="000000"/>
          <w:sz w:val="32"/>
        </w:rPr>
        <w:t>6.</w:t>
      </w:r>
      <w:r>
        <w:rPr>
          <w:rFonts w:hint="eastAsia" w:ascii="楷体" w:hAnsi="楷体" w:eastAsia="楷体" w:cs="楷体"/>
          <w:b/>
          <w:color w:val="000000"/>
          <w:sz w:val="32"/>
          <w:szCs w:val="32"/>
        </w:rPr>
        <w:t>安全稳定取得新成效。</w:t>
      </w:r>
      <w:r>
        <w:rPr>
          <w:rFonts w:hint="eastAsia" w:ascii="仿宋" w:hAnsi="仿宋" w:eastAsia="仿宋"/>
          <w:sz w:val="32"/>
        </w:rPr>
        <w:t>一是健全网络舆情应对机制，二是健全信访维稳工作机制，三是开展学校禁毒教育，建立禁毒教育示范班，四是狠抓防溺水教育管理。五是加强开展食堂食品安全专项教育，基本实现食品来源可追溯、去向可查证、责任可追究。</w:t>
      </w:r>
    </w:p>
    <w:p w14:paraId="6BE912A9">
      <w:pPr>
        <w:pStyle w:val="2"/>
        <w:spacing w:before="72"/>
        <w:rPr>
          <w:rFonts w:hint="default" w:ascii="黑体" w:hAnsi="黑体" w:eastAsia="黑体" w:cs="黑体"/>
          <w:b/>
        </w:rPr>
      </w:pPr>
      <w:r>
        <w:rPr>
          <w:rFonts w:ascii="黑体" w:hAnsi="黑体" w:eastAsia="黑体" w:cs="黑体"/>
          <w:b/>
        </w:rPr>
        <w:t>三、机构设置</w:t>
      </w:r>
    </w:p>
    <w:p w14:paraId="2CDA8602">
      <w:pPr>
        <w:ind w:firstLine="800" w:firstLineChars="250"/>
        <w:rPr>
          <w:rFonts w:ascii="仿宋" w:hAnsi="仿宋" w:eastAsia="仿宋"/>
          <w:sz w:val="32"/>
        </w:rPr>
      </w:pPr>
      <w:r>
        <w:rPr>
          <w:rFonts w:hint="eastAsia" w:ascii="仿宋" w:hAnsi="仿宋" w:eastAsia="仿宋"/>
          <w:sz w:val="32"/>
        </w:rPr>
        <w:t>遂宁市安居区白马镇平宁小学校属于公益一类事业单位，无下属二级预算单位。学校的主管部门为四川省遂宁市安居区教育和体育局。</w:t>
      </w:r>
    </w:p>
    <w:p w14:paraId="3E694AAF">
      <w:pPr>
        <w:pStyle w:val="3"/>
        <w:keepNext/>
        <w:keepLines/>
        <w:spacing w:before="340" w:after="330" w:line="576" w:lineRule="exact"/>
        <w:ind w:right="442" w:firstLine="880"/>
        <w:jc w:val="center"/>
        <w:rPr>
          <w:rFonts w:eastAsia="Times New Roman"/>
          <w:b/>
          <w:kern w:val="44"/>
          <w:sz w:val="44"/>
          <w:lang w:val="zh-CN"/>
        </w:rPr>
      </w:pPr>
      <w:r>
        <w:rPr>
          <w:rFonts w:hint="eastAsia" w:ascii="黑体" w:hAnsi="黑体" w:eastAsia="黑体"/>
          <w:color w:val="000000"/>
          <w:kern w:val="44"/>
          <w:sz w:val="44"/>
          <w:lang w:val="zh-CN"/>
        </w:rPr>
        <w:t>第二部分</w:t>
      </w:r>
      <w:r>
        <w:rPr>
          <w:rFonts w:hint="eastAsia" w:ascii="黑体" w:hAnsi="黑体" w:eastAsia="黑体"/>
          <w:b/>
          <w:color w:val="000000"/>
          <w:kern w:val="44"/>
          <w:sz w:val="44"/>
          <w:lang w:val="zh-CN"/>
        </w:rPr>
        <w:t xml:space="preserve"> </w:t>
      </w:r>
      <w:r>
        <w:rPr>
          <w:rFonts w:hint="eastAsia" w:ascii="黑体" w:hAnsi="黑体" w:eastAsia="黑体"/>
          <w:kern w:val="44"/>
          <w:sz w:val="44"/>
          <w:lang w:val="zh-CN"/>
        </w:rPr>
        <w:t>2022年度单位决算情况说明</w:t>
      </w:r>
    </w:p>
    <w:p w14:paraId="6D163333">
      <w:pPr>
        <w:keepNext/>
        <w:keepLines/>
        <w:spacing w:line="576" w:lineRule="exact"/>
        <w:jc w:val="both"/>
        <w:rPr>
          <w:rFonts w:ascii="黑体" w:hAnsi="黑体" w:eastAsia="黑体"/>
          <w:kern w:val="2"/>
          <w:sz w:val="32"/>
          <w:lang w:val="zh-CN"/>
        </w:rPr>
      </w:pPr>
      <w:r>
        <w:rPr>
          <w:rFonts w:hint="eastAsia" w:ascii="黑体" w:hAnsi="黑体" w:eastAsia="黑体"/>
          <w:color w:val="000000"/>
          <w:kern w:val="2"/>
          <w:sz w:val="32"/>
          <w:lang w:val="zh-CN"/>
        </w:rPr>
        <w:t xml:space="preserve">    一、收</w:t>
      </w:r>
      <w:r>
        <w:rPr>
          <w:rFonts w:hint="eastAsia" w:ascii="黑体" w:hAnsi="黑体" w:eastAsia="黑体"/>
          <w:kern w:val="2"/>
          <w:sz w:val="32"/>
          <w:lang w:val="zh-CN"/>
        </w:rPr>
        <w:t>入支出决算总体情况说明</w:t>
      </w:r>
    </w:p>
    <w:p w14:paraId="37AC8130">
      <w:pPr>
        <w:keepNext/>
        <w:keepLines/>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2022年度收、支总计436.96万元。与2021年相比，收、支总计各增加10.54万元，增长2.5%。主要变动原因是</w:t>
      </w:r>
      <w:r>
        <w:rPr>
          <w:rFonts w:hint="eastAsia" w:ascii="仿宋" w:hAnsi="仿宋" w:eastAsia="仿宋"/>
          <w:color w:val="000000"/>
          <w:sz w:val="32"/>
        </w:rPr>
        <w:t>政策性调资，人员经费增加，教师退休等</w:t>
      </w:r>
      <w:r>
        <w:rPr>
          <w:rFonts w:hint="eastAsia" w:ascii="仿宋_GB2312" w:hAnsi="仿宋_GB2312" w:eastAsia="仿宋_GB2312"/>
          <w:color w:val="000000"/>
          <w:kern w:val="2"/>
          <w:sz w:val="32"/>
          <w:lang w:val="zh-CN"/>
        </w:rPr>
        <w:t>。</w:t>
      </w:r>
    </w:p>
    <w:p w14:paraId="686E877C">
      <w:pPr>
        <w:spacing w:line="600" w:lineRule="exact"/>
        <w:ind w:firstLine="640"/>
        <w:jc w:val="both"/>
        <w:rPr>
          <w:rFonts w:ascii="仿宋" w:hAnsi="仿宋" w:eastAsia="仿宋"/>
          <w:kern w:val="2"/>
          <w:sz w:val="32"/>
        </w:rPr>
      </w:pPr>
      <w:r>
        <w:drawing>
          <wp:anchor distT="0" distB="0" distL="114300" distR="114300" simplePos="0" relativeHeight="251659264" behindDoc="0" locked="0" layoutInCell="1" allowOverlap="1">
            <wp:simplePos x="0" y="0"/>
            <wp:positionH relativeFrom="column">
              <wp:posOffset>63500</wp:posOffset>
            </wp:positionH>
            <wp:positionV relativeFrom="paragraph">
              <wp:posOffset>95250</wp:posOffset>
            </wp:positionV>
            <wp:extent cx="5485765" cy="2159000"/>
            <wp:effectExtent l="0" t="0" r="635" b="12700"/>
            <wp:wrapTopAndBottom/>
            <wp:docPr id="1" name="图表 8"/>
            <wp:cNvGraphicFramePr/>
            <a:graphic xmlns:a="http://schemas.openxmlformats.org/drawingml/2006/main">
              <a:graphicData uri="http://schemas.openxmlformats.org/drawingml/2006/picture">
                <pic:pic xmlns:pic="http://schemas.openxmlformats.org/drawingml/2006/picture">
                  <pic:nvPicPr>
                    <pic:cNvPr id="1" name="图表 8"/>
                    <pic:cNvPicPr/>
                  </pic:nvPicPr>
                  <pic:blipFill>
                    <a:blip r:embed="rId5"/>
                    <a:stretch>
                      <a:fillRect/>
                    </a:stretch>
                  </pic:blipFill>
                  <pic:spPr>
                    <a:xfrm>
                      <a:off x="0" y="0"/>
                      <a:ext cx="5485765" cy="2159000"/>
                    </a:xfrm>
                    <a:prstGeom prst="rect">
                      <a:avLst/>
                    </a:prstGeom>
                    <a:noFill/>
                    <a:ln>
                      <a:noFill/>
                    </a:ln>
                  </pic:spPr>
                </pic:pic>
              </a:graphicData>
            </a:graphic>
          </wp:anchor>
        </w:drawing>
      </w:r>
      <w:r>
        <w:rPr>
          <w:rFonts w:hint="eastAsia" w:ascii="仿宋" w:hAnsi="仿宋" w:eastAsia="仿宋"/>
          <w:kern w:val="2"/>
          <w:sz w:val="32"/>
        </w:rPr>
        <w:t>（图1：收、支决算总计变动情况图）</w:t>
      </w:r>
    </w:p>
    <w:p w14:paraId="505C864E">
      <w:pPr>
        <w:spacing w:line="600" w:lineRule="exact"/>
        <w:ind w:firstLine="640"/>
        <w:jc w:val="both"/>
        <w:rPr>
          <w:rFonts w:ascii="黑体" w:hAnsi="黑体" w:eastAsia="黑体"/>
          <w:kern w:val="2"/>
          <w:sz w:val="32"/>
          <w:lang w:val="zh-CN"/>
        </w:rPr>
      </w:pPr>
      <w:r>
        <w:rPr>
          <w:rFonts w:hint="eastAsia" w:ascii="黑体" w:hAnsi="黑体" w:eastAsia="黑体"/>
          <w:color w:val="000000"/>
          <w:kern w:val="2"/>
          <w:sz w:val="32"/>
          <w:lang w:val="zh-CN"/>
        </w:rPr>
        <w:t>二、收</w:t>
      </w:r>
      <w:r>
        <w:rPr>
          <w:rFonts w:hint="eastAsia" w:ascii="黑体" w:hAnsi="黑体" w:eastAsia="黑体"/>
          <w:kern w:val="2"/>
          <w:sz w:val="32"/>
          <w:lang w:val="zh-CN"/>
        </w:rPr>
        <w:t>入决算情况说明</w:t>
      </w:r>
    </w:p>
    <w:p w14:paraId="36D24DD8">
      <w:pPr>
        <w:spacing w:line="600"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本年收入合计436.96万元，其中：一般公共预算财政拨款收入436.96万元，占100%；政府性基金预算财政拨款收入0万元，占0%；国有资本经营预算财政拨款收入0万元，占0%；上级补助收入0万元，占0%；事业收入0万元，占0%；经营收入0万元，占0%；附属单位上缴收入0万元，占0%；其他收入0万元，占0%。</w:t>
      </w:r>
    </w:p>
    <w:p w14:paraId="534F650E">
      <w:pPr>
        <w:spacing w:line="600" w:lineRule="exact"/>
        <w:ind w:firstLine="643"/>
        <w:jc w:val="both"/>
        <w:rPr>
          <w:rFonts w:ascii="仿宋" w:hAnsi="仿宋" w:eastAsia="仿宋"/>
          <w:b/>
          <w:kern w:val="2"/>
          <w:sz w:val="32"/>
        </w:rPr>
      </w:pPr>
      <w:r>
        <w:drawing>
          <wp:anchor distT="0" distB="0" distL="114300" distR="114300" simplePos="0" relativeHeight="251660288" behindDoc="0" locked="0" layoutInCell="1" allowOverlap="1">
            <wp:simplePos x="0" y="0"/>
            <wp:positionH relativeFrom="column">
              <wp:posOffset>446405</wp:posOffset>
            </wp:positionH>
            <wp:positionV relativeFrom="paragraph">
              <wp:posOffset>495300</wp:posOffset>
            </wp:positionV>
            <wp:extent cx="3479800" cy="1575435"/>
            <wp:effectExtent l="0" t="0" r="6350" b="5715"/>
            <wp:wrapTopAndBottom/>
            <wp:docPr id="2" name="图表 7"/>
            <wp:cNvGraphicFramePr/>
            <a:graphic xmlns:a="http://schemas.openxmlformats.org/drawingml/2006/main">
              <a:graphicData uri="http://schemas.openxmlformats.org/drawingml/2006/picture">
                <pic:pic xmlns:pic="http://schemas.openxmlformats.org/drawingml/2006/picture">
                  <pic:nvPicPr>
                    <pic:cNvPr id="2" name="图表 7"/>
                    <pic:cNvPicPr/>
                  </pic:nvPicPr>
                  <pic:blipFill>
                    <a:blip r:embed="rId6"/>
                    <a:stretch>
                      <a:fillRect/>
                    </a:stretch>
                  </pic:blipFill>
                  <pic:spPr>
                    <a:xfrm>
                      <a:off x="0" y="0"/>
                      <a:ext cx="3479800" cy="1575435"/>
                    </a:xfrm>
                    <a:prstGeom prst="rect">
                      <a:avLst/>
                    </a:prstGeom>
                    <a:noFill/>
                    <a:ln>
                      <a:noFill/>
                    </a:ln>
                  </pic:spPr>
                </pic:pic>
              </a:graphicData>
            </a:graphic>
          </wp:anchor>
        </w:drawing>
      </w:r>
      <w:r>
        <w:rPr>
          <w:rFonts w:hint="eastAsia" w:ascii="仿宋" w:hAnsi="仿宋" w:eastAsia="仿宋"/>
          <w:b/>
          <w:kern w:val="2"/>
          <w:sz w:val="32"/>
        </w:rPr>
        <w:t>（注：数据来源于财决01表。）</w:t>
      </w:r>
    </w:p>
    <w:p w14:paraId="6DF067B0">
      <w:pPr>
        <w:spacing w:line="600" w:lineRule="exact"/>
        <w:ind w:firstLine="640"/>
        <w:jc w:val="both"/>
        <w:rPr>
          <w:rFonts w:ascii="仿宋" w:hAnsi="仿宋" w:eastAsia="仿宋"/>
          <w:kern w:val="2"/>
          <w:sz w:val="32"/>
        </w:rPr>
      </w:pPr>
      <w:r>
        <w:rPr>
          <w:rFonts w:hint="eastAsia" w:ascii="仿宋" w:hAnsi="仿宋" w:eastAsia="仿宋"/>
          <w:kern w:val="2"/>
          <w:sz w:val="32"/>
        </w:rPr>
        <w:t>（图2：收入决算结构图）</w:t>
      </w:r>
    </w:p>
    <w:p w14:paraId="0C06B524">
      <w:pPr>
        <w:keepNext/>
        <w:keepLines/>
        <w:spacing w:line="576" w:lineRule="exact"/>
        <w:ind w:firstLine="640"/>
        <w:jc w:val="both"/>
        <w:rPr>
          <w:rFonts w:ascii="黑体" w:hAnsi="黑体" w:eastAsia="黑体"/>
          <w:kern w:val="2"/>
          <w:sz w:val="32"/>
          <w:lang w:val="zh-CN"/>
        </w:rPr>
      </w:pPr>
      <w:r>
        <w:rPr>
          <w:rFonts w:hint="eastAsia" w:ascii="黑体" w:hAnsi="黑体" w:eastAsia="黑体"/>
          <w:color w:val="000000"/>
          <w:kern w:val="2"/>
          <w:sz w:val="32"/>
          <w:lang w:val="zh-CN"/>
        </w:rPr>
        <w:t>三、支</w:t>
      </w:r>
      <w:r>
        <w:rPr>
          <w:rFonts w:hint="eastAsia" w:ascii="黑体" w:hAnsi="黑体" w:eastAsia="黑体"/>
          <w:kern w:val="2"/>
          <w:sz w:val="32"/>
          <w:lang w:val="zh-CN"/>
        </w:rPr>
        <w:t>出决算情况说明</w:t>
      </w:r>
    </w:p>
    <w:p w14:paraId="75CFD93D">
      <w:pPr>
        <w:keepNext/>
        <w:keepLines/>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2022年本年支出合计436.96万元，其中：基本支出434.52万元，占99.4%；项目支出2.44万元，占0.6%；上缴上级支出0万元，占0%；经营支出0万元，占0%；对附属单位补助支出0万元，占0%。</w:t>
      </w:r>
    </w:p>
    <w:p w14:paraId="351248EC">
      <w:pPr>
        <w:spacing w:line="600" w:lineRule="exact"/>
        <w:ind w:firstLine="643"/>
        <w:jc w:val="both"/>
        <w:rPr>
          <w:rFonts w:ascii="仿宋" w:hAnsi="仿宋" w:eastAsia="仿宋"/>
          <w:b/>
          <w:kern w:val="2"/>
          <w:sz w:val="32"/>
        </w:rPr>
      </w:pPr>
      <w:r>
        <w:drawing>
          <wp:anchor distT="0" distB="0" distL="114300" distR="114300" simplePos="0" relativeHeight="251661312" behindDoc="0" locked="0" layoutInCell="1" allowOverlap="1">
            <wp:simplePos x="0" y="0"/>
            <wp:positionH relativeFrom="column">
              <wp:posOffset>1657350</wp:posOffset>
            </wp:positionH>
            <wp:positionV relativeFrom="paragraph">
              <wp:posOffset>525780</wp:posOffset>
            </wp:positionV>
            <wp:extent cx="3264535" cy="1645285"/>
            <wp:effectExtent l="0" t="0" r="12065" b="12065"/>
            <wp:wrapTopAndBottom/>
            <wp:docPr id="3" name="图表 1"/>
            <wp:cNvGraphicFramePr/>
            <a:graphic xmlns:a="http://schemas.openxmlformats.org/drawingml/2006/main">
              <a:graphicData uri="http://schemas.openxmlformats.org/drawingml/2006/picture">
                <pic:pic xmlns:pic="http://schemas.openxmlformats.org/drawingml/2006/picture">
                  <pic:nvPicPr>
                    <pic:cNvPr id="3" name="图表 1"/>
                    <pic:cNvPicPr/>
                  </pic:nvPicPr>
                  <pic:blipFill>
                    <a:blip r:embed="rId7"/>
                    <a:stretch>
                      <a:fillRect/>
                    </a:stretch>
                  </pic:blipFill>
                  <pic:spPr>
                    <a:xfrm>
                      <a:off x="0" y="0"/>
                      <a:ext cx="3264535" cy="1645285"/>
                    </a:xfrm>
                    <a:prstGeom prst="rect">
                      <a:avLst/>
                    </a:prstGeom>
                    <a:noFill/>
                    <a:ln>
                      <a:noFill/>
                    </a:ln>
                  </pic:spPr>
                </pic:pic>
              </a:graphicData>
            </a:graphic>
          </wp:anchor>
        </w:drawing>
      </w:r>
      <w:r>
        <w:rPr>
          <w:rFonts w:hint="eastAsia" w:ascii="仿宋" w:hAnsi="仿宋" w:eastAsia="仿宋"/>
          <w:b/>
          <w:kern w:val="2"/>
          <w:sz w:val="32"/>
        </w:rPr>
        <w:t>（注：数据来源于财决04表。）</w:t>
      </w:r>
    </w:p>
    <w:p w14:paraId="25B1A50D">
      <w:pPr>
        <w:spacing w:line="600" w:lineRule="exact"/>
        <w:ind w:firstLine="640"/>
        <w:jc w:val="both"/>
        <w:rPr>
          <w:rFonts w:ascii="仿宋" w:hAnsi="仿宋" w:eastAsia="仿宋"/>
          <w:kern w:val="2"/>
          <w:sz w:val="32"/>
        </w:rPr>
      </w:pPr>
      <w:r>
        <w:rPr>
          <w:rFonts w:hint="eastAsia" w:ascii="仿宋" w:hAnsi="仿宋" w:eastAsia="仿宋"/>
          <w:kern w:val="2"/>
          <w:sz w:val="32"/>
        </w:rPr>
        <w:t>（图3：支出决算结构图）（饼状图）</w:t>
      </w:r>
    </w:p>
    <w:p w14:paraId="20586E07">
      <w:pPr>
        <w:keepNext/>
        <w:keepLines/>
        <w:spacing w:line="576" w:lineRule="exact"/>
        <w:ind w:firstLine="640"/>
        <w:jc w:val="both"/>
        <w:rPr>
          <w:rFonts w:ascii="黑体" w:hAnsi="黑体" w:eastAsia="黑体"/>
          <w:kern w:val="2"/>
          <w:sz w:val="32"/>
          <w:lang w:val="zh-CN"/>
        </w:rPr>
      </w:pPr>
      <w:r>
        <w:rPr>
          <w:rFonts w:hint="eastAsia" w:ascii="黑体" w:hAnsi="黑体" w:eastAsia="黑体"/>
          <w:color w:val="000000"/>
          <w:kern w:val="2"/>
          <w:sz w:val="32"/>
          <w:lang w:val="zh-CN"/>
        </w:rPr>
        <w:t>四、财</w:t>
      </w:r>
      <w:r>
        <w:rPr>
          <w:rFonts w:hint="eastAsia" w:ascii="黑体" w:hAnsi="黑体" w:eastAsia="黑体"/>
          <w:kern w:val="2"/>
          <w:sz w:val="32"/>
          <w:lang w:val="zh-CN"/>
        </w:rPr>
        <w:t>政拨款收入支出决算总体情况说明</w:t>
      </w:r>
    </w:p>
    <w:p w14:paraId="640F6483">
      <w:pPr>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2022年财政拨款收、支总计436.96万元。与2021年相比，财政拨款收、支总计各增加13.75万元，增长3.3%。主要变动原因是</w:t>
      </w:r>
      <w:r>
        <w:rPr>
          <w:rFonts w:hint="eastAsia" w:ascii="仿宋" w:hAnsi="仿宋" w:eastAsia="仿宋"/>
          <w:color w:val="000000"/>
          <w:sz w:val="32"/>
        </w:rPr>
        <w:t>政策性调资，人员经费增加，教师退休等</w:t>
      </w:r>
      <w:r>
        <w:rPr>
          <w:rFonts w:hint="eastAsia" w:ascii="仿宋_GB2312" w:hAnsi="仿宋_GB2312" w:eastAsia="仿宋_GB2312"/>
          <w:color w:val="000000"/>
          <w:kern w:val="2"/>
          <w:sz w:val="32"/>
          <w:lang w:val="zh-CN"/>
        </w:rPr>
        <w:t>。</w:t>
      </w:r>
    </w:p>
    <w:p w14:paraId="043D453D">
      <w:pPr>
        <w:spacing w:line="600" w:lineRule="exact"/>
        <w:ind w:firstLine="640"/>
        <w:jc w:val="both"/>
        <w:rPr>
          <w:rFonts w:ascii="仿宋" w:hAnsi="仿宋" w:eastAsia="仿宋"/>
          <w:b/>
          <w:kern w:val="2"/>
          <w:sz w:val="32"/>
        </w:rPr>
      </w:pPr>
      <w:r>
        <w:drawing>
          <wp:anchor distT="0" distB="0" distL="114300" distR="114300" simplePos="0" relativeHeight="251662336" behindDoc="0" locked="0" layoutInCell="1" allowOverlap="1">
            <wp:simplePos x="0" y="0"/>
            <wp:positionH relativeFrom="column">
              <wp:posOffset>463550</wp:posOffset>
            </wp:positionH>
            <wp:positionV relativeFrom="paragraph">
              <wp:posOffset>511175</wp:posOffset>
            </wp:positionV>
            <wp:extent cx="4763135" cy="1416050"/>
            <wp:effectExtent l="0" t="0" r="18415" b="12700"/>
            <wp:wrapTopAndBottom/>
            <wp:docPr id="4" name="图表 1"/>
            <wp:cNvGraphicFramePr/>
            <a:graphic xmlns:a="http://schemas.openxmlformats.org/drawingml/2006/main">
              <a:graphicData uri="http://schemas.openxmlformats.org/drawingml/2006/picture">
                <pic:pic xmlns:pic="http://schemas.openxmlformats.org/drawingml/2006/picture">
                  <pic:nvPicPr>
                    <pic:cNvPr id="4" name="图表 1"/>
                    <pic:cNvPicPr/>
                  </pic:nvPicPr>
                  <pic:blipFill>
                    <a:blip r:embed="rId8"/>
                    <a:stretch>
                      <a:fillRect/>
                    </a:stretch>
                  </pic:blipFill>
                  <pic:spPr>
                    <a:xfrm>
                      <a:off x="0" y="0"/>
                      <a:ext cx="4763135" cy="1416050"/>
                    </a:xfrm>
                    <a:prstGeom prst="rect">
                      <a:avLst/>
                    </a:prstGeom>
                    <a:noFill/>
                    <a:ln>
                      <a:noFill/>
                    </a:ln>
                  </pic:spPr>
                </pic:pic>
              </a:graphicData>
            </a:graphic>
          </wp:anchor>
        </w:drawing>
      </w:r>
      <w:r>
        <w:rPr>
          <w:rFonts w:hint="eastAsia" w:ascii="仿宋" w:hAnsi="仿宋" w:eastAsia="仿宋"/>
          <w:b/>
          <w:kern w:val="2"/>
          <w:sz w:val="32"/>
        </w:rPr>
        <w:t>（注：数据来源于财决01-1表）</w:t>
      </w:r>
    </w:p>
    <w:p w14:paraId="5A049092">
      <w:pPr>
        <w:spacing w:line="600" w:lineRule="exact"/>
        <w:ind w:firstLine="640"/>
        <w:jc w:val="both"/>
        <w:rPr>
          <w:rFonts w:ascii="仿宋" w:hAnsi="仿宋" w:eastAsia="仿宋"/>
          <w:kern w:val="2"/>
          <w:sz w:val="32"/>
        </w:rPr>
      </w:pPr>
      <w:r>
        <w:rPr>
          <w:rFonts w:hint="eastAsia" w:ascii="仿宋" w:hAnsi="仿宋" w:eastAsia="仿宋"/>
          <w:kern w:val="2"/>
          <w:sz w:val="32"/>
        </w:rPr>
        <w:t>（图4：财政拨款收、支决算总计变动情况）</w:t>
      </w:r>
    </w:p>
    <w:p w14:paraId="4C8E1869">
      <w:pPr>
        <w:keepNext/>
        <w:keepLines/>
        <w:spacing w:line="576" w:lineRule="exact"/>
        <w:ind w:firstLine="640"/>
        <w:jc w:val="both"/>
        <w:rPr>
          <w:rFonts w:ascii="黑体" w:hAnsi="黑体" w:eastAsia="黑体"/>
          <w:kern w:val="2"/>
          <w:sz w:val="32"/>
          <w:lang w:val="zh-CN"/>
        </w:rPr>
      </w:pPr>
      <w:r>
        <w:rPr>
          <w:rFonts w:hint="eastAsia" w:ascii="黑体" w:hAnsi="黑体" w:eastAsia="黑体"/>
          <w:color w:val="000000"/>
          <w:kern w:val="2"/>
          <w:sz w:val="32"/>
          <w:lang w:val="zh-CN"/>
        </w:rPr>
        <w:t>五、</w:t>
      </w:r>
      <w:r>
        <w:rPr>
          <w:rFonts w:hint="eastAsia" w:ascii="黑体" w:hAnsi="黑体" w:eastAsia="黑体"/>
          <w:b/>
          <w:color w:val="000000"/>
          <w:kern w:val="2"/>
          <w:sz w:val="32"/>
          <w:lang w:val="zh-CN"/>
        </w:rPr>
        <w:t>一</w:t>
      </w:r>
      <w:r>
        <w:rPr>
          <w:rFonts w:hint="eastAsia" w:ascii="黑体" w:hAnsi="黑体" w:eastAsia="黑体"/>
          <w:kern w:val="2"/>
          <w:sz w:val="32"/>
          <w:lang w:val="zh-CN"/>
        </w:rPr>
        <w:t>般公共预算财政拨款支出决算情况说明</w:t>
      </w:r>
    </w:p>
    <w:p w14:paraId="16212927">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（一）一般公共预算财政拨款支出决算总体情况。</w:t>
      </w:r>
    </w:p>
    <w:p w14:paraId="176425A1">
      <w:pPr>
        <w:keepNext/>
        <w:keepLines/>
        <w:spacing w:line="576" w:lineRule="exact"/>
        <w:ind w:firstLine="640"/>
        <w:jc w:val="both"/>
        <w:rPr>
          <w:rFonts w:ascii="仿宋_GB2312" w:hAnsi="仿宋_GB2312" w:eastAsia="仿宋_GB2312"/>
          <w:color w:val="000000"/>
          <w:kern w:val="2"/>
          <w:sz w:val="32"/>
          <w:lang w:val="zh-CN"/>
        </w:rPr>
      </w:pPr>
      <w:r>
        <w:drawing>
          <wp:anchor distT="0" distB="0" distL="114300" distR="114300" simplePos="0" relativeHeight="251663360" behindDoc="0" locked="0" layoutInCell="1" allowOverlap="1">
            <wp:simplePos x="0" y="0"/>
            <wp:positionH relativeFrom="column">
              <wp:posOffset>584200</wp:posOffset>
            </wp:positionH>
            <wp:positionV relativeFrom="paragraph">
              <wp:posOffset>1974850</wp:posOffset>
            </wp:positionV>
            <wp:extent cx="4704715" cy="965200"/>
            <wp:effectExtent l="0" t="0" r="635" b="6350"/>
            <wp:wrapTopAndBottom/>
            <wp:docPr id="5" name="图表 6"/>
            <wp:cNvGraphicFramePr/>
            <a:graphic xmlns:a="http://schemas.openxmlformats.org/drawingml/2006/main">
              <a:graphicData uri="http://schemas.openxmlformats.org/drawingml/2006/picture">
                <pic:pic xmlns:pic="http://schemas.openxmlformats.org/drawingml/2006/picture">
                  <pic:nvPicPr>
                    <pic:cNvPr id="5" name="图表 6"/>
                    <pic:cNvPicPr/>
                  </pic:nvPicPr>
                  <pic:blipFill>
                    <a:blip r:embed="rId9"/>
                    <a:stretch>
                      <a:fillRect/>
                    </a:stretch>
                  </pic:blipFill>
                  <pic:spPr>
                    <a:xfrm>
                      <a:off x="0" y="0"/>
                      <a:ext cx="4704715" cy="965200"/>
                    </a:xfrm>
                    <a:prstGeom prst="rect">
                      <a:avLst/>
                    </a:prstGeom>
                    <a:noFill/>
                    <a:ln>
                      <a:noFill/>
                    </a:ln>
                  </pic:spPr>
                </pic:pic>
              </a:graphicData>
            </a:graphic>
          </wp:anchor>
        </w:drawing>
      </w:r>
      <w:r>
        <w:rPr>
          <w:rFonts w:hint="eastAsia" w:ascii="仿宋_GB2312" w:hAnsi="仿宋_GB2312" w:eastAsia="仿宋_GB2312"/>
          <w:color w:val="000000"/>
          <w:kern w:val="2"/>
          <w:sz w:val="32"/>
          <w:lang w:val="zh-CN"/>
        </w:rPr>
        <w:t>2022年一般公共预算财政拨款支出436.96万元，占本年支出合计的100%。与2021年相比，一般公共预算财政拨款支出增加13.75万元，增长3.3%。主要变动原因是</w:t>
      </w:r>
      <w:r>
        <w:rPr>
          <w:rFonts w:hint="eastAsia" w:ascii="仿宋" w:hAnsi="仿宋" w:eastAsia="仿宋"/>
          <w:color w:val="000000"/>
          <w:sz w:val="32"/>
        </w:rPr>
        <w:t>2022年度人员较上年有变化。且人均工资基数较上年有变动，致五险两金等人员经费有一定增加</w:t>
      </w:r>
      <w:r>
        <w:rPr>
          <w:rFonts w:hint="eastAsia" w:ascii="仿宋_GB2312" w:hAnsi="仿宋_GB2312" w:eastAsia="仿宋_GB2312"/>
          <w:color w:val="000000"/>
          <w:kern w:val="2"/>
          <w:sz w:val="32"/>
          <w:lang w:val="zh-CN"/>
        </w:rPr>
        <w:t>。</w:t>
      </w:r>
    </w:p>
    <w:p w14:paraId="24A91891">
      <w:pPr>
        <w:spacing w:line="600" w:lineRule="exact"/>
        <w:ind w:firstLine="640"/>
        <w:jc w:val="both"/>
        <w:rPr>
          <w:rFonts w:ascii="仿宋" w:hAnsi="仿宋" w:eastAsia="仿宋"/>
          <w:kern w:val="2"/>
          <w:sz w:val="32"/>
        </w:rPr>
      </w:pPr>
      <w:r>
        <w:rPr>
          <w:rFonts w:hint="eastAsia" w:ascii="仿宋" w:hAnsi="仿宋" w:eastAsia="仿宋"/>
          <w:kern w:val="2"/>
          <w:sz w:val="32"/>
        </w:rPr>
        <w:t>（图5：一般公共预算财政拨款支出决算变动情况）</w:t>
      </w:r>
    </w:p>
    <w:p w14:paraId="7A0669CE">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（二）一般公共预算财政拨款支出决算结构情况。</w:t>
      </w:r>
    </w:p>
    <w:p w14:paraId="32139BFC">
      <w:pPr>
        <w:keepNext/>
        <w:keepLines/>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2022年一般公共预算财政拨款支出436.96万元，主要用于以下方面:教育支出349.6万元，占80%；社会保障和就业支出40.94万元，占9.4%；卫生健康支出16.24万元，占3.7%；住房保障支出30.19万元，占6.9%。</w:t>
      </w:r>
    </w:p>
    <w:p w14:paraId="51A0A5B4">
      <w:pPr>
        <w:spacing w:line="600" w:lineRule="exact"/>
        <w:ind w:firstLine="640"/>
        <w:jc w:val="both"/>
        <w:rPr>
          <w:rFonts w:ascii="仿宋" w:hAnsi="仿宋" w:eastAsia="仿宋"/>
          <w:b/>
          <w:kern w:val="2"/>
          <w:sz w:val="32"/>
        </w:rPr>
      </w:pPr>
      <w:r>
        <w:rPr>
          <w:rFonts w:hint="eastAsia" w:ascii="仿宋" w:hAnsi="仿宋" w:eastAsia="仿宋"/>
          <w:b/>
          <w:kern w:val="2"/>
          <w:sz w:val="32"/>
        </w:rPr>
        <w:t>（注：数据来源于财决01-1表。）</w:t>
      </w:r>
    </w:p>
    <w:p w14:paraId="49C5825D">
      <w:pPr>
        <w:spacing w:line="600" w:lineRule="exact"/>
        <w:jc w:val="both"/>
        <w:rPr>
          <w:rFonts w:ascii="仿宋" w:hAnsi="仿宋" w:eastAsia="仿宋"/>
          <w:kern w:val="2"/>
          <w:sz w:val="32"/>
        </w:rPr>
      </w:pPr>
      <w:r>
        <w:drawing>
          <wp:anchor distT="0" distB="0" distL="114300" distR="114300" simplePos="0" relativeHeight="251664384" behindDoc="0" locked="0" layoutInCell="1" allowOverlap="1">
            <wp:simplePos x="0" y="0"/>
            <wp:positionH relativeFrom="column">
              <wp:posOffset>774700</wp:posOffset>
            </wp:positionH>
            <wp:positionV relativeFrom="paragraph">
              <wp:posOffset>215900</wp:posOffset>
            </wp:positionV>
            <wp:extent cx="3683000" cy="2324100"/>
            <wp:effectExtent l="0" t="0" r="12700" b="0"/>
            <wp:wrapTopAndBottom/>
            <wp:docPr id="6" name="图表 7"/>
            <wp:cNvGraphicFramePr/>
            <a:graphic xmlns:a="http://schemas.openxmlformats.org/drawingml/2006/main">
              <a:graphicData uri="http://schemas.openxmlformats.org/drawingml/2006/picture">
                <pic:pic xmlns:pic="http://schemas.openxmlformats.org/drawingml/2006/picture">
                  <pic:nvPicPr>
                    <pic:cNvPr id="6" name="图表 7"/>
                    <pic:cNvPicPr/>
                  </pic:nvPicPr>
                  <pic:blipFill>
                    <a:blip r:embed="rId10"/>
                    <a:stretch>
                      <a:fillRect/>
                    </a:stretch>
                  </pic:blipFill>
                  <pic:spPr>
                    <a:xfrm>
                      <a:off x="0" y="0"/>
                      <a:ext cx="3683000" cy="2324100"/>
                    </a:xfrm>
                    <a:prstGeom prst="rect">
                      <a:avLst/>
                    </a:prstGeom>
                    <a:noFill/>
                    <a:ln>
                      <a:noFill/>
                    </a:ln>
                  </pic:spPr>
                </pic:pic>
              </a:graphicData>
            </a:graphic>
          </wp:anchor>
        </w:drawing>
      </w:r>
      <w:r>
        <w:rPr>
          <w:rFonts w:hint="eastAsia" w:ascii="仿宋" w:hAnsi="仿宋" w:eastAsia="仿宋"/>
          <w:kern w:val="2"/>
          <w:sz w:val="32"/>
        </w:rPr>
        <w:t>（图6：一般公共预算财政拨款支出决算结构）</w:t>
      </w:r>
    </w:p>
    <w:p w14:paraId="1EEE7275">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（三）一般公共预算财政拨款支出决算具体情况。</w:t>
      </w:r>
    </w:p>
    <w:p w14:paraId="52A522BD">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2022年一般公共预算支出决算数为436.96万元</w:t>
      </w:r>
      <w:r>
        <w:rPr>
          <w:rFonts w:hint="eastAsia" w:ascii="仿宋_GB2312" w:hAnsi="仿宋_GB2312" w:eastAsia="仿宋_GB2312"/>
          <w:color w:val="000000"/>
          <w:kern w:val="2"/>
          <w:sz w:val="32"/>
          <w:lang w:val="zh-CN"/>
        </w:rPr>
        <w:t>，</w:t>
      </w:r>
      <w:r>
        <w:rPr>
          <w:rFonts w:hint="eastAsia" w:ascii="仿宋_GB2312" w:hAnsi="仿宋_GB2312" w:eastAsia="仿宋_GB2312"/>
          <w:b/>
          <w:color w:val="000000"/>
          <w:kern w:val="2"/>
          <w:sz w:val="32"/>
          <w:lang w:val="zh-CN"/>
        </w:rPr>
        <w:t>完成预算100%。其中：</w:t>
      </w:r>
    </w:p>
    <w:p w14:paraId="68D95C78">
      <w:pPr>
        <w:spacing w:line="600" w:lineRule="exact"/>
        <w:ind w:firstLine="643" w:firstLineChars="200"/>
        <w:rPr>
          <w:rStyle w:val="11"/>
          <w:rFonts w:ascii="仿宋" w:hAnsi="仿宋" w:eastAsia="仿宋"/>
          <w:b w:val="0"/>
          <w:sz w:val="32"/>
        </w:rPr>
      </w:pPr>
      <w:r>
        <w:rPr>
          <w:rStyle w:val="11"/>
          <w:rFonts w:hint="eastAsia" w:ascii="仿宋" w:hAnsi="仿宋" w:eastAsia="仿宋"/>
          <w:sz w:val="32"/>
        </w:rPr>
        <w:t>1.教育（205类）普通教育（02款）小学教育（03项）:</w:t>
      </w:r>
      <w:r>
        <w:rPr>
          <w:rStyle w:val="11"/>
          <w:rFonts w:hint="eastAsia" w:ascii="仿宋" w:hAnsi="仿宋" w:eastAsia="仿宋"/>
          <w:b w:val="0"/>
          <w:sz w:val="32"/>
        </w:rPr>
        <w:t>支出决算为349.6万元，完成预算100%。</w:t>
      </w:r>
    </w:p>
    <w:p w14:paraId="11EB7D6C">
      <w:pPr>
        <w:spacing w:line="600" w:lineRule="exact"/>
        <w:ind w:firstLine="643" w:firstLineChars="200"/>
        <w:rPr>
          <w:rFonts w:ascii="仿宋" w:hAnsi="仿宋" w:eastAsia="仿宋"/>
          <w:b/>
          <w:sz w:val="32"/>
        </w:rPr>
      </w:pPr>
      <w:r>
        <w:rPr>
          <w:rStyle w:val="11"/>
          <w:rFonts w:hint="eastAsia" w:ascii="仿宋" w:hAnsi="仿宋" w:eastAsia="仿宋"/>
          <w:sz w:val="32"/>
        </w:rPr>
        <w:t>2.社会保障和就业（208类）行政事业单位养老支出（05款）机关事业单位基本养老保险缴费支出（05项）:</w:t>
      </w:r>
      <w:r>
        <w:rPr>
          <w:rStyle w:val="11"/>
          <w:rFonts w:hint="eastAsia" w:ascii="仿宋" w:hAnsi="仿宋" w:eastAsia="仿宋"/>
          <w:b w:val="0"/>
          <w:sz w:val="32"/>
        </w:rPr>
        <w:t>支出决算为40.94万元，完成预算100%。</w:t>
      </w:r>
    </w:p>
    <w:p w14:paraId="5CAADF23">
      <w:pPr>
        <w:spacing w:line="600" w:lineRule="exact"/>
        <w:ind w:firstLine="643" w:firstLineChars="200"/>
        <w:rPr>
          <w:rStyle w:val="11"/>
          <w:rFonts w:ascii="仿宋" w:hAnsi="仿宋" w:eastAsia="仿宋"/>
          <w:b w:val="0"/>
          <w:sz w:val="32"/>
        </w:rPr>
      </w:pPr>
      <w:r>
        <w:rPr>
          <w:rStyle w:val="11"/>
          <w:rFonts w:hint="eastAsia" w:ascii="仿宋" w:hAnsi="仿宋" w:eastAsia="仿宋"/>
          <w:sz w:val="32"/>
        </w:rPr>
        <w:t>3.</w:t>
      </w:r>
      <w:r>
        <w:rPr>
          <w:rFonts w:hint="eastAsia" w:ascii="仿宋" w:hAnsi="仿宋" w:eastAsia="仿宋"/>
          <w:b/>
          <w:sz w:val="32"/>
        </w:rPr>
        <w:t>卫生健康</w:t>
      </w:r>
      <w:r>
        <w:rPr>
          <w:rStyle w:val="11"/>
          <w:rFonts w:hint="eastAsia" w:ascii="仿宋" w:hAnsi="仿宋" w:eastAsia="仿宋"/>
          <w:sz w:val="32"/>
        </w:rPr>
        <w:t>（210类）行政事业单位医疗（11款）事业单位医疗（02项）:</w:t>
      </w:r>
      <w:r>
        <w:rPr>
          <w:rStyle w:val="11"/>
          <w:rFonts w:hint="eastAsia" w:ascii="仿宋" w:hAnsi="仿宋" w:eastAsia="仿宋"/>
          <w:b w:val="0"/>
          <w:sz w:val="32"/>
        </w:rPr>
        <w:t>支出决算为16.24万元，完成预算100%。</w:t>
      </w:r>
    </w:p>
    <w:p w14:paraId="502EB2E2">
      <w:pPr>
        <w:keepNext/>
        <w:keepLines/>
        <w:tabs>
          <w:tab w:val="right" w:pos="8306"/>
        </w:tabs>
        <w:spacing w:line="576" w:lineRule="exact"/>
        <w:ind w:firstLine="640"/>
        <w:jc w:val="both"/>
        <w:rPr>
          <w:rStyle w:val="11"/>
          <w:rFonts w:ascii="仿宋" w:hAnsi="仿宋" w:eastAsia="仿宋"/>
          <w:b w:val="0"/>
          <w:sz w:val="32"/>
        </w:rPr>
      </w:pPr>
      <w:r>
        <w:rPr>
          <w:rStyle w:val="11"/>
          <w:rFonts w:hint="eastAsia" w:ascii="仿宋" w:hAnsi="仿宋" w:eastAsia="仿宋"/>
          <w:sz w:val="32"/>
        </w:rPr>
        <w:t>4.</w:t>
      </w:r>
      <w:r>
        <w:rPr>
          <w:rFonts w:hint="eastAsia" w:ascii="仿宋" w:hAnsi="仿宋" w:eastAsia="仿宋"/>
          <w:b/>
          <w:sz w:val="32"/>
        </w:rPr>
        <w:t>住房保障</w:t>
      </w:r>
      <w:r>
        <w:rPr>
          <w:rStyle w:val="11"/>
          <w:rFonts w:hint="eastAsia" w:ascii="仿宋" w:hAnsi="仿宋" w:eastAsia="仿宋"/>
          <w:sz w:val="32"/>
        </w:rPr>
        <w:t>（221类）住房改革支出（02款）住房公积金（01项）:</w:t>
      </w:r>
      <w:r>
        <w:rPr>
          <w:rStyle w:val="11"/>
          <w:rFonts w:hint="eastAsia" w:ascii="仿宋" w:hAnsi="仿宋" w:eastAsia="仿宋"/>
          <w:b w:val="0"/>
          <w:sz w:val="32"/>
        </w:rPr>
        <w:t>支出决算为30.19万元，完成预算100%</w:t>
      </w:r>
    </w:p>
    <w:p w14:paraId="68D54D7F">
      <w:pPr>
        <w:keepNext/>
        <w:keepLines/>
        <w:tabs>
          <w:tab w:val="right" w:pos="8306"/>
        </w:tabs>
        <w:spacing w:line="576" w:lineRule="exact"/>
        <w:ind w:firstLine="640"/>
        <w:jc w:val="both"/>
        <w:rPr>
          <w:rFonts w:ascii="Cambria" w:hAnsi="Cambria" w:eastAsia="Cambria"/>
          <w:b/>
          <w:kern w:val="2"/>
          <w:sz w:val="32"/>
          <w:lang w:val="zh-CN"/>
        </w:rPr>
      </w:pPr>
      <w:r>
        <w:rPr>
          <w:rFonts w:hint="eastAsia" w:ascii="黑体" w:hAnsi="黑体" w:eastAsia="黑体"/>
          <w:color w:val="000000"/>
          <w:kern w:val="2"/>
          <w:sz w:val="32"/>
          <w:lang w:val="zh-CN"/>
        </w:rPr>
        <w:t>六</w:t>
      </w:r>
      <w:r>
        <w:rPr>
          <w:rFonts w:hint="eastAsia" w:ascii="黑体" w:hAnsi="黑体" w:eastAsia="黑体"/>
          <w:b/>
          <w:color w:val="000000"/>
          <w:kern w:val="2"/>
          <w:sz w:val="32"/>
          <w:lang w:val="zh-CN"/>
        </w:rPr>
        <w:t>、一</w:t>
      </w:r>
      <w:r>
        <w:rPr>
          <w:rFonts w:hint="eastAsia" w:ascii="黑体" w:hAnsi="黑体" w:eastAsia="黑体"/>
          <w:kern w:val="2"/>
          <w:sz w:val="32"/>
          <w:lang w:val="zh-CN"/>
        </w:rPr>
        <w:t>般公共预算财政拨款基本支出决算情况说明</w:t>
      </w:r>
      <w:r>
        <w:rPr>
          <w:rFonts w:hint="eastAsia" w:ascii="黑体" w:hAnsi="黑体" w:eastAsia="黑体"/>
          <w:kern w:val="2"/>
          <w:sz w:val="32"/>
          <w:lang w:val="zh-CN"/>
        </w:rPr>
        <w:tab/>
      </w:r>
    </w:p>
    <w:p w14:paraId="00F3FC51">
      <w:pPr>
        <w:spacing w:line="576" w:lineRule="exact"/>
        <w:ind w:firstLine="640"/>
        <w:jc w:val="both"/>
        <w:rPr>
          <w:rFonts w:ascii="仿宋_GB2312" w:hAnsi="仿宋_GB2312" w:eastAsia="仿宋_GB2312"/>
          <w:color w:val="000000"/>
          <w:kern w:val="2"/>
          <w:sz w:val="32"/>
          <w:lang w:val="zh-CN"/>
        </w:rPr>
      </w:pPr>
      <w:r>
        <w:rPr>
          <w:rFonts w:hint="eastAsia" w:ascii="仿宋_GB2312" w:hAnsi="仿宋_GB2312" w:eastAsia="仿宋_GB2312"/>
          <w:color w:val="000000"/>
          <w:kern w:val="2"/>
          <w:sz w:val="32"/>
          <w:lang w:val="zh-CN"/>
        </w:rPr>
        <w:t>2022年一般公共预算财政拨款基本支出434.52万元，其中：</w:t>
      </w:r>
    </w:p>
    <w:p w14:paraId="04229ADD">
      <w:pPr>
        <w:spacing w:line="576" w:lineRule="exact"/>
        <w:ind w:firstLine="643"/>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人员经费</w:t>
      </w:r>
      <w:r>
        <w:rPr>
          <w:rFonts w:hint="eastAsia" w:ascii="仿宋_GB2312" w:hAnsi="仿宋_GB2312" w:eastAsia="仿宋_GB2312"/>
          <w:color w:val="000000"/>
          <w:kern w:val="2"/>
          <w:sz w:val="32"/>
          <w:lang w:val="zh-CN"/>
        </w:rPr>
        <w:t>403.64万元，主要包括：</w:t>
      </w:r>
      <w:r>
        <w:rPr>
          <w:rFonts w:hint="eastAsia" w:ascii="仿宋" w:hAnsi="仿宋" w:eastAsia="仿宋"/>
          <w:kern w:val="2"/>
          <w:sz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olor w:val="000000"/>
          <w:kern w:val="2"/>
          <w:sz w:val="32"/>
          <w:lang w:val="zh-CN"/>
        </w:rPr>
        <w:t>。</w:t>
      </w:r>
    </w:p>
    <w:p w14:paraId="209AB9D9">
      <w:pPr>
        <w:spacing w:line="576" w:lineRule="exact"/>
        <w:ind w:firstLine="643"/>
        <w:jc w:val="both"/>
        <w:rPr>
          <w:rFonts w:ascii="仿宋_GB2312" w:hAnsi="仿宋_GB2312" w:eastAsia="仿宋_GB2312"/>
          <w:color w:val="000000"/>
          <w:kern w:val="2"/>
          <w:sz w:val="32"/>
          <w:lang w:val="zh-CN"/>
        </w:rPr>
      </w:pPr>
      <w:r>
        <w:rPr>
          <w:rFonts w:hint="eastAsia" w:ascii="仿宋_GB2312" w:hAnsi="仿宋_GB2312" w:eastAsia="仿宋_GB2312"/>
          <w:b/>
          <w:color w:val="000000"/>
          <w:kern w:val="2"/>
          <w:sz w:val="32"/>
          <w:lang w:val="zh-CN"/>
        </w:rPr>
        <w:t>公用经费</w:t>
      </w:r>
      <w:r>
        <w:rPr>
          <w:rFonts w:hint="eastAsia" w:ascii="仿宋_GB2312" w:hAnsi="仿宋_GB2312" w:eastAsia="仿宋_GB2312"/>
          <w:color w:val="000000"/>
          <w:kern w:val="2"/>
          <w:sz w:val="32"/>
          <w:lang w:val="zh-CN"/>
        </w:rPr>
        <w:t>30.87万元，主要包括：</w:t>
      </w:r>
      <w:r>
        <w:rPr>
          <w:rFonts w:hint="eastAsia" w:ascii="仿宋" w:hAnsi="仿宋" w:eastAsia="仿宋"/>
          <w:kern w:val="2"/>
          <w:sz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olor w:val="000000"/>
          <w:kern w:val="2"/>
          <w:sz w:val="32"/>
          <w:lang w:val="zh-CN"/>
        </w:rPr>
        <w:t>。</w:t>
      </w:r>
    </w:p>
    <w:p w14:paraId="5466F1B2">
      <w:pPr>
        <w:spacing w:line="600" w:lineRule="exact"/>
        <w:ind w:firstLine="645"/>
        <w:jc w:val="both"/>
        <w:rPr>
          <w:rFonts w:ascii="仿宋" w:hAnsi="仿宋" w:eastAsia="仿宋"/>
          <w:b/>
          <w:kern w:val="2"/>
          <w:sz w:val="32"/>
        </w:rPr>
      </w:pPr>
      <w:r>
        <w:rPr>
          <w:rFonts w:hint="eastAsia" w:ascii="仿宋" w:hAnsi="仿宋" w:eastAsia="仿宋"/>
          <w:b/>
          <w:kern w:val="2"/>
          <w:sz w:val="32"/>
        </w:rPr>
        <w:t>（注：数据来源于财决07表和财决08-1表，仅罗列本单位实际支出涉及的经济分类科目。）</w:t>
      </w:r>
    </w:p>
    <w:p w14:paraId="2778C3A2">
      <w:pPr>
        <w:spacing w:line="600" w:lineRule="exact"/>
        <w:outlineLvl w:val="1"/>
        <w:rPr>
          <w:rStyle w:val="14"/>
          <w:rFonts w:ascii="黑体" w:hAnsi="黑体" w:eastAsia="黑体"/>
        </w:rPr>
      </w:pPr>
      <w:bookmarkStart w:id="2" w:name="_Toc15396609"/>
      <w:bookmarkStart w:id="3" w:name="_Toc15377215"/>
      <w:r>
        <w:rPr>
          <w:rFonts w:hint="eastAsia" w:ascii="黑体" w:eastAsia="黑体"/>
          <w:sz w:val="32"/>
        </w:rPr>
        <w:t>七、</w:t>
      </w:r>
      <w:r>
        <w:rPr>
          <w:rStyle w:val="14"/>
          <w:rFonts w:hint="eastAsia" w:ascii="黑体" w:hAnsi="黑体" w:eastAsia="黑体"/>
        </w:rPr>
        <w:t>财政拨款“三公”经费支出决算情况说明</w:t>
      </w:r>
      <w:bookmarkEnd w:id="2"/>
      <w:bookmarkEnd w:id="3"/>
    </w:p>
    <w:p w14:paraId="41D69584">
      <w:pPr>
        <w:spacing w:line="600" w:lineRule="exact"/>
        <w:ind w:firstLine="640"/>
        <w:outlineLvl w:val="2"/>
        <w:rPr>
          <w:rFonts w:ascii="仿宋" w:hAnsi="仿宋" w:eastAsia="仿宋"/>
          <w:b/>
          <w:sz w:val="32"/>
        </w:rPr>
      </w:pPr>
      <w:bookmarkStart w:id="4" w:name="_Toc15377216"/>
      <w:r>
        <w:rPr>
          <w:rFonts w:hint="eastAsia" w:ascii="仿宋" w:hAnsi="仿宋" w:eastAsia="仿宋"/>
          <w:b/>
          <w:sz w:val="32"/>
        </w:rPr>
        <w:t>（一）“三公”经费财政拨款支出决算总体情况说明</w:t>
      </w:r>
      <w:bookmarkEnd w:id="4"/>
    </w:p>
    <w:p w14:paraId="346052F7">
      <w:pPr>
        <w:spacing w:line="600" w:lineRule="exact"/>
        <w:ind w:firstLine="640"/>
        <w:rPr>
          <w:rFonts w:ascii="仿宋" w:hAnsi="仿宋" w:eastAsia="仿宋"/>
          <w:sz w:val="32"/>
        </w:rPr>
      </w:pPr>
      <w:r>
        <w:rPr>
          <w:rFonts w:hint="eastAsia" w:ascii="仿宋" w:hAnsi="仿宋" w:eastAsia="仿宋"/>
          <w:sz w:val="32"/>
        </w:rPr>
        <w:t>2022年“三公”经费财政拨款支出决算为0万元。</w:t>
      </w:r>
    </w:p>
    <w:p w14:paraId="3FD742F0">
      <w:pPr>
        <w:spacing w:line="600" w:lineRule="exact"/>
        <w:ind w:firstLine="640"/>
        <w:outlineLvl w:val="2"/>
        <w:rPr>
          <w:rFonts w:ascii="仿宋" w:hAnsi="仿宋" w:eastAsia="仿宋"/>
          <w:b/>
          <w:sz w:val="32"/>
        </w:rPr>
      </w:pPr>
      <w:bookmarkStart w:id="5" w:name="_Toc15377217"/>
      <w:r>
        <w:rPr>
          <w:rFonts w:hint="eastAsia" w:ascii="仿宋" w:hAnsi="仿宋" w:eastAsia="仿宋"/>
          <w:b/>
          <w:sz w:val="32"/>
        </w:rPr>
        <w:t>（二）“三公”经费财政拨款支出决算具体情况说明</w:t>
      </w:r>
      <w:bookmarkEnd w:id="5"/>
    </w:p>
    <w:p w14:paraId="48497BF6">
      <w:pPr>
        <w:spacing w:line="600" w:lineRule="exact"/>
        <w:ind w:firstLine="640"/>
        <w:rPr>
          <w:rFonts w:ascii="仿宋_GB2312" w:eastAsia="仿宋_GB2312"/>
          <w:sz w:val="32"/>
        </w:rPr>
      </w:pPr>
      <w:r>
        <w:rPr>
          <w:rFonts w:hint="eastAsia" w:ascii="仿宋" w:hAnsi="仿宋" w:eastAsia="仿宋"/>
          <w:sz w:val="32"/>
        </w:rPr>
        <w:t>2022年“三公”经费财政拨款支出决算中，因公出国（境）费支出决算0万元，占0%；公务用车购置及运行维护费支出决算0万元，占0%；公务接待费支出决算0万元，占0%。</w:t>
      </w:r>
    </w:p>
    <w:p w14:paraId="40217D93">
      <w:pPr>
        <w:spacing w:line="600" w:lineRule="exact"/>
        <w:ind w:firstLine="480" w:firstLineChars="150"/>
        <w:outlineLvl w:val="1"/>
        <w:rPr>
          <w:rStyle w:val="14"/>
          <w:rFonts w:ascii="黑体" w:hAnsi="黑体" w:eastAsia="黑体"/>
        </w:rPr>
      </w:pPr>
      <w:bookmarkStart w:id="6" w:name="_Toc15396610"/>
      <w:bookmarkStart w:id="7" w:name="_Toc15377218"/>
      <w:r>
        <w:rPr>
          <w:rFonts w:hint="eastAsia" w:ascii="黑体" w:eastAsia="黑体"/>
          <w:sz w:val="32"/>
        </w:rPr>
        <w:t>八、</w:t>
      </w:r>
      <w:r>
        <w:rPr>
          <w:rStyle w:val="14"/>
          <w:rFonts w:hint="eastAsia" w:ascii="黑体" w:hAnsi="黑体" w:eastAsia="黑体"/>
        </w:rPr>
        <w:t>政府性基金预算支出决算情况说明</w:t>
      </w:r>
      <w:bookmarkEnd w:id="6"/>
      <w:bookmarkEnd w:id="7"/>
    </w:p>
    <w:p w14:paraId="5366107C">
      <w:pPr>
        <w:spacing w:line="600" w:lineRule="exact"/>
        <w:ind w:firstLine="640"/>
        <w:rPr>
          <w:rFonts w:ascii="仿宋_GB2312" w:eastAsia="仿宋_GB2312"/>
          <w:sz w:val="32"/>
        </w:rPr>
      </w:pPr>
      <w:r>
        <w:rPr>
          <w:rFonts w:hint="eastAsia" w:ascii="仿宋_GB2312" w:eastAsia="仿宋_GB2312"/>
          <w:sz w:val="32"/>
        </w:rPr>
        <w:t>2022年政府性基金预算财政拨款支出0万元。</w:t>
      </w:r>
    </w:p>
    <w:p w14:paraId="48C092E8">
      <w:pPr>
        <w:numPr>
          <w:ilvl w:val="0"/>
          <w:numId w:val="3"/>
        </w:numPr>
        <w:spacing w:line="600" w:lineRule="exact"/>
        <w:ind w:firstLine="640"/>
        <w:outlineLvl w:val="1"/>
        <w:rPr>
          <w:rStyle w:val="14"/>
          <w:rFonts w:ascii="黑体" w:hAnsi="黑体" w:eastAsia="黑体"/>
          <w:sz w:val="28"/>
          <w:szCs w:val="28"/>
        </w:rPr>
      </w:pPr>
      <w:bookmarkStart w:id="8" w:name="_Toc15377219"/>
      <w:bookmarkStart w:id="9" w:name="_Toc15396611"/>
      <w:r>
        <w:rPr>
          <w:rStyle w:val="14"/>
          <w:rFonts w:hint="eastAsia" w:ascii="黑体" w:hAnsi="黑体" w:eastAsia="黑体"/>
          <w:sz w:val="28"/>
          <w:szCs w:val="28"/>
        </w:rPr>
        <w:t>国有资本经营预算支出决算情况说明</w:t>
      </w:r>
      <w:bookmarkEnd w:id="8"/>
      <w:bookmarkEnd w:id="9"/>
    </w:p>
    <w:p w14:paraId="419E66B5">
      <w:pPr>
        <w:pStyle w:val="12"/>
        <w:spacing w:line="600" w:lineRule="exact"/>
        <w:ind w:left="360" w:firstLine="0" w:firstLineChars="0"/>
        <w:rPr>
          <w:rFonts w:ascii="仿宋_GB2312" w:eastAsia="仿宋_GB2312"/>
          <w:sz w:val="32"/>
        </w:rPr>
      </w:pPr>
      <w:r>
        <w:rPr>
          <w:rFonts w:hint="eastAsia" w:ascii="仿宋_GB2312" w:eastAsia="仿宋_GB2312"/>
          <w:sz w:val="32"/>
        </w:rPr>
        <w:t>2022年国有资本经营预算财政拨款支出0万元。</w:t>
      </w:r>
    </w:p>
    <w:p w14:paraId="1B655454">
      <w:pPr>
        <w:pStyle w:val="12"/>
        <w:spacing w:line="600" w:lineRule="exact"/>
        <w:ind w:left="360" w:firstLine="0" w:firstLineChars="0"/>
        <w:outlineLvl w:val="1"/>
        <w:rPr>
          <w:rStyle w:val="14"/>
          <w:rFonts w:ascii="黑体" w:hAnsi="黑体" w:eastAsia="黑体"/>
        </w:rPr>
      </w:pPr>
      <w:bookmarkStart w:id="10" w:name="_Toc15377221"/>
      <w:bookmarkStart w:id="11" w:name="_Toc15396612"/>
      <w:r>
        <w:rPr>
          <w:rFonts w:hint="eastAsia" w:ascii="方正小标宋简体" w:hAnsi="方正小标宋简体" w:eastAsia="方正小标宋简体" w:cs="方正小标宋简体"/>
          <w:sz w:val="32"/>
          <w:szCs w:val="32"/>
        </w:rPr>
        <w:t>十</w:t>
      </w:r>
      <w:r>
        <w:rPr>
          <w:rStyle w:val="14"/>
          <w:rFonts w:hint="eastAsia" w:ascii="黑体" w:hAnsi="黑体" w:eastAsia="黑体"/>
        </w:rPr>
        <w:t>其他重要事项的情况说明</w:t>
      </w:r>
      <w:bookmarkEnd w:id="10"/>
      <w:bookmarkEnd w:id="11"/>
    </w:p>
    <w:p w14:paraId="1AA04C31">
      <w:pPr>
        <w:spacing w:line="600" w:lineRule="exact"/>
        <w:ind w:firstLine="643" w:firstLineChars="200"/>
        <w:outlineLvl w:val="2"/>
        <w:rPr>
          <w:rFonts w:ascii="仿宋" w:hAnsi="仿宋" w:eastAsia="仿宋"/>
          <w:sz w:val="32"/>
        </w:rPr>
      </w:pPr>
      <w:bookmarkStart w:id="12" w:name="_Toc15377222"/>
      <w:r>
        <w:rPr>
          <w:rFonts w:hint="eastAsia" w:ascii="仿宋" w:hAnsi="仿宋" w:eastAsia="仿宋"/>
          <w:b/>
          <w:sz w:val="32"/>
        </w:rPr>
        <w:t>（一）机关运行经费支出情况</w:t>
      </w:r>
      <w:bookmarkEnd w:id="12"/>
    </w:p>
    <w:p w14:paraId="275211EA">
      <w:pPr>
        <w:spacing w:line="600" w:lineRule="exact"/>
        <w:ind w:firstLine="640" w:firstLineChars="200"/>
        <w:rPr>
          <w:rFonts w:ascii="仿宋_GB2312" w:eastAsia="仿宋_GB2312"/>
          <w:sz w:val="32"/>
        </w:rPr>
      </w:pPr>
      <w:r>
        <w:rPr>
          <w:rFonts w:hint="eastAsia" w:ascii="仿宋_GB2312" w:eastAsia="仿宋_GB2312"/>
          <w:sz w:val="32"/>
        </w:rPr>
        <w:t xml:space="preserve">2022年，学校机关运行经费支出0万元。 </w:t>
      </w:r>
    </w:p>
    <w:p w14:paraId="56CD8A12">
      <w:pPr>
        <w:spacing w:line="600" w:lineRule="exact"/>
        <w:ind w:firstLine="643" w:firstLineChars="200"/>
        <w:outlineLvl w:val="2"/>
        <w:rPr>
          <w:rFonts w:ascii="仿宋" w:hAnsi="仿宋" w:eastAsia="仿宋"/>
          <w:b/>
          <w:sz w:val="32"/>
        </w:rPr>
      </w:pPr>
      <w:bookmarkStart w:id="13" w:name="_Toc15377223"/>
      <w:r>
        <w:rPr>
          <w:rFonts w:hint="eastAsia" w:ascii="仿宋" w:hAnsi="仿宋" w:eastAsia="仿宋"/>
          <w:b/>
          <w:sz w:val="32"/>
        </w:rPr>
        <w:t>（二）政府采购支出情况</w:t>
      </w:r>
      <w:bookmarkEnd w:id="13"/>
    </w:p>
    <w:p w14:paraId="13809C2B">
      <w:pPr>
        <w:spacing w:line="600" w:lineRule="exact"/>
        <w:ind w:firstLine="640" w:firstLineChars="200"/>
        <w:rPr>
          <w:rFonts w:ascii="仿宋_GB2312" w:eastAsia="仿宋_GB2312"/>
          <w:sz w:val="32"/>
        </w:rPr>
      </w:pPr>
      <w:r>
        <w:rPr>
          <w:rFonts w:hint="eastAsia" w:ascii="仿宋_GB2312" w:eastAsia="仿宋_GB2312"/>
          <w:sz w:val="32"/>
        </w:rPr>
        <w:t>2022年，学校政府采购支出总额0万元。</w:t>
      </w:r>
    </w:p>
    <w:p w14:paraId="301F5C9E">
      <w:pPr>
        <w:spacing w:line="600" w:lineRule="exact"/>
        <w:ind w:firstLine="643" w:firstLineChars="200"/>
        <w:outlineLvl w:val="2"/>
        <w:rPr>
          <w:rFonts w:ascii="仿宋" w:hAnsi="仿宋" w:eastAsia="仿宋"/>
          <w:b/>
          <w:sz w:val="32"/>
        </w:rPr>
      </w:pPr>
      <w:bookmarkStart w:id="14" w:name="_Toc15377224"/>
      <w:r>
        <w:rPr>
          <w:rFonts w:hint="eastAsia" w:ascii="仿宋" w:hAnsi="仿宋" w:eastAsia="仿宋"/>
          <w:b/>
          <w:sz w:val="32"/>
        </w:rPr>
        <w:t>（三）国有资产占有使用情况</w:t>
      </w:r>
      <w:bookmarkEnd w:id="14"/>
    </w:p>
    <w:p w14:paraId="29C7E1D7">
      <w:pPr>
        <w:spacing w:line="600" w:lineRule="exact"/>
        <w:ind w:firstLine="640" w:firstLineChars="200"/>
        <w:rPr>
          <w:rFonts w:ascii="仿宋_GB2312" w:eastAsia="仿宋_GB2312"/>
          <w:sz w:val="32"/>
        </w:rPr>
      </w:pPr>
      <w:r>
        <w:rPr>
          <w:rFonts w:hint="eastAsia" w:ascii="仿宋_GB2312" w:eastAsia="仿宋_GB2312"/>
          <w:sz w:val="32"/>
        </w:rPr>
        <w:t>截至2022年12月31日，学校共有车辆0辆。</w:t>
      </w:r>
    </w:p>
    <w:p w14:paraId="49AAF96F">
      <w:pPr>
        <w:keepNext/>
        <w:keepLines/>
        <w:spacing w:line="576" w:lineRule="exact"/>
        <w:ind w:firstLine="643"/>
        <w:jc w:val="both"/>
        <w:rPr>
          <w:rFonts w:ascii="仿宋_GB2312" w:hAnsi="仿宋_GB2312" w:eastAsia="仿宋_GB2312"/>
          <w:b/>
          <w:color w:val="000000"/>
          <w:kern w:val="2"/>
          <w:sz w:val="32"/>
          <w:lang w:val="zh-CN"/>
        </w:rPr>
      </w:pPr>
      <w:r>
        <w:rPr>
          <w:rFonts w:hint="eastAsia" w:ascii="仿宋_GB2312" w:hAnsi="仿宋_GB2312" w:eastAsia="仿宋_GB2312"/>
          <w:b/>
          <w:color w:val="000000"/>
          <w:kern w:val="2"/>
          <w:sz w:val="32"/>
          <w:lang w:val="zh-CN"/>
        </w:rPr>
        <w:t>（四）预算绩效管理情况。</w:t>
      </w:r>
    </w:p>
    <w:p w14:paraId="7E590AED">
      <w:pPr>
        <w:spacing w:line="580" w:lineRule="exact"/>
        <w:ind w:firstLine="640" w:firstLineChars="200"/>
        <w:rPr>
          <w:rFonts w:ascii="仿宋_GB2312" w:eastAsia="仿宋_GB2312"/>
          <w:sz w:val="32"/>
        </w:rPr>
      </w:pPr>
      <w:r>
        <w:rPr>
          <w:rFonts w:hint="eastAsia" w:ascii="仿宋_GB2312" w:hAnsi="仿宋_GB2312" w:eastAsia="仿宋_GB2312" w:cs="仿宋_GB2312"/>
          <w:sz w:val="32"/>
          <w:szCs w:val="32"/>
        </w:rPr>
        <w:t>本部门按要求对2022年部门整体支出开展绩效自评，从评价情况来看</w:t>
      </w:r>
      <w:r>
        <w:rPr>
          <w:rFonts w:hint="eastAsia" w:ascii="仿宋_GB2312" w:eastAsia="仿宋_GB2312"/>
          <w:sz w:val="32"/>
        </w:rPr>
        <w:t>遂宁市安居区白马镇平宁小学校将部门整体支出绩效评价作为财政预算资金使用管理的一项重要工作，切实加强预算收支管理，全面梳理内部管理流程，建立健全内部管理制度，有效提升了部门整体支出管理水平。</w:t>
      </w:r>
    </w:p>
    <w:p w14:paraId="75DA341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eastAsia="仿宋_GB2312"/>
          <w:sz w:val="32"/>
        </w:rPr>
        <w:t>遂宁市安居区白马镇平宁小学校</w:t>
      </w:r>
      <w:r>
        <w:rPr>
          <w:rFonts w:hint="eastAsia" w:ascii="仿宋_GB2312" w:hAnsi="仿宋_GB2312" w:eastAsia="仿宋_GB2312" w:cs="仿宋_GB2312"/>
          <w:sz w:val="32"/>
          <w:szCs w:val="32"/>
        </w:rPr>
        <w:t>2022年部门整体支出绩效评价报告》见附件（附件1）。</w:t>
      </w:r>
    </w:p>
    <w:p w14:paraId="65DF7FB0">
      <w:pPr>
        <w:spacing w:line="576" w:lineRule="exact"/>
        <w:ind w:firstLine="643"/>
        <w:jc w:val="both"/>
        <w:rPr>
          <w:rFonts w:ascii="仿宋_GB2312" w:hAnsi="仿宋_GB2312" w:eastAsia="仿宋_GB2312"/>
          <w:b/>
          <w:color w:val="000000"/>
          <w:kern w:val="2"/>
          <w:sz w:val="32"/>
          <w:lang w:val="zh-CN"/>
        </w:rPr>
      </w:pPr>
    </w:p>
    <w:p w14:paraId="458986FD">
      <w:pPr>
        <w:keepNext/>
        <w:keepLines/>
        <w:spacing w:line="576" w:lineRule="exact"/>
        <w:jc w:val="center"/>
        <w:rPr>
          <w:rFonts w:ascii="黑体" w:hAnsi="黑体" w:eastAsia="黑体"/>
          <w:kern w:val="44"/>
          <w:sz w:val="44"/>
          <w:lang w:val="zh-CN"/>
        </w:rPr>
      </w:pPr>
      <w:r>
        <w:rPr>
          <w:rFonts w:hint="eastAsia" w:ascii="黑体" w:hAnsi="黑体" w:eastAsia="黑体"/>
          <w:color w:val="000000"/>
          <w:kern w:val="2"/>
          <w:sz w:val="44"/>
          <w:lang w:val="zh-CN"/>
        </w:rPr>
        <w:t>第三部分 名</w:t>
      </w:r>
      <w:r>
        <w:rPr>
          <w:rFonts w:hint="eastAsia" w:ascii="黑体" w:hAnsi="黑体" w:eastAsia="黑体"/>
          <w:kern w:val="44"/>
          <w:sz w:val="44"/>
          <w:lang w:val="zh-CN"/>
        </w:rPr>
        <w:t>词解释</w:t>
      </w:r>
    </w:p>
    <w:p w14:paraId="0DC8CBC3">
      <w:pPr>
        <w:pStyle w:val="13"/>
        <w:spacing w:line="560" w:lineRule="exact"/>
        <w:ind w:firstLine="640" w:firstLineChars="200"/>
        <w:rPr>
          <w:rFonts w:hint="default" w:ascii="仿宋_GB2312" w:eastAsia="仿宋_GB2312"/>
          <w:color w:val="auto"/>
          <w:sz w:val="32"/>
          <w:szCs w:val="32"/>
        </w:rPr>
      </w:pPr>
      <w:r>
        <w:rPr>
          <w:rFonts w:ascii="仿宋_GB2312" w:eastAsia="仿宋_GB2312"/>
          <w:color w:val="auto"/>
          <w:sz w:val="32"/>
          <w:szCs w:val="32"/>
        </w:rPr>
        <w:t>1.财政拨款收入：指单位从同级财政部门取得的财政预算资金。</w:t>
      </w:r>
    </w:p>
    <w:p w14:paraId="5E06C2C7">
      <w:pPr>
        <w:pStyle w:val="13"/>
        <w:spacing w:line="560" w:lineRule="exact"/>
        <w:ind w:firstLine="640" w:firstLineChars="200"/>
        <w:rPr>
          <w:rFonts w:hint="default" w:ascii="仿宋_GB2312" w:eastAsia="仿宋_GB2312"/>
          <w:color w:val="auto"/>
          <w:sz w:val="32"/>
          <w:szCs w:val="32"/>
        </w:rPr>
      </w:pPr>
      <w:r>
        <w:rPr>
          <w:rFonts w:ascii="仿宋_GB2312" w:eastAsia="仿宋_GB2312"/>
          <w:color w:val="auto"/>
          <w:sz w:val="32"/>
          <w:szCs w:val="32"/>
        </w:rPr>
        <w:t>2.事业收入：指事业单位开展专业业务活动及辅助活动取得的收入。如…（二级预算单位事业收入情况）等。</w:t>
      </w:r>
    </w:p>
    <w:p w14:paraId="0A04B5F1">
      <w:pPr>
        <w:spacing w:line="560" w:lineRule="exact"/>
        <w:ind w:firstLine="640" w:firstLineChars="200"/>
        <w:rPr>
          <w:rFonts w:ascii="仿宋" w:hAnsi="仿宋" w:eastAsia="仿宋"/>
          <w:sz w:val="32"/>
        </w:rPr>
      </w:pPr>
      <w:r>
        <w:rPr>
          <w:rFonts w:hint="eastAsia" w:ascii="仿宋" w:hAnsi="仿宋" w:eastAsia="仿宋"/>
          <w:sz w:val="32"/>
        </w:rPr>
        <w:t>3.教育（205类）普通教育（02款）初中教育（03项）: 反映各部门举办的初中教育支出。政府各部门对社会中介组织等举办的初中教育的资助，如各类捐赠、补贴等，也在本科目中反映。</w:t>
      </w:r>
    </w:p>
    <w:p w14:paraId="025A06F8">
      <w:pPr>
        <w:spacing w:line="560" w:lineRule="exact"/>
        <w:ind w:firstLine="640" w:firstLineChars="200"/>
        <w:rPr>
          <w:rFonts w:ascii="仿宋" w:hAnsi="仿宋" w:eastAsia="仿宋"/>
          <w:sz w:val="32"/>
        </w:rPr>
      </w:pPr>
      <w:r>
        <w:rPr>
          <w:rFonts w:hint="eastAsia" w:ascii="仿宋" w:hAnsi="仿宋" w:eastAsia="仿宋"/>
          <w:sz w:val="32"/>
        </w:rPr>
        <w:t>4.社会保障和就业（208类）行政事业单位离退休（05款）机关事业单位基本养老保险缴费支出（05项）: 反映机关事业单位实施养老保险制度由单位缴纳的基本养老保险费支出。</w:t>
      </w:r>
    </w:p>
    <w:p w14:paraId="054A9883">
      <w:pPr>
        <w:spacing w:line="560" w:lineRule="exact"/>
        <w:ind w:firstLine="640" w:firstLineChars="200"/>
        <w:rPr>
          <w:rFonts w:ascii="仿宋" w:hAnsi="仿宋" w:eastAsia="仿宋"/>
          <w:sz w:val="32"/>
        </w:rPr>
      </w:pPr>
      <w:r>
        <w:rPr>
          <w:rFonts w:hint="eastAsia" w:ascii="仿宋" w:hAnsi="仿宋" w:eastAsia="仿宋"/>
          <w:sz w:val="32"/>
        </w:rPr>
        <w:t>5.社会保障和就业（208类）抚恤（08款）死亡抚恤（01项）: 反映按规定用于烈士和牺牲、病故人员家属的一次性和定期抚恤金以及丧葬补助费。</w:t>
      </w:r>
    </w:p>
    <w:p w14:paraId="6246ABA1">
      <w:pPr>
        <w:spacing w:line="560" w:lineRule="exact"/>
        <w:ind w:firstLine="640" w:firstLineChars="200"/>
        <w:rPr>
          <w:rFonts w:ascii="仿宋" w:hAnsi="仿宋" w:eastAsia="仿宋"/>
          <w:sz w:val="32"/>
        </w:rPr>
      </w:pPr>
      <w:r>
        <w:rPr>
          <w:rFonts w:hint="eastAsia" w:ascii="仿宋" w:hAnsi="仿宋" w:eastAsia="仿宋"/>
          <w:sz w:val="32"/>
        </w:rPr>
        <w:t>6.社会保障和就业（208类）其他社会保障和就业支出（99款）其他社会保障和就业支出（01项）: 反映上述项目以外其他用用于社会保障和就业方面的支出。</w:t>
      </w:r>
    </w:p>
    <w:p w14:paraId="0ABC0F16">
      <w:pPr>
        <w:spacing w:line="560" w:lineRule="exact"/>
        <w:ind w:firstLine="640" w:firstLineChars="200"/>
        <w:rPr>
          <w:rFonts w:ascii="仿宋" w:hAnsi="仿宋" w:eastAsia="仿宋"/>
          <w:sz w:val="32"/>
        </w:rPr>
      </w:pPr>
      <w:r>
        <w:rPr>
          <w:rFonts w:hint="eastAsia" w:ascii="仿宋" w:hAnsi="仿宋" w:eastAsia="仿宋"/>
          <w:sz w:val="32"/>
        </w:rPr>
        <w:t>7.医疗卫生与计划生育（210类）行政事业单位医疗（11款）行政单位医疗（01项）:反映财政部门集中安排的行政单位基本医疗保险缴费经费，未参加医疗保险的行政单位的公费医疗经费，按国家规定享受离休人员、红军老战士待遇人员的医疗经费。</w:t>
      </w:r>
    </w:p>
    <w:p w14:paraId="0D819EC7">
      <w:pPr>
        <w:spacing w:line="560" w:lineRule="exact"/>
        <w:ind w:firstLine="640" w:firstLineChars="200"/>
        <w:rPr>
          <w:rFonts w:ascii="仿宋" w:hAnsi="仿宋" w:eastAsia="仿宋"/>
          <w:sz w:val="32"/>
        </w:rPr>
      </w:pPr>
      <w:r>
        <w:rPr>
          <w:rFonts w:hint="eastAsia" w:ascii="仿宋" w:hAnsi="仿宋" w:eastAsia="仿宋"/>
          <w:sz w:val="32"/>
        </w:rPr>
        <w:t>8.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14:paraId="13A1EC9F">
      <w:pPr>
        <w:spacing w:line="560" w:lineRule="exact"/>
        <w:ind w:firstLine="640" w:firstLineChars="200"/>
        <w:rPr>
          <w:rFonts w:ascii="仿宋" w:hAnsi="仿宋" w:eastAsia="仿宋"/>
          <w:sz w:val="32"/>
        </w:rPr>
      </w:pPr>
      <w:r>
        <w:rPr>
          <w:rFonts w:hint="eastAsia" w:ascii="仿宋" w:hAnsi="仿宋" w:eastAsia="仿宋"/>
          <w:sz w:val="32"/>
        </w:rPr>
        <w:t>9.医疗卫生与计划生育（210类）行政事业单位医疗（11款）公务员医疗补助（03项）:反映财政部门集中安排的公务员医疗补助经费。</w:t>
      </w:r>
    </w:p>
    <w:p w14:paraId="3870A4BA">
      <w:pPr>
        <w:spacing w:line="560" w:lineRule="exact"/>
        <w:ind w:firstLine="640" w:firstLineChars="200"/>
        <w:rPr>
          <w:rFonts w:ascii="仿宋" w:hAnsi="仿宋" w:eastAsia="仿宋"/>
          <w:sz w:val="32"/>
        </w:rPr>
      </w:pPr>
      <w:r>
        <w:rPr>
          <w:rFonts w:hint="eastAsia" w:ascii="仿宋" w:hAnsi="仿宋" w:eastAsia="仿宋"/>
          <w:sz w:val="32"/>
        </w:rPr>
        <w:t>10.住房保障支出（221类）住房改革支出（02款）住房公积金（01项）:反映行政事业单位按人力资源和社会保障部、财政部规定的基本工资和津贴补贴以及规定比例为职工缴纳的住房公积金。</w:t>
      </w:r>
    </w:p>
    <w:p w14:paraId="5C67F696">
      <w:pPr>
        <w:spacing w:line="560" w:lineRule="exact"/>
        <w:ind w:firstLine="640" w:firstLineChars="200"/>
        <w:rPr>
          <w:rFonts w:ascii="仿宋" w:hAnsi="仿宋" w:eastAsia="仿宋"/>
          <w:sz w:val="32"/>
        </w:rPr>
      </w:pPr>
      <w:r>
        <w:rPr>
          <w:rFonts w:hint="eastAsia" w:ascii="仿宋" w:hAnsi="仿宋" w:eastAsia="仿宋"/>
          <w:sz w:val="32"/>
        </w:rPr>
        <w:t>11.基本支出：指为保障机构正常运转、完成日常工作任务而发生的人员支出和公用支出。</w:t>
      </w:r>
    </w:p>
    <w:p w14:paraId="63D37622">
      <w:pPr>
        <w:spacing w:line="560" w:lineRule="exact"/>
        <w:ind w:firstLine="640" w:firstLineChars="200"/>
        <w:rPr>
          <w:rFonts w:ascii="仿宋" w:hAnsi="仿宋" w:eastAsia="仿宋"/>
          <w:sz w:val="32"/>
        </w:rPr>
      </w:pPr>
      <w:r>
        <w:rPr>
          <w:rFonts w:hint="eastAsia" w:ascii="仿宋" w:hAnsi="仿宋" w:eastAsia="仿宋"/>
          <w:sz w:val="32"/>
        </w:rPr>
        <w:t>12.项目支出：指在基本支出之外为完成特定行政任务和事业发展目标所发生的支出。</w:t>
      </w:r>
    </w:p>
    <w:p w14:paraId="1B884361">
      <w:pPr>
        <w:spacing w:line="560" w:lineRule="exact"/>
        <w:ind w:firstLine="640" w:firstLineChars="200"/>
        <w:rPr>
          <w:rFonts w:ascii="仿宋" w:hAnsi="仿宋" w:eastAsia="仿宋"/>
          <w:sz w:val="32"/>
        </w:rPr>
      </w:pPr>
      <w:r>
        <w:rPr>
          <w:rFonts w:hint="eastAsia" w:ascii="仿宋" w:hAnsi="仿宋" w:eastAsia="仿宋"/>
          <w:sz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FDB8E2">
      <w:pPr>
        <w:spacing w:line="600" w:lineRule="exact"/>
        <w:ind w:firstLine="640"/>
        <w:jc w:val="both"/>
        <w:rPr>
          <w:rFonts w:ascii="仿宋" w:hAnsi="仿宋" w:eastAsia="仿宋"/>
          <w:b/>
          <w:kern w:val="2"/>
          <w:sz w:val="32"/>
        </w:rPr>
      </w:pPr>
      <w:r>
        <w:rPr>
          <w:rFonts w:hint="eastAsia" w:ascii="仿宋" w:hAnsi="仿宋" w:eastAsia="仿宋"/>
          <w:b/>
          <w:kern w:val="2"/>
          <w:sz w:val="32"/>
        </w:rPr>
        <w:t>（解释本单位决算报表中涉及的全部功能分类科目至项级，不涉及的科目请自行删除。请参照《2022年政府收支分类科目》增减内容。）</w:t>
      </w:r>
    </w:p>
    <w:p w14:paraId="3FBE74D9">
      <w:pPr>
        <w:keepNext/>
        <w:keepLines/>
        <w:spacing w:line="576" w:lineRule="exact"/>
        <w:jc w:val="center"/>
        <w:rPr>
          <w:rFonts w:ascii="黑体" w:hAnsi="黑体" w:eastAsia="黑体"/>
          <w:kern w:val="44"/>
          <w:sz w:val="44"/>
          <w:lang w:val="zh-CN"/>
        </w:rPr>
      </w:pPr>
    </w:p>
    <w:p w14:paraId="69743991">
      <w:pPr>
        <w:spacing w:line="600" w:lineRule="exact"/>
        <w:jc w:val="center"/>
        <w:outlineLvl w:val="0"/>
        <w:rPr>
          <w:rStyle w:val="15"/>
          <w:rFonts w:ascii="黑体" w:hAnsi="黑体" w:eastAsia="黑体"/>
          <w:sz w:val="40"/>
        </w:rPr>
      </w:pPr>
      <w:bookmarkStart w:id="15" w:name="_Toc15396614"/>
      <w:r>
        <w:rPr>
          <w:rFonts w:hint="eastAsia" w:ascii="黑体" w:hAnsi="黑体" w:eastAsia="黑体"/>
          <w:sz w:val="44"/>
        </w:rPr>
        <w:t>第</w:t>
      </w:r>
      <w:r>
        <w:rPr>
          <w:rStyle w:val="15"/>
          <w:rFonts w:hint="eastAsia" w:ascii="黑体" w:hAnsi="黑体" w:eastAsia="黑体"/>
          <w:sz w:val="40"/>
        </w:rPr>
        <w:t>四部分 附件</w:t>
      </w:r>
      <w:bookmarkEnd w:id="15"/>
    </w:p>
    <w:p w14:paraId="66ED33CF">
      <w:pPr>
        <w:spacing w:line="600" w:lineRule="exac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55D24AD">
      <w:pPr>
        <w:spacing w:line="560" w:lineRule="exact"/>
        <w:jc w:val="center"/>
        <w:rPr>
          <w:rFonts w:ascii="方正小标宋简体" w:hAnsi="宋体" w:eastAsia="方正小标宋简体"/>
          <w:color w:val="000000"/>
          <w:sz w:val="40"/>
          <w:lang w:val="zh-CN"/>
        </w:rPr>
      </w:pPr>
      <w:r>
        <w:rPr>
          <w:rFonts w:hint="eastAsia" w:ascii="方正小标宋简体" w:hAnsi="宋体" w:eastAsia="方正小标宋简体"/>
          <w:color w:val="000000"/>
          <w:sz w:val="40"/>
        </w:rPr>
        <w:t>2022年部门</w:t>
      </w:r>
      <w:r>
        <w:rPr>
          <w:rFonts w:hint="eastAsia" w:ascii="方正小标宋简体" w:hAnsi="宋体" w:eastAsia="方正小标宋简体"/>
          <w:color w:val="000000"/>
          <w:sz w:val="40"/>
          <w:lang w:val="zh-CN"/>
        </w:rPr>
        <w:t>整体支出绩效评价报告</w:t>
      </w:r>
    </w:p>
    <w:p w14:paraId="331036ED">
      <w:pPr>
        <w:widowControl/>
        <w:snapToGrid w:val="0"/>
        <w:spacing w:line="560" w:lineRule="exact"/>
        <w:ind w:firstLine="640" w:firstLineChars="200"/>
        <w:rPr>
          <w:rFonts w:ascii="黑体" w:hAnsi="宋体" w:eastAsia="黑体" w:cs="宋体"/>
          <w:color w:val="000000"/>
          <w:sz w:val="32"/>
          <w:szCs w:val="32"/>
          <w:shd w:val="clear" w:color="auto" w:fill="FFFFFF"/>
        </w:rPr>
      </w:pPr>
    </w:p>
    <w:p w14:paraId="2A0CB889">
      <w:pPr>
        <w:widowControl/>
        <w:snapToGrid w:val="0"/>
        <w:spacing w:line="560" w:lineRule="exact"/>
        <w:ind w:firstLine="640" w:firstLineChars="200"/>
        <w:rPr>
          <w:rFonts w:ascii="仿宋" w:hAnsi="仿宋" w:eastAsia="仿宋"/>
          <w:sz w:val="32"/>
        </w:rPr>
      </w:pPr>
      <w:r>
        <w:rPr>
          <w:rFonts w:hint="eastAsia" w:ascii="仿宋" w:hAnsi="仿宋" w:eastAsia="仿宋"/>
          <w:sz w:val="32"/>
        </w:rPr>
        <w:t>一、部门（单位）概况</w:t>
      </w:r>
    </w:p>
    <w:p w14:paraId="0DD94F4F">
      <w:pPr>
        <w:widowControl/>
        <w:snapToGrid w:val="0"/>
        <w:spacing w:line="560" w:lineRule="exact"/>
        <w:ind w:firstLine="640" w:firstLineChars="200"/>
        <w:rPr>
          <w:rFonts w:ascii="仿宋" w:hAnsi="仿宋" w:eastAsia="仿宋"/>
          <w:sz w:val="32"/>
        </w:rPr>
      </w:pPr>
      <w:r>
        <w:rPr>
          <w:rFonts w:hint="eastAsia" w:ascii="仿宋" w:hAnsi="仿宋" w:eastAsia="仿宋"/>
          <w:sz w:val="32"/>
        </w:rPr>
        <w:t>（一）机构组成</w:t>
      </w:r>
    </w:p>
    <w:p w14:paraId="427AE54C">
      <w:pPr>
        <w:widowControl/>
        <w:snapToGrid w:val="0"/>
        <w:spacing w:line="560" w:lineRule="exact"/>
        <w:ind w:firstLine="640" w:firstLineChars="200"/>
        <w:rPr>
          <w:rFonts w:ascii="仿宋" w:hAnsi="仿宋" w:eastAsia="仿宋"/>
          <w:sz w:val="32"/>
        </w:rPr>
      </w:pPr>
      <w:r>
        <w:rPr>
          <w:rFonts w:hint="eastAsia" w:ascii="仿宋" w:hAnsi="仿宋" w:eastAsia="仿宋"/>
          <w:sz w:val="32"/>
        </w:rPr>
        <w:t>1．行政办公室</w:t>
      </w:r>
    </w:p>
    <w:p w14:paraId="07360994">
      <w:pPr>
        <w:widowControl/>
        <w:snapToGrid w:val="0"/>
        <w:spacing w:line="560" w:lineRule="exact"/>
        <w:ind w:firstLine="640" w:firstLineChars="200"/>
        <w:rPr>
          <w:rFonts w:ascii="仿宋" w:hAnsi="仿宋" w:eastAsia="仿宋"/>
          <w:sz w:val="32"/>
        </w:rPr>
      </w:pPr>
      <w:r>
        <w:rPr>
          <w:rFonts w:hint="eastAsia" w:ascii="仿宋" w:hAnsi="仿宋" w:eastAsia="仿宋"/>
          <w:sz w:val="32"/>
        </w:rPr>
        <w:t>2．财务室</w:t>
      </w:r>
    </w:p>
    <w:p w14:paraId="40FE95AF">
      <w:pPr>
        <w:widowControl/>
        <w:snapToGrid w:val="0"/>
        <w:spacing w:line="560" w:lineRule="exact"/>
        <w:ind w:firstLine="640" w:firstLineChars="200"/>
        <w:rPr>
          <w:rFonts w:ascii="仿宋" w:hAnsi="仿宋" w:eastAsia="仿宋"/>
          <w:sz w:val="32"/>
        </w:rPr>
      </w:pPr>
      <w:r>
        <w:rPr>
          <w:rFonts w:hint="eastAsia" w:ascii="仿宋" w:hAnsi="仿宋" w:eastAsia="仿宋"/>
          <w:sz w:val="32"/>
        </w:rPr>
        <w:t>3．教导处</w:t>
      </w:r>
    </w:p>
    <w:p w14:paraId="4C2DDEFC">
      <w:pPr>
        <w:widowControl/>
        <w:snapToGrid w:val="0"/>
        <w:spacing w:line="560" w:lineRule="exact"/>
        <w:ind w:firstLine="640" w:firstLineChars="200"/>
        <w:rPr>
          <w:rFonts w:ascii="仿宋" w:hAnsi="仿宋" w:eastAsia="仿宋"/>
          <w:sz w:val="32"/>
        </w:rPr>
      </w:pPr>
      <w:r>
        <w:rPr>
          <w:rFonts w:hint="eastAsia" w:ascii="仿宋" w:hAnsi="仿宋" w:eastAsia="仿宋"/>
          <w:sz w:val="32"/>
        </w:rPr>
        <w:t>4．少队部</w:t>
      </w:r>
    </w:p>
    <w:p w14:paraId="3994E615">
      <w:pPr>
        <w:widowControl/>
        <w:snapToGrid w:val="0"/>
        <w:spacing w:line="560" w:lineRule="exact"/>
        <w:ind w:firstLine="640" w:firstLineChars="200"/>
        <w:rPr>
          <w:rFonts w:ascii="仿宋" w:hAnsi="仿宋" w:eastAsia="仿宋"/>
          <w:sz w:val="32"/>
        </w:rPr>
      </w:pPr>
      <w:r>
        <w:rPr>
          <w:rFonts w:hint="eastAsia" w:ascii="仿宋" w:hAnsi="仿宋" w:eastAsia="仿宋"/>
          <w:sz w:val="32"/>
        </w:rPr>
        <w:t>5．安全办</w:t>
      </w:r>
    </w:p>
    <w:p w14:paraId="69214381">
      <w:pPr>
        <w:widowControl/>
        <w:snapToGrid w:val="0"/>
        <w:spacing w:line="560" w:lineRule="exact"/>
        <w:ind w:firstLine="640" w:firstLineChars="200"/>
        <w:rPr>
          <w:rFonts w:ascii="仿宋" w:hAnsi="仿宋" w:eastAsia="仿宋"/>
          <w:sz w:val="32"/>
        </w:rPr>
      </w:pPr>
      <w:r>
        <w:rPr>
          <w:rFonts w:hint="eastAsia" w:ascii="仿宋" w:hAnsi="仿宋" w:eastAsia="仿宋"/>
          <w:sz w:val="32"/>
        </w:rPr>
        <w:t>遂宁市安居区白马镇平宁小学校共设有5个内设部门。</w:t>
      </w:r>
    </w:p>
    <w:p w14:paraId="41B38A7E">
      <w:pPr>
        <w:widowControl/>
        <w:snapToGrid w:val="0"/>
        <w:spacing w:line="560" w:lineRule="exact"/>
        <w:ind w:firstLine="640" w:firstLineChars="200"/>
        <w:rPr>
          <w:rFonts w:ascii="仿宋" w:hAnsi="仿宋" w:eastAsia="仿宋"/>
          <w:sz w:val="32"/>
        </w:rPr>
      </w:pPr>
      <w:r>
        <w:rPr>
          <w:rFonts w:hint="eastAsia" w:ascii="仿宋" w:hAnsi="仿宋" w:eastAsia="仿宋"/>
          <w:sz w:val="32"/>
        </w:rPr>
        <w:t>（二）机构职能</w:t>
      </w:r>
    </w:p>
    <w:p w14:paraId="0D6B2F9E">
      <w:pPr>
        <w:jc w:val="center"/>
        <w:rPr>
          <w:rFonts w:ascii="仿宋" w:hAnsi="仿宋" w:eastAsia="仿宋"/>
          <w:sz w:val="32"/>
        </w:rPr>
      </w:pPr>
      <w:r>
        <w:rPr>
          <w:rFonts w:hint="eastAsia" w:ascii="仿宋" w:hAnsi="仿宋" w:eastAsia="仿宋"/>
          <w:sz w:val="32"/>
        </w:rPr>
        <w:t>行政办公室工作职责</w:t>
      </w:r>
    </w:p>
    <w:p w14:paraId="1DC7970A">
      <w:pPr>
        <w:ind w:firstLine="640" w:firstLineChars="200"/>
        <w:rPr>
          <w:rFonts w:ascii="仿宋" w:hAnsi="仿宋" w:eastAsia="仿宋"/>
          <w:sz w:val="32"/>
        </w:rPr>
      </w:pPr>
      <w:r>
        <w:rPr>
          <w:rFonts w:hint="eastAsia" w:ascii="仿宋" w:hAnsi="仿宋" w:eastAsia="仿宋"/>
          <w:sz w:val="32"/>
        </w:rPr>
        <w:t>行政办公室是在校长的直接领导下做好学校日常工作的部门，协助校长制订、贯彻和落实学校改革方案、工作计划；经常检查执行情况，严格执行催办制度。其职责是：</w:t>
      </w:r>
    </w:p>
    <w:p w14:paraId="7634E363">
      <w:pPr>
        <w:ind w:firstLine="640" w:firstLineChars="200"/>
        <w:rPr>
          <w:rFonts w:ascii="仿宋" w:hAnsi="仿宋" w:eastAsia="仿宋"/>
          <w:sz w:val="32"/>
        </w:rPr>
      </w:pPr>
      <w:r>
        <w:rPr>
          <w:rFonts w:hint="eastAsia" w:ascii="仿宋" w:hAnsi="仿宋" w:eastAsia="仿宋"/>
          <w:sz w:val="32"/>
        </w:rPr>
        <w:t>1.负责掌管校印、校领导印章；做好学校介绍信的管理和使用。</w:t>
      </w:r>
    </w:p>
    <w:p w14:paraId="48C2C0D6">
      <w:pPr>
        <w:ind w:firstLine="640" w:firstLineChars="200"/>
        <w:rPr>
          <w:rFonts w:ascii="仿宋" w:hAnsi="仿宋" w:eastAsia="仿宋"/>
          <w:sz w:val="32"/>
        </w:rPr>
      </w:pPr>
      <w:r>
        <w:rPr>
          <w:rFonts w:hint="eastAsia" w:ascii="仿宋" w:hAnsi="仿宋" w:eastAsia="仿宋"/>
          <w:sz w:val="32"/>
        </w:rPr>
        <w:t>2.负责召集学校行政会议，教工大会；督促、检查、执行会议决议。做好校内会议，特别是临时性会议的准备工作。负责学校各种会议的记录工作。</w:t>
      </w:r>
    </w:p>
    <w:p w14:paraId="0B9F9B1E">
      <w:pPr>
        <w:ind w:firstLine="640" w:firstLineChars="200"/>
        <w:rPr>
          <w:rFonts w:ascii="仿宋" w:hAnsi="仿宋" w:eastAsia="仿宋"/>
          <w:sz w:val="32"/>
        </w:rPr>
      </w:pPr>
      <w:r>
        <w:rPr>
          <w:rFonts w:hint="eastAsia" w:ascii="仿宋" w:hAnsi="仿宋" w:eastAsia="仿宋"/>
          <w:sz w:val="32"/>
        </w:rPr>
        <w:t>3.协助校领导搞好与各有关单位的联络工作。协调各处室、年级的关系，保证学校各处室工作协调运转。</w:t>
      </w:r>
    </w:p>
    <w:p w14:paraId="53C75E5B">
      <w:pPr>
        <w:ind w:firstLine="640" w:firstLineChars="200"/>
        <w:rPr>
          <w:rFonts w:ascii="仿宋" w:hAnsi="仿宋" w:eastAsia="仿宋"/>
          <w:sz w:val="32"/>
        </w:rPr>
      </w:pPr>
      <w:r>
        <w:rPr>
          <w:rFonts w:hint="eastAsia" w:ascii="仿宋" w:hAnsi="仿宋" w:eastAsia="仿宋"/>
          <w:sz w:val="32"/>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14:paraId="41007BF9">
      <w:pPr>
        <w:ind w:firstLine="640" w:firstLineChars="200"/>
        <w:rPr>
          <w:rFonts w:ascii="仿宋" w:hAnsi="仿宋" w:eastAsia="仿宋"/>
          <w:sz w:val="32"/>
        </w:rPr>
      </w:pPr>
      <w:r>
        <w:rPr>
          <w:rFonts w:hint="eastAsia" w:ascii="仿宋" w:hAnsi="仿宋" w:eastAsia="仿宋"/>
          <w:sz w:val="32"/>
        </w:rPr>
        <w:t>5.负责学校教师档案、年度考核、职称评聘、转正、晋级增资、调进调出、离退休等工作。收集各级先进工作者的推选及评审等工作。做好阶段性迎检工作、上级考核、教师评价与考核工作。</w:t>
      </w:r>
    </w:p>
    <w:p w14:paraId="227F91EF">
      <w:pPr>
        <w:ind w:firstLine="640" w:firstLineChars="200"/>
        <w:rPr>
          <w:rFonts w:ascii="仿宋" w:hAnsi="仿宋" w:eastAsia="仿宋"/>
          <w:sz w:val="32"/>
        </w:rPr>
      </w:pPr>
      <w:r>
        <w:rPr>
          <w:rFonts w:hint="eastAsia" w:ascii="仿宋" w:hAnsi="仿宋" w:eastAsia="仿宋"/>
          <w:sz w:val="32"/>
        </w:rPr>
        <w:t>6.对全校的文书档案进行管理，负责全校文书档案和各种专门档案的收集、整理、保管和提供利用工作，做好各级文件的收发和保管、保密工作。</w:t>
      </w:r>
    </w:p>
    <w:p w14:paraId="7402A3B8">
      <w:pPr>
        <w:ind w:firstLine="640" w:firstLineChars="200"/>
        <w:rPr>
          <w:rFonts w:ascii="仿宋" w:hAnsi="仿宋" w:eastAsia="仿宋"/>
          <w:sz w:val="32"/>
        </w:rPr>
      </w:pPr>
      <w:r>
        <w:rPr>
          <w:rFonts w:hint="eastAsia" w:ascii="仿宋" w:hAnsi="仿宋" w:eastAsia="仿宋"/>
          <w:sz w:val="32"/>
        </w:rPr>
        <w:t>7.负责学校统计工作，确保重要数据准确、真实、有效。</w:t>
      </w:r>
    </w:p>
    <w:p w14:paraId="3367FFA8">
      <w:pPr>
        <w:ind w:firstLine="640" w:firstLineChars="200"/>
        <w:rPr>
          <w:rFonts w:ascii="仿宋" w:hAnsi="仿宋" w:eastAsia="仿宋"/>
          <w:sz w:val="32"/>
        </w:rPr>
      </w:pPr>
      <w:r>
        <w:rPr>
          <w:rFonts w:hint="eastAsia" w:ascii="仿宋" w:hAnsi="仿宋" w:eastAsia="仿宋"/>
          <w:sz w:val="32"/>
        </w:rPr>
        <w:t>8.负责学生学籍管理，协助教务室做好教务考务管理工作。</w:t>
      </w:r>
    </w:p>
    <w:p w14:paraId="204DED28">
      <w:pPr>
        <w:ind w:firstLine="640" w:firstLineChars="200"/>
        <w:rPr>
          <w:rFonts w:ascii="仿宋" w:hAnsi="仿宋" w:eastAsia="仿宋"/>
          <w:sz w:val="32"/>
        </w:rPr>
      </w:pPr>
      <w:r>
        <w:rPr>
          <w:rFonts w:hint="eastAsia" w:ascii="仿宋" w:hAnsi="仿宋" w:eastAsia="仿宋"/>
          <w:sz w:val="32"/>
        </w:rPr>
        <w:t>9.负责招生工作，妥善保管招生资料。具体工作如下：</w:t>
      </w:r>
    </w:p>
    <w:p w14:paraId="64D56E82">
      <w:pPr>
        <w:ind w:firstLine="640" w:firstLineChars="200"/>
        <w:rPr>
          <w:rFonts w:ascii="仿宋" w:hAnsi="仿宋" w:eastAsia="仿宋"/>
          <w:sz w:val="32"/>
        </w:rPr>
      </w:pPr>
      <w:r>
        <w:rPr>
          <w:rFonts w:hint="eastAsia" w:ascii="仿宋" w:hAnsi="仿宋" w:eastAsia="仿宋"/>
          <w:sz w:val="32"/>
        </w:rPr>
        <w:t>①执行教育部和省教育厅有关招生工作的政策和法规，落实省、市招生委员会相关工作方案和实施细则。</w:t>
      </w:r>
    </w:p>
    <w:p w14:paraId="38E23FFC">
      <w:pPr>
        <w:ind w:firstLine="640" w:firstLineChars="200"/>
        <w:rPr>
          <w:rFonts w:ascii="仿宋" w:hAnsi="仿宋" w:eastAsia="仿宋"/>
          <w:sz w:val="32"/>
        </w:rPr>
      </w:pPr>
      <w:r>
        <w:rPr>
          <w:rFonts w:hint="eastAsia" w:ascii="仿宋" w:hAnsi="仿宋" w:eastAsia="仿宋"/>
          <w:sz w:val="32"/>
        </w:rPr>
        <w:t>②深入研究学校招生工作规律和特点，制定切实可行的学校招生工作规程和年度工作计划。在充分调研论证的基础上，为学校制定年度招生计划提供工作预案。</w:t>
      </w:r>
    </w:p>
    <w:p w14:paraId="1FF742AB">
      <w:pPr>
        <w:ind w:firstLine="640" w:firstLineChars="200"/>
        <w:rPr>
          <w:rFonts w:ascii="仿宋" w:hAnsi="仿宋" w:eastAsia="仿宋"/>
          <w:sz w:val="32"/>
        </w:rPr>
      </w:pPr>
      <w:r>
        <w:rPr>
          <w:rFonts w:hint="eastAsia" w:ascii="仿宋" w:hAnsi="仿宋" w:eastAsia="仿宋"/>
          <w:sz w:val="32"/>
        </w:rPr>
        <w:t>③具体负责学校招生组织网络的构建，并负责实施相关人员的岗前培训等。</w:t>
      </w:r>
    </w:p>
    <w:p w14:paraId="3C0C2E3D">
      <w:pPr>
        <w:ind w:firstLine="640" w:firstLineChars="200"/>
        <w:rPr>
          <w:rFonts w:ascii="仿宋" w:hAnsi="仿宋" w:eastAsia="仿宋"/>
          <w:sz w:val="32"/>
        </w:rPr>
      </w:pPr>
      <w:r>
        <w:rPr>
          <w:rFonts w:hint="eastAsia" w:ascii="仿宋" w:hAnsi="仿宋" w:eastAsia="仿宋"/>
          <w:sz w:val="32"/>
        </w:rPr>
        <w:t>④充分利用现代媒体，拓展招生宣传渠道，负责编印、寄发相关宣传材料，举办招生宣传专题活动。</w:t>
      </w:r>
    </w:p>
    <w:p w14:paraId="09E93022">
      <w:pPr>
        <w:ind w:firstLine="640" w:firstLineChars="200"/>
        <w:rPr>
          <w:rFonts w:ascii="仿宋" w:hAnsi="仿宋" w:eastAsia="仿宋"/>
          <w:sz w:val="32"/>
        </w:rPr>
      </w:pPr>
      <w:r>
        <w:rPr>
          <w:rFonts w:hint="eastAsia" w:ascii="仿宋" w:hAnsi="仿宋" w:eastAsia="仿宋"/>
          <w:sz w:val="32"/>
        </w:rPr>
        <w:t>⑤做好日常接待和招生咨询工作，采取积极有效的方式，为学生、家长及基层学校提供高效优质的招生服务。</w:t>
      </w:r>
    </w:p>
    <w:p w14:paraId="47256E49">
      <w:pPr>
        <w:ind w:firstLine="640" w:firstLineChars="200"/>
        <w:rPr>
          <w:rFonts w:ascii="仿宋" w:hAnsi="仿宋" w:eastAsia="仿宋"/>
          <w:sz w:val="32"/>
        </w:rPr>
      </w:pPr>
      <w:r>
        <w:rPr>
          <w:rFonts w:hint="eastAsia" w:ascii="仿宋" w:hAnsi="仿宋" w:eastAsia="仿宋"/>
          <w:sz w:val="32"/>
        </w:rPr>
        <w:t>⑥具体负责新生的资格审查、报名注册和分类造册等工作，协助教务处做好新生入学进班工作。</w:t>
      </w:r>
    </w:p>
    <w:p w14:paraId="49956212">
      <w:pPr>
        <w:ind w:firstLine="640" w:firstLineChars="200"/>
        <w:rPr>
          <w:rFonts w:ascii="仿宋" w:hAnsi="仿宋" w:eastAsia="仿宋"/>
          <w:sz w:val="32"/>
        </w:rPr>
      </w:pPr>
      <w:r>
        <w:rPr>
          <w:rFonts w:hint="eastAsia" w:ascii="仿宋" w:hAnsi="仿宋" w:eastAsia="仿宋"/>
          <w:sz w:val="32"/>
        </w:rPr>
        <w:t>10.负责学校资产管理、绿化管理、校园网络建设及管理等，做好如下后勤保障工作：</w:t>
      </w:r>
    </w:p>
    <w:p w14:paraId="7AE39B08">
      <w:pPr>
        <w:ind w:firstLine="480" w:firstLineChars="150"/>
        <w:rPr>
          <w:rFonts w:ascii="仿宋" w:hAnsi="仿宋" w:eastAsia="仿宋"/>
          <w:sz w:val="32"/>
        </w:rPr>
      </w:pPr>
      <w:r>
        <w:rPr>
          <w:rFonts w:hint="eastAsia" w:ascii="仿宋" w:hAnsi="仿宋" w:eastAsia="仿宋"/>
          <w:sz w:val="32"/>
        </w:rPr>
        <w:t xml:space="preserve"> ①根据学校教育、教学需要，做好提供各种教学设备和办公用品等服务性工作；积极参与学校现代化教学设施设备的建设工作；负责学校网络建设运行工作。</w:t>
      </w:r>
    </w:p>
    <w:p w14:paraId="3E89CF53">
      <w:pPr>
        <w:ind w:firstLine="640" w:firstLineChars="200"/>
        <w:rPr>
          <w:rFonts w:ascii="仿宋" w:hAnsi="仿宋" w:eastAsia="仿宋"/>
          <w:sz w:val="32"/>
        </w:rPr>
      </w:pPr>
      <w:r>
        <w:rPr>
          <w:rFonts w:hint="eastAsia" w:ascii="仿宋" w:hAnsi="仿宋" w:eastAsia="仿宋"/>
          <w:sz w:val="32"/>
        </w:rPr>
        <w:t>②做好供水、供电、卫生医疗工作，努力创造良好的生活环境，方便师生生活；定期进行卫生检查，预防事故发生，不断提高服务质量。</w:t>
      </w:r>
    </w:p>
    <w:p w14:paraId="1F4F9182">
      <w:pPr>
        <w:ind w:firstLine="640" w:firstLineChars="200"/>
        <w:rPr>
          <w:rFonts w:ascii="仿宋" w:hAnsi="仿宋" w:eastAsia="仿宋"/>
          <w:sz w:val="32"/>
        </w:rPr>
      </w:pPr>
      <w:r>
        <w:rPr>
          <w:rFonts w:hint="eastAsia" w:ascii="仿宋" w:hAnsi="仿宋" w:eastAsia="仿宋"/>
          <w:sz w:val="32"/>
        </w:rPr>
        <w:t>③负责校舍、校园的建设和管理，做好学校功能室建设、运用和管理工作。协助学校领导制订并实施校园整体建设规划，做好校舍维修以及校园净化、绿化和美化等工作。</w:t>
      </w:r>
    </w:p>
    <w:p w14:paraId="432E18BB">
      <w:pPr>
        <w:ind w:firstLine="640" w:firstLineChars="200"/>
        <w:rPr>
          <w:rFonts w:ascii="仿宋" w:hAnsi="仿宋" w:eastAsia="仿宋"/>
          <w:sz w:val="32"/>
        </w:rPr>
      </w:pPr>
      <w:r>
        <w:rPr>
          <w:rFonts w:hint="eastAsia" w:ascii="仿宋" w:hAnsi="仿宋" w:eastAsia="仿宋"/>
          <w:sz w:val="32"/>
        </w:rPr>
        <w:t>④加强学校固定资产管理工作，建立健全固定资产账目，严格执行国家有关财产物资管理制度。</w:t>
      </w:r>
    </w:p>
    <w:p w14:paraId="438B19E3">
      <w:pPr>
        <w:jc w:val="center"/>
        <w:rPr>
          <w:rFonts w:ascii="仿宋" w:hAnsi="仿宋" w:eastAsia="仿宋"/>
          <w:sz w:val="32"/>
        </w:rPr>
      </w:pPr>
      <w:r>
        <w:rPr>
          <w:rFonts w:hint="eastAsia" w:ascii="仿宋" w:hAnsi="仿宋" w:eastAsia="仿宋"/>
          <w:sz w:val="32"/>
        </w:rPr>
        <w:t>财务室工作职责</w:t>
      </w:r>
    </w:p>
    <w:p w14:paraId="6184ED70">
      <w:pPr>
        <w:ind w:firstLine="640" w:firstLineChars="200"/>
        <w:rPr>
          <w:rFonts w:ascii="仿宋" w:hAnsi="仿宋" w:eastAsia="仿宋"/>
          <w:sz w:val="32"/>
        </w:rPr>
      </w:pPr>
      <w:r>
        <w:rPr>
          <w:rFonts w:hint="eastAsia" w:ascii="仿宋" w:hAnsi="仿宋" w:eastAsia="仿宋"/>
          <w:sz w:val="32"/>
        </w:rPr>
        <w:t>1.在校长的领导和上级财务部门的指导下，遵守国家财经法纪和财务制度，组织全校财务管理与会计核算工作。</w:t>
      </w:r>
    </w:p>
    <w:p w14:paraId="6DE402AA">
      <w:pPr>
        <w:ind w:firstLine="640" w:firstLineChars="200"/>
        <w:rPr>
          <w:rFonts w:ascii="仿宋" w:hAnsi="仿宋" w:eastAsia="仿宋"/>
          <w:sz w:val="32"/>
        </w:rPr>
      </w:pPr>
      <w:r>
        <w:rPr>
          <w:rFonts w:hint="eastAsia" w:ascii="仿宋" w:hAnsi="仿宋" w:eastAsia="仿宋"/>
          <w:sz w:val="32"/>
        </w:rPr>
        <w:t>2.负责组织制订、完善学校内部财务会计规章制度，并监督各部门贯彻执行。</w:t>
      </w:r>
    </w:p>
    <w:p w14:paraId="65BDCE92">
      <w:pPr>
        <w:ind w:firstLine="640" w:firstLineChars="200"/>
        <w:rPr>
          <w:rFonts w:ascii="仿宋" w:hAnsi="仿宋" w:eastAsia="仿宋"/>
          <w:sz w:val="32"/>
        </w:rPr>
      </w:pPr>
      <w:r>
        <w:rPr>
          <w:rFonts w:hint="eastAsia" w:ascii="仿宋" w:hAnsi="仿宋" w:eastAsia="仿宋"/>
          <w:sz w:val="32"/>
        </w:rPr>
        <w:t>3.积极筹集资金，广开筹资渠道，保证学校各项收入足额收缴，各项拨款及其他资金及时到位。</w:t>
      </w:r>
    </w:p>
    <w:p w14:paraId="754C0C4D">
      <w:pPr>
        <w:ind w:firstLine="640" w:firstLineChars="200"/>
        <w:rPr>
          <w:rFonts w:ascii="仿宋" w:hAnsi="仿宋" w:eastAsia="仿宋"/>
          <w:sz w:val="32"/>
        </w:rPr>
      </w:pPr>
      <w:r>
        <w:rPr>
          <w:rFonts w:hint="eastAsia" w:ascii="仿宋" w:hAnsi="仿宋" w:eastAsia="仿宋"/>
          <w:sz w:val="32"/>
        </w:rPr>
        <w:t>4.负责组织编制学校各项财务收支计划、经费预决算，监督检查计划、预算的执行情况。</w:t>
      </w:r>
    </w:p>
    <w:p w14:paraId="10140913">
      <w:pPr>
        <w:ind w:firstLine="640" w:firstLineChars="200"/>
        <w:rPr>
          <w:rFonts w:ascii="仿宋" w:hAnsi="仿宋" w:eastAsia="仿宋"/>
          <w:sz w:val="32"/>
        </w:rPr>
      </w:pPr>
      <w:r>
        <w:rPr>
          <w:rFonts w:hint="eastAsia" w:ascii="仿宋" w:hAnsi="仿宋" w:eastAsia="仿宋"/>
          <w:sz w:val="32"/>
        </w:rPr>
        <w:t>5.根据审核后的学校财务预算，负责合理安排财务支出和财务核算，保证学校各项工作顺利进行。</w:t>
      </w:r>
    </w:p>
    <w:p w14:paraId="7AAA898A">
      <w:pPr>
        <w:ind w:firstLine="640" w:firstLineChars="200"/>
        <w:rPr>
          <w:rFonts w:ascii="仿宋" w:hAnsi="仿宋" w:eastAsia="仿宋"/>
          <w:sz w:val="32"/>
        </w:rPr>
      </w:pPr>
      <w:r>
        <w:rPr>
          <w:rFonts w:hint="eastAsia" w:ascii="仿宋" w:hAnsi="仿宋" w:eastAsia="仿宋"/>
          <w:sz w:val="32"/>
        </w:rPr>
        <w:t>6.负责组织开展学校财产清查的具体工作和会计核算工作。</w:t>
      </w:r>
    </w:p>
    <w:p w14:paraId="031E7957">
      <w:pPr>
        <w:ind w:firstLine="640" w:firstLineChars="200"/>
        <w:rPr>
          <w:rFonts w:ascii="仿宋" w:hAnsi="仿宋" w:eastAsia="仿宋"/>
          <w:sz w:val="32"/>
        </w:rPr>
      </w:pPr>
      <w:r>
        <w:rPr>
          <w:rFonts w:hint="eastAsia" w:ascii="仿宋" w:hAnsi="仿宋" w:eastAsia="仿宋"/>
          <w:sz w:val="32"/>
        </w:rPr>
        <w:t>7.负责组织开展财务分析，及时查找并改进财务工作的漏洞与不足，努力提高资金使用效益。</w:t>
      </w:r>
    </w:p>
    <w:p w14:paraId="63CD62A9">
      <w:pPr>
        <w:ind w:firstLine="640" w:firstLineChars="200"/>
        <w:rPr>
          <w:rFonts w:ascii="仿宋" w:hAnsi="仿宋" w:eastAsia="仿宋"/>
          <w:sz w:val="32"/>
        </w:rPr>
      </w:pPr>
      <w:r>
        <w:rPr>
          <w:rFonts w:hint="eastAsia" w:ascii="仿宋" w:hAnsi="仿宋" w:eastAsia="仿宋"/>
          <w:sz w:val="32"/>
        </w:rPr>
        <w:t>8.负责学校日常收支具体业务工作，组织收入，合理支出，做好相关收支票据审核工作，保障学校一切工作正常运行。</w:t>
      </w:r>
    </w:p>
    <w:p w14:paraId="72DAF1A2">
      <w:pPr>
        <w:ind w:firstLine="640" w:firstLineChars="200"/>
        <w:rPr>
          <w:rFonts w:ascii="仿宋" w:hAnsi="仿宋" w:eastAsia="仿宋"/>
          <w:sz w:val="32"/>
        </w:rPr>
      </w:pPr>
      <w:r>
        <w:rPr>
          <w:rFonts w:hint="eastAsia" w:ascii="仿宋" w:hAnsi="仿宋" w:eastAsia="仿宋"/>
          <w:sz w:val="32"/>
        </w:rPr>
        <w:t>9.参与学校工作人员绩效考核、教育教学质量考核、课后服务考核岗位系数的调整、论证工作，协助教学管理部和办公室做好考核档案归档管理工作，组织发放相关待遇。</w:t>
      </w:r>
    </w:p>
    <w:p w14:paraId="6965F97F">
      <w:pPr>
        <w:ind w:firstLine="640" w:firstLineChars="200"/>
        <w:rPr>
          <w:rFonts w:ascii="仿宋" w:hAnsi="仿宋" w:eastAsia="仿宋"/>
          <w:sz w:val="32"/>
        </w:rPr>
      </w:pPr>
      <w:r>
        <w:rPr>
          <w:rFonts w:hint="eastAsia" w:ascii="仿宋" w:hAnsi="仿宋" w:eastAsia="仿宋"/>
          <w:sz w:val="32"/>
        </w:rPr>
        <w:t>10.负责学校教职工工资发放等一切福利待遇保障工作。</w:t>
      </w:r>
    </w:p>
    <w:p w14:paraId="2C1D2F2D">
      <w:pPr>
        <w:ind w:firstLine="640" w:firstLineChars="200"/>
        <w:rPr>
          <w:rFonts w:ascii="仿宋" w:hAnsi="仿宋" w:eastAsia="仿宋"/>
          <w:sz w:val="32"/>
        </w:rPr>
      </w:pPr>
      <w:r>
        <w:rPr>
          <w:rFonts w:hint="eastAsia" w:ascii="仿宋" w:hAnsi="仿宋" w:eastAsia="仿宋"/>
          <w:sz w:val="32"/>
        </w:rPr>
        <w:t>11.参与学校重要收支事项的会议研讨工作，提出财务制度要求范围内的合理实施建议和意见。</w:t>
      </w:r>
    </w:p>
    <w:p w14:paraId="0A719C72">
      <w:pPr>
        <w:ind w:firstLine="640" w:firstLineChars="200"/>
        <w:rPr>
          <w:rFonts w:ascii="仿宋" w:hAnsi="仿宋" w:eastAsia="仿宋"/>
          <w:sz w:val="32"/>
        </w:rPr>
      </w:pPr>
      <w:r>
        <w:rPr>
          <w:rFonts w:hint="eastAsia" w:ascii="仿宋" w:hAnsi="仿宋" w:eastAsia="仿宋"/>
          <w:sz w:val="32"/>
        </w:rPr>
        <w:t>12.负责组织会计人员进行政治学习与业务学习，检查协调各岗位的工作，不断提高财务人员的业务水平与服务质量。</w:t>
      </w:r>
    </w:p>
    <w:p w14:paraId="40B271EB">
      <w:pPr>
        <w:ind w:firstLine="640" w:firstLineChars="200"/>
        <w:rPr>
          <w:rFonts w:ascii="仿宋" w:hAnsi="仿宋" w:eastAsia="仿宋"/>
          <w:sz w:val="32"/>
        </w:rPr>
      </w:pPr>
      <w:r>
        <w:rPr>
          <w:rFonts w:hint="eastAsia" w:ascii="仿宋" w:hAnsi="仿宋" w:eastAsia="仿宋"/>
          <w:sz w:val="32"/>
        </w:rPr>
        <w:t>13.积极完成校领导交办的其他工作。</w:t>
      </w:r>
    </w:p>
    <w:p w14:paraId="74841428">
      <w:pPr>
        <w:jc w:val="center"/>
        <w:rPr>
          <w:rFonts w:ascii="仿宋" w:hAnsi="仿宋" w:eastAsia="仿宋"/>
          <w:sz w:val="32"/>
        </w:rPr>
      </w:pPr>
      <w:r>
        <w:rPr>
          <w:rFonts w:hint="eastAsia" w:ascii="仿宋" w:hAnsi="仿宋" w:eastAsia="仿宋"/>
          <w:sz w:val="32"/>
        </w:rPr>
        <w:t>教导处工作职责</w:t>
      </w:r>
    </w:p>
    <w:p w14:paraId="5D00E27B">
      <w:pPr>
        <w:ind w:firstLine="640" w:firstLineChars="200"/>
        <w:rPr>
          <w:rFonts w:ascii="仿宋" w:hAnsi="仿宋" w:eastAsia="仿宋"/>
          <w:sz w:val="32"/>
        </w:rPr>
      </w:pPr>
      <w:r>
        <w:rPr>
          <w:rFonts w:hint="eastAsia" w:ascii="仿宋" w:hAnsi="仿宋" w:eastAsia="仿宋"/>
          <w:sz w:val="32"/>
        </w:rPr>
        <w:t>1.认真完成上级及校长下达的各项工作任务；根据学校工作计划制定教务工作计划并组织实施；提出各学科教学、教辅人员工作安排方案，经校长办公会议审定后具体组织落实。</w:t>
      </w:r>
    </w:p>
    <w:p w14:paraId="30F8375C">
      <w:pPr>
        <w:ind w:firstLine="640" w:firstLineChars="200"/>
        <w:rPr>
          <w:rFonts w:ascii="仿宋" w:hAnsi="仿宋" w:eastAsia="仿宋"/>
          <w:sz w:val="32"/>
        </w:rPr>
      </w:pPr>
      <w:r>
        <w:rPr>
          <w:rFonts w:hint="eastAsia" w:ascii="仿宋" w:hAnsi="仿宋" w:eastAsia="仿宋"/>
          <w:sz w:val="32"/>
        </w:rPr>
        <w:t>2.健全教师业务档案、学生档案，教务、考务、考勤、成绩统计等管理工作；编班、排课、调课、安排代课，编制课程表、作息时间表以及其他教学用表；积累教学资料，并整理归档；对教务处工作人员进行考核评估。</w:t>
      </w:r>
    </w:p>
    <w:p w14:paraId="3F322A65">
      <w:pPr>
        <w:ind w:firstLine="640" w:firstLineChars="200"/>
        <w:rPr>
          <w:rFonts w:ascii="仿宋" w:hAnsi="仿宋" w:eastAsia="仿宋"/>
          <w:sz w:val="32"/>
        </w:rPr>
      </w:pPr>
      <w:r>
        <w:rPr>
          <w:rFonts w:hint="eastAsia" w:ascii="仿宋" w:hAnsi="仿宋" w:eastAsia="仿宋"/>
          <w:sz w:val="32"/>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359F6EDD">
      <w:pPr>
        <w:ind w:firstLine="640" w:firstLineChars="200"/>
        <w:rPr>
          <w:rFonts w:ascii="仿宋" w:hAnsi="仿宋" w:eastAsia="仿宋"/>
          <w:sz w:val="32"/>
        </w:rPr>
      </w:pPr>
      <w:r>
        <w:rPr>
          <w:rFonts w:hint="eastAsia" w:ascii="仿宋" w:hAnsi="仿宋" w:eastAsia="仿宋"/>
          <w:sz w:val="32"/>
        </w:rPr>
        <w:t>4.做好学生课外活动和学科竞赛活动的指导、组织和检查工作；组织落实各级教育行政部门举行的各类学科竞赛。</w:t>
      </w:r>
    </w:p>
    <w:p w14:paraId="165C97A5">
      <w:pPr>
        <w:ind w:firstLine="640" w:firstLineChars="200"/>
        <w:rPr>
          <w:rFonts w:ascii="仿宋" w:hAnsi="仿宋" w:eastAsia="仿宋"/>
          <w:sz w:val="32"/>
        </w:rPr>
      </w:pPr>
      <w:r>
        <w:rPr>
          <w:rFonts w:hint="eastAsia" w:ascii="仿宋" w:hAnsi="仿宋" w:eastAsia="仿宋"/>
          <w:sz w:val="32"/>
        </w:rPr>
        <w:t>5.协助校长制定教师进修规划并组织实施，努力发挥老教师的作用，加强对教学骨干和新生力量的培养。</w:t>
      </w:r>
    </w:p>
    <w:p w14:paraId="51D41287">
      <w:pPr>
        <w:ind w:firstLine="640" w:firstLineChars="200"/>
        <w:rPr>
          <w:rFonts w:ascii="仿宋" w:hAnsi="仿宋" w:eastAsia="仿宋"/>
          <w:sz w:val="32"/>
        </w:rPr>
      </w:pPr>
      <w:r>
        <w:rPr>
          <w:rFonts w:hint="eastAsia" w:ascii="仿宋" w:hAnsi="仿宋" w:eastAsia="仿宋"/>
          <w:sz w:val="32"/>
        </w:rPr>
        <w:t>6.注重培养青年教师，搞好青年教师的拜师结对工作和举行青年教师的教学大奖赛活动。</w:t>
      </w:r>
    </w:p>
    <w:p w14:paraId="77399B74">
      <w:pPr>
        <w:ind w:firstLine="640" w:firstLineChars="200"/>
        <w:rPr>
          <w:rFonts w:ascii="仿宋" w:hAnsi="仿宋" w:eastAsia="仿宋"/>
          <w:sz w:val="32"/>
        </w:rPr>
      </w:pPr>
      <w:r>
        <w:rPr>
          <w:rFonts w:hint="eastAsia" w:ascii="仿宋" w:hAnsi="仿宋" w:eastAsia="仿宋"/>
          <w:sz w:val="32"/>
        </w:rPr>
        <w:t>7.完成校长会议布置的其它工作。</w:t>
      </w:r>
    </w:p>
    <w:p w14:paraId="06ED8A29">
      <w:pPr>
        <w:jc w:val="center"/>
        <w:rPr>
          <w:rFonts w:ascii="仿宋" w:hAnsi="仿宋" w:eastAsia="仿宋"/>
          <w:sz w:val="32"/>
        </w:rPr>
      </w:pPr>
      <w:r>
        <w:rPr>
          <w:rFonts w:hint="eastAsia" w:ascii="仿宋" w:hAnsi="仿宋" w:eastAsia="仿宋"/>
          <w:sz w:val="32"/>
        </w:rPr>
        <w:t>少队部工作职责</w:t>
      </w:r>
    </w:p>
    <w:p w14:paraId="2F765A79">
      <w:pPr>
        <w:ind w:firstLine="640" w:firstLineChars="200"/>
        <w:rPr>
          <w:rFonts w:ascii="仿宋" w:hAnsi="仿宋" w:eastAsia="仿宋"/>
          <w:sz w:val="32"/>
        </w:rPr>
      </w:pPr>
      <w:r>
        <w:rPr>
          <w:rFonts w:hint="eastAsia" w:ascii="仿宋" w:hAnsi="仿宋" w:eastAsia="仿宋"/>
          <w:sz w:val="32"/>
        </w:rPr>
        <w:t>少队部是具体组织学校德育实施的职能部门，其常规工作及职责如下：</w:t>
      </w:r>
    </w:p>
    <w:p w14:paraId="0639ADAE">
      <w:pPr>
        <w:ind w:firstLine="640" w:firstLineChars="200"/>
        <w:rPr>
          <w:rFonts w:ascii="仿宋" w:hAnsi="仿宋" w:eastAsia="仿宋"/>
          <w:sz w:val="32"/>
        </w:rPr>
      </w:pPr>
      <w:r>
        <w:rPr>
          <w:rFonts w:hint="eastAsia" w:ascii="仿宋" w:hAnsi="仿宋" w:eastAsia="仿宋"/>
          <w:sz w:val="32"/>
        </w:rPr>
        <w:t>一、负责全校德育工作</w:t>
      </w:r>
    </w:p>
    <w:p w14:paraId="3C28CDA0">
      <w:pPr>
        <w:ind w:firstLine="640" w:firstLineChars="200"/>
        <w:rPr>
          <w:rFonts w:ascii="仿宋" w:hAnsi="仿宋" w:eastAsia="仿宋"/>
          <w:sz w:val="32"/>
        </w:rPr>
      </w:pPr>
      <w:r>
        <w:rPr>
          <w:rFonts w:hint="eastAsia" w:ascii="仿宋" w:hAnsi="仿宋" w:eastAsia="仿宋"/>
          <w:sz w:val="32"/>
        </w:rPr>
        <w:t>1.在分管德育工作的校长领导下，组织全校德育工作，努力树立良好的校风和学风。</w:t>
      </w:r>
    </w:p>
    <w:p w14:paraId="007F3D46">
      <w:pPr>
        <w:ind w:firstLine="640" w:firstLineChars="200"/>
        <w:rPr>
          <w:rFonts w:ascii="仿宋" w:hAnsi="仿宋" w:eastAsia="仿宋"/>
          <w:sz w:val="32"/>
        </w:rPr>
      </w:pPr>
      <w:r>
        <w:rPr>
          <w:rFonts w:hint="eastAsia" w:ascii="仿宋" w:hAnsi="仿宋" w:eastAsia="仿宋"/>
          <w:sz w:val="32"/>
        </w:rPr>
        <w:t>2.协助校长制定全校德育工作计划。</w:t>
      </w:r>
    </w:p>
    <w:p w14:paraId="611A0B48">
      <w:pPr>
        <w:ind w:firstLine="640" w:firstLineChars="200"/>
        <w:rPr>
          <w:rFonts w:ascii="仿宋" w:hAnsi="仿宋" w:eastAsia="仿宋"/>
          <w:sz w:val="32"/>
        </w:rPr>
      </w:pPr>
      <w:r>
        <w:rPr>
          <w:rFonts w:hint="eastAsia" w:ascii="仿宋" w:hAnsi="仿宋" w:eastAsia="仿宋"/>
          <w:sz w:val="32"/>
        </w:rPr>
        <w:t>3.研究德育工作的要求、内容、方法，努力探索新时期德育工作规律，努力做好德育工作。</w:t>
      </w:r>
    </w:p>
    <w:p w14:paraId="4B208CE2">
      <w:pPr>
        <w:ind w:firstLine="640" w:firstLineChars="200"/>
        <w:rPr>
          <w:rFonts w:ascii="仿宋" w:hAnsi="仿宋" w:eastAsia="仿宋"/>
          <w:sz w:val="32"/>
        </w:rPr>
      </w:pPr>
      <w:r>
        <w:rPr>
          <w:rFonts w:hint="eastAsia" w:ascii="仿宋" w:hAnsi="仿宋" w:eastAsia="仿宋"/>
          <w:sz w:val="32"/>
        </w:rPr>
        <w:t>4.不断改进和完善德育管理制度，加强德育管理。</w:t>
      </w:r>
    </w:p>
    <w:p w14:paraId="45A4190D">
      <w:pPr>
        <w:ind w:firstLine="640" w:firstLineChars="200"/>
        <w:rPr>
          <w:rFonts w:ascii="仿宋" w:hAnsi="仿宋" w:eastAsia="仿宋"/>
          <w:sz w:val="32"/>
        </w:rPr>
      </w:pPr>
      <w:r>
        <w:rPr>
          <w:rFonts w:hint="eastAsia" w:ascii="仿宋" w:hAnsi="仿宋" w:eastAsia="仿宋"/>
          <w:sz w:val="32"/>
        </w:rPr>
        <w:t>5.组织开展全校性的学生思想教育活动，加强对学生的思想品德教育和文明行为常规训练。</w:t>
      </w:r>
    </w:p>
    <w:p w14:paraId="3C12B884">
      <w:pPr>
        <w:ind w:firstLine="640" w:firstLineChars="200"/>
        <w:rPr>
          <w:rFonts w:ascii="仿宋" w:hAnsi="仿宋" w:eastAsia="仿宋"/>
          <w:sz w:val="32"/>
        </w:rPr>
      </w:pPr>
      <w:r>
        <w:rPr>
          <w:rFonts w:hint="eastAsia" w:ascii="仿宋" w:hAnsi="仿宋" w:eastAsia="仿宋"/>
          <w:sz w:val="32"/>
        </w:rPr>
        <w:t>6.指导共青团、少先队、少代会开展工作，做好健康教育、国防教育、班级文化建设等工作。</w:t>
      </w:r>
    </w:p>
    <w:p w14:paraId="55CE2656">
      <w:pPr>
        <w:ind w:firstLine="640" w:firstLineChars="200"/>
        <w:rPr>
          <w:rFonts w:ascii="仿宋" w:hAnsi="仿宋" w:eastAsia="仿宋"/>
          <w:sz w:val="32"/>
        </w:rPr>
      </w:pPr>
      <w:r>
        <w:rPr>
          <w:rFonts w:hint="eastAsia" w:ascii="仿宋" w:hAnsi="仿宋" w:eastAsia="仿宋"/>
          <w:sz w:val="32"/>
        </w:rPr>
        <w:t>7.加强与教务处联系，作为共同教育学生的协调工作。</w:t>
      </w:r>
    </w:p>
    <w:p w14:paraId="5C12F432">
      <w:pPr>
        <w:ind w:firstLine="640" w:firstLineChars="200"/>
        <w:rPr>
          <w:rFonts w:ascii="仿宋" w:hAnsi="仿宋" w:eastAsia="仿宋"/>
          <w:sz w:val="32"/>
        </w:rPr>
      </w:pPr>
      <w:r>
        <w:rPr>
          <w:rFonts w:hint="eastAsia" w:ascii="仿宋" w:hAnsi="仿宋" w:eastAsia="仿宋"/>
          <w:sz w:val="32"/>
        </w:rPr>
        <w:t>8.注意收集和交流德育工作信息。</w:t>
      </w:r>
    </w:p>
    <w:p w14:paraId="1D94B358">
      <w:pPr>
        <w:ind w:firstLine="640" w:firstLineChars="200"/>
        <w:rPr>
          <w:rFonts w:ascii="仿宋" w:hAnsi="仿宋" w:eastAsia="仿宋"/>
          <w:sz w:val="32"/>
        </w:rPr>
      </w:pPr>
      <w:r>
        <w:rPr>
          <w:rFonts w:hint="eastAsia" w:ascii="仿宋" w:hAnsi="仿宋" w:eastAsia="仿宋"/>
          <w:sz w:val="32"/>
        </w:rPr>
        <w:t>9.主持每周一的升旗仪式，对学生进行爱国主义教育、行为习惯养成教育，指导中队辅导员完成学生个性评价，对各中队德育工作开展情况进行考核、评价。</w:t>
      </w:r>
    </w:p>
    <w:p w14:paraId="0F80E8D3">
      <w:pPr>
        <w:ind w:firstLine="640" w:firstLineChars="200"/>
        <w:rPr>
          <w:rFonts w:ascii="仿宋" w:hAnsi="仿宋" w:eastAsia="仿宋"/>
          <w:sz w:val="32"/>
        </w:rPr>
      </w:pPr>
      <w:r>
        <w:rPr>
          <w:rFonts w:hint="eastAsia" w:ascii="仿宋" w:hAnsi="仿宋" w:eastAsia="仿宋"/>
          <w:sz w:val="32"/>
        </w:rPr>
        <w:t>二、领导年级组长，安排年级组长、班主任工作</w:t>
      </w:r>
    </w:p>
    <w:p w14:paraId="72C25833">
      <w:pPr>
        <w:ind w:firstLine="640" w:firstLineChars="200"/>
        <w:rPr>
          <w:rFonts w:ascii="仿宋" w:hAnsi="仿宋" w:eastAsia="仿宋"/>
          <w:sz w:val="32"/>
        </w:rPr>
      </w:pPr>
      <w:r>
        <w:rPr>
          <w:rFonts w:hint="eastAsia" w:ascii="仿宋" w:hAnsi="仿宋" w:eastAsia="仿宋"/>
          <w:sz w:val="32"/>
        </w:rPr>
        <w:t>1.协助校长选定、安排年级组长、班主任。</w:t>
      </w:r>
    </w:p>
    <w:p w14:paraId="2627632F">
      <w:pPr>
        <w:ind w:firstLine="640" w:firstLineChars="200"/>
        <w:rPr>
          <w:rFonts w:ascii="仿宋" w:hAnsi="仿宋" w:eastAsia="仿宋"/>
          <w:sz w:val="32"/>
        </w:rPr>
      </w:pPr>
      <w:r>
        <w:rPr>
          <w:rFonts w:hint="eastAsia" w:ascii="仿宋" w:hAnsi="仿宋" w:eastAsia="仿宋"/>
          <w:sz w:val="32"/>
        </w:rPr>
        <w:t>2.指导年级组、班级制定工作计划并实施工作计划，检查、考评年级组、班级工作。</w:t>
      </w:r>
    </w:p>
    <w:p w14:paraId="5A37C577">
      <w:pPr>
        <w:spacing w:line="580" w:lineRule="exact"/>
        <w:ind w:firstLine="640" w:firstLineChars="200"/>
        <w:rPr>
          <w:rFonts w:ascii="仿宋" w:hAnsi="仿宋" w:eastAsia="仿宋"/>
          <w:sz w:val="32"/>
        </w:rPr>
      </w:pPr>
      <w:r>
        <w:rPr>
          <w:rFonts w:hint="eastAsia" w:ascii="仿宋" w:hAnsi="仿宋" w:eastAsia="仿宋"/>
          <w:sz w:val="32"/>
        </w:rPr>
        <w:t>3.协助校长和班主任召开家长会、定期举办家长学校、办好家庭教育讲座，努力把学校、家庭、社会教育结合起来。</w:t>
      </w:r>
    </w:p>
    <w:p w14:paraId="63B9E69B">
      <w:pPr>
        <w:spacing w:line="580" w:lineRule="exact"/>
        <w:ind w:firstLine="640" w:firstLineChars="200"/>
        <w:rPr>
          <w:rFonts w:ascii="仿宋" w:hAnsi="仿宋" w:eastAsia="仿宋"/>
          <w:sz w:val="32"/>
        </w:rPr>
      </w:pPr>
      <w:r>
        <w:rPr>
          <w:rFonts w:hint="eastAsia" w:ascii="仿宋" w:hAnsi="仿宋" w:eastAsia="仿宋"/>
          <w:sz w:val="32"/>
        </w:rPr>
        <w:t>4.召开年级组长、班主任工作会议，组织学习、总结、交流班主任工作经验。努力提高班主任工作水平。</w:t>
      </w:r>
    </w:p>
    <w:p w14:paraId="38F5D7C7">
      <w:pPr>
        <w:spacing w:line="580" w:lineRule="exact"/>
        <w:ind w:firstLine="640" w:firstLineChars="200"/>
        <w:rPr>
          <w:rFonts w:ascii="仿宋" w:hAnsi="仿宋" w:eastAsia="仿宋"/>
          <w:sz w:val="32"/>
        </w:rPr>
      </w:pPr>
      <w:r>
        <w:rPr>
          <w:rFonts w:hint="eastAsia" w:ascii="仿宋" w:hAnsi="仿宋" w:eastAsia="仿宋"/>
          <w:sz w:val="32"/>
        </w:rPr>
        <w:t>5.协助年级组长、班主任处理年级、班级中的重大问题和偶发事件。</w:t>
      </w:r>
    </w:p>
    <w:p w14:paraId="44CB27E2">
      <w:pPr>
        <w:spacing w:line="580" w:lineRule="exact"/>
        <w:ind w:firstLine="640" w:firstLineChars="200"/>
        <w:rPr>
          <w:rFonts w:ascii="仿宋" w:hAnsi="仿宋" w:eastAsia="仿宋"/>
          <w:sz w:val="32"/>
        </w:rPr>
      </w:pPr>
      <w:r>
        <w:rPr>
          <w:rFonts w:hint="eastAsia" w:ascii="仿宋" w:hAnsi="仿宋" w:eastAsia="仿宋"/>
          <w:sz w:val="32"/>
        </w:rPr>
        <w:t>6.做好青年班主任的培养工作。</w:t>
      </w:r>
    </w:p>
    <w:p w14:paraId="4A18508C">
      <w:pPr>
        <w:spacing w:line="580" w:lineRule="exact"/>
        <w:ind w:firstLine="640" w:firstLineChars="200"/>
        <w:rPr>
          <w:rFonts w:ascii="仿宋" w:hAnsi="仿宋" w:eastAsia="仿宋"/>
          <w:sz w:val="32"/>
        </w:rPr>
      </w:pPr>
      <w:r>
        <w:rPr>
          <w:rFonts w:hint="eastAsia" w:ascii="仿宋" w:hAnsi="仿宋" w:eastAsia="仿宋"/>
          <w:sz w:val="32"/>
        </w:rPr>
        <w:t>7.指导班主任探索学生思想品德考评的科学化方法。</w:t>
      </w:r>
    </w:p>
    <w:p w14:paraId="3743FB4E">
      <w:pPr>
        <w:spacing w:line="580" w:lineRule="exact"/>
        <w:ind w:firstLine="640" w:firstLineChars="200"/>
        <w:rPr>
          <w:rFonts w:ascii="仿宋" w:hAnsi="仿宋" w:eastAsia="仿宋"/>
          <w:sz w:val="32"/>
        </w:rPr>
      </w:pPr>
      <w:r>
        <w:rPr>
          <w:rFonts w:hint="eastAsia" w:ascii="仿宋" w:hAnsi="仿宋" w:eastAsia="仿宋"/>
          <w:sz w:val="32"/>
        </w:rPr>
        <w:t>三、其它工作</w:t>
      </w:r>
    </w:p>
    <w:p w14:paraId="42CDC088">
      <w:pPr>
        <w:spacing w:line="580" w:lineRule="exact"/>
        <w:ind w:firstLine="640" w:firstLineChars="200"/>
        <w:rPr>
          <w:rFonts w:ascii="仿宋" w:hAnsi="仿宋" w:eastAsia="仿宋"/>
          <w:sz w:val="32"/>
        </w:rPr>
      </w:pPr>
      <w:r>
        <w:rPr>
          <w:rFonts w:hint="eastAsia" w:ascii="仿宋" w:hAnsi="仿宋" w:eastAsia="仿宋"/>
          <w:sz w:val="32"/>
        </w:rPr>
        <w:t>1.对我校德育工作实施情况进行研究。</w:t>
      </w:r>
    </w:p>
    <w:p w14:paraId="4A94C099">
      <w:pPr>
        <w:spacing w:line="580" w:lineRule="exact"/>
        <w:ind w:firstLine="640" w:firstLineChars="200"/>
        <w:rPr>
          <w:rFonts w:ascii="仿宋" w:hAnsi="仿宋" w:eastAsia="仿宋"/>
          <w:sz w:val="32"/>
        </w:rPr>
      </w:pPr>
      <w:r>
        <w:rPr>
          <w:rFonts w:hint="eastAsia" w:ascii="仿宋" w:hAnsi="仿宋" w:eastAsia="仿宋"/>
          <w:sz w:val="32"/>
        </w:rPr>
        <w:t>2.建立学生奖惩制度并严格执行。</w:t>
      </w:r>
    </w:p>
    <w:p w14:paraId="0ABCE9FB">
      <w:pPr>
        <w:spacing w:line="580" w:lineRule="exact"/>
        <w:jc w:val="center"/>
        <w:rPr>
          <w:rFonts w:ascii="仿宋" w:hAnsi="仿宋" w:eastAsia="仿宋"/>
          <w:sz w:val="32"/>
        </w:rPr>
      </w:pPr>
      <w:r>
        <w:rPr>
          <w:rFonts w:hint="eastAsia" w:ascii="仿宋" w:hAnsi="仿宋" w:eastAsia="仿宋"/>
          <w:sz w:val="32"/>
        </w:rPr>
        <w:t>安全办工作职责</w:t>
      </w:r>
    </w:p>
    <w:p w14:paraId="21194F86">
      <w:pPr>
        <w:spacing w:line="580" w:lineRule="exact"/>
        <w:ind w:firstLine="640" w:firstLineChars="200"/>
        <w:rPr>
          <w:rFonts w:ascii="仿宋" w:hAnsi="仿宋" w:eastAsia="仿宋"/>
          <w:sz w:val="32"/>
        </w:rPr>
      </w:pPr>
      <w:r>
        <w:rPr>
          <w:rFonts w:hint="eastAsia" w:ascii="仿宋" w:hAnsi="仿宋" w:eastAsia="仿宋"/>
          <w:sz w:val="32"/>
        </w:rPr>
        <w:t>1.贯彻“预防为主、确保重点、维护稳定、保障安全”的方针，保持校园良好的教育、教学和生活秩序。</w:t>
      </w:r>
    </w:p>
    <w:p w14:paraId="67937114">
      <w:pPr>
        <w:spacing w:line="580" w:lineRule="exact"/>
        <w:ind w:firstLine="640" w:firstLineChars="200"/>
        <w:rPr>
          <w:rFonts w:ascii="仿宋" w:hAnsi="仿宋" w:eastAsia="仿宋"/>
          <w:sz w:val="32"/>
        </w:rPr>
      </w:pPr>
      <w:r>
        <w:rPr>
          <w:rFonts w:hint="eastAsia" w:ascii="仿宋" w:hAnsi="仿宋" w:eastAsia="仿宋"/>
          <w:sz w:val="32"/>
        </w:rPr>
        <w:t>2.负责全校的安全防火工作，建立消防制度、健全消防组织、定期进行业务训练，管理消防设备，开展防火宣传，进行防火检查，对火灾隐患提出整改意见。</w:t>
      </w:r>
    </w:p>
    <w:p w14:paraId="7D2E9D4D">
      <w:pPr>
        <w:spacing w:line="580" w:lineRule="exact"/>
        <w:ind w:firstLine="640" w:firstLineChars="200"/>
        <w:rPr>
          <w:rFonts w:ascii="仿宋" w:hAnsi="仿宋" w:eastAsia="仿宋"/>
          <w:sz w:val="32"/>
        </w:rPr>
      </w:pPr>
      <w:r>
        <w:rPr>
          <w:rFonts w:hint="eastAsia" w:ascii="仿宋" w:hAnsi="仿宋" w:eastAsia="仿宋"/>
          <w:sz w:val="32"/>
        </w:rPr>
        <w:t>3.加大门卫管理力度，严禁一切机动车辆、外来三轮车、摩托车、电动车等进入校园，预防发生交通事故，对外来人员实行严格登记制度。</w:t>
      </w:r>
    </w:p>
    <w:p w14:paraId="746C7D27">
      <w:pPr>
        <w:spacing w:line="580" w:lineRule="exact"/>
        <w:ind w:firstLine="640" w:firstLineChars="200"/>
        <w:rPr>
          <w:rFonts w:ascii="仿宋" w:hAnsi="仿宋" w:eastAsia="仿宋"/>
          <w:sz w:val="32"/>
        </w:rPr>
      </w:pPr>
      <w:r>
        <w:rPr>
          <w:rFonts w:hint="eastAsia" w:ascii="仿宋" w:hAnsi="仿宋" w:eastAsia="仿宋"/>
          <w:sz w:val="32"/>
        </w:rPr>
        <w:t>4.加强治安秩序管理，开展法制宣传教育，增强师生员工法</w:t>
      </w:r>
      <w:r>
        <w:rPr>
          <w:rFonts w:hint="eastAsia" w:ascii="仿宋" w:hAnsi="仿宋" w:eastAsia="仿宋"/>
          <w:sz w:val="32"/>
          <w:lang w:eastAsia="zh-CN"/>
        </w:rPr>
        <w:t>治</w:t>
      </w:r>
      <w:r>
        <w:rPr>
          <w:rFonts w:hint="eastAsia" w:ascii="仿宋" w:hAnsi="仿宋" w:eastAsia="仿宋"/>
          <w:sz w:val="32"/>
        </w:rPr>
        <w:t>观念，预防和减少违法犯罪行为。</w:t>
      </w:r>
    </w:p>
    <w:p w14:paraId="6E259DB2">
      <w:pPr>
        <w:spacing w:line="580" w:lineRule="exact"/>
        <w:ind w:firstLine="640" w:firstLineChars="200"/>
        <w:rPr>
          <w:rFonts w:ascii="仿宋" w:hAnsi="仿宋" w:eastAsia="仿宋"/>
          <w:sz w:val="32"/>
        </w:rPr>
      </w:pPr>
      <w:r>
        <w:rPr>
          <w:rFonts w:hint="eastAsia" w:ascii="仿宋" w:hAnsi="仿宋" w:eastAsia="仿宋"/>
          <w:sz w:val="32"/>
        </w:rPr>
        <w:t>5.负责制定治安保卫、安全检查防火等工作的规章制度，制度要害和重点部位的安全保卫措施，经常经常执行情况。</w:t>
      </w:r>
    </w:p>
    <w:p w14:paraId="292CFA36">
      <w:pPr>
        <w:spacing w:line="580" w:lineRule="exact"/>
        <w:ind w:firstLine="640" w:firstLineChars="200"/>
        <w:rPr>
          <w:rFonts w:ascii="仿宋" w:hAnsi="仿宋" w:eastAsia="仿宋"/>
          <w:sz w:val="32"/>
        </w:rPr>
      </w:pPr>
      <w:r>
        <w:rPr>
          <w:rFonts w:hint="eastAsia" w:ascii="仿宋" w:hAnsi="仿宋" w:eastAsia="仿宋"/>
          <w:sz w:val="32"/>
        </w:rPr>
        <w:t>6.负责落实安全保卫责任制和安全技术防范措施，做好防止盗窃、火灾、破坏和其他治安灾害事故的工作。</w:t>
      </w:r>
    </w:p>
    <w:p w14:paraId="04B02A09">
      <w:pPr>
        <w:spacing w:line="580" w:lineRule="exact"/>
        <w:ind w:firstLine="640" w:firstLineChars="200"/>
        <w:rPr>
          <w:rFonts w:ascii="仿宋" w:hAnsi="仿宋" w:eastAsia="仿宋"/>
          <w:sz w:val="32"/>
        </w:rPr>
      </w:pPr>
      <w:r>
        <w:rPr>
          <w:rFonts w:hint="eastAsia" w:ascii="仿宋" w:hAnsi="仿宋" w:eastAsia="仿宋"/>
          <w:sz w:val="32"/>
        </w:rPr>
        <w:t>7.协助有关处室，做好学校重大活动的安全保卫工作，会同有关单位加强重点要害部门的保卫，确保重点要害部门的安全。</w:t>
      </w:r>
    </w:p>
    <w:p w14:paraId="1EFDBA09">
      <w:pPr>
        <w:spacing w:line="580" w:lineRule="exact"/>
        <w:ind w:firstLine="640" w:firstLineChars="200"/>
        <w:rPr>
          <w:rFonts w:ascii="仿宋" w:hAnsi="仿宋" w:eastAsia="仿宋"/>
          <w:sz w:val="32"/>
        </w:rPr>
      </w:pPr>
      <w:r>
        <w:rPr>
          <w:rFonts w:hint="eastAsia" w:ascii="仿宋" w:hAnsi="仿宋" w:eastAsia="仿宋"/>
          <w:sz w:val="32"/>
        </w:rPr>
        <w:t>8.岗位值班人员，要坚守工作岗位，不得擅离职守，当班时间严禁饮酒，不做与值班工作无关的事情。</w:t>
      </w:r>
    </w:p>
    <w:p w14:paraId="556CCDB6">
      <w:pPr>
        <w:spacing w:line="580" w:lineRule="exact"/>
        <w:ind w:firstLine="640" w:firstLineChars="200"/>
        <w:rPr>
          <w:rFonts w:ascii="仿宋" w:hAnsi="仿宋" w:eastAsia="仿宋"/>
          <w:sz w:val="32"/>
        </w:rPr>
      </w:pPr>
      <w:r>
        <w:rPr>
          <w:rFonts w:hint="eastAsia" w:ascii="仿宋" w:hAnsi="仿宋" w:eastAsia="仿宋"/>
          <w:sz w:val="32"/>
        </w:rPr>
        <w:t>9.加强对门卫的领导与管理，建立值班制度，做好接待和来访登记工作。</w:t>
      </w:r>
    </w:p>
    <w:p w14:paraId="1D410457">
      <w:pPr>
        <w:spacing w:line="580" w:lineRule="exact"/>
        <w:ind w:firstLine="640" w:firstLineChars="200"/>
        <w:rPr>
          <w:rFonts w:ascii="仿宋" w:hAnsi="仿宋" w:eastAsia="仿宋"/>
          <w:sz w:val="32"/>
        </w:rPr>
      </w:pPr>
      <w:r>
        <w:rPr>
          <w:rFonts w:hint="eastAsia" w:ascii="仿宋" w:hAnsi="仿宋" w:eastAsia="仿宋"/>
          <w:sz w:val="32"/>
        </w:rPr>
        <w:t>10.负责办理校长会议和公安机关交办的其他工作。</w:t>
      </w:r>
    </w:p>
    <w:p w14:paraId="0C45D2F1">
      <w:pPr>
        <w:widowControl/>
        <w:snapToGrid w:val="0"/>
        <w:spacing w:line="560" w:lineRule="exact"/>
        <w:ind w:firstLine="640" w:firstLineChars="200"/>
        <w:rPr>
          <w:rFonts w:ascii="仿宋" w:hAnsi="仿宋" w:eastAsia="仿宋"/>
          <w:sz w:val="32"/>
        </w:rPr>
      </w:pPr>
      <w:r>
        <w:rPr>
          <w:rFonts w:hint="eastAsia" w:ascii="仿宋" w:hAnsi="仿宋" w:eastAsia="仿宋"/>
          <w:sz w:val="32"/>
        </w:rPr>
        <w:t>（三）人员情况</w:t>
      </w:r>
    </w:p>
    <w:p w14:paraId="72D9CE59">
      <w:pPr>
        <w:widowControl/>
        <w:snapToGrid w:val="0"/>
        <w:spacing w:line="560" w:lineRule="exact"/>
        <w:ind w:firstLine="640" w:firstLineChars="200"/>
        <w:rPr>
          <w:rFonts w:ascii="仿宋" w:hAnsi="仿宋" w:eastAsia="仿宋"/>
          <w:sz w:val="32"/>
        </w:rPr>
      </w:pPr>
      <w:r>
        <w:rPr>
          <w:rFonts w:hint="eastAsia" w:ascii="仿宋" w:hAnsi="仿宋" w:eastAsia="仿宋"/>
          <w:sz w:val="32"/>
        </w:rPr>
        <w:t>遂宁市安居区白马镇平宁小学校年初在职教师26人，年末在职教师27人，退休1人，年初退休教师22人，年末退休教师23人。</w:t>
      </w:r>
    </w:p>
    <w:p w14:paraId="3FA603FC">
      <w:pPr>
        <w:widowControl/>
        <w:snapToGrid w:val="0"/>
        <w:spacing w:line="560" w:lineRule="exact"/>
        <w:ind w:firstLine="640" w:firstLineChars="200"/>
        <w:rPr>
          <w:rFonts w:ascii="仿宋" w:hAnsi="仿宋" w:eastAsia="仿宋"/>
          <w:sz w:val="32"/>
        </w:rPr>
      </w:pPr>
      <w:r>
        <w:rPr>
          <w:rFonts w:hint="eastAsia" w:ascii="仿宋" w:hAnsi="仿宋" w:eastAsia="仿宋"/>
          <w:sz w:val="32"/>
        </w:rPr>
        <w:t>二、部门财政资金收支情况</w:t>
      </w:r>
    </w:p>
    <w:p w14:paraId="0B629531">
      <w:pPr>
        <w:widowControl/>
        <w:snapToGrid w:val="0"/>
        <w:spacing w:line="560" w:lineRule="exact"/>
        <w:ind w:firstLine="640" w:firstLineChars="200"/>
        <w:rPr>
          <w:rFonts w:ascii="仿宋" w:hAnsi="仿宋" w:eastAsia="仿宋"/>
          <w:sz w:val="32"/>
        </w:rPr>
      </w:pPr>
      <w:r>
        <w:rPr>
          <w:rFonts w:hint="eastAsia" w:ascii="仿宋" w:hAnsi="仿宋" w:eastAsia="仿宋"/>
          <w:sz w:val="32"/>
        </w:rPr>
        <w:t>（一）部门财政资金收入情况。</w:t>
      </w:r>
    </w:p>
    <w:p w14:paraId="40A00D57">
      <w:pPr>
        <w:spacing w:line="600" w:lineRule="exact"/>
        <w:ind w:firstLine="640" w:firstLineChars="200"/>
        <w:outlineLvl w:val="1"/>
        <w:rPr>
          <w:rFonts w:ascii="仿宋" w:hAnsi="仿宋" w:eastAsia="仿宋"/>
          <w:color w:val="000000"/>
          <w:sz w:val="32"/>
        </w:rPr>
      </w:pPr>
      <w:r>
        <w:rPr>
          <w:rFonts w:hint="eastAsia" w:ascii="仿宋" w:hAnsi="仿宋" w:eastAsia="仿宋"/>
          <w:color w:val="000000"/>
          <w:sz w:val="32"/>
        </w:rPr>
        <w:t>2022年本年收入合计436.96万元，其中：一般公共预算财政拨款收入436.96万元，占100%；其他收入0万元，占0%。</w:t>
      </w:r>
    </w:p>
    <w:p w14:paraId="0343207E">
      <w:pPr>
        <w:widowControl/>
        <w:numPr>
          <w:ilvl w:val="0"/>
          <w:numId w:val="4"/>
        </w:numPr>
        <w:snapToGrid w:val="0"/>
        <w:spacing w:line="560" w:lineRule="exact"/>
        <w:ind w:firstLine="640" w:firstLineChars="200"/>
        <w:outlineLvl w:val="0"/>
        <w:rPr>
          <w:rFonts w:ascii="仿宋" w:hAnsi="仿宋" w:eastAsia="仿宋"/>
          <w:sz w:val="32"/>
        </w:rPr>
      </w:pPr>
      <w:r>
        <w:rPr>
          <w:rFonts w:hint="eastAsia" w:ascii="仿宋" w:hAnsi="仿宋" w:eastAsia="仿宋"/>
          <w:sz w:val="32"/>
        </w:rPr>
        <w:t>部门财政资金支出情况。</w:t>
      </w:r>
    </w:p>
    <w:p w14:paraId="7BA40B56">
      <w:pPr>
        <w:spacing w:line="600" w:lineRule="exact"/>
        <w:ind w:firstLine="640" w:firstLineChars="200"/>
        <w:outlineLvl w:val="1"/>
        <w:rPr>
          <w:rFonts w:ascii="仿宋" w:hAnsi="仿宋" w:eastAsia="仿宋"/>
          <w:sz w:val="32"/>
        </w:rPr>
      </w:pPr>
      <w:r>
        <w:rPr>
          <w:rFonts w:hint="eastAsia" w:ascii="仿宋" w:hAnsi="仿宋" w:eastAsia="仿宋"/>
          <w:color w:val="000000"/>
          <w:sz w:val="32"/>
        </w:rPr>
        <w:t>2022年本年支出合计436.96万元，其中：</w:t>
      </w:r>
      <w:r>
        <w:rPr>
          <w:rFonts w:hint="eastAsia" w:ascii="仿宋_GB2312" w:hAnsi="仿宋_GB2312" w:eastAsia="仿宋_GB2312"/>
          <w:color w:val="000000"/>
          <w:kern w:val="2"/>
          <w:sz w:val="32"/>
          <w:lang w:val="zh-CN"/>
        </w:rPr>
        <w:t>349.6万元，占80%</w:t>
      </w:r>
      <w:r>
        <w:rPr>
          <w:rFonts w:hint="eastAsia" w:ascii="仿宋" w:hAnsi="仿宋" w:eastAsia="仿宋"/>
          <w:color w:val="000000"/>
          <w:sz w:val="32"/>
        </w:rPr>
        <w:t>；</w:t>
      </w:r>
      <w:r>
        <w:rPr>
          <w:rFonts w:hint="eastAsia" w:ascii="仿宋_GB2312" w:hAnsi="仿宋_GB2312" w:eastAsia="仿宋_GB2312"/>
          <w:color w:val="000000"/>
          <w:kern w:val="2"/>
          <w:sz w:val="32"/>
          <w:lang w:val="zh-CN"/>
        </w:rPr>
        <w:t>社会保障和就业支出40.94万元，占9.4%；卫生健康支出16.24万元，占3.7%；住房保障支出30.19万元，占6.9%</w:t>
      </w:r>
      <w:r>
        <w:rPr>
          <w:rFonts w:hint="eastAsia" w:ascii="仿宋" w:hAnsi="仿宋" w:eastAsia="仿宋"/>
          <w:color w:val="000000"/>
          <w:sz w:val="32"/>
        </w:rPr>
        <w:t>。</w:t>
      </w:r>
    </w:p>
    <w:p w14:paraId="5E8C045C">
      <w:pPr>
        <w:widowControl/>
        <w:snapToGrid w:val="0"/>
        <w:spacing w:line="560" w:lineRule="exact"/>
        <w:ind w:firstLine="640" w:firstLineChars="200"/>
        <w:outlineLvl w:val="0"/>
        <w:rPr>
          <w:rFonts w:ascii="仿宋" w:hAnsi="仿宋" w:eastAsia="仿宋"/>
          <w:sz w:val="32"/>
        </w:rPr>
      </w:pPr>
      <w:r>
        <w:rPr>
          <w:rFonts w:hint="eastAsia" w:ascii="仿宋" w:hAnsi="仿宋" w:eastAsia="仿宋"/>
          <w:sz w:val="32"/>
        </w:rPr>
        <w:t>三、部门整体预算绩效管理情况</w:t>
      </w:r>
    </w:p>
    <w:p w14:paraId="7EA3B793">
      <w:pPr>
        <w:widowControl/>
        <w:snapToGrid w:val="0"/>
        <w:spacing w:line="560" w:lineRule="exact"/>
        <w:ind w:firstLine="640" w:firstLineChars="200"/>
        <w:rPr>
          <w:rFonts w:ascii="仿宋" w:hAnsi="仿宋" w:eastAsia="仿宋"/>
          <w:sz w:val="32"/>
        </w:rPr>
      </w:pPr>
      <w:r>
        <w:rPr>
          <w:rFonts w:hint="eastAsia" w:ascii="仿宋" w:hAnsi="仿宋" w:eastAsia="仿宋"/>
          <w:sz w:val="32"/>
        </w:rPr>
        <w:t>（一）部门预算管理。</w:t>
      </w:r>
    </w:p>
    <w:p w14:paraId="2A311D93">
      <w:pPr>
        <w:widowControl/>
        <w:snapToGrid w:val="0"/>
        <w:spacing w:line="560" w:lineRule="exact"/>
        <w:ind w:firstLine="640" w:firstLineChars="200"/>
        <w:rPr>
          <w:rFonts w:ascii="仿宋" w:hAnsi="仿宋" w:eastAsia="仿宋"/>
          <w:sz w:val="32"/>
        </w:rPr>
      </w:pPr>
      <w:r>
        <w:rPr>
          <w:rFonts w:hint="eastAsia" w:ascii="仿宋" w:hAnsi="仿宋" w:eastAsia="仿宋"/>
          <w:sz w:val="32"/>
        </w:rPr>
        <w:t>遂宁市安居区白马镇平宁小学校2022年度预算编制，是根据安居区财政局的安排，在区财政局教科文卫股、预算股的指导下，组织财务方面的相关工作人员，进行预算编制，预算编制质量好，受到区财政局的好评。绩效目标按照区财政要求进行填报。</w:t>
      </w:r>
    </w:p>
    <w:p w14:paraId="4F5346CB">
      <w:pPr>
        <w:widowControl/>
        <w:snapToGrid w:val="0"/>
        <w:spacing w:line="560" w:lineRule="exact"/>
        <w:ind w:firstLine="640" w:firstLineChars="200"/>
        <w:rPr>
          <w:rFonts w:ascii="仿宋" w:hAnsi="仿宋" w:eastAsia="仿宋"/>
          <w:sz w:val="32"/>
        </w:rPr>
      </w:pPr>
      <w:r>
        <w:rPr>
          <w:rFonts w:hint="eastAsia" w:ascii="仿宋" w:hAnsi="仿宋" w:eastAsia="仿宋"/>
          <w:sz w:val="32"/>
        </w:rPr>
        <w:t>（二）结果应用情况。</w:t>
      </w:r>
    </w:p>
    <w:p w14:paraId="6FF98441">
      <w:pPr>
        <w:widowControl/>
        <w:snapToGrid w:val="0"/>
        <w:spacing w:line="560" w:lineRule="exact"/>
        <w:ind w:firstLine="640" w:firstLineChars="200"/>
        <w:outlineLvl w:val="0"/>
        <w:rPr>
          <w:rFonts w:ascii="仿宋" w:hAnsi="仿宋" w:eastAsia="仿宋"/>
          <w:sz w:val="32"/>
        </w:rPr>
      </w:pPr>
      <w:r>
        <w:rPr>
          <w:rFonts w:hint="eastAsia" w:ascii="仿宋" w:hAnsi="仿宋" w:eastAsia="仿宋"/>
          <w:sz w:val="32"/>
        </w:rPr>
        <w:t>遂宁市安居区白马镇平宁小学校认真履职尽责，认真完成项目任务，所有项目均开展绩效评价，评价效果良好，对于财政预算资金多次接受省、市、区的检查，所有资金的支出，接受财政部门的监督管理，圆满完成2022年的目标任务。</w:t>
      </w:r>
    </w:p>
    <w:p w14:paraId="5721FC25">
      <w:pPr>
        <w:widowControl/>
        <w:snapToGrid w:val="0"/>
        <w:spacing w:line="560" w:lineRule="exact"/>
        <w:ind w:firstLine="640" w:firstLineChars="200"/>
        <w:outlineLvl w:val="0"/>
        <w:rPr>
          <w:rFonts w:ascii="仿宋" w:hAnsi="仿宋" w:eastAsia="仿宋"/>
          <w:sz w:val="32"/>
        </w:rPr>
      </w:pPr>
      <w:r>
        <w:rPr>
          <w:rFonts w:hint="eastAsia" w:ascii="仿宋" w:hAnsi="仿宋" w:eastAsia="仿宋"/>
          <w:sz w:val="32"/>
        </w:rPr>
        <w:t>四、评价结论及建议</w:t>
      </w:r>
    </w:p>
    <w:p w14:paraId="6BC49D3C">
      <w:pPr>
        <w:widowControl/>
        <w:snapToGrid w:val="0"/>
        <w:spacing w:line="560" w:lineRule="exact"/>
        <w:ind w:firstLine="640" w:firstLineChars="200"/>
        <w:rPr>
          <w:rFonts w:ascii="仿宋" w:hAnsi="仿宋" w:eastAsia="仿宋"/>
          <w:sz w:val="32"/>
        </w:rPr>
      </w:pPr>
      <w:r>
        <w:rPr>
          <w:rFonts w:hint="eastAsia" w:ascii="仿宋" w:hAnsi="仿宋" w:eastAsia="仿宋"/>
          <w:sz w:val="32"/>
        </w:rPr>
        <w:t>（一）评价结论。</w:t>
      </w:r>
    </w:p>
    <w:p w14:paraId="2004FF0D">
      <w:pPr>
        <w:pStyle w:val="13"/>
        <w:spacing w:line="560" w:lineRule="exact"/>
        <w:ind w:firstLine="640" w:firstLineChars="200"/>
        <w:rPr>
          <w:rFonts w:hint="default" w:ascii="仿宋_GB2312" w:eastAsia="仿宋_GB2312"/>
          <w:sz w:val="32"/>
          <w:szCs w:val="32"/>
        </w:rPr>
      </w:pPr>
      <w:r>
        <w:rPr>
          <w:rFonts w:hAnsi="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w:t>
      </w:r>
      <w:r>
        <w:rPr>
          <w:rFonts w:ascii="仿宋_GB2312" w:eastAsia="仿宋_GB2312"/>
          <w:sz w:val="32"/>
          <w:szCs w:val="32"/>
        </w:rPr>
        <w:t>部门整体支出绩效自评得分95分 。</w:t>
      </w:r>
    </w:p>
    <w:p w14:paraId="5FA58EAF">
      <w:pPr>
        <w:widowControl/>
        <w:numPr>
          <w:ilvl w:val="0"/>
          <w:numId w:val="4"/>
        </w:numPr>
        <w:snapToGrid w:val="0"/>
        <w:spacing w:line="560" w:lineRule="exact"/>
        <w:ind w:firstLine="640" w:firstLineChars="200"/>
        <w:rPr>
          <w:rFonts w:ascii="仿宋" w:hAnsi="仿宋" w:eastAsia="仿宋"/>
          <w:sz w:val="32"/>
        </w:rPr>
      </w:pPr>
      <w:r>
        <w:rPr>
          <w:rFonts w:hint="eastAsia" w:ascii="仿宋" w:hAnsi="仿宋" w:eastAsia="仿宋"/>
          <w:sz w:val="32"/>
        </w:rPr>
        <w:t>存在问题。</w:t>
      </w:r>
    </w:p>
    <w:p w14:paraId="4341CD9A">
      <w:pPr>
        <w:widowControl/>
        <w:snapToGrid w:val="0"/>
        <w:spacing w:line="560" w:lineRule="exact"/>
        <w:ind w:firstLine="640" w:firstLineChars="200"/>
        <w:rPr>
          <w:rFonts w:ascii="仿宋" w:hAnsi="仿宋" w:eastAsia="仿宋"/>
          <w:sz w:val="32"/>
        </w:rPr>
      </w:pPr>
      <w:r>
        <w:rPr>
          <w:rFonts w:hint="eastAsia" w:ascii="仿宋" w:hAnsi="仿宋" w:eastAsia="仿宋"/>
          <w:sz w:val="32"/>
        </w:rPr>
        <w:t>学校地处农村，生源少。</w:t>
      </w:r>
    </w:p>
    <w:p w14:paraId="688379CF">
      <w:pPr>
        <w:widowControl/>
        <w:snapToGrid w:val="0"/>
        <w:spacing w:line="560" w:lineRule="exact"/>
        <w:ind w:firstLine="640" w:firstLineChars="200"/>
        <w:rPr>
          <w:rFonts w:ascii="仿宋" w:hAnsi="仿宋" w:eastAsia="仿宋"/>
          <w:sz w:val="32"/>
        </w:rPr>
      </w:pPr>
      <w:r>
        <w:rPr>
          <w:rFonts w:hint="eastAsia" w:ascii="仿宋" w:hAnsi="仿宋" w:eastAsia="仿宋"/>
          <w:sz w:val="32"/>
        </w:rPr>
        <w:t>（四）改进建议。</w:t>
      </w:r>
    </w:p>
    <w:p w14:paraId="542854EF">
      <w:pPr>
        <w:spacing w:line="560" w:lineRule="exact"/>
        <w:ind w:firstLine="640" w:firstLineChars="200"/>
        <w:rPr>
          <w:rFonts w:ascii="仿宋" w:hAnsi="仿宋" w:eastAsia="仿宋"/>
          <w:sz w:val="32"/>
        </w:rPr>
      </w:pPr>
      <w:r>
        <w:rPr>
          <w:rFonts w:hint="eastAsia" w:ascii="仿宋" w:hAnsi="仿宋" w:eastAsia="仿宋"/>
          <w:sz w:val="32"/>
        </w:rPr>
        <w:t>向主管部门汇报情况，争取上级或本级资金，加快校园建设，完善教学基础设施，更新教学理念。提高学生的竞争能力，保住生源。</w:t>
      </w:r>
    </w:p>
    <w:p w14:paraId="0A4FF7D4">
      <w:pPr>
        <w:pStyle w:val="2"/>
        <w:spacing w:before="72"/>
        <w:rPr>
          <w:rFonts w:hint="default" w:hAnsi="Calibri" w:cs="仿宋"/>
          <w:sz w:val="32"/>
          <w:szCs w:val="32"/>
        </w:rPr>
      </w:pPr>
    </w:p>
    <w:p w14:paraId="3C090E14">
      <w:pPr>
        <w:jc w:val="both"/>
        <w:rPr>
          <w:rFonts w:ascii="仿宋_GB2312" w:hAnsi="仿宋_GB2312" w:eastAsia="仿宋_GB2312"/>
          <w:sz w:val="32"/>
        </w:rPr>
      </w:pPr>
    </w:p>
    <w:p w14:paraId="12C18F05">
      <w:pPr>
        <w:numPr>
          <w:ilvl w:val="0"/>
          <w:numId w:val="5"/>
        </w:numPr>
        <w:spacing w:line="600" w:lineRule="exact"/>
        <w:jc w:val="center"/>
        <w:rPr>
          <w:rFonts w:ascii="黑体" w:hAnsi="黑体" w:eastAsia="黑体"/>
          <w:kern w:val="44"/>
          <w:sz w:val="44"/>
        </w:rPr>
      </w:pPr>
      <w:r>
        <w:rPr>
          <w:rFonts w:hint="eastAsia" w:ascii="黑体" w:hAnsi="黑体" w:eastAsia="黑体"/>
          <w:kern w:val="44"/>
          <w:sz w:val="44"/>
        </w:rPr>
        <w:t>附表</w:t>
      </w:r>
    </w:p>
    <w:p w14:paraId="4AF36007">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收入支出决算总表</w:t>
      </w:r>
    </w:p>
    <w:p w14:paraId="70D08DF8">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收入决算表</w:t>
      </w:r>
    </w:p>
    <w:p w14:paraId="277F9701">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支出决算表</w:t>
      </w:r>
    </w:p>
    <w:p w14:paraId="180E76D2">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财政拨款收入支出决算总表</w:t>
      </w:r>
    </w:p>
    <w:p w14:paraId="1F58197E">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财政拨款支出决算明细表</w:t>
      </w:r>
    </w:p>
    <w:p w14:paraId="15C7B135">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一般公共预算财政拨款支出决算表</w:t>
      </w:r>
    </w:p>
    <w:p w14:paraId="28BAD61A">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一般公共预算财政拨款支出决算明细表</w:t>
      </w:r>
    </w:p>
    <w:p w14:paraId="51E9ED5F">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一般公共预算财政拨款基本支出决算表</w:t>
      </w:r>
    </w:p>
    <w:p w14:paraId="546CD2D5">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一般公共预算财政拨款项目支出决算表</w:t>
      </w:r>
    </w:p>
    <w:p w14:paraId="5BE974D0">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政府性基金预算财政拨款收入支出决算表</w:t>
      </w:r>
    </w:p>
    <w:p w14:paraId="183CD28D">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国有资本经营预算财政拨款收入支出决算表</w:t>
      </w:r>
    </w:p>
    <w:p w14:paraId="6E4A89E0">
      <w:pPr>
        <w:numPr>
          <w:ilvl w:val="0"/>
          <w:numId w:val="6"/>
        </w:numPr>
        <w:spacing w:line="600" w:lineRule="exact"/>
        <w:jc w:val="both"/>
        <w:rPr>
          <w:rFonts w:ascii="仿宋" w:hAnsi="仿宋" w:eastAsia="仿宋"/>
          <w:kern w:val="2"/>
          <w:sz w:val="32"/>
        </w:rPr>
      </w:pPr>
      <w:r>
        <w:rPr>
          <w:rFonts w:hint="eastAsia" w:ascii="仿宋" w:hAnsi="仿宋" w:eastAsia="仿宋"/>
          <w:kern w:val="2"/>
          <w:sz w:val="32"/>
        </w:rPr>
        <w:t>国有资本经营预算财政拨款支出决算表</w:t>
      </w:r>
    </w:p>
    <w:p w14:paraId="23259A05">
      <w:pPr>
        <w:spacing w:line="600" w:lineRule="exact"/>
        <w:jc w:val="both"/>
        <w:rPr>
          <w:rFonts w:ascii="仿宋" w:hAnsi="仿宋" w:eastAsia="仿宋"/>
          <w:b/>
          <w:kern w:val="2"/>
          <w:sz w:val="32"/>
        </w:rPr>
      </w:pPr>
      <w:r>
        <w:rPr>
          <w:rFonts w:hint="eastAsia" w:ascii="仿宋" w:hAnsi="仿宋" w:eastAsia="仿宋"/>
          <w:kern w:val="2"/>
          <w:sz w:val="32"/>
        </w:rPr>
        <w:t>十三、财政拨款“三公”经费支出决算表</w:t>
      </w:r>
    </w:p>
    <w:p w14:paraId="61AE8C68">
      <w:pPr>
        <w:rPr>
          <w:rFonts w:ascii="华文中宋" w:hAnsi="华文中宋" w:eastAsia="华文中宋"/>
          <w:kern w:val="2"/>
          <w:sz w:val="36"/>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A75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C2C964">
                          <w:pPr>
                            <w:pStyle w:val="5"/>
                          </w:pPr>
                          <w:r>
                            <w:fldChar w:fldCharType="begin"/>
                          </w:r>
                          <w:r>
                            <w:instrText xml:space="preserve"> PAGE  \* MERGEFORMAT </w:instrText>
                          </w:r>
                          <w:r>
                            <w:fldChar w:fldCharType="separate"/>
                          </w:r>
                          <w:r>
                            <w:t>20</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XiHcfgAQAAuwMAAA4AAAAA&#10;AAAAAQAgAAAAHgEAAGRycy9lMm9Eb2MueG1sUEsFBgAAAAAGAAYAWQEAAHAFAAAAAA==&#10;">
              <v:fill on="f" focussize="0,0"/>
              <v:stroke on="f"/>
              <v:imagedata o:title=""/>
              <o:lock v:ext="edit" aspectratio="f"/>
              <v:textbox inset="0mm,0mm,0mm,0mm" style="mso-fit-shape-to-text:t;">
                <w:txbxContent>
                  <w:p w14:paraId="1DC2C964">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multilevel"/>
    <w:tmpl w:val="829121E1"/>
    <w:lvl w:ilvl="0" w:tentative="0">
      <w:start w:val="2"/>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
    <w:nsid w:val="A4B1551E"/>
    <w:multiLevelType w:val="multilevel"/>
    <w:tmpl w:val="A4B1551E"/>
    <w:lvl w:ilvl="0" w:tentative="0">
      <w:start w:val="5"/>
      <w:numFmt w:val="chineseCounting"/>
      <w:suff w:val="space"/>
      <w:lvlText w:val="第%1部分"/>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2">
    <w:nsid w:val="CF652CEC"/>
    <w:multiLevelType w:val="multilevel"/>
    <w:tmpl w:val="CF652CEC"/>
    <w:lvl w:ilvl="0" w:tentative="0">
      <w:start w:val="9"/>
      <w:numFmt w:val="chineseCounting"/>
      <w:suff w:val="nothing"/>
      <w:lvlText w:val="%1、"/>
      <w:lvlJc w:val="left"/>
      <w:rPr>
        <w:rFonts w:hint="eastAsia"/>
        <w:sz w:val="32"/>
        <w:szCs w:val="32"/>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DAFE3737"/>
    <w:multiLevelType w:val="multilevel"/>
    <w:tmpl w:val="DAFE3737"/>
    <w:lvl w:ilvl="0" w:tentative="0">
      <w:start w:val="1"/>
      <w:numFmt w:val="chineseCounting"/>
      <w:suff w:val="nothing"/>
      <w:lvlText w:val="%1、"/>
      <w:lvlJc w:val="left"/>
      <w:rPr>
        <w:rFonts w:hint="default"/>
        <w:sz w:val="32"/>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4">
    <w:nsid w:val="042E2D18"/>
    <w:multiLevelType w:val="multilevel"/>
    <w:tmpl w:val="042E2D18"/>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5">
    <w:nsid w:val="68D1FE31"/>
    <w:multiLevelType w:val="multilevel"/>
    <w:tmpl w:val="68D1FE31"/>
    <w:lvl w:ilvl="0" w:tentative="0">
      <w:start w:val="1"/>
      <w:numFmt w:val="decimal"/>
      <w:lvlText w:val="%1."/>
      <w:lvlJc w:val="left"/>
      <w:pPr>
        <w:tabs>
          <w:tab w:val="left" w:pos="312"/>
        </w:tabs>
      </w:pPr>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3"/>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172A27"/>
    <w:rsid w:val="00172A27"/>
    <w:rsid w:val="00E05A11"/>
    <w:rsid w:val="00FC5322"/>
    <w:rsid w:val="096B29AD"/>
    <w:rsid w:val="1BB7480D"/>
    <w:rsid w:val="67117CF1"/>
    <w:rsid w:val="7C2E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link w:val="15"/>
    <w:unhideWhenUsed/>
    <w:qFormat/>
    <w:uiPriority w:val="99"/>
    <w:pPr>
      <w:outlineLvl w:val="0"/>
    </w:pPr>
  </w:style>
  <w:style w:type="paragraph" w:styleId="4">
    <w:name w:val="heading 2"/>
    <w:basedOn w:val="1"/>
    <w:next w:val="1"/>
    <w:link w:val="14"/>
    <w:unhideWhenUsed/>
    <w:qFormat/>
    <w:uiPriority w:val="99"/>
    <w:pPr>
      <w:outlineLvl w:val="1"/>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unhideWhenUsed/>
    <w:qFormat/>
    <w:uiPriority w:val="99"/>
    <w:pPr>
      <w:spacing w:beforeLines="30"/>
    </w:pPr>
    <w:rPr>
      <w:rFonts w:hint="eastAsia" w:ascii="仿宋_GB2312" w:eastAsia="仿宋_GB2312"/>
      <w:sz w:val="30"/>
    </w:rPr>
  </w:style>
  <w:style w:type="paragraph" w:styleId="5">
    <w:name w:val="footer"/>
    <w:basedOn w:val="1"/>
    <w:qFormat/>
    <w:uiPriority w:val="99"/>
    <w:pPr>
      <w:tabs>
        <w:tab w:val="center" w:pos="4153"/>
        <w:tab w:val="right" w:pos="8306"/>
      </w:tabs>
      <w:snapToGrid w:val="0"/>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unhideWhenUsed/>
    <w:qFormat/>
    <w:uiPriority w:val="39"/>
    <w:pPr>
      <w:tabs>
        <w:tab w:val="right" w:leader="dot" w:pos="8296"/>
      </w:tabs>
      <w:spacing w:before="93"/>
      <w:jc w:val="center"/>
    </w:pPr>
    <w:rPr>
      <w:rFonts w:hint="eastAsia" w:ascii="仿宋" w:hAnsi="仿宋" w:eastAsia="仿宋"/>
      <w:sz w:val="28"/>
    </w:rPr>
  </w:style>
  <w:style w:type="paragraph" w:styleId="8">
    <w:name w:val="toc 2"/>
    <w:basedOn w:val="1"/>
    <w:next w:val="1"/>
    <w:unhideWhenUsed/>
    <w:qFormat/>
    <w:uiPriority w:val="39"/>
    <w:pPr>
      <w:tabs>
        <w:tab w:val="right" w:leader="dot" w:pos="8296"/>
      </w:tabs>
      <w:ind w:left="420" w:leftChars="200"/>
    </w:pPr>
  </w:style>
  <w:style w:type="character" w:styleId="11">
    <w:name w:val="Strong"/>
    <w:basedOn w:val="10"/>
    <w:unhideWhenUsed/>
    <w:qFormat/>
    <w:uiPriority w:val="99"/>
    <w:rPr>
      <w:rFonts w:hint="default"/>
      <w:b/>
      <w:sz w:val="24"/>
      <w:szCs w:val="24"/>
    </w:rPr>
  </w:style>
  <w:style w:type="paragraph" w:styleId="12">
    <w:name w:val="List Paragraph"/>
    <w:basedOn w:val="1"/>
    <w:unhideWhenUsed/>
    <w:qFormat/>
    <w:uiPriority w:val="34"/>
    <w:pPr>
      <w:ind w:firstLine="420" w:firstLineChars="200"/>
    </w:pPr>
  </w:style>
  <w:style w:type="paragraph" w:customStyle="1" w:styleId="13">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4">
    <w:name w:val="标题 2 Char"/>
    <w:basedOn w:val="10"/>
    <w:link w:val="4"/>
    <w:unhideWhenUsed/>
    <w:qFormat/>
    <w:uiPriority w:val="9"/>
    <w:rPr>
      <w:rFonts w:hint="default"/>
      <w:sz w:val="24"/>
      <w:szCs w:val="24"/>
    </w:rPr>
  </w:style>
  <w:style w:type="character" w:customStyle="1" w:styleId="15">
    <w:name w:val="标题 1 Char"/>
    <w:basedOn w:val="10"/>
    <w:link w:val="3"/>
    <w:unhideWhenUsed/>
    <w:qFormat/>
    <w:uiPriority w:val="9"/>
    <w:rPr>
      <w:rFonts w:hint="default"/>
      <w:sz w:val="24"/>
      <w:szCs w:val="24"/>
    </w:rPr>
  </w:style>
  <w:style w:type="character" w:customStyle="1" w:styleId="16">
    <w:name w:val="正文文本 Char"/>
    <w:basedOn w:val="10"/>
    <w:link w:val="2"/>
    <w:qFormat/>
    <w:uiPriority w:val="99"/>
    <w:rPr>
      <w:rFonts w:ascii="仿宋_GB2312" w:eastAsia="仿宋_GB2312"/>
      <w:sz w:val="3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8839</Words>
  <Characters>9351</Characters>
  <Lines>68</Lines>
  <Paragraphs>19</Paragraphs>
  <TotalTime>8</TotalTime>
  <ScaleCrop>false</ScaleCrop>
  <LinksUpToDate>false</LinksUpToDate>
  <CharactersWithSpaces>9385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2023-08-24T10:29:00Z</dcterms:created>
  <dc:creator>Administrator</dc:creator>
  <cp:lastModifiedBy>Administrator</cp:lastModifiedBy>
  <dcterms:modified xsi:type="dcterms:W3CDTF">2024-12-19T08:19:50Z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66053AE3C8D8487DACE57EEADBB6C68B_13</vt:lpwstr>
  </property>
</Properties>
</file>