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theme/themeOverride2.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sz w:val="72"/>
          <w:szCs w:val="72"/>
        </w:rPr>
      </w:pPr>
      <w:bookmarkStart w:id="0" w:name="_Toc15378441"/>
      <w:bookmarkStart w:id="1" w:name="_Toc15377193"/>
      <w:bookmarkStart w:id="2" w:name="_Toc15377425"/>
      <w:bookmarkStart w:id="3" w:name="_Toc15396475"/>
      <w:bookmarkStart w:id="4" w:name="_Toc15396597"/>
      <w:bookmarkStart w:id="5" w:name="_Toc15306267"/>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6" w:name="_Toc143805788"/>
      <w:r>
        <w:rPr>
          <w:rFonts w:hint="eastAsia" w:ascii="方正小标宋简体" w:hAnsi="方正小标宋简体" w:eastAsia="方正小标宋简体" w:cs="方正小标宋简体"/>
          <w:sz w:val="72"/>
          <w:szCs w:val="72"/>
        </w:rPr>
        <w:t>2022年度</w:t>
      </w:r>
      <w:bookmarkEnd w:id="0"/>
      <w:bookmarkEnd w:id="1"/>
      <w:bookmarkEnd w:id="2"/>
      <w:bookmarkEnd w:id="3"/>
      <w:bookmarkEnd w:id="4"/>
      <w:bookmarkEnd w:id="6"/>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7" w:name="_Toc143805789"/>
      <w:bookmarkStart w:id="8" w:name="_Toc15396476"/>
      <w:bookmarkStart w:id="9" w:name="_Toc15396598"/>
      <w:bookmarkStart w:id="10" w:name="_Toc15378442"/>
      <w:bookmarkStart w:id="11" w:name="_Toc15377426"/>
      <w:bookmarkStart w:id="12" w:name="_Toc15377194"/>
      <w:r>
        <w:rPr>
          <w:rFonts w:hint="eastAsia" w:ascii="方正小标宋简体" w:hAnsi="方正小标宋简体" w:eastAsia="方正小标宋简体" w:cs="方正小标宋简体"/>
          <w:sz w:val="72"/>
          <w:szCs w:val="72"/>
        </w:rPr>
        <w:t>四川省</w:t>
      </w:r>
      <w:bookmarkEnd w:id="5"/>
      <w:bookmarkStart w:id="13" w:name="_Toc15306268"/>
      <w:r>
        <w:rPr>
          <w:rFonts w:hint="eastAsia" w:ascii="方正小标宋简体" w:hAnsi="方正小标宋简体" w:eastAsia="方正小标宋简体" w:cs="方正小标宋简体"/>
          <w:sz w:val="72"/>
          <w:szCs w:val="72"/>
        </w:rPr>
        <w:t>遂宁市安居区</w:t>
      </w:r>
      <w:bookmarkEnd w:id="7"/>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14" w:name="_Toc143805790"/>
      <w:r>
        <w:rPr>
          <w:rFonts w:hint="eastAsia" w:ascii="方正小标宋简体" w:hAnsi="方正小标宋简体" w:eastAsia="方正小标宋简体" w:cs="方正小标宋简体"/>
          <w:sz w:val="72"/>
          <w:szCs w:val="72"/>
        </w:rPr>
        <w:t>司法局部门决算</w:t>
      </w:r>
      <w:bookmarkEnd w:id="8"/>
      <w:bookmarkEnd w:id="9"/>
      <w:bookmarkEnd w:id="10"/>
      <w:bookmarkEnd w:id="11"/>
      <w:bookmarkEnd w:id="12"/>
      <w:bookmarkEnd w:id="13"/>
      <w:bookmarkEnd w:id="14"/>
    </w:p>
    <w:p>
      <w:pPr>
        <w:adjustRightInd w:val="0"/>
        <w:snapToGrid w:val="0"/>
        <w:spacing w:line="360" w:lineRule="auto"/>
        <w:outlineLvl w:val="0"/>
        <w:rPr>
          <w:rFonts w:ascii="方正小标宋简体" w:hAnsi="宋体" w:eastAsia="方正小标宋简体"/>
          <w:sz w:val="52"/>
          <w:szCs w:val="52"/>
        </w:rPr>
      </w:pPr>
    </w:p>
    <w:p>
      <w:pPr>
        <w:pStyle w:val="41"/>
        <w:jc w:val="center"/>
        <w:rPr>
          <w:rFonts w:hint="eastAsia" w:ascii="黑体" w:hAnsi="黑体" w:eastAsia="黑体" w:cs="黑体"/>
          <w:sz w:val="44"/>
          <w:szCs w:val="44"/>
          <w:lang w:val="zh-CN"/>
        </w:rPr>
        <w:sectPr>
          <w:headerReference r:id="rId3" w:type="default"/>
          <w:pgSz w:w="11906" w:h="16838"/>
          <w:pgMar w:top="1440" w:right="1800" w:bottom="1440" w:left="1800" w:header="851" w:footer="992" w:gutter="0"/>
          <w:pgNumType w:fmt="decimal" w:start="1"/>
          <w:cols w:space="425" w:num="1"/>
          <w:titlePg/>
          <w:docGrid w:type="lines" w:linePitch="312" w:charSpace="0"/>
        </w:sectPr>
      </w:pPr>
    </w:p>
    <w:sdt>
      <w:sdtPr>
        <w:rPr>
          <w:rFonts w:hint="eastAsia" w:ascii="黑体" w:hAnsi="黑体" w:eastAsia="黑体" w:cs="黑体"/>
          <w:sz w:val="44"/>
          <w:szCs w:val="44"/>
          <w:lang w:val="zh-CN"/>
        </w:rPr>
        <w:id w:val="-768310919"/>
        <w:docPartObj>
          <w:docPartGallery w:val="Table of Contents"/>
          <w:docPartUnique/>
        </w:docPartObj>
      </w:sdtPr>
      <w:sdtEndPr>
        <w:rPr>
          <w:rFonts w:hint="eastAsia" w:ascii="Times New Roman" w:hAnsi="Times New Roman" w:eastAsia="宋体" w:cs="Times New Roman"/>
          <w:b/>
          <w:bCs/>
          <w:color w:val="auto"/>
          <w:kern w:val="2"/>
          <w:sz w:val="21"/>
          <w:szCs w:val="24"/>
          <w:lang w:val="zh-CN"/>
        </w:rPr>
      </w:sdtEndPr>
      <w:sdtContent>
        <w:p>
          <w:pPr>
            <w:pStyle w:val="41"/>
            <w:jc w:val="center"/>
            <w:rPr>
              <w:rFonts w:hint="eastAsia" w:ascii="黑体" w:hAnsi="黑体" w:eastAsia="黑体" w:cs="黑体"/>
              <w:sz w:val="44"/>
              <w:szCs w:val="44"/>
            </w:rPr>
          </w:pPr>
          <w:r>
            <w:rPr>
              <w:rFonts w:hint="eastAsia" w:ascii="黑体" w:hAnsi="黑体" w:eastAsia="黑体" w:cs="黑体"/>
              <w:sz w:val="44"/>
              <w:szCs w:val="44"/>
              <w:lang w:val="en-US" w:eastAsia="zh-CN"/>
            </w:rPr>
            <w:t>目</w:t>
          </w:r>
          <w:r>
            <w:rPr>
              <w:rFonts w:hint="eastAsia" w:ascii="黑体" w:hAnsi="黑体" w:eastAsia="黑体" w:cs="黑体"/>
              <w:sz w:val="44"/>
              <w:szCs w:val="44"/>
              <w:lang w:val="zh-CN"/>
            </w:rPr>
            <w:t>录</w:t>
          </w:r>
        </w:p>
        <w:p>
          <w:pPr>
            <w:pStyle w:val="15"/>
            <w:rPr>
              <w:rFonts w:asciiTheme="minorHAnsi" w:hAnsiTheme="minorHAnsi" w:eastAsiaTheme="minorEastAsia" w:cstheme="minorBidi"/>
              <w:sz w:val="21"/>
              <w:szCs w:val="22"/>
              <w14:ligatures w14:val="standardContextual"/>
            </w:rPr>
          </w:pPr>
          <w:r>
            <w:fldChar w:fldCharType="begin"/>
          </w:r>
          <w:r>
            <w:instrText xml:space="preserve"> TOC \o "1-3" \h \z \u </w:instrText>
          </w:r>
          <w:r>
            <w:fldChar w:fldCharType="separate"/>
          </w:r>
        </w:p>
        <w:p>
          <w:pPr>
            <w:pStyle w:val="15"/>
            <w:rPr>
              <w:rFonts w:asciiTheme="minorHAnsi" w:hAnsiTheme="minorHAnsi" w:eastAsiaTheme="minorEastAsia" w:cstheme="minorBidi"/>
              <w:sz w:val="21"/>
              <w:szCs w:val="22"/>
              <w14:ligatures w14:val="standardContextual"/>
            </w:rPr>
          </w:pPr>
          <w:r>
            <w:fldChar w:fldCharType="begin"/>
          </w:r>
          <w:r>
            <w:instrText xml:space="preserve"> HYPERLINK \l "_Toc143805791" </w:instrText>
          </w:r>
          <w:r>
            <w:fldChar w:fldCharType="separate"/>
          </w:r>
          <w:r>
            <w:rPr>
              <w:rStyle w:val="24"/>
              <w:rFonts w:ascii="黑体" w:hAnsi="黑体" w:eastAsia="黑体"/>
            </w:rPr>
            <w:t>第一部分 部门概况</w:t>
          </w:r>
          <w:r>
            <w:tab/>
          </w:r>
          <w:r>
            <w:fldChar w:fldCharType="begin"/>
          </w:r>
          <w:r>
            <w:instrText xml:space="preserve"> PAGEREF _Toc143805791 \h </w:instrText>
          </w:r>
          <w:r>
            <w:fldChar w:fldCharType="separate"/>
          </w:r>
          <w:r>
            <w:t>1</w:t>
          </w:r>
          <w:r>
            <w:fldChar w:fldCharType="end"/>
          </w:r>
          <w:r>
            <w:fldChar w:fldCharType="end"/>
          </w:r>
        </w:p>
        <w:p>
          <w:pPr>
            <w:pStyle w:val="18"/>
            <w:tabs>
              <w:tab w:val="left" w:pos="1260"/>
            </w:tabs>
            <w:rPr>
              <w:rFonts w:hint="eastAsia" w:ascii="楷体" w:hAnsi="楷体" w:eastAsia="楷体" w:cs="楷体"/>
            </w:rPr>
          </w:pPr>
          <w:r>
            <w:rPr>
              <w:rFonts w:hint="eastAsia" w:ascii="楷体" w:hAnsi="楷体" w:eastAsia="楷体" w:cs="楷体"/>
            </w:rPr>
            <w:fldChar w:fldCharType="begin"/>
          </w:r>
          <w:r>
            <w:rPr>
              <w:rFonts w:hint="eastAsia" w:ascii="楷体" w:hAnsi="楷体" w:eastAsia="楷体" w:cs="楷体"/>
            </w:rPr>
            <w:instrText xml:space="preserve"> HYPERLINK \l "_Toc143805792" </w:instrText>
          </w:r>
          <w:r>
            <w:rPr>
              <w:rFonts w:hint="eastAsia" w:ascii="楷体" w:hAnsi="楷体" w:eastAsia="楷体" w:cs="楷体"/>
            </w:rPr>
            <w:fldChar w:fldCharType="separate"/>
          </w:r>
          <w:r>
            <w:rPr>
              <w:rFonts w:hint="eastAsia" w:ascii="楷体" w:hAnsi="楷体" w:eastAsia="楷体" w:cs="楷体"/>
            </w:rPr>
            <w:t>一、部门职责</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_Toc143805792 \h </w:instrText>
          </w:r>
          <w:r>
            <w:rPr>
              <w:rFonts w:hint="eastAsia" w:ascii="楷体" w:hAnsi="楷体" w:eastAsia="楷体" w:cs="楷体"/>
            </w:rPr>
            <w:fldChar w:fldCharType="separate"/>
          </w:r>
          <w:r>
            <w:rPr>
              <w:rFonts w:hint="eastAsia" w:ascii="楷体" w:hAnsi="楷体" w:eastAsia="楷体" w:cs="楷体"/>
            </w:rPr>
            <w:t>1</w:t>
          </w:r>
          <w:r>
            <w:rPr>
              <w:rFonts w:hint="eastAsia" w:ascii="楷体" w:hAnsi="楷体" w:eastAsia="楷体" w:cs="楷体"/>
            </w:rPr>
            <w:fldChar w:fldCharType="end"/>
          </w:r>
          <w:r>
            <w:rPr>
              <w:rFonts w:hint="eastAsia" w:ascii="楷体" w:hAnsi="楷体" w:eastAsia="楷体" w:cs="楷体"/>
            </w:rPr>
            <w:fldChar w:fldCharType="end"/>
          </w:r>
        </w:p>
        <w:p>
          <w:pPr>
            <w:pStyle w:val="18"/>
            <w:tabs>
              <w:tab w:val="left" w:pos="1260"/>
            </w:tabs>
            <w:rPr>
              <w:rFonts w:hint="eastAsia" w:ascii="楷体" w:hAnsi="楷体" w:eastAsia="楷体" w:cs="楷体"/>
            </w:rPr>
          </w:pPr>
          <w:r>
            <w:rPr>
              <w:rFonts w:hint="eastAsia" w:ascii="楷体" w:hAnsi="楷体" w:eastAsia="楷体" w:cs="楷体"/>
            </w:rPr>
            <w:fldChar w:fldCharType="begin"/>
          </w:r>
          <w:r>
            <w:rPr>
              <w:rFonts w:hint="eastAsia" w:ascii="楷体" w:hAnsi="楷体" w:eastAsia="楷体" w:cs="楷体"/>
            </w:rPr>
            <w:instrText xml:space="preserve"> HYPERLINK \l "_Toc143805802" </w:instrText>
          </w:r>
          <w:r>
            <w:rPr>
              <w:rFonts w:hint="eastAsia" w:ascii="楷体" w:hAnsi="楷体" w:eastAsia="楷体" w:cs="楷体"/>
            </w:rPr>
            <w:fldChar w:fldCharType="separate"/>
          </w:r>
          <w:r>
            <w:rPr>
              <w:rFonts w:hint="eastAsia" w:ascii="楷体" w:hAnsi="楷体" w:eastAsia="楷体" w:cs="楷体"/>
            </w:rPr>
            <w:t>二、机构设置</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_Toc143805802 \h </w:instrText>
          </w:r>
          <w:r>
            <w:rPr>
              <w:rFonts w:hint="eastAsia" w:ascii="楷体" w:hAnsi="楷体" w:eastAsia="楷体" w:cs="楷体"/>
            </w:rPr>
            <w:fldChar w:fldCharType="separate"/>
          </w:r>
          <w:r>
            <w:rPr>
              <w:rFonts w:hint="eastAsia" w:ascii="楷体" w:hAnsi="楷体" w:eastAsia="楷体" w:cs="楷体"/>
            </w:rPr>
            <w:t>2</w:t>
          </w:r>
          <w:r>
            <w:rPr>
              <w:rFonts w:hint="eastAsia" w:ascii="楷体" w:hAnsi="楷体" w:eastAsia="楷体" w:cs="楷体"/>
            </w:rPr>
            <w:fldChar w:fldCharType="end"/>
          </w:r>
          <w:r>
            <w:rPr>
              <w:rFonts w:hint="eastAsia" w:ascii="楷体" w:hAnsi="楷体" w:eastAsia="楷体" w:cs="楷体"/>
            </w:rPr>
            <w:fldChar w:fldCharType="end"/>
          </w:r>
        </w:p>
        <w:p>
          <w:pPr>
            <w:pStyle w:val="15"/>
            <w:rPr>
              <w:rFonts w:asciiTheme="minorHAnsi" w:hAnsiTheme="minorHAnsi" w:eastAsiaTheme="minorEastAsia" w:cstheme="minorBidi"/>
              <w:sz w:val="21"/>
              <w:szCs w:val="22"/>
              <w14:ligatures w14:val="standardContextual"/>
            </w:rPr>
          </w:pPr>
          <w:r>
            <w:fldChar w:fldCharType="begin"/>
          </w:r>
          <w:r>
            <w:instrText xml:space="preserve"> HYPERLINK \l "_Toc143805803" </w:instrText>
          </w:r>
          <w:r>
            <w:fldChar w:fldCharType="separate"/>
          </w:r>
          <w:r>
            <w:rPr>
              <w:rStyle w:val="24"/>
              <w:rFonts w:ascii="黑体" w:hAnsi="黑体" w:eastAsia="黑体"/>
            </w:rPr>
            <w:t>第二部分 2022年度部门决算情况说明</w:t>
          </w:r>
          <w:r>
            <w:tab/>
          </w:r>
          <w:r>
            <w:fldChar w:fldCharType="begin"/>
          </w:r>
          <w:r>
            <w:instrText xml:space="preserve"> PAGEREF _Toc143805803 \h </w:instrText>
          </w:r>
          <w:r>
            <w:fldChar w:fldCharType="separate"/>
          </w:r>
          <w:r>
            <w:t>3</w:t>
          </w:r>
          <w:r>
            <w:fldChar w:fldCharType="end"/>
          </w:r>
          <w:r>
            <w:fldChar w:fldCharType="end"/>
          </w:r>
        </w:p>
        <w:p>
          <w:pPr>
            <w:pStyle w:val="18"/>
            <w:tabs>
              <w:tab w:val="left" w:pos="1260"/>
            </w:tabs>
            <w:rPr>
              <w:rFonts w:hint="eastAsia" w:ascii="楷体" w:hAnsi="楷体" w:eastAsia="楷体" w:cs="楷体"/>
            </w:rPr>
          </w:pPr>
          <w:r>
            <w:rPr>
              <w:rFonts w:hint="eastAsia" w:ascii="楷体" w:hAnsi="楷体" w:eastAsia="楷体" w:cs="楷体"/>
            </w:rPr>
            <w:fldChar w:fldCharType="begin"/>
          </w:r>
          <w:r>
            <w:rPr>
              <w:rFonts w:hint="eastAsia" w:ascii="楷体" w:hAnsi="楷体" w:eastAsia="楷体" w:cs="楷体"/>
            </w:rPr>
            <w:instrText xml:space="preserve"> HYPERLINK \l "_Toc143805804" </w:instrText>
          </w:r>
          <w:r>
            <w:rPr>
              <w:rFonts w:hint="eastAsia" w:ascii="楷体" w:hAnsi="楷体" w:eastAsia="楷体" w:cs="楷体"/>
            </w:rPr>
            <w:fldChar w:fldCharType="separate"/>
          </w:r>
          <w:r>
            <w:rPr>
              <w:rFonts w:hint="eastAsia" w:ascii="楷体" w:hAnsi="楷体" w:eastAsia="楷体" w:cs="楷体"/>
            </w:rPr>
            <w:t>一、收入支出决算总体情况说明</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_Toc143805804 \h </w:instrText>
          </w:r>
          <w:r>
            <w:rPr>
              <w:rFonts w:hint="eastAsia" w:ascii="楷体" w:hAnsi="楷体" w:eastAsia="楷体" w:cs="楷体"/>
            </w:rPr>
            <w:fldChar w:fldCharType="separate"/>
          </w:r>
          <w:r>
            <w:rPr>
              <w:rFonts w:hint="eastAsia" w:ascii="楷体" w:hAnsi="楷体" w:eastAsia="楷体" w:cs="楷体"/>
            </w:rPr>
            <w:t>3</w:t>
          </w:r>
          <w:r>
            <w:rPr>
              <w:rFonts w:hint="eastAsia" w:ascii="楷体" w:hAnsi="楷体" w:eastAsia="楷体" w:cs="楷体"/>
            </w:rPr>
            <w:fldChar w:fldCharType="end"/>
          </w:r>
          <w:r>
            <w:rPr>
              <w:rFonts w:hint="eastAsia" w:ascii="楷体" w:hAnsi="楷体" w:eastAsia="楷体" w:cs="楷体"/>
            </w:rPr>
            <w:fldChar w:fldCharType="end"/>
          </w:r>
        </w:p>
        <w:p>
          <w:pPr>
            <w:pStyle w:val="18"/>
            <w:tabs>
              <w:tab w:val="left" w:pos="1260"/>
            </w:tabs>
            <w:rPr>
              <w:rFonts w:hint="eastAsia" w:ascii="楷体" w:hAnsi="楷体" w:eastAsia="楷体" w:cs="楷体"/>
            </w:rPr>
          </w:pPr>
          <w:r>
            <w:rPr>
              <w:rFonts w:hint="eastAsia" w:ascii="楷体" w:hAnsi="楷体" w:eastAsia="楷体" w:cs="楷体"/>
            </w:rPr>
            <w:fldChar w:fldCharType="begin"/>
          </w:r>
          <w:r>
            <w:rPr>
              <w:rFonts w:hint="eastAsia" w:ascii="楷体" w:hAnsi="楷体" w:eastAsia="楷体" w:cs="楷体"/>
            </w:rPr>
            <w:instrText xml:space="preserve"> HYPERLINK \l "_Toc143805805" </w:instrText>
          </w:r>
          <w:r>
            <w:rPr>
              <w:rFonts w:hint="eastAsia" w:ascii="楷体" w:hAnsi="楷体" w:eastAsia="楷体" w:cs="楷体"/>
            </w:rPr>
            <w:fldChar w:fldCharType="separate"/>
          </w:r>
          <w:r>
            <w:rPr>
              <w:rFonts w:hint="eastAsia" w:ascii="楷体" w:hAnsi="楷体" w:eastAsia="楷体" w:cs="楷体"/>
            </w:rPr>
            <w:t>二、收入决算情况说明</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_Toc143805805 \h </w:instrText>
          </w:r>
          <w:r>
            <w:rPr>
              <w:rFonts w:hint="eastAsia" w:ascii="楷体" w:hAnsi="楷体" w:eastAsia="楷体" w:cs="楷体"/>
            </w:rPr>
            <w:fldChar w:fldCharType="separate"/>
          </w:r>
          <w:r>
            <w:rPr>
              <w:rFonts w:hint="eastAsia" w:ascii="楷体" w:hAnsi="楷体" w:eastAsia="楷体" w:cs="楷体"/>
            </w:rPr>
            <w:t>3</w:t>
          </w:r>
          <w:r>
            <w:rPr>
              <w:rFonts w:hint="eastAsia" w:ascii="楷体" w:hAnsi="楷体" w:eastAsia="楷体" w:cs="楷体"/>
            </w:rPr>
            <w:fldChar w:fldCharType="end"/>
          </w:r>
          <w:r>
            <w:rPr>
              <w:rFonts w:hint="eastAsia" w:ascii="楷体" w:hAnsi="楷体" w:eastAsia="楷体" w:cs="楷体"/>
            </w:rPr>
            <w:fldChar w:fldCharType="end"/>
          </w:r>
        </w:p>
        <w:p>
          <w:pPr>
            <w:pStyle w:val="18"/>
            <w:tabs>
              <w:tab w:val="left" w:pos="1260"/>
            </w:tabs>
            <w:rPr>
              <w:rFonts w:hint="eastAsia" w:ascii="楷体" w:hAnsi="楷体" w:eastAsia="楷体" w:cs="楷体"/>
            </w:rPr>
          </w:pPr>
          <w:r>
            <w:rPr>
              <w:rFonts w:hint="eastAsia" w:ascii="楷体" w:hAnsi="楷体" w:eastAsia="楷体" w:cs="楷体"/>
            </w:rPr>
            <w:fldChar w:fldCharType="begin"/>
          </w:r>
          <w:r>
            <w:rPr>
              <w:rFonts w:hint="eastAsia" w:ascii="楷体" w:hAnsi="楷体" w:eastAsia="楷体" w:cs="楷体"/>
            </w:rPr>
            <w:instrText xml:space="preserve"> HYPERLINK \l "_Toc143805809" </w:instrText>
          </w:r>
          <w:r>
            <w:rPr>
              <w:rFonts w:hint="eastAsia" w:ascii="楷体" w:hAnsi="楷体" w:eastAsia="楷体" w:cs="楷体"/>
            </w:rPr>
            <w:fldChar w:fldCharType="separate"/>
          </w:r>
          <w:r>
            <w:rPr>
              <w:rFonts w:hint="eastAsia" w:ascii="楷体" w:hAnsi="楷体" w:eastAsia="楷体" w:cs="楷体"/>
            </w:rPr>
            <w:t>四、财政拨款收入支出决算总体情况说明</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_Toc143805809 \h </w:instrText>
          </w:r>
          <w:r>
            <w:rPr>
              <w:rFonts w:hint="eastAsia" w:ascii="楷体" w:hAnsi="楷体" w:eastAsia="楷体" w:cs="楷体"/>
            </w:rPr>
            <w:fldChar w:fldCharType="separate"/>
          </w:r>
          <w:r>
            <w:rPr>
              <w:rFonts w:hint="eastAsia" w:ascii="楷体" w:hAnsi="楷体" w:eastAsia="楷体" w:cs="楷体"/>
            </w:rPr>
            <w:t>5</w:t>
          </w:r>
          <w:r>
            <w:rPr>
              <w:rFonts w:hint="eastAsia" w:ascii="楷体" w:hAnsi="楷体" w:eastAsia="楷体" w:cs="楷体"/>
            </w:rPr>
            <w:fldChar w:fldCharType="end"/>
          </w:r>
          <w:r>
            <w:rPr>
              <w:rFonts w:hint="eastAsia" w:ascii="楷体" w:hAnsi="楷体" w:eastAsia="楷体" w:cs="楷体"/>
            </w:rPr>
            <w:fldChar w:fldCharType="end"/>
          </w:r>
        </w:p>
        <w:p>
          <w:pPr>
            <w:pStyle w:val="18"/>
            <w:tabs>
              <w:tab w:val="left" w:pos="1260"/>
            </w:tabs>
            <w:rPr>
              <w:rFonts w:hint="eastAsia" w:ascii="楷体" w:hAnsi="楷体" w:eastAsia="楷体" w:cs="楷体"/>
            </w:rPr>
          </w:pPr>
          <w:r>
            <w:rPr>
              <w:rFonts w:hint="eastAsia" w:ascii="楷体" w:hAnsi="楷体" w:eastAsia="楷体" w:cs="楷体"/>
            </w:rPr>
            <w:fldChar w:fldCharType="begin"/>
          </w:r>
          <w:r>
            <w:rPr>
              <w:rFonts w:hint="eastAsia" w:ascii="楷体" w:hAnsi="楷体" w:eastAsia="楷体" w:cs="楷体"/>
            </w:rPr>
            <w:instrText xml:space="preserve"> HYPERLINK \l "_Toc143805810" </w:instrText>
          </w:r>
          <w:r>
            <w:rPr>
              <w:rFonts w:hint="eastAsia" w:ascii="楷体" w:hAnsi="楷体" w:eastAsia="楷体" w:cs="楷体"/>
            </w:rPr>
            <w:fldChar w:fldCharType="separate"/>
          </w:r>
          <w:r>
            <w:rPr>
              <w:rFonts w:hint="eastAsia" w:ascii="楷体" w:hAnsi="楷体" w:eastAsia="楷体" w:cs="楷体"/>
            </w:rPr>
            <w:t>五、一般公共预算财政拨款支出决算情况说明</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_Toc143805810 \h </w:instrText>
          </w:r>
          <w:r>
            <w:rPr>
              <w:rFonts w:hint="eastAsia" w:ascii="楷体" w:hAnsi="楷体" w:eastAsia="楷体" w:cs="楷体"/>
            </w:rPr>
            <w:fldChar w:fldCharType="separate"/>
          </w:r>
          <w:r>
            <w:rPr>
              <w:rFonts w:hint="eastAsia" w:ascii="楷体" w:hAnsi="楷体" w:eastAsia="楷体" w:cs="楷体"/>
            </w:rPr>
            <w:t>6</w:t>
          </w:r>
          <w:r>
            <w:rPr>
              <w:rFonts w:hint="eastAsia" w:ascii="楷体" w:hAnsi="楷体" w:eastAsia="楷体" w:cs="楷体"/>
            </w:rPr>
            <w:fldChar w:fldCharType="end"/>
          </w:r>
          <w:r>
            <w:rPr>
              <w:rFonts w:hint="eastAsia" w:ascii="楷体" w:hAnsi="楷体" w:eastAsia="楷体" w:cs="楷体"/>
            </w:rPr>
            <w:fldChar w:fldCharType="end"/>
          </w:r>
        </w:p>
        <w:p>
          <w:pPr>
            <w:pStyle w:val="18"/>
            <w:tabs>
              <w:tab w:val="left" w:pos="1260"/>
            </w:tabs>
            <w:rPr>
              <w:rFonts w:hint="eastAsia" w:ascii="楷体" w:hAnsi="楷体" w:eastAsia="楷体" w:cs="楷体"/>
            </w:rPr>
          </w:pPr>
          <w:r>
            <w:rPr>
              <w:rFonts w:hint="eastAsia" w:ascii="楷体" w:hAnsi="楷体" w:eastAsia="楷体" w:cs="楷体"/>
            </w:rPr>
            <w:fldChar w:fldCharType="begin"/>
          </w:r>
          <w:r>
            <w:rPr>
              <w:rFonts w:hint="eastAsia" w:ascii="楷体" w:hAnsi="楷体" w:eastAsia="楷体" w:cs="楷体"/>
            </w:rPr>
            <w:instrText xml:space="preserve"> HYPERLINK \l "_Toc143805815" </w:instrText>
          </w:r>
          <w:r>
            <w:rPr>
              <w:rFonts w:hint="eastAsia" w:ascii="楷体" w:hAnsi="楷体" w:eastAsia="楷体" w:cs="楷体"/>
            </w:rPr>
            <w:fldChar w:fldCharType="separate"/>
          </w:r>
          <w:r>
            <w:rPr>
              <w:rFonts w:hint="eastAsia" w:ascii="楷体" w:hAnsi="楷体" w:eastAsia="楷体" w:cs="楷体"/>
            </w:rPr>
            <w:t>六、一般公共预算财政拨款基本支出决算情况说明</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_Toc143805815 \h </w:instrText>
          </w:r>
          <w:r>
            <w:rPr>
              <w:rFonts w:hint="eastAsia" w:ascii="楷体" w:hAnsi="楷体" w:eastAsia="楷体" w:cs="楷体"/>
            </w:rPr>
            <w:fldChar w:fldCharType="separate"/>
          </w:r>
          <w:r>
            <w:rPr>
              <w:rFonts w:hint="eastAsia" w:ascii="楷体" w:hAnsi="楷体" w:eastAsia="楷体" w:cs="楷体"/>
            </w:rPr>
            <w:t>9</w:t>
          </w:r>
          <w:r>
            <w:rPr>
              <w:rFonts w:hint="eastAsia" w:ascii="楷体" w:hAnsi="楷体" w:eastAsia="楷体" w:cs="楷体"/>
            </w:rPr>
            <w:fldChar w:fldCharType="end"/>
          </w:r>
          <w:r>
            <w:rPr>
              <w:rFonts w:hint="eastAsia" w:ascii="楷体" w:hAnsi="楷体" w:eastAsia="楷体" w:cs="楷体"/>
            </w:rPr>
            <w:fldChar w:fldCharType="end"/>
          </w:r>
        </w:p>
        <w:p>
          <w:pPr>
            <w:pStyle w:val="18"/>
            <w:tabs>
              <w:tab w:val="left" w:pos="1260"/>
            </w:tabs>
            <w:rPr>
              <w:rFonts w:hint="eastAsia" w:ascii="楷体" w:hAnsi="楷体" w:eastAsia="楷体" w:cs="楷体"/>
            </w:rPr>
          </w:pPr>
          <w:r>
            <w:rPr>
              <w:rFonts w:hint="eastAsia" w:ascii="楷体" w:hAnsi="楷体" w:eastAsia="楷体" w:cs="楷体"/>
            </w:rPr>
            <w:fldChar w:fldCharType="begin"/>
          </w:r>
          <w:r>
            <w:rPr>
              <w:rFonts w:hint="eastAsia" w:ascii="楷体" w:hAnsi="楷体" w:eastAsia="楷体" w:cs="楷体"/>
            </w:rPr>
            <w:instrText xml:space="preserve"> HYPERLINK \l "_Toc143805816" </w:instrText>
          </w:r>
          <w:r>
            <w:rPr>
              <w:rFonts w:hint="eastAsia" w:ascii="楷体" w:hAnsi="楷体" w:eastAsia="楷体" w:cs="楷体"/>
            </w:rPr>
            <w:fldChar w:fldCharType="separate"/>
          </w:r>
          <w:r>
            <w:rPr>
              <w:rFonts w:hint="eastAsia" w:ascii="楷体" w:hAnsi="楷体" w:eastAsia="楷体" w:cs="楷体"/>
            </w:rPr>
            <w:t>七、财政拨款“三公”经费支出决算情况说明</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_Toc143805816 \h </w:instrText>
          </w:r>
          <w:r>
            <w:rPr>
              <w:rFonts w:hint="eastAsia" w:ascii="楷体" w:hAnsi="楷体" w:eastAsia="楷体" w:cs="楷体"/>
            </w:rPr>
            <w:fldChar w:fldCharType="separate"/>
          </w:r>
          <w:r>
            <w:rPr>
              <w:rFonts w:hint="eastAsia" w:ascii="楷体" w:hAnsi="楷体" w:eastAsia="楷体" w:cs="楷体"/>
            </w:rPr>
            <w:t>10</w:t>
          </w:r>
          <w:r>
            <w:rPr>
              <w:rFonts w:hint="eastAsia" w:ascii="楷体" w:hAnsi="楷体" w:eastAsia="楷体" w:cs="楷体"/>
            </w:rPr>
            <w:fldChar w:fldCharType="end"/>
          </w:r>
          <w:r>
            <w:rPr>
              <w:rFonts w:hint="eastAsia" w:ascii="楷体" w:hAnsi="楷体" w:eastAsia="楷体" w:cs="楷体"/>
            </w:rPr>
            <w:fldChar w:fldCharType="end"/>
          </w:r>
        </w:p>
        <w:p>
          <w:pPr>
            <w:pStyle w:val="18"/>
            <w:tabs>
              <w:tab w:val="left" w:pos="1260"/>
            </w:tabs>
            <w:rPr>
              <w:rFonts w:hint="eastAsia" w:ascii="楷体" w:hAnsi="楷体" w:eastAsia="楷体" w:cs="楷体"/>
            </w:rPr>
          </w:pPr>
          <w:r>
            <w:rPr>
              <w:rFonts w:hint="eastAsia" w:ascii="楷体" w:hAnsi="楷体" w:eastAsia="楷体" w:cs="楷体"/>
            </w:rPr>
            <w:fldChar w:fldCharType="begin"/>
          </w:r>
          <w:r>
            <w:rPr>
              <w:rFonts w:hint="eastAsia" w:ascii="楷体" w:hAnsi="楷体" w:eastAsia="楷体" w:cs="楷体"/>
            </w:rPr>
            <w:instrText xml:space="preserve"> HYPERLINK \l "_Toc143805819" </w:instrText>
          </w:r>
          <w:r>
            <w:rPr>
              <w:rFonts w:hint="eastAsia" w:ascii="楷体" w:hAnsi="楷体" w:eastAsia="楷体" w:cs="楷体"/>
            </w:rPr>
            <w:fldChar w:fldCharType="separate"/>
          </w:r>
          <w:r>
            <w:rPr>
              <w:rFonts w:hint="eastAsia" w:ascii="楷体" w:hAnsi="楷体" w:eastAsia="楷体" w:cs="楷体"/>
            </w:rPr>
            <w:t>八、政府性基金预算支出决算情况说明</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_Toc143805819 \h </w:instrText>
          </w:r>
          <w:r>
            <w:rPr>
              <w:rFonts w:hint="eastAsia" w:ascii="楷体" w:hAnsi="楷体" w:eastAsia="楷体" w:cs="楷体"/>
            </w:rPr>
            <w:fldChar w:fldCharType="separate"/>
          </w:r>
          <w:r>
            <w:rPr>
              <w:rFonts w:hint="eastAsia" w:ascii="楷体" w:hAnsi="楷体" w:eastAsia="楷体" w:cs="楷体"/>
            </w:rPr>
            <w:t>12</w:t>
          </w:r>
          <w:r>
            <w:rPr>
              <w:rFonts w:hint="eastAsia" w:ascii="楷体" w:hAnsi="楷体" w:eastAsia="楷体" w:cs="楷体"/>
            </w:rPr>
            <w:fldChar w:fldCharType="end"/>
          </w:r>
          <w:r>
            <w:rPr>
              <w:rFonts w:hint="eastAsia" w:ascii="楷体" w:hAnsi="楷体" w:eastAsia="楷体" w:cs="楷体"/>
            </w:rPr>
            <w:fldChar w:fldCharType="end"/>
          </w:r>
        </w:p>
        <w:p>
          <w:pPr>
            <w:pStyle w:val="18"/>
            <w:tabs>
              <w:tab w:val="left" w:pos="1260"/>
            </w:tabs>
            <w:rPr>
              <w:rFonts w:hint="eastAsia" w:ascii="楷体" w:hAnsi="楷体" w:eastAsia="楷体" w:cs="楷体"/>
            </w:rPr>
          </w:pPr>
          <w:r>
            <w:rPr>
              <w:rFonts w:hint="eastAsia" w:ascii="楷体" w:hAnsi="楷体" w:eastAsia="楷体" w:cs="楷体"/>
            </w:rPr>
            <w:fldChar w:fldCharType="begin"/>
          </w:r>
          <w:r>
            <w:rPr>
              <w:rFonts w:hint="eastAsia" w:ascii="楷体" w:hAnsi="楷体" w:eastAsia="楷体" w:cs="楷体"/>
            </w:rPr>
            <w:instrText xml:space="preserve"> HYPERLINK \l "_Toc143805820" </w:instrText>
          </w:r>
          <w:r>
            <w:rPr>
              <w:rFonts w:hint="eastAsia" w:ascii="楷体" w:hAnsi="楷体" w:eastAsia="楷体" w:cs="楷体"/>
            </w:rPr>
            <w:fldChar w:fldCharType="separate"/>
          </w:r>
          <w:r>
            <w:rPr>
              <w:rFonts w:hint="eastAsia" w:ascii="楷体" w:hAnsi="楷体" w:eastAsia="楷体" w:cs="楷体"/>
            </w:rPr>
            <w:t>九、国有资本经营预算支出决算情况说明</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_Toc143805820 \h </w:instrText>
          </w:r>
          <w:r>
            <w:rPr>
              <w:rFonts w:hint="eastAsia" w:ascii="楷体" w:hAnsi="楷体" w:eastAsia="楷体" w:cs="楷体"/>
            </w:rPr>
            <w:fldChar w:fldCharType="separate"/>
          </w:r>
          <w:r>
            <w:rPr>
              <w:rFonts w:hint="eastAsia" w:ascii="楷体" w:hAnsi="楷体" w:eastAsia="楷体" w:cs="楷体"/>
            </w:rPr>
            <w:t>12</w:t>
          </w:r>
          <w:r>
            <w:rPr>
              <w:rFonts w:hint="eastAsia" w:ascii="楷体" w:hAnsi="楷体" w:eastAsia="楷体" w:cs="楷体"/>
            </w:rPr>
            <w:fldChar w:fldCharType="end"/>
          </w:r>
          <w:r>
            <w:rPr>
              <w:rFonts w:hint="eastAsia" w:ascii="楷体" w:hAnsi="楷体" w:eastAsia="楷体" w:cs="楷体"/>
            </w:rPr>
            <w:fldChar w:fldCharType="end"/>
          </w:r>
        </w:p>
        <w:p>
          <w:pPr>
            <w:pStyle w:val="18"/>
            <w:tabs>
              <w:tab w:val="left" w:pos="1260"/>
            </w:tabs>
            <w:rPr>
              <w:rFonts w:hint="eastAsia" w:ascii="楷体" w:hAnsi="楷体" w:eastAsia="楷体" w:cs="楷体"/>
            </w:rPr>
          </w:pPr>
          <w:r>
            <w:rPr>
              <w:rFonts w:hint="eastAsia" w:ascii="楷体" w:hAnsi="楷体" w:eastAsia="楷体" w:cs="楷体"/>
            </w:rPr>
            <w:fldChar w:fldCharType="begin"/>
          </w:r>
          <w:r>
            <w:rPr>
              <w:rFonts w:hint="eastAsia" w:ascii="楷体" w:hAnsi="楷体" w:eastAsia="楷体" w:cs="楷体"/>
            </w:rPr>
            <w:instrText xml:space="preserve"> HYPERLINK \l "_Toc143805821" </w:instrText>
          </w:r>
          <w:r>
            <w:rPr>
              <w:rFonts w:hint="eastAsia" w:ascii="楷体" w:hAnsi="楷体" w:eastAsia="楷体" w:cs="楷体"/>
            </w:rPr>
            <w:fldChar w:fldCharType="separate"/>
          </w:r>
          <w:r>
            <w:rPr>
              <w:rFonts w:hint="eastAsia" w:ascii="楷体" w:hAnsi="楷体" w:eastAsia="楷体" w:cs="楷体"/>
            </w:rPr>
            <w:t>十、其他重要事项的情况说明</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_Toc143805821 \h </w:instrText>
          </w:r>
          <w:r>
            <w:rPr>
              <w:rFonts w:hint="eastAsia" w:ascii="楷体" w:hAnsi="楷体" w:eastAsia="楷体" w:cs="楷体"/>
            </w:rPr>
            <w:fldChar w:fldCharType="separate"/>
          </w:r>
          <w:r>
            <w:rPr>
              <w:rFonts w:hint="eastAsia" w:ascii="楷体" w:hAnsi="楷体" w:eastAsia="楷体" w:cs="楷体"/>
            </w:rPr>
            <w:t>12</w:t>
          </w:r>
          <w:r>
            <w:rPr>
              <w:rFonts w:hint="eastAsia" w:ascii="楷体" w:hAnsi="楷体" w:eastAsia="楷体" w:cs="楷体"/>
            </w:rPr>
            <w:fldChar w:fldCharType="end"/>
          </w:r>
          <w:r>
            <w:rPr>
              <w:rFonts w:hint="eastAsia" w:ascii="楷体" w:hAnsi="楷体" w:eastAsia="楷体" w:cs="楷体"/>
            </w:rPr>
            <w:fldChar w:fldCharType="end"/>
          </w:r>
        </w:p>
        <w:p>
          <w:pPr>
            <w:pStyle w:val="15"/>
            <w:rPr>
              <w:rFonts w:asciiTheme="minorHAnsi" w:hAnsiTheme="minorHAnsi" w:eastAsiaTheme="minorEastAsia" w:cstheme="minorBidi"/>
              <w:sz w:val="21"/>
              <w:szCs w:val="22"/>
              <w14:ligatures w14:val="standardContextual"/>
            </w:rPr>
          </w:pPr>
          <w:r>
            <w:fldChar w:fldCharType="begin"/>
          </w:r>
          <w:r>
            <w:instrText xml:space="preserve"> HYPERLINK \l "_Toc143805829" </w:instrText>
          </w:r>
          <w:r>
            <w:fldChar w:fldCharType="separate"/>
          </w:r>
          <w:r>
            <w:rPr>
              <w:rStyle w:val="24"/>
              <w:rFonts w:ascii="黑体" w:hAnsi="黑体" w:eastAsia="黑体"/>
            </w:rPr>
            <w:t>第</w:t>
          </w:r>
          <w:r>
            <w:rPr>
              <w:rStyle w:val="24"/>
              <w:rFonts w:ascii="黑体" w:hAnsi="黑体" w:eastAsia="黑体"/>
              <w:bCs/>
              <w:kern w:val="44"/>
            </w:rPr>
            <w:t>四部分 附件</w:t>
          </w:r>
          <w:r>
            <w:tab/>
          </w:r>
          <w:r>
            <w:fldChar w:fldCharType="begin"/>
          </w:r>
          <w:r>
            <w:instrText xml:space="preserve"> PAGEREF _Toc143805829 \h </w:instrText>
          </w:r>
          <w:r>
            <w:fldChar w:fldCharType="separate"/>
          </w:r>
          <w:r>
            <w:t>18</w:t>
          </w:r>
          <w:r>
            <w:fldChar w:fldCharType="end"/>
          </w:r>
          <w:r>
            <w:fldChar w:fldCharType="end"/>
          </w:r>
        </w:p>
        <w:p>
          <w:pPr>
            <w:pStyle w:val="15"/>
            <w:rPr>
              <w:rStyle w:val="24"/>
            </w:rPr>
          </w:pPr>
          <w:r>
            <w:fldChar w:fldCharType="begin"/>
          </w:r>
          <w:r>
            <w:instrText xml:space="preserve"> HYPERLINK \l "_Toc143805830" </w:instrText>
          </w:r>
          <w:r>
            <w:fldChar w:fldCharType="separate"/>
          </w:r>
          <w:r>
            <w:rPr>
              <w:rStyle w:val="24"/>
              <w:rFonts w:ascii="黑体" w:hAnsi="黑体" w:eastAsia="黑体" w:cs="黑体"/>
            </w:rPr>
            <w:t>附件1</w:t>
          </w:r>
          <w:r>
            <w:tab/>
          </w:r>
          <w:r>
            <w:fldChar w:fldCharType="begin"/>
          </w:r>
          <w:r>
            <w:instrText xml:space="preserve"> PAGEREF _Toc143805830 \h </w:instrText>
          </w:r>
          <w:r>
            <w:fldChar w:fldCharType="separate"/>
          </w:r>
          <w:r>
            <w:t>18</w:t>
          </w:r>
          <w:r>
            <w:fldChar w:fldCharType="end"/>
          </w:r>
          <w:r>
            <w:fldChar w:fldCharType="end"/>
          </w:r>
        </w:p>
        <w:p>
          <w:pPr>
            <w:pStyle w:val="15"/>
            <w:rPr>
              <w:rFonts w:hint="eastAsia" w:eastAsia="仿宋"/>
              <w:color w:val="0000FF" w:themeColor="hyperlink"/>
              <w:u w:val="single"/>
              <w:lang w:val="en-US" w:eastAsia="zh-CN"/>
              <w14:textFill>
                <w14:solidFill>
                  <w14:schemeClr w14:val="hlink"/>
                </w14:solidFill>
              </w14:textFill>
            </w:rPr>
          </w:pPr>
          <w:r>
            <w:fldChar w:fldCharType="begin"/>
          </w:r>
          <w:r>
            <w:instrText xml:space="preserve"> HYPERLINK \l "_Toc143805830" </w:instrText>
          </w:r>
          <w:r>
            <w:fldChar w:fldCharType="separate"/>
          </w:r>
          <w:r>
            <w:rPr>
              <w:rStyle w:val="24"/>
              <w:rFonts w:ascii="黑体" w:hAnsi="黑体" w:eastAsia="黑体" w:cs="黑体"/>
            </w:rPr>
            <w:t>附件2</w:t>
          </w:r>
          <w:r>
            <w:tab/>
          </w:r>
          <w:r>
            <w:rPr>
              <w:rFonts w:hint="eastAsia"/>
              <w:lang w:val="en-US" w:eastAsia="zh-CN"/>
            </w:rPr>
            <w:t>3</w:t>
          </w:r>
          <w:r>
            <w:fldChar w:fldCharType="end"/>
          </w:r>
          <w:r>
            <w:rPr>
              <w:rFonts w:hint="eastAsia"/>
              <w:lang w:val="en-US" w:eastAsia="zh-CN"/>
            </w:rPr>
            <w:t>8</w:t>
          </w:r>
        </w:p>
        <w:p>
          <w:pPr>
            <w:pStyle w:val="15"/>
            <w:rPr>
              <w:rFonts w:asciiTheme="minorHAnsi" w:hAnsiTheme="minorHAnsi" w:eastAsiaTheme="minorEastAsia" w:cstheme="minorBidi"/>
              <w:sz w:val="21"/>
              <w:szCs w:val="22"/>
              <w14:ligatures w14:val="standardContextual"/>
            </w:rPr>
          </w:pPr>
          <w:r>
            <w:fldChar w:fldCharType="begin"/>
          </w:r>
          <w:r>
            <w:instrText xml:space="preserve"> HYPERLINK \l "_Toc143805871" </w:instrText>
          </w:r>
          <w:r>
            <w:fldChar w:fldCharType="separate"/>
          </w:r>
          <w:r>
            <w:rPr>
              <w:rStyle w:val="24"/>
              <w:rFonts w:ascii="黑体" w:hAnsi="黑体" w:eastAsia="黑体"/>
            </w:rPr>
            <w:t>第</w:t>
          </w:r>
          <w:r>
            <w:rPr>
              <w:rStyle w:val="24"/>
              <w:rFonts w:ascii="黑体" w:hAnsi="黑体" w:eastAsia="黑体"/>
              <w:bCs/>
              <w:kern w:val="44"/>
            </w:rPr>
            <w:t>五部分 附表</w:t>
          </w:r>
          <w:r>
            <w:tab/>
          </w:r>
          <w:r>
            <w:fldChar w:fldCharType="begin"/>
          </w:r>
          <w:r>
            <w:instrText xml:space="preserve"> PAGEREF _Toc143805871 \h </w:instrText>
          </w:r>
          <w:r>
            <w:fldChar w:fldCharType="separate"/>
          </w:r>
          <w:r>
            <w:t>59</w:t>
          </w:r>
          <w:r>
            <w:fldChar w:fldCharType="end"/>
          </w:r>
          <w:r>
            <w:fldChar w:fldCharType="end"/>
          </w:r>
        </w:p>
        <w:p>
          <w:pPr>
            <w:pStyle w:val="18"/>
            <w:tabs>
              <w:tab w:val="left" w:pos="1260"/>
            </w:tabs>
            <w:rPr>
              <w:rFonts w:hint="eastAsia" w:ascii="楷体" w:hAnsi="楷体" w:eastAsia="楷体" w:cs="楷体"/>
            </w:rPr>
          </w:pPr>
          <w:r>
            <w:rPr>
              <w:rFonts w:hint="eastAsia" w:ascii="楷体" w:hAnsi="楷体" w:eastAsia="楷体" w:cs="楷体"/>
            </w:rPr>
            <w:fldChar w:fldCharType="begin"/>
          </w:r>
          <w:r>
            <w:rPr>
              <w:rFonts w:hint="eastAsia" w:ascii="楷体" w:hAnsi="楷体" w:eastAsia="楷体" w:cs="楷体"/>
            </w:rPr>
            <w:instrText xml:space="preserve"> HYPERLINK \l "_Toc143805872" </w:instrText>
          </w:r>
          <w:r>
            <w:rPr>
              <w:rFonts w:hint="eastAsia" w:ascii="楷体" w:hAnsi="楷体" w:eastAsia="楷体" w:cs="楷体"/>
            </w:rPr>
            <w:fldChar w:fldCharType="separate"/>
          </w:r>
          <w:r>
            <w:rPr>
              <w:rFonts w:hint="eastAsia" w:ascii="楷体" w:hAnsi="楷体" w:eastAsia="楷体" w:cs="楷体"/>
            </w:rPr>
            <w:t>一、收入支出决算总表</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_Toc143805872 \h </w:instrText>
          </w:r>
          <w:r>
            <w:rPr>
              <w:rFonts w:hint="eastAsia" w:ascii="楷体" w:hAnsi="楷体" w:eastAsia="楷体" w:cs="楷体"/>
            </w:rPr>
            <w:fldChar w:fldCharType="separate"/>
          </w:r>
          <w:r>
            <w:rPr>
              <w:rFonts w:hint="eastAsia" w:ascii="楷体" w:hAnsi="楷体" w:eastAsia="楷体" w:cs="楷体"/>
            </w:rPr>
            <w:t>59</w:t>
          </w:r>
          <w:r>
            <w:rPr>
              <w:rFonts w:hint="eastAsia" w:ascii="楷体" w:hAnsi="楷体" w:eastAsia="楷体" w:cs="楷体"/>
            </w:rPr>
            <w:fldChar w:fldCharType="end"/>
          </w:r>
          <w:r>
            <w:rPr>
              <w:rFonts w:hint="eastAsia" w:ascii="楷体" w:hAnsi="楷体" w:eastAsia="楷体" w:cs="楷体"/>
            </w:rPr>
            <w:fldChar w:fldCharType="end"/>
          </w:r>
        </w:p>
        <w:p>
          <w:pPr>
            <w:pStyle w:val="18"/>
            <w:tabs>
              <w:tab w:val="left" w:pos="1260"/>
            </w:tabs>
            <w:rPr>
              <w:rFonts w:hint="eastAsia" w:ascii="楷体" w:hAnsi="楷体" w:eastAsia="楷体" w:cs="楷体"/>
            </w:rPr>
          </w:pPr>
          <w:r>
            <w:rPr>
              <w:rFonts w:hint="eastAsia" w:ascii="楷体" w:hAnsi="楷体" w:eastAsia="楷体" w:cs="楷体"/>
            </w:rPr>
            <w:fldChar w:fldCharType="begin"/>
          </w:r>
          <w:r>
            <w:rPr>
              <w:rFonts w:hint="eastAsia" w:ascii="楷体" w:hAnsi="楷体" w:eastAsia="楷体" w:cs="楷体"/>
            </w:rPr>
            <w:instrText xml:space="preserve"> HYPERLINK \l "_Toc143805873" </w:instrText>
          </w:r>
          <w:r>
            <w:rPr>
              <w:rFonts w:hint="eastAsia" w:ascii="楷体" w:hAnsi="楷体" w:eastAsia="楷体" w:cs="楷体"/>
            </w:rPr>
            <w:fldChar w:fldCharType="separate"/>
          </w:r>
          <w:r>
            <w:rPr>
              <w:rFonts w:hint="eastAsia" w:ascii="楷体" w:hAnsi="楷体" w:eastAsia="楷体" w:cs="楷体"/>
            </w:rPr>
            <w:t>二、收入决算表</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_Toc143805873 \h </w:instrText>
          </w:r>
          <w:r>
            <w:rPr>
              <w:rFonts w:hint="eastAsia" w:ascii="楷体" w:hAnsi="楷体" w:eastAsia="楷体" w:cs="楷体"/>
            </w:rPr>
            <w:fldChar w:fldCharType="separate"/>
          </w:r>
          <w:r>
            <w:rPr>
              <w:rFonts w:hint="eastAsia" w:ascii="楷体" w:hAnsi="楷体" w:eastAsia="楷体" w:cs="楷体"/>
            </w:rPr>
            <w:t>59</w:t>
          </w:r>
          <w:r>
            <w:rPr>
              <w:rFonts w:hint="eastAsia" w:ascii="楷体" w:hAnsi="楷体" w:eastAsia="楷体" w:cs="楷体"/>
            </w:rPr>
            <w:fldChar w:fldCharType="end"/>
          </w:r>
          <w:r>
            <w:rPr>
              <w:rFonts w:hint="eastAsia" w:ascii="楷体" w:hAnsi="楷体" w:eastAsia="楷体" w:cs="楷体"/>
            </w:rPr>
            <w:fldChar w:fldCharType="end"/>
          </w:r>
        </w:p>
        <w:p>
          <w:pPr>
            <w:pStyle w:val="18"/>
            <w:tabs>
              <w:tab w:val="left" w:pos="1260"/>
            </w:tabs>
            <w:rPr>
              <w:rFonts w:hint="eastAsia" w:ascii="楷体" w:hAnsi="楷体" w:eastAsia="楷体" w:cs="楷体"/>
            </w:rPr>
          </w:pPr>
          <w:r>
            <w:rPr>
              <w:rFonts w:hint="eastAsia" w:ascii="楷体" w:hAnsi="楷体" w:eastAsia="楷体" w:cs="楷体"/>
            </w:rPr>
            <w:fldChar w:fldCharType="begin"/>
          </w:r>
          <w:r>
            <w:rPr>
              <w:rFonts w:hint="eastAsia" w:ascii="楷体" w:hAnsi="楷体" w:eastAsia="楷体" w:cs="楷体"/>
            </w:rPr>
            <w:instrText xml:space="preserve"> HYPERLINK \l "_Toc143805874" </w:instrText>
          </w:r>
          <w:r>
            <w:rPr>
              <w:rFonts w:hint="eastAsia" w:ascii="楷体" w:hAnsi="楷体" w:eastAsia="楷体" w:cs="楷体"/>
            </w:rPr>
            <w:fldChar w:fldCharType="separate"/>
          </w:r>
          <w:r>
            <w:rPr>
              <w:rFonts w:hint="eastAsia" w:ascii="楷体" w:hAnsi="楷体" w:eastAsia="楷体" w:cs="楷体"/>
            </w:rPr>
            <w:t>三、支出决算表</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_Toc143805874 \h </w:instrText>
          </w:r>
          <w:r>
            <w:rPr>
              <w:rFonts w:hint="eastAsia" w:ascii="楷体" w:hAnsi="楷体" w:eastAsia="楷体" w:cs="楷体"/>
            </w:rPr>
            <w:fldChar w:fldCharType="separate"/>
          </w:r>
          <w:r>
            <w:rPr>
              <w:rFonts w:hint="eastAsia" w:ascii="楷体" w:hAnsi="楷体" w:eastAsia="楷体" w:cs="楷体"/>
            </w:rPr>
            <w:t>59</w:t>
          </w:r>
          <w:r>
            <w:rPr>
              <w:rFonts w:hint="eastAsia" w:ascii="楷体" w:hAnsi="楷体" w:eastAsia="楷体" w:cs="楷体"/>
            </w:rPr>
            <w:fldChar w:fldCharType="end"/>
          </w:r>
          <w:r>
            <w:rPr>
              <w:rFonts w:hint="eastAsia" w:ascii="楷体" w:hAnsi="楷体" w:eastAsia="楷体" w:cs="楷体"/>
            </w:rPr>
            <w:fldChar w:fldCharType="end"/>
          </w:r>
        </w:p>
        <w:p>
          <w:pPr>
            <w:pStyle w:val="18"/>
            <w:tabs>
              <w:tab w:val="left" w:pos="1260"/>
            </w:tabs>
            <w:rPr>
              <w:rFonts w:hint="eastAsia" w:ascii="楷体" w:hAnsi="楷体" w:eastAsia="楷体" w:cs="楷体"/>
            </w:rPr>
          </w:pPr>
          <w:r>
            <w:rPr>
              <w:rFonts w:hint="eastAsia" w:ascii="楷体" w:hAnsi="楷体" w:eastAsia="楷体" w:cs="楷体"/>
            </w:rPr>
            <w:fldChar w:fldCharType="begin"/>
          </w:r>
          <w:r>
            <w:rPr>
              <w:rFonts w:hint="eastAsia" w:ascii="楷体" w:hAnsi="楷体" w:eastAsia="楷体" w:cs="楷体"/>
            </w:rPr>
            <w:instrText xml:space="preserve"> HYPERLINK \l "_Toc143805875" </w:instrText>
          </w:r>
          <w:r>
            <w:rPr>
              <w:rFonts w:hint="eastAsia" w:ascii="楷体" w:hAnsi="楷体" w:eastAsia="楷体" w:cs="楷体"/>
            </w:rPr>
            <w:fldChar w:fldCharType="separate"/>
          </w:r>
          <w:r>
            <w:rPr>
              <w:rFonts w:hint="eastAsia" w:ascii="楷体" w:hAnsi="楷体" w:eastAsia="楷体" w:cs="楷体"/>
            </w:rPr>
            <w:t>四、财政拨款收入支出决算总表</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_Toc143805875 \h </w:instrText>
          </w:r>
          <w:r>
            <w:rPr>
              <w:rFonts w:hint="eastAsia" w:ascii="楷体" w:hAnsi="楷体" w:eastAsia="楷体" w:cs="楷体"/>
            </w:rPr>
            <w:fldChar w:fldCharType="separate"/>
          </w:r>
          <w:r>
            <w:rPr>
              <w:rFonts w:hint="eastAsia" w:ascii="楷体" w:hAnsi="楷体" w:eastAsia="楷体" w:cs="楷体"/>
            </w:rPr>
            <w:t>59</w:t>
          </w:r>
          <w:r>
            <w:rPr>
              <w:rFonts w:hint="eastAsia" w:ascii="楷体" w:hAnsi="楷体" w:eastAsia="楷体" w:cs="楷体"/>
            </w:rPr>
            <w:fldChar w:fldCharType="end"/>
          </w:r>
          <w:r>
            <w:rPr>
              <w:rFonts w:hint="eastAsia" w:ascii="楷体" w:hAnsi="楷体" w:eastAsia="楷体" w:cs="楷体"/>
            </w:rPr>
            <w:fldChar w:fldCharType="end"/>
          </w:r>
        </w:p>
        <w:p>
          <w:pPr>
            <w:pStyle w:val="18"/>
            <w:tabs>
              <w:tab w:val="left" w:pos="1260"/>
            </w:tabs>
            <w:rPr>
              <w:rFonts w:hint="eastAsia" w:ascii="楷体" w:hAnsi="楷体" w:eastAsia="楷体" w:cs="楷体"/>
            </w:rPr>
          </w:pPr>
          <w:r>
            <w:rPr>
              <w:rFonts w:hint="eastAsia" w:ascii="楷体" w:hAnsi="楷体" w:eastAsia="楷体" w:cs="楷体"/>
            </w:rPr>
            <w:fldChar w:fldCharType="begin"/>
          </w:r>
          <w:r>
            <w:rPr>
              <w:rFonts w:hint="eastAsia" w:ascii="楷体" w:hAnsi="楷体" w:eastAsia="楷体" w:cs="楷体"/>
            </w:rPr>
            <w:instrText xml:space="preserve"> HYPERLINK \l "_Toc143805876" </w:instrText>
          </w:r>
          <w:r>
            <w:rPr>
              <w:rFonts w:hint="eastAsia" w:ascii="楷体" w:hAnsi="楷体" w:eastAsia="楷体" w:cs="楷体"/>
            </w:rPr>
            <w:fldChar w:fldCharType="separate"/>
          </w:r>
          <w:r>
            <w:rPr>
              <w:rFonts w:hint="eastAsia" w:ascii="楷体" w:hAnsi="楷体" w:eastAsia="楷体" w:cs="楷体"/>
            </w:rPr>
            <w:t>五、财政拨款支出决算明细表</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_Toc143805876 \h </w:instrText>
          </w:r>
          <w:r>
            <w:rPr>
              <w:rFonts w:hint="eastAsia" w:ascii="楷体" w:hAnsi="楷体" w:eastAsia="楷体" w:cs="楷体"/>
            </w:rPr>
            <w:fldChar w:fldCharType="separate"/>
          </w:r>
          <w:r>
            <w:rPr>
              <w:rFonts w:hint="eastAsia" w:ascii="楷体" w:hAnsi="楷体" w:eastAsia="楷体" w:cs="楷体"/>
            </w:rPr>
            <w:t>59</w:t>
          </w:r>
          <w:r>
            <w:rPr>
              <w:rFonts w:hint="eastAsia" w:ascii="楷体" w:hAnsi="楷体" w:eastAsia="楷体" w:cs="楷体"/>
            </w:rPr>
            <w:fldChar w:fldCharType="end"/>
          </w:r>
          <w:r>
            <w:rPr>
              <w:rFonts w:hint="eastAsia" w:ascii="楷体" w:hAnsi="楷体" w:eastAsia="楷体" w:cs="楷体"/>
            </w:rPr>
            <w:fldChar w:fldCharType="end"/>
          </w:r>
        </w:p>
        <w:p>
          <w:pPr>
            <w:pStyle w:val="18"/>
            <w:tabs>
              <w:tab w:val="left" w:pos="1260"/>
            </w:tabs>
            <w:rPr>
              <w:rFonts w:hint="eastAsia" w:ascii="楷体" w:hAnsi="楷体" w:eastAsia="楷体" w:cs="楷体"/>
            </w:rPr>
          </w:pPr>
          <w:r>
            <w:rPr>
              <w:rFonts w:hint="eastAsia" w:ascii="楷体" w:hAnsi="楷体" w:eastAsia="楷体" w:cs="楷体"/>
            </w:rPr>
            <w:fldChar w:fldCharType="begin"/>
          </w:r>
          <w:r>
            <w:rPr>
              <w:rFonts w:hint="eastAsia" w:ascii="楷体" w:hAnsi="楷体" w:eastAsia="楷体" w:cs="楷体"/>
            </w:rPr>
            <w:instrText xml:space="preserve"> HYPERLINK \l "_Toc143805877" </w:instrText>
          </w:r>
          <w:r>
            <w:rPr>
              <w:rFonts w:hint="eastAsia" w:ascii="楷体" w:hAnsi="楷体" w:eastAsia="楷体" w:cs="楷体"/>
            </w:rPr>
            <w:fldChar w:fldCharType="separate"/>
          </w:r>
          <w:r>
            <w:rPr>
              <w:rFonts w:hint="eastAsia" w:ascii="楷体" w:hAnsi="楷体" w:eastAsia="楷体" w:cs="楷体"/>
            </w:rPr>
            <w:t>六、一般公共预算财政拨款支出决算表</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_Toc143805877 \h </w:instrText>
          </w:r>
          <w:r>
            <w:rPr>
              <w:rFonts w:hint="eastAsia" w:ascii="楷体" w:hAnsi="楷体" w:eastAsia="楷体" w:cs="楷体"/>
            </w:rPr>
            <w:fldChar w:fldCharType="separate"/>
          </w:r>
          <w:r>
            <w:rPr>
              <w:rFonts w:hint="eastAsia" w:ascii="楷体" w:hAnsi="楷体" w:eastAsia="楷体" w:cs="楷体"/>
            </w:rPr>
            <w:t>59</w:t>
          </w:r>
          <w:r>
            <w:rPr>
              <w:rFonts w:hint="eastAsia" w:ascii="楷体" w:hAnsi="楷体" w:eastAsia="楷体" w:cs="楷体"/>
            </w:rPr>
            <w:fldChar w:fldCharType="end"/>
          </w:r>
          <w:r>
            <w:rPr>
              <w:rFonts w:hint="eastAsia" w:ascii="楷体" w:hAnsi="楷体" w:eastAsia="楷体" w:cs="楷体"/>
            </w:rPr>
            <w:fldChar w:fldCharType="end"/>
          </w:r>
        </w:p>
        <w:p>
          <w:pPr>
            <w:pStyle w:val="18"/>
            <w:tabs>
              <w:tab w:val="left" w:pos="1260"/>
            </w:tabs>
            <w:rPr>
              <w:rFonts w:hint="eastAsia" w:ascii="楷体" w:hAnsi="楷体" w:eastAsia="楷体" w:cs="楷体"/>
            </w:rPr>
          </w:pPr>
          <w:r>
            <w:rPr>
              <w:rFonts w:hint="eastAsia" w:ascii="楷体" w:hAnsi="楷体" w:eastAsia="楷体" w:cs="楷体"/>
            </w:rPr>
            <w:fldChar w:fldCharType="begin"/>
          </w:r>
          <w:r>
            <w:rPr>
              <w:rFonts w:hint="eastAsia" w:ascii="楷体" w:hAnsi="楷体" w:eastAsia="楷体" w:cs="楷体"/>
            </w:rPr>
            <w:instrText xml:space="preserve"> HYPERLINK \l "_Toc143805878" </w:instrText>
          </w:r>
          <w:r>
            <w:rPr>
              <w:rFonts w:hint="eastAsia" w:ascii="楷体" w:hAnsi="楷体" w:eastAsia="楷体" w:cs="楷体"/>
            </w:rPr>
            <w:fldChar w:fldCharType="separate"/>
          </w:r>
          <w:r>
            <w:rPr>
              <w:rFonts w:hint="eastAsia" w:ascii="楷体" w:hAnsi="楷体" w:eastAsia="楷体" w:cs="楷体"/>
            </w:rPr>
            <w:t>七、一般公共预算财政拨款支出决算明细表</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_Toc143805878 \h </w:instrText>
          </w:r>
          <w:r>
            <w:rPr>
              <w:rFonts w:hint="eastAsia" w:ascii="楷体" w:hAnsi="楷体" w:eastAsia="楷体" w:cs="楷体"/>
            </w:rPr>
            <w:fldChar w:fldCharType="separate"/>
          </w:r>
          <w:r>
            <w:rPr>
              <w:rFonts w:hint="eastAsia" w:ascii="楷体" w:hAnsi="楷体" w:eastAsia="楷体" w:cs="楷体"/>
            </w:rPr>
            <w:t>59</w:t>
          </w:r>
          <w:r>
            <w:rPr>
              <w:rFonts w:hint="eastAsia" w:ascii="楷体" w:hAnsi="楷体" w:eastAsia="楷体" w:cs="楷体"/>
            </w:rPr>
            <w:fldChar w:fldCharType="end"/>
          </w:r>
          <w:r>
            <w:rPr>
              <w:rFonts w:hint="eastAsia" w:ascii="楷体" w:hAnsi="楷体" w:eastAsia="楷体" w:cs="楷体"/>
            </w:rPr>
            <w:fldChar w:fldCharType="end"/>
          </w:r>
        </w:p>
        <w:p>
          <w:pPr>
            <w:pStyle w:val="18"/>
            <w:tabs>
              <w:tab w:val="left" w:pos="1260"/>
            </w:tabs>
            <w:rPr>
              <w:rFonts w:hint="eastAsia" w:ascii="楷体" w:hAnsi="楷体" w:eastAsia="楷体" w:cs="楷体"/>
            </w:rPr>
          </w:pPr>
          <w:r>
            <w:rPr>
              <w:rFonts w:hint="eastAsia" w:ascii="楷体" w:hAnsi="楷体" w:eastAsia="楷体" w:cs="楷体"/>
            </w:rPr>
            <w:fldChar w:fldCharType="begin"/>
          </w:r>
          <w:r>
            <w:rPr>
              <w:rFonts w:hint="eastAsia" w:ascii="楷体" w:hAnsi="楷体" w:eastAsia="楷体" w:cs="楷体"/>
            </w:rPr>
            <w:instrText xml:space="preserve"> HYPERLINK \l "_Toc143805879" </w:instrText>
          </w:r>
          <w:r>
            <w:rPr>
              <w:rFonts w:hint="eastAsia" w:ascii="楷体" w:hAnsi="楷体" w:eastAsia="楷体" w:cs="楷体"/>
            </w:rPr>
            <w:fldChar w:fldCharType="separate"/>
          </w:r>
          <w:r>
            <w:rPr>
              <w:rFonts w:hint="eastAsia" w:ascii="楷体" w:hAnsi="楷体" w:eastAsia="楷体" w:cs="楷体"/>
            </w:rPr>
            <w:t>八、一般公共预算财政拨款基本支出决算表</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_Toc143805879 \h </w:instrText>
          </w:r>
          <w:r>
            <w:rPr>
              <w:rFonts w:hint="eastAsia" w:ascii="楷体" w:hAnsi="楷体" w:eastAsia="楷体" w:cs="楷体"/>
            </w:rPr>
            <w:fldChar w:fldCharType="separate"/>
          </w:r>
          <w:r>
            <w:rPr>
              <w:rFonts w:hint="eastAsia" w:ascii="楷体" w:hAnsi="楷体" w:eastAsia="楷体" w:cs="楷体"/>
            </w:rPr>
            <w:t>59</w:t>
          </w:r>
          <w:r>
            <w:rPr>
              <w:rFonts w:hint="eastAsia" w:ascii="楷体" w:hAnsi="楷体" w:eastAsia="楷体" w:cs="楷体"/>
            </w:rPr>
            <w:fldChar w:fldCharType="end"/>
          </w:r>
          <w:r>
            <w:rPr>
              <w:rFonts w:hint="eastAsia" w:ascii="楷体" w:hAnsi="楷体" w:eastAsia="楷体" w:cs="楷体"/>
            </w:rPr>
            <w:fldChar w:fldCharType="end"/>
          </w:r>
        </w:p>
        <w:p>
          <w:pPr>
            <w:pStyle w:val="18"/>
            <w:tabs>
              <w:tab w:val="left" w:pos="1260"/>
            </w:tabs>
            <w:rPr>
              <w:rFonts w:hint="eastAsia" w:ascii="楷体" w:hAnsi="楷体" w:eastAsia="楷体" w:cs="楷体"/>
            </w:rPr>
          </w:pPr>
          <w:r>
            <w:rPr>
              <w:rFonts w:hint="eastAsia" w:ascii="楷体" w:hAnsi="楷体" w:eastAsia="楷体" w:cs="楷体"/>
            </w:rPr>
            <w:fldChar w:fldCharType="begin"/>
          </w:r>
          <w:r>
            <w:rPr>
              <w:rFonts w:hint="eastAsia" w:ascii="楷体" w:hAnsi="楷体" w:eastAsia="楷体" w:cs="楷体"/>
            </w:rPr>
            <w:instrText xml:space="preserve"> HYPERLINK \l "_Toc143805880" </w:instrText>
          </w:r>
          <w:r>
            <w:rPr>
              <w:rFonts w:hint="eastAsia" w:ascii="楷体" w:hAnsi="楷体" w:eastAsia="楷体" w:cs="楷体"/>
            </w:rPr>
            <w:fldChar w:fldCharType="separate"/>
          </w:r>
          <w:r>
            <w:rPr>
              <w:rFonts w:hint="eastAsia" w:ascii="楷体" w:hAnsi="楷体" w:eastAsia="楷体" w:cs="楷体"/>
            </w:rPr>
            <w:t>九、一般公共预算财政拨款项目支出决算表</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_Toc143805880 \h </w:instrText>
          </w:r>
          <w:r>
            <w:rPr>
              <w:rFonts w:hint="eastAsia" w:ascii="楷体" w:hAnsi="楷体" w:eastAsia="楷体" w:cs="楷体"/>
            </w:rPr>
            <w:fldChar w:fldCharType="separate"/>
          </w:r>
          <w:r>
            <w:rPr>
              <w:rFonts w:hint="eastAsia" w:ascii="楷体" w:hAnsi="楷体" w:eastAsia="楷体" w:cs="楷体"/>
            </w:rPr>
            <w:t>59</w:t>
          </w:r>
          <w:r>
            <w:rPr>
              <w:rFonts w:hint="eastAsia" w:ascii="楷体" w:hAnsi="楷体" w:eastAsia="楷体" w:cs="楷体"/>
            </w:rPr>
            <w:fldChar w:fldCharType="end"/>
          </w:r>
          <w:r>
            <w:rPr>
              <w:rFonts w:hint="eastAsia" w:ascii="楷体" w:hAnsi="楷体" w:eastAsia="楷体" w:cs="楷体"/>
            </w:rPr>
            <w:fldChar w:fldCharType="end"/>
          </w:r>
        </w:p>
        <w:p>
          <w:pPr>
            <w:pStyle w:val="18"/>
            <w:tabs>
              <w:tab w:val="left" w:pos="1260"/>
            </w:tabs>
            <w:rPr>
              <w:rFonts w:hint="eastAsia" w:ascii="楷体" w:hAnsi="楷体" w:eastAsia="楷体" w:cs="楷体"/>
            </w:rPr>
          </w:pPr>
          <w:r>
            <w:rPr>
              <w:rFonts w:hint="eastAsia" w:ascii="楷体" w:hAnsi="楷体" w:eastAsia="楷体" w:cs="楷体"/>
            </w:rPr>
            <w:fldChar w:fldCharType="begin"/>
          </w:r>
          <w:r>
            <w:rPr>
              <w:rFonts w:hint="eastAsia" w:ascii="楷体" w:hAnsi="楷体" w:eastAsia="楷体" w:cs="楷体"/>
            </w:rPr>
            <w:instrText xml:space="preserve"> HYPERLINK \l "_Toc143805881" </w:instrText>
          </w:r>
          <w:r>
            <w:rPr>
              <w:rFonts w:hint="eastAsia" w:ascii="楷体" w:hAnsi="楷体" w:eastAsia="楷体" w:cs="楷体"/>
            </w:rPr>
            <w:fldChar w:fldCharType="separate"/>
          </w:r>
          <w:r>
            <w:rPr>
              <w:rFonts w:hint="eastAsia" w:ascii="楷体" w:hAnsi="楷体" w:eastAsia="楷体" w:cs="楷体"/>
            </w:rPr>
            <w:t>十、政府性基金预算财政拨款收入支出决算表</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_Toc143805881 \h </w:instrText>
          </w:r>
          <w:r>
            <w:rPr>
              <w:rFonts w:hint="eastAsia" w:ascii="楷体" w:hAnsi="楷体" w:eastAsia="楷体" w:cs="楷体"/>
            </w:rPr>
            <w:fldChar w:fldCharType="separate"/>
          </w:r>
          <w:r>
            <w:rPr>
              <w:rFonts w:hint="eastAsia" w:ascii="楷体" w:hAnsi="楷体" w:eastAsia="楷体" w:cs="楷体"/>
            </w:rPr>
            <w:t>59</w:t>
          </w:r>
          <w:r>
            <w:rPr>
              <w:rFonts w:hint="eastAsia" w:ascii="楷体" w:hAnsi="楷体" w:eastAsia="楷体" w:cs="楷体"/>
            </w:rPr>
            <w:fldChar w:fldCharType="end"/>
          </w:r>
          <w:r>
            <w:rPr>
              <w:rFonts w:hint="eastAsia" w:ascii="楷体" w:hAnsi="楷体" w:eastAsia="楷体" w:cs="楷体"/>
            </w:rPr>
            <w:fldChar w:fldCharType="end"/>
          </w:r>
        </w:p>
        <w:p>
          <w:pPr>
            <w:pStyle w:val="18"/>
            <w:tabs>
              <w:tab w:val="left" w:pos="1260"/>
            </w:tabs>
            <w:rPr>
              <w:rFonts w:hint="eastAsia" w:ascii="楷体" w:hAnsi="楷体" w:eastAsia="楷体" w:cs="楷体"/>
            </w:rPr>
          </w:pPr>
          <w:r>
            <w:rPr>
              <w:rFonts w:hint="eastAsia" w:ascii="楷体" w:hAnsi="楷体" w:eastAsia="楷体" w:cs="楷体"/>
            </w:rPr>
            <w:fldChar w:fldCharType="begin"/>
          </w:r>
          <w:r>
            <w:rPr>
              <w:rFonts w:hint="eastAsia" w:ascii="楷体" w:hAnsi="楷体" w:eastAsia="楷体" w:cs="楷体"/>
            </w:rPr>
            <w:instrText xml:space="preserve"> HYPERLINK \l "_Toc143805882" </w:instrText>
          </w:r>
          <w:r>
            <w:rPr>
              <w:rFonts w:hint="eastAsia" w:ascii="楷体" w:hAnsi="楷体" w:eastAsia="楷体" w:cs="楷体"/>
            </w:rPr>
            <w:fldChar w:fldCharType="separate"/>
          </w:r>
          <w:r>
            <w:rPr>
              <w:rFonts w:hint="eastAsia" w:ascii="楷体" w:hAnsi="楷体" w:eastAsia="楷体" w:cs="楷体"/>
            </w:rPr>
            <w:t>十一、国有资本经营预算财政拨款收入支出决算表</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_Toc143805882 \h </w:instrText>
          </w:r>
          <w:r>
            <w:rPr>
              <w:rFonts w:hint="eastAsia" w:ascii="楷体" w:hAnsi="楷体" w:eastAsia="楷体" w:cs="楷体"/>
            </w:rPr>
            <w:fldChar w:fldCharType="separate"/>
          </w:r>
          <w:r>
            <w:rPr>
              <w:rFonts w:hint="eastAsia" w:ascii="楷体" w:hAnsi="楷体" w:eastAsia="楷体" w:cs="楷体"/>
            </w:rPr>
            <w:t>59</w:t>
          </w:r>
          <w:r>
            <w:rPr>
              <w:rFonts w:hint="eastAsia" w:ascii="楷体" w:hAnsi="楷体" w:eastAsia="楷体" w:cs="楷体"/>
            </w:rPr>
            <w:fldChar w:fldCharType="end"/>
          </w:r>
          <w:r>
            <w:rPr>
              <w:rFonts w:hint="eastAsia" w:ascii="楷体" w:hAnsi="楷体" w:eastAsia="楷体" w:cs="楷体"/>
            </w:rPr>
            <w:fldChar w:fldCharType="end"/>
          </w:r>
        </w:p>
        <w:p>
          <w:pPr>
            <w:pStyle w:val="18"/>
            <w:tabs>
              <w:tab w:val="left" w:pos="1260"/>
            </w:tabs>
            <w:rPr>
              <w:rFonts w:hint="eastAsia" w:ascii="楷体" w:hAnsi="楷体" w:eastAsia="楷体" w:cs="楷体"/>
            </w:rPr>
          </w:pPr>
          <w:r>
            <w:rPr>
              <w:rFonts w:hint="eastAsia" w:ascii="楷体" w:hAnsi="楷体" w:eastAsia="楷体" w:cs="楷体"/>
            </w:rPr>
            <w:fldChar w:fldCharType="begin"/>
          </w:r>
          <w:r>
            <w:rPr>
              <w:rFonts w:hint="eastAsia" w:ascii="楷体" w:hAnsi="楷体" w:eastAsia="楷体" w:cs="楷体"/>
            </w:rPr>
            <w:instrText xml:space="preserve"> HYPERLINK \l "_Toc143805883" </w:instrText>
          </w:r>
          <w:r>
            <w:rPr>
              <w:rFonts w:hint="eastAsia" w:ascii="楷体" w:hAnsi="楷体" w:eastAsia="楷体" w:cs="楷体"/>
            </w:rPr>
            <w:fldChar w:fldCharType="separate"/>
          </w:r>
          <w:r>
            <w:rPr>
              <w:rFonts w:hint="eastAsia" w:ascii="楷体" w:hAnsi="楷体" w:eastAsia="楷体" w:cs="楷体"/>
            </w:rPr>
            <w:t>十二、国有资本经营预算财政拨款支出决算表</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_Toc143805883 \h </w:instrText>
          </w:r>
          <w:r>
            <w:rPr>
              <w:rFonts w:hint="eastAsia" w:ascii="楷体" w:hAnsi="楷体" w:eastAsia="楷体" w:cs="楷体"/>
            </w:rPr>
            <w:fldChar w:fldCharType="separate"/>
          </w:r>
          <w:r>
            <w:rPr>
              <w:rFonts w:hint="eastAsia" w:ascii="楷体" w:hAnsi="楷体" w:eastAsia="楷体" w:cs="楷体"/>
            </w:rPr>
            <w:t>59</w:t>
          </w:r>
          <w:r>
            <w:rPr>
              <w:rFonts w:hint="eastAsia" w:ascii="楷体" w:hAnsi="楷体" w:eastAsia="楷体" w:cs="楷体"/>
            </w:rPr>
            <w:fldChar w:fldCharType="end"/>
          </w:r>
          <w:r>
            <w:rPr>
              <w:rFonts w:hint="eastAsia" w:ascii="楷体" w:hAnsi="楷体" w:eastAsia="楷体" w:cs="楷体"/>
            </w:rPr>
            <w:fldChar w:fldCharType="end"/>
          </w:r>
        </w:p>
        <w:p>
          <w:pPr>
            <w:pStyle w:val="18"/>
            <w:tabs>
              <w:tab w:val="left" w:pos="1260"/>
            </w:tabs>
            <w:rPr>
              <w:rFonts w:hint="eastAsia" w:ascii="楷体" w:hAnsi="楷体" w:eastAsia="楷体" w:cs="楷体"/>
            </w:rPr>
          </w:pPr>
          <w:r>
            <w:rPr>
              <w:rFonts w:hint="eastAsia" w:ascii="楷体" w:hAnsi="楷体" w:eastAsia="楷体" w:cs="楷体"/>
            </w:rPr>
            <w:fldChar w:fldCharType="begin"/>
          </w:r>
          <w:r>
            <w:rPr>
              <w:rFonts w:hint="eastAsia" w:ascii="楷体" w:hAnsi="楷体" w:eastAsia="楷体" w:cs="楷体"/>
            </w:rPr>
            <w:instrText xml:space="preserve"> HYPERLINK \l "_Toc143805884" </w:instrText>
          </w:r>
          <w:r>
            <w:rPr>
              <w:rFonts w:hint="eastAsia" w:ascii="楷体" w:hAnsi="楷体" w:eastAsia="楷体" w:cs="楷体"/>
            </w:rPr>
            <w:fldChar w:fldCharType="separate"/>
          </w:r>
          <w:r>
            <w:rPr>
              <w:rFonts w:hint="eastAsia" w:ascii="楷体" w:hAnsi="楷体" w:eastAsia="楷体" w:cs="楷体"/>
            </w:rPr>
            <w:t>十三、财政拨款“三公”经费支出决算表</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_Toc143805884 \h </w:instrText>
          </w:r>
          <w:r>
            <w:rPr>
              <w:rFonts w:hint="eastAsia" w:ascii="楷体" w:hAnsi="楷体" w:eastAsia="楷体" w:cs="楷体"/>
            </w:rPr>
            <w:fldChar w:fldCharType="separate"/>
          </w:r>
          <w:r>
            <w:rPr>
              <w:rFonts w:hint="eastAsia" w:ascii="楷体" w:hAnsi="楷体" w:eastAsia="楷体" w:cs="楷体"/>
            </w:rPr>
            <w:t>59</w:t>
          </w:r>
          <w:r>
            <w:rPr>
              <w:rFonts w:hint="eastAsia" w:ascii="楷体" w:hAnsi="楷体" w:eastAsia="楷体" w:cs="楷体"/>
            </w:rPr>
            <w:fldChar w:fldCharType="end"/>
          </w:r>
          <w:r>
            <w:rPr>
              <w:rFonts w:hint="eastAsia" w:ascii="楷体" w:hAnsi="楷体" w:eastAsia="楷体" w:cs="楷体"/>
            </w:rPr>
            <w:fldChar w:fldCharType="end"/>
          </w:r>
        </w:p>
        <w:p>
          <w:r>
            <w:rPr>
              <w:b/>
              <w:bCs/>
              <w:lang w:val="zh-CN"/>
            </w:rPr>
            <w:fldChar w:fldCharType="end"/>
          </w:r>
        </w:p>
      </w:sdtContent>
    </w:sdt>
    <w:p>
      <w:pPr>
        <w:pStyle w:val="18"/>
        <w:tabs>
          <w:tab w:val="left" w:pos="1260"/>
        </w:tabs>
        <w:rPr>
          <w:rFonts w:hint="eastAsia" w:ascii="楷体" w:hAnsi="楷体" w:eastAsia="楷体" w:cs="楷体"/>
        </w:rPr>
      </w:pPr>
      <w:r>
        <w:rPr>
          <w:rFonts w:hint="eastAsia" w:ascii="楷体" w:hAnsi="楷体" w:eastAsia="楷体" w:cs="楷体"/>
        </w:rPr>
        <w:t>(注：请部门根据实际注明页码)</w:t>
      </w:r>
    </w:p>
    <w:p>
      <w:pPr>
        <w:keepNext/>
        <w:keepLines/>
        <w:pageBreakBefore w:val="0"/>
        <w:widowControl w:val="0"/>
        <w:numPr>
          <w:ilvl w:val="0"/>
          <w:numId w:val="2"/>
        </w:numPr>
        <w:kinsoku/>
        <w:wordWrap/>
        <w:overflowPunct/>
        <w:topLinePunct w:val="0"/>
        <w:autoSpaceDE/>
        <w:autoSpaceDN/>
        <w:bidi w:val="0"/>
        <w:adjustRightInd/>
        <w:snapToGrid/>
        <w:spacing w:before="0" w:after="0" w:line="700" w:lineRule="exact"/>
        <w:jc w:val="center"/>
        <w:textAlignment w:val="auto"/>
        <w:outlineLvl w:val="0"/>
        <w:rPr>
          <w:rStyle w:val="34"/>
          <w:rFonts w:hint="eastAsia" w:ascii="黑体" w:hAnsi="黑体" w:eastAsia="黑体"/>
          <w:b w:val="0"/>
          <w:bCs w:val="0"/>
          <w:sz w:val="44"/>
          <w:szCs w:val="44"/>
        </w:rPr>
        <w:sectPr>
          <w:footerReference r:id="rId5" w:type="first"/>
          <w:footerReference r:id="rId4" w:type="default"/>
          <w:pgSz w:w="11906" w:h="16838"/>
          <w:pgMar w:top="1440" w:right="1800" w:bottom="1440" w:left="1800" w:header="851" w:footer="992" w:gutter="0"/>
          <w:pgNumType w:fmt="decimal" w:start="1"/>
          <w:cols w:space="425" w:num="1"/>
          <w:docGrid w:type="lines" w:linePitch="312" w:charSpace="0"/>
        </w:sectPr>
      </w:pPr>
      <w:bookmarkStart w:id="15" w:name="_Toc15377196"/>
      <w:bookmarkStart w:id="16" w:name="_Toc143805791"/>
      <w:bookmarkStart w:id="17" w:name="_Toc15396599"/>
    </w:p>
    <w:p>
      <w:pPr>
        <w:keepNext/>
        <w:keepLines/>
        <w:pageBreakBefore w:val="0"/>
        <w:widowControl w:val="0"/>
        <w:numPr>
          <w:ilvl w:val="0"/>
          <w:numId w:val="2"/>
        </w:numPr>
        <w:kinsoku/>
        <w:wordWrap/>
        <w:overflowPunct/>
        <w:topLinePunct w:val="0"/>
        <w:autoSpaceDE/>
        <w:autoSpaceDN/>
        <w:bidi w:val="0"/>
        <w:adjustRightInd/>
        <w:snapToGrid/>
        <w:spacing w:before="0" w:after="0" w:line="700" w:lineRule="exact"/>
        <w:jc w:val="center"/>
        <w:textAlignment w:val="auto"/>
        <w:outlineLvl w:val="0"/>
        <w:rPr>
          <w:rStyle w:val="34"/>
          <w:rFonts w:hint="eastAsia" w:ascii="黑体" w:hAnsi="黑体" w:eastAsia="黑体"/>
          <w:b w:val="0"/>
          <w:bCs w:val="0"/>
          <w:sz w:val="44"/>
          <w:szCs w:val="44"/>
        </w:rPr>
      </w:pPr>
      <w:r>
        <w:rPr>
          <w:rStyle w:val="34"/>
          <w:rFonts w:hint="eastAsia" w:ascii="黑体" w:hAnsi="黑体" w:eastAsia="黑体"/>
          <w:b w:val="0"/>
          <w:bCs w:val="0"/>
          <w:sz w:val="44"/>
          <w:szCs w:val="44"/>
        </w:rPr>
        <w:t>部门概况</w:t>
      </w:r>
      <w:bookmarkEnd w:id="15"/>
      <w:bookmarkEnd w:id="16"/>
      <w:bookmarkEnd w:id="17"/>
    </w:p>
    <w:p>
      <w:pPr>
        <w:pStyle w:val="2"/>
        <w:numPr>
          <w:ilvl w:val="0"/>
          <w:numId w:val="0"/>
        </w:numPr>
        <w:ind w:leftChars="0"/>
      </w:pPr>
    </w:p>
    <w:p>
      <w:pPr>
        <w:pStyle w:val="4"/>
        <w:keepNext/>
        <w:keepLines/>
        <w:pageBreakBefore w:val="0"/>
        <w:widowControl w:val="0"/>
        <w:numPr>
          <w:ilvl w:val="0"/>
          <w:numId w:val="0"/>
        </w:numPr>
        <w:kinsoku/>
        <w:wordWrap/>
        <w:overflowPunct/>
        <w:topLinePunct w:val="0"/>
        <w:autoSpaceDE/>
        <w:autoSpaceDN/>
        <w:bidi w:val="0"/>
        <w:adjustRightInd/>
        <w:snapToGrid/>
        <w:spacing w:before="0" w:after="0" w:line="560" w:lineRule="exact"/>
        <w:ind w:left="0" w:leftChars="0" w:firstLine="640" w:firstLineChars="200"/>
        <w:textAlignment w:val="auto"/>
        <w:rPr>
          <w:rFonts w:ascii="黑体" w:hAnsi="黑体" w:eastAsia="黑体"/>
          <w:b w:val="0"/>
        </w:rPr>
      </w:pPr>
      <w:bookmarkStart w:id="18" w:name="_Toc143805792"/>
      <w:r>
        <w:rPr>
          <w:rFonts w:hint="default" w:ascii="黑体" w:hAnsi="黑体" w:eastAsia="黑体" w:cstheme="majorBidi"/>
          <w:b w:val="0"/>
          <w:bCs/>
          <w:kern w:val="2"/>
          <w:sz w:val="32"/>
          <w:szCs w:val="32"/>
          <w:lang w:val="en-US" w:eastAsia="zh-CN" w:bidi="ar-SA"/>
        </w:rPr>
        <w:t>一、</w:t>
      </w:r>
      <w:r>
        <w:rPr>
          <w:rFonts w:hint="eastAsia" w:ascii="黑体" w:hAnsi="黑体" w:eastAsia="黑体"/>
          <w:b w:val="0"/>
        </w:rPr>
        <w:t>部门职责</w:t>
      </w:r>
      <w:bookmarkEnd w:id="18"/>
    </w:p>
    <w:p>
      <w:pPr>
        <w:pStyle w:val="7"/>
        <w:keepNext w:val="0"/>
        <w:keepLines w:val="0"/>
        <w:pageBreakBefore w:val="0"/>
        <w:widowControl w:val="0"/>
        <w:kinsoku/>
        <w:wordWrap/>
        <w:overflowPunct/>
        <w:topLinePunct w:val="0"/>
        <w:autoSpaceDE/>
        <w:autoSpaceDN/>
        <w:bidi w:val="0"/>
        <w:adjustRightInd/>
        <w:snapToGrid/>
        <w:spacing w:beforeLines="0" w:line="560" w:lineRule="exact"/>
        <w:ind w:firstLine="640" w:firstLineChars="200"/>
        <w:textAlignment w:val="auto"/>
        <w:outlineLvl w:val="2"/>
        <w:rPr>
          <w:rFonts w:hint="eastAsia" w:ascii="仿宋_GB2312" w:hAnsi="仿宋_GB2312" w:eastAsia="仿宋_GB2312" w:cs="仿宋_GB2312"/>
          <w:bCs/>
          <w:sz w:val="32"/>
          <w:szCs w:val="32"/>
        </w:rPr>
      </w:pPr>
      <w:bookmarkStart w:id="19" w:name="_Toc143805793"/>
      <w:r>
        <w:rPr>
          <w:rFonts w:hint="eastAsia" w:ascii="仿宋_GB2312" w:hAnsi="仿宋_GB2312" w:eastAsia="仿宋_GB2312" w:cs="仿宋_GB2312"/>
          <w:bCs/>
          <w:sz w:val="32"/>
          <w:szCs w:val="32"/>
        </w:rPr>
        <w:t>1.负责区委、区政府规范性文件、重大行政决策发布前的合法性审查。承办区政府规范性文件的报送备案工作。负责全区各级各部门规范性文件报送区政府的备案审查工作。组织开展规范性文件清理。负责区本级政府合同备案管理、区政府涉法事务处理。</w:t>
      </w:r>
      <w:bookmarkEnd w:id="19"/>
    </w:p>
    <w:p>
      <w:pPr>
        <w:pStyle w:val="7"/>
        <w:keepNext w:val="0"/>
        <w:keepLines w:val="0"/>
        <w:pageBreakBefore w:val="0"/>
        <w:widowControl w:val="0"/>
        <w:kinsoku/>
        <w:wordWrap/>
        <w:overflowPunct/>
        <w:topLinePunct w:val="0"/>
        <w:autoSpaceDE/>
        <w:autoSpaceDN/>
        <w:bidi w:val="0"/>
        <w:adjustRightInd/>
        <w:snapToGrid/>
        <w:spacing w:beforeLines="0" w:line="560" w:lineRule="exact"/>
        <w:ind w:firstLine="640" w:firstLineChars="200"/>
        <w:textAlignment w:val="auto"/>
        <w:outlineLvl w:val="2"/>
        <w:rPr>
          <w:rFonts w:hint="eastAsia" w:ascii="仿宋_GB2312" w:hAnsi="仿宋_GB2312" w:eastAsia="仿宋_GB2312" w:cs="仿宋_GB2312"/>
          <w:bCs/>
          <w:sz w:val="32"/>
          <w:szCs w:val="32"/>
        </w:rPr>
      </w:pPr>
      <w:bookmarkStart w:id="20" w:name="_Toc143805794"/>
      <w:r>
        <w:rPr>
          <w:rFonts w:hint="eastAsia" w:ascii="仿宋_GB2312" w:hAnsi="仿宋_GB2312" w:eastAsia="仿宋_GB2312" w:cs="仿宋_GB2312"/>
          <w:bCs/>
          <w:sz w:val="32"/>
          <w:szCs w:val="32"/>
        </w:rPr>
        <w:t>2.承担统筹推进法治政府建设的责任。监督指导全区各级各部门依法行政工作。负责综合协调、监督检查行政执法，指导推进行政执法体制改革有关工作，严格规范公正文明执法。指导监督全区行政复议、行政诉讼、行政裁决和行政赔偿工作，承办向区政府申请的行政复议、行政赔偿案件，代理区政府行政应诉案件。</w:t>
      </w:r>
      <w:bookmarkEnd w:id="20"/>
    </w:p>
    <w:p>
      <w:pPr>
        <w:pStyle w:val="7"/>
        <w:keepNext w:val="0"/>
        <w:keepLines w:val="0"/>
        <w:pageBreakBefore w:val="0"/>
        <w:widowControl w:val="0"/>
        <w:kinsoku/>
        <w:wordWrap/>
        <w:overflowPunct/>
        <w:topLinePunct w:val="0"/>
        <w:autoSpaceDE/>
        <w:autoSpaceDN/>
        <w:bidi w:val="0"/>
        <w:adjustRightInd/>
        <w:snapToGrid/>
        <w:spacing w:beforeLines="0" w:line="560" w:lineRule="exact"/>
        <w:ind w:firstLine="640" w:firstLineChars="200"/>
        <w:textAlignment w:val="auto"/>
        <w:outlineLvl w:val="2"/>
        <w:rPr>
          <w:rFonts w:hint="eastAsia" w:ascii="仿宋_GB2312" w:hAnsi="仿宋_GB2312" w:eastAsia="仿宋_GB2312" w:cs="仿宋_GB2312"/>
          <w:bCs/>
          <w:sz w:val="32"/>
          <w:szCs w:val="32"/>
        </w:rPr>
      </w:pPr>
      <w:bookmarkStart w:id="21" w:name="_Toc143805795"/>
      <w:r>
        <w:rPr>
          <w:rFonts w:hint="eastAsia" w:ascii="仿宋_GB2312" w:hAnsi="仿宋_GB2312" w:eastAsia="仿宋_GB2312" w:cs="仿宋_GB2312"/>
          <w:bCs/>
          <w:sz w:val="32"/>
          <w:szCs w:val="32"/>
        </w:rPr>
        <w:t>3.承担统筹规划法治社会建设的责任。负责拟订法治宣传教育规划，组织实施普法宣传，组织对外法治宣传。推动人民参与和促进法治建设。指导全区各级各部门依法治理和法治创建工作。指导调解工作。负责并指导人民监督员的选任管理工作。负责人民陪审员选任工作。推进司法所建设。</w:t>
      </w:r>
      <w:bookmarkEnd w:id="21"/>
    </w:p>
    <w:p>
      <w:pPr>
        <w:pStyle w:val="7"/>
        <w:keepNext w:val="0"/>
        <w:keepLines w:val="0"/>
        <w:pageBreakBefore w:val="0"/>
        <w:widowControl w:val="0"/>
        <w:kinsoku/>
        <w:wordWrap/>
        <w:overflowPunct/>
        <w:topLinePunct w:val="0"/>
        <w:autoSpaceDE/>
        <w:autoSpaceDN/>
        <w:bidi w:val="0"/>
        <w:adjustRightInd/>
        <w:snapToGrid/>
        <w:spacing w:beforeLines="0" w:line="560" w:lineRule="exact"/>
        <w:ind w:firstLine="640" w:firstLineChars="200"/>
        <w:textAlignment w:val="auto"/>
        <w:outlineLvl w:val="2"/>
        <w:rPr>
          <w:rFonts w:hint="eastAsia" w:ascii="仿宋_GB2312" w:hAnsi="仿宋_GB2312" w:eastAsia="仿宋_GB2312" w:cs="仿宋_GB2312"/>
          <w:bCs/>
          <w:sz w:val="32"/>
          <w:szCs w:val="32"/>
        </w:rPr>
      </w:pPr>
      <w:bookmarkStart w:id="22" w:name="_Toc143805796"/>
      <w:r>
        <w:rPr>
          <w:rFonts w:hint="eastAsia" w:ascii="仿宋_GB2312" w:hAnsi="仿宋_GB2312" w:eastAsia="仿宋_GB2312" w:cs="仿宋_GB2312"/>
          <w:bCs/>
          <w:sz w:val="32"/>
          <w:szCs w:val="32"/>
        </w:rPr>
        <w:t>4.指导、监督管理刑满释放人员的安置帮教工作；牵头组织有关单位和社区基层组织开展社区矫正工作，对社区矫正对象实施管理。</w:t>
      </w:r>
      <w:bookmarkEnd w:id="22"/>
    </w:p>
    <w:p>
      <w:pPr>
        <w:pStyle w:val="7"/>
        <w:keepNext w:val="0"/>
        <w:keepLines w:val="0"/>
        <w:pageBreakBefore w:val="0"/>
        <w:widowControl w:val="0"/>
        <w:kinsoku/>
        <w:wordWrap/>
        <w:overflowPunct/>
        <w:topLinePunct w:val="0"/>
        <w:autoSpaceDE/>
        <w:autoSpaceDN/>
        <w:bidi w:val="0"/>
        <w:adjustRightInd/>
        <w:snapToGrid/>
        <w:spacing w:beforeLines="0" w:line="560" w:lineRule="exact"/>
        <w:ind w:firstLine="640" w:firstLineChars="200"/>
        <w:textAlignment w:val="auto"/>
        <w:outlineLvl w:val="2"/>
        <w:rPr>
          <w:rFonts w:hint="eastAsia" w:ascii="仿宋_GB2312" w:hAnsi="仿宋_GB2312" w:eastAsia="仿宋_GB2312" w:cs="仿宋_GB2312"/>
          <w:bCs/>
          <w:sz w:val="32"/>
          <w:szCs w:val="32"/>
        </w:rPr>
      </w:pPr>
      <w:bookmarkStart w:id="23" w:name="_Toc143805797"/>
      <w:r>
        <w:rPr>
          <w:rFonts w:hint="eastAsia" w:ascii="仿宋_GB2312" w:hAnsi="仿宋_GB2312" w:eastAsia="仿宋_GB2312" w:cs="仿宋_GB2312"/>
          <w:bCs/>
          <w:sz w:val="32"/>
          <w:szCs w:val="32"/>
        </w:rPr>
        <w:t>5.负责拟订全区公共法律服务体系建设规划并指导实施，统筹和布局全区城乡法律服务资源。指导监督律师、公证、法律援助和基层法律服务工作。</w:t>
      </w:r>
      <w:bookmarkEnd w:id="23"/>
    </w:p>
    <w:p>
      <w:pPr>
        <w:pStyle w:val="7"/>
        <w:keepNext w:val="0"/>
        <w:keepLines w:val="0"/>
        <w:pageBreakBefore w:val="0"/>
        <w:widowControl w:val="0"/>
        <w:kinsoku/>
        <w:wordWrap/>
        <w:overflowPunct/>
        <w:topLinePunct w:val="0"/>
        <w:autoSpaceDE/>
        <w:autoSpaceDN/>
        <w:bidi w:val="0"/>
        <w:adjustRightInd/>
        <w:snapToGrid/>
        <w:spacing w:beforeLines="0" w:line="560" w:lineRule="exact"/>
        <w:ind w:firstLine="640" w:firstLineChars="200"/>
        <w:textAlignment w:val="auto"/>
        <w:outlineLvl w:val="2"/>
        <w:rPr>
          <w:rFonts w:hint="eastAsia" w:ascii="仿宋_GB2312" w:hAnsi="仿宋_GB2312" w:eastAsia="仿宋_GB2312" w:cs="仿宋_GB2312"/>
          <w:bCs/>
          <w:sz w:val="32"/>
          <w:szCs w:val="32"/>
        </w:rPr>
      </w:pPr>
      <w:bookmarkStart w:id="24" w:name="_Toc143805798"/>
      <w:r>
        <w:rPr>
          <w:rFonts w:hint="eastAsia" w:ascii="仿宋_GB2312" w:hAnsi="仿宋_GB2312" w:eastAsia="仿宋_GB2312" w:cs="仿宋_GB2312"/>
          <w:bCs/>
          <w:sz w:val="32"/>
          <w:szCs w:val="32"/>
        </w:rPr>
        <w:t>6.负责本系统服装和警车管理工作。承担本系统财务、装备、设施、场所等保障工作。</w:t>
      </w:r>
      <w:bookmarkEnd w:id="24"/>
    </w:p>
    <w:p>
      <w:pPr>
        <w:pStyle w:val="7"/>
        <w:keepNext w:val="0"/>
        <w:keepLines w:val="0"/>
        <w:pageBreakBefore w:val="0"/>
        <w:widowControl w:val="0"/>
        <w:kinsoku/>
        <w:wordWrap/>
        <w:overflowPunct/>
        <w:topLinePunct w:val="0"/>
        <w:autoSpaceDE/>
        <w:autoSpaceDN/>
        <w:bidi w:val="0"/>
        <w:adjustRightInd/>
        <w:snapToGrid/>
        <w:spacing w:beforeLines="0" w:line="560" w:lineRule="exact"/>
        <w:ind w:firstLine="640" w:firstLineChars="200"/>
        <w:textAlignment w:val="auto"/>
        <w:outlineLvl w:val="2"/>
        <w:rPr>
          <w:rFonts w:hint="eastAsia" w:ascii="仿宋_GB2312" w:hAnsi="仿宋_GB2312" w:eastAsia="仿宋_GB2312" w:cs="仿宋_GB2312"/>
          <w:bCs/>
          <w:sz w:val="32"/>
          <w:szCs w:val="32"/>
        </w:rPr>
      </w:pPr>
      <w:bookmarkStart w:id="25" w:name="_Toc143805799"/>
      <w:r>
        <w:rPr>
          <w:rFonts w:hint="eastAsia" w:ascii="仿宋_GB2312" w:hAnsi="仿宋_GB2312" w:eastAsia="仿宋_GB2312" w:cs="仿宋_GB2312"/>
          <w:bCs/>
          <w:sz w:val="32"/>
          <w:szCs w:val="32"/>
        </w:rPr>
        <w:t>7.规划、协调、指导法治人才队伍建设相关工作，负责监督本系统队伍建设工作。</w:t>
      </w:r>
      <w:bookmarkEnd w:id="25"/>
    </w:p>
    <w:p>
      <w:pPr>
        <w:pStyle w:val="7"/>
        <w:keepNext w:val="0"/>
        <w:keepLines w:val="0"/>
        <w:pageBreakBefore w:val="0"/>
        <w:widowControl w:val="0"/>
        <w:kinsoku/>
        <w:wordWrap/>
        <w:overflowPunct/>
        <w:topLinePunct w:val="0"/>
        <w:autoSpaceDE/>
        <w:autoSpaceDN/>
        <w:bidi w:val="0"/>
        <w:adjustRightInd/>
        <w:snapToGrid/>
        <w:spacing w:beforeLines="0" w:line="560" w:lineRule="exact"/>
        <w:ind w:firstLine="640" w:firstLineChars="200"/>
        <w:textAlignment w:val="auto"/>
        <w:outlineLvl w:val="2"/>
        <w:rPr>
          <w:rFonts w:hint="eastAsia" w:ascii="仿宋_GB2312" w:hAnsi="仿宋_GB2312" w:eastAsia="仿宋_GB2312" w:cs="仿宋_GB2312"/>
          <w:bCs/>
          <w:sz w:val="32"/>
          <w:szCs w:val="32"/>
        </w:rPr>
      </w:pPr>
      <w:bookmarkStart w:id="26" w:name="_Toc143805800"/>
      <w:r>
        <w:rPr>
          <w:rFonts w:hint="eastAsia" w:ascii="仿宋_GB2312" w:hAnsi="仿宋_GB2312" w:eastAsia="仿宋_GB2312" w:cs="仿宋_GB2312"/>
          <w:bCs/>
          <w:sz w:val="32"/>
          <w:szCs w:val="32"/>
        </w:rPr>
        <w:t>8.负责并指导本系统行政审批工作。负责全区外来企业涉法政务服务和行政执法方面的投诉处理。</w:t>
      </w:r>
      <w:bookmarkEnd w:id="26"/>
      <w:r>
        <w:rPr>
          <w:rFonts w:hint="eastAsia" w:ascii="仿宋_GB2312" w:hAnsi="仿宋_GB2312" w:eastAsia="仿宋_GB2312" w:cs="仿宋_GB2312"/>
          <w:bCs/>
          <w:sz w:val="32"/>
          <w:szCs w:val="32"/>
        </w:rPr>
        <w:t xml:space="preserve"> </w:t>
      </w:r>
    </w:p>
    <w:p>
      <w:pPr>
        <w:pStyle w:val="7"/>
        <w:keepNext w:val="0"/>
        <w:keepLines w:val="0"/>
        <w:pageBreakBefore w:val="0"/>
        <w:widowControl w:val="0"/>
        <w:kinsoku/>
        <w:wordWrap/>
        <w:overflowPunct/>
        <w:topLinePunct w:val="0"/>
        <w:autoSpaceDE/>
        <w:autoSpaceDN/>
        <w:bidi w:val="0"/>
        <w:adjustRightInd/>
        <w:snapToGrid/>
        <w:spacing w:beforeLines="0" w:line="560" w:lineRule="exact"/>
        <w:ind w:firstLine="640" w:firstLineChars="200"/>
        <w:textAlignment w:val="auto"/>
        <w:outlineLvl w:val="2"/>
        <w:rPr>
          <w:rFonts w:hint="eastAsia" w:ascii="仿宋_GB2312" w:hAnsi="仿宋_GB2312" w:eastAsia="仿宋_GB2312" w:cs="仿宋_GB2312"/>
          <w:bCs/>
          <w:sz w:val="32"/>
          <w:szCs w:val="32"/>
        </w:rPr>
      </w:pPr>
      <w:bookmarkStart w:id="27" w:name="_Toc143805801"/>
      <w:r>
        <w:rPr>
          <w:rFonts w:hint="eastAsia" w:ascii="仿宋_GB2312" w:hAnsi="仿宋_GB2312" w:eastAsia="仿宋_GB2312" w:cs="仿宋_GB2312"/>
          <w:bCs/>
          <w:sz w:val="32"/>
          <w:szCs w:val="32"/>
        </w:rPr>
        <w:t>9.负责职责范围内的安全生产和职业健康、生态环境保护、审批服务便民化、市场监管等工作。</w:t>
      </w:r>
      <w:bookmarkEnd w:id="27"/>
    </w:p>
    <w:p>
      <w:pPr>
        <w:pStyle w:val="7"/>
        <w:keepNext w:val="0"/>
        <w:keepLines w:val="0"/>
        <w:pageBreakBefore w:val="0"/>
        <w:widowControl w:val="0"/>
        <w:kinsoku/>
        <w:wordWrap/>
        <w:overflowPunct/>
        <w:topLinePunct w:val="0"/>
        <w:autoSpaceDE/>
        <w:autoSpaceDN/>
        <w:bidi w:val="0"/>
        <w:adjustRightInd/>
        <w:snapToGrid/>
        <w:spacing w:beforeLines="0" w:line="560" w:lineRule="exact"/>
        <w:ind w:firstLine="640" w:firstLineChars="200"/>
        <w:textAlignment w:val="auto"/>
        <w:outlineLvl w:val="2"/>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10.完成区委和区政府交办的其他任务。</w:t>
      </w:r>
    </w:p>
    <w:p>
      <w:pPr>
        <w:pStyle w:val="4"/>
        <w:keepNext/>
        <w:keepLines/>
        <w:pageBreakBefore w:val="0"/>
        <w:widowControl w:val="0"/>
        <w:numPr>
          <w:ilvl w:val="0"/>
          <w:numId w:val="0"/>
        </w:numPr>
        <w:kinsoku/>
        <w:wordWrap/>
        <w:overflowPunct/>
        <w:topLinePunct w:val="0"/>
        <w:autoSpaceDE/>
        <w:autoSpaceDN/>
        <w:bidi w:val="0"/>
        <w:adjustRightInd/>
        <w:snapToGrid/>
        <w:spacing w:before="0" w:after="0" w:line="560" w:lineRule="exact"/>
        <w:ind w:left="0" w:leftChars="0" w:firstLine="640" w:firstLineChars="200"/>
        <w:textAlignment w:val="auto"/>
        <w:rPr>
          <w:rFonts w:hint="default" w:ascii="黑体" w:hAnsi="黑体" w:eastAsia="黑体" w:cstheme="majorBidi"/>
          <w:b w:val="0"/>
          <w:bCs/>
          <w:kern w:val="2"/>
          <w:sz w:val="32"/>
          <w:szCs w:val="32"/>
          <w:lang w:val="en-US" w:eastAsia="zh-CN" w:bidi="ar-SA"/>
        </w:rPr>
      </w:pPr>
      <w:bookmarkStart w:id="28" w:name="_Toc15396601"/>
      <w:bookmarkStart w:id="29" w:name="_Toc143805802"/>
      <w:bookmarkStart w:id="30" w:name="_Toc15377200"/>
      <w:r>
        <w:rPr>
          <w:rFonts w:hint="eastAsia" w:ascii="黑体" w:hAnsi="黑体" w:eastAsia="黑体" w:cstheme="majorBidi"/>
          <w:b w:val="0"/>
          <w:bCs/>
          <w:kern w:val="2"/>
          <w:sz w:val="32"/>
          <w:szCs w:val="32"/>
          <w:lang w:val="en-US" w:eastAsia="zh-CN" w:bidi="ar-SA"/>
        </w:rPr>
        <w:t>二、机构设置</w:t>
      </w:r>
      <w:bookmarkEnd w:id="28"/>
      <w:bookmarkEnd w:id="29"/>
      <w:bookmarkEnd w:id="30"/>
    </w:p>
    <w:p>
      <w:pPr>
        <w:pStyle w:val="7"/>
        <w:keepNext w:val="0"/>
        <w:keepLines w:val="0"/>
        <w:pageBreakBefore w:val="0"/>
        <w:widowControl w:val="0"/>
        <w:kinsoku/>
        <w:wordWrap/>
        <w:overflowPunct/>
        <w:topLinePunct w:val="0"/>
        <w:autoSpaceDE/>
        <w:autoSpaceDN/>
        <w:bidi w:val="0"/>
        <w:adjustRightInd/>
        <w:snapToGrid/>
        <w:spacing w:beforeLines="0" w:line="560" w:lineRule="exact"/>
        <w:ind w:firstLine="640" w:firstLineChars="200"/>
        <w:textAlignment w:val="auto"/>
        <w:outlineLvl w:val="2"/>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遂宁市安居区司法局下属二级预算单位1个，其中行政单位0个，参照公务员法管理的事业单位0个，其他事业单位1个，未纳入2021年度部门决算编制范围。</w:t>
      </w:r>
    </w:p>
    <w:p>
      <w:pPr>
        <w:pStyle w:val="7"/>
        <w:keepNext w:val="0"/>
        <w:keepLines w:val="0"/>
        <w:pageBreakBefore w:val="0"/>
        <w:widowControl w:val="0"/>
        <w:kinsoku/>
        <w:wordWrap/>
        <w:overflowPunct/>
        <w:topLinePunct w:val="0"/>
        <w:autoSpaceDE/>
        <w:autoSpaceDN/>
        <w:bidi w:val="0"/>
        <w:adjustRightInd/>
        <w:snapToGrid/>
        <w:spacing w:beforeLines="0" w:line="560" w:lineRule="exact"/>
        <w:ind w:firstLine="640" w:firstLineChars="200"/>
        <w:textAlignment w:val="auto"/>
        <w:outlineLvl w:val="2"/>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br w:type="page"/>
      </w:r>
    </w:p>
    <w:p>
      <w:pPr>
        <w:keepNext/>
        <w:keepLines/>
        <w:pageBreakBefore w:val="0"/>
        <w:widowControl w:val="0"/>
        <w:numPr>
          <w:ilvl w:val="0"/>
          <w:numId w:val="2"/>
        </w:numPr>
        <w:kinsoku/>
        <w:wordWrap/>
        <w:overflowPunct/>
        <w:topLinePunct w:val="0"/>
        <w:autoSpaceDE/>
        <w:autoSpaceDN/>
        <w:bidi w:val="0"/>
        <w:adjustRightInd/>
        <w:snapToGrid/>
        <w:spacing w:before="0" w:after="0" w:line="700" w:lineRule="exact"/>
        <w:jc w:val="center"/>
        <w:textAlignment w:val="auto"/>
        <w:outlineLvl w:val="0"/>
        <w:rPr>
          <w:rStyle w:val="34"/>
          <w:rFonts w:hint="eastAsia" w:ascii="黑体" w:hAnsi="黑体" w:eastAsia="黑体"/>
          <w:b w:val="0"/>
          <w:bCs w:val="0"/>
          <w:sz w:val="44"/>
          <w:szCs w:val="44"/>
        </w:rPr>
      </w:pPr>
      <w:bookmarkStart w:id="31" w:name="_Toc15396602"/>
      <w:bookmarkStart w:id="32" w:name="_Toc15377204"/>
      <w:bookmarkStart w:id="33" w:name="_Toc143805803"/>
      <w:r>
        <w:rPr>
          <w:rStyle w:val="34"/>
          <w:rFonts w:hint="eastAsia" w:ascii="黑体" w:hAnsi="黑体" w:eastAsia="黑体"/>
          <w:b w:val="0"/>
          <w:bCs w:val="0"/>
          <w:sz w:val="44"/>
          <w:szCs w:val="44"/>
        </w:rPr>
        <w:t>2022年度部门决算情况说明</w:t>
      </w:r>
      <w:bookmarkEnd w:id="31"/>
      <w:bookmarkEnd w:id="32"/>
      <w:bookmarkEnd w:id="33"/>
    </w:p>
    <w:p/>
    <w:p>
      <w:pPr>
        <w:pStyle w:val="4"/>
        <w:keepNext/>
        <w:keepLines/>
        <w:pageBreakBefore w:val="0"/>
        <w:widowControl w:val="0"/>
        <w:numPr>
          <w:ilvl w:val="0"/>
          <w:numId w:val="0"/>
        </w:numPr>
        <w:kinsoku/>
        <w:wordWrap/>
        <w:overflowPunct/>
        <w:topLinePunct w:val="0"/>
        <w:autoSpaceDE/>
        <w:autoSpaceDN/>
        <w:bidi w:val="0"/>
        <w:adjustRightInd/>
        <w:snapToGrid/>
        <w:spacing w:before="0" w:after="0" w:line="560" w:lineRule="exact"/>
        <w:ind w:left="0" w:leftChars="0" w:firstLine="640" w:firstLineChars="200"/>
        <w:textAlignment w:val="auto"/>
        <w:rPr>
          <w:rFonts w:hint="default" w:ascii="黑体" w:hAnsi="黑体" w:eastAsia="黑体" w:cstheme="majorBidi"/>
          <w:b w:val="0"/>
          <w:bCs/>
          <w:kern w:val="2"/>
          <w:sz w:val="32"/>
          <w:szCs w:val="32"/>
          <w:lang w:val="en-US" w:eastAsia="zh-CN" w:bidi="ar-SA"/>
        </w:rPr>
      </w:pPr>
      <w:bookmarkStart w:id="34" w:name="_Toc143805804"/>
      <w:bookmarkStart w:id="35" w:name="_Toc15377205"/>
      <w:bookmarkStart w:id="36" w:name="_Toc15396603"/>
      <w:r>
        <w:rPr>
          <w:rFonts w:hint="eastAsia" w:ascii="黑体" w:hAnsi="黑体" w:eastAsia="黑体" w:cstheme="majorBidi"/>
          <w:b w:val="0"/>
          <w:bCs/>
          <w:kern w:val="2"/>
          <w:sz w:val="32"/>
          <w:szCs w:val="32"/>
          <w:lang w:val="en-US" w:eastAsia="zh-CN" w:bidi="ar-SA"/>
        </w:rPr>
        <w:t>一、收入支出决算总体情况说明</w:t>
      </w:r>
      <w:bookmarkEnd w:id="34"/>
      <w:bookmarkEnd w:id="35"/>
      <w:bookmarkEnd w:id="36"/>
    </w:p>
    <w:p>
      <w:pPr>
        <w:pStyle w:val="7"/>
        <w:keepNext w:val="0"/>
        <w:keepLines w:val="0"/>
        <w:pageBreakBefore w:val="0"/>
        <w:widowControl w:val="0"/>
        <w:kinsoku/>
        <w:wordWrap/>
        <w:overflowPunct/>
        <w:topLinePunct w:val="0"/>
        <w:autoSpaceDE/>
        <w:autoSpaceDN/>
        <w:bidi w:val="0"/>
        <w:adjustRightInd/>
        <w:snapToGrid/>
        <w:spacing w:beforeLines="0" w:line="560" w:lineRule="exact"/>
        <w:ind w:firstLine="640" w:firstLineChars="200"/>
        <w:textAlignment w:val="auto"/>
        <w:outlineLvl w:val="2"/>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2022年度收、支总计1168.92万元。与2021年相比，收、支总计各减少6.09万元，下降0.52%。主要变动原因是单位</w:t>
      </w:r>
      <w:r>
        <w:rPr>
          <w:rFonts w:hint="eastAsia" w:hAnsi="仿宋_GB2312" w:cs="仿宋_GB2312"/>
          <w:bCs/>
          <w:sz w:val="32"/>
          <w:szCs w:val="32"/>
          <w:lang w:eastAsia="zh-CN"/>
        </w:rPr>
        <w:t>厉</w:t>
      </w:r>
      <w:r>
        <w:rPr>
          <w:rFonts w:hint="eastAsia" w:ascii="仿宋_GB2312" w:hAnsi="仿宋_GB2312" w:eastAsia="仿宋_GB2312" w:cs="仿宋_GB2312"/>
          <w:bCs/>
          <w:sz w:val="32"/>
          <w:szCs w:val="32"/>
        </w:rPr>
        <w:t>行节约，缩减开支。</w:t>
      </w:r>
    </w:p>
    <w:p>
      <w:pPr>
        <w:pStyle w:val="7"/>
        <w:keepNext w:val="0"/>
        <w:keepLines w:val="0"/>
        <w:pageBreakBefore w:val="0"/>
        <w:widowControl w:val="0"/>
        <w:kinsoku/>
        <w:wordWrap/>
        <w:overflowPunct/>
        <w:topLinePunct w:val="0"/>
        <w:autoSpaceDE/>
        <w:autoSpaceDN/>
        <w:bidi w:val="0"/>
        <w:adjustRightInd/>
        <w:snapToGrid/>
        <w:spacing w:beforeLines="0" w:line="560" w:lineRule="exact"/>
        <w:ind w:firstLine="640" w:firstLineChars="200"/>
        <w:textAlignment w:val="auto"/>
        <w:outlineLvl w:val="2"/>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（图1：收、支决算总计变动情况图）（柱状图）</w:t>
      </w:r>
    </w:p>
    <w:p>
      <w:pPr>
        <w:pStyle w:val="7"/>
        <w:spacing w:before="93"/>
      </w:pPr>
      <w:r>
        <w:rPr>
          <w:rFonts w:hint="eastAsia" w:hAnsi="Calibri"/>
          <w:color w:val="000000"/>
          <w:sz w:val="32"/>
          <w:szCs w:val="32"/>
        </w:rPr>
        <w:drawing>
          <wp:anchor distT="0" distB="0" distL="114300" distR="114300" simplePos="0" relativeHeight="251659264" behindDoc="0" locked="0" layoutInCell="1" allowOverlap="1">
            <wp:simplePos x="0" y="0"/>
            <wp:positionH relativeFrom="column">
              <wp:posOffset>0</wp:posOffset>
            </wp:positionH>
            <wp:positionV relativeFrom="paragraph">
              <wp:posOffset>461645</wp:posOffset>
            </wp:positionV>
            <wp:extent cx="5080000" cy="1936115"/>
            <wp:effectExtent l="4445" t="4445" r="20955" b="21590"/>
            <wp:wrapSquare wrapText="bothSides"/>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pPr>
        <w:pStyle w:val="4"/>
        <w:keepNext/>
        <w:keepLines/>
        <w:pageBreakBefore w:val="0"/>
        <w:widowControl w:val="0"/>
        <w:numPr>
          <w:ilvl w:val="0"/>
          <w:numId w:val="0"/>
        </w:numPr>
        <w:kinsoku/>
        <w:wordWrap/>
        <w:overflowPunct/>
        <w:topLinePunct w:val="0"/>
        <w:autoSpaceDE/>
        <w:autoSpaceDN/>
        <w:bidi w:val="0"/>
        <w:adjustRightInd/>
        <w:snapToGrid/>
        <w:spacing w:before="0" w:after="0" w:line="560" w:lineRule="exact"/>
        <w:ind w:left="0" w:leftChars="0" w:firstLine="640" w:firstLineChars="200"/>
        <w:textAlignment w:val="auto"/>
        <w:rPr>
          <w:rFonts w:hint="eastAsia" w:ascii="黑体" w:hAnsi="黑体" w:eastAsia="黑体" w:cstheme="majorBidi"/>
          <w:b w:val="0"/>
          <w:bCs/>
          <w:kern w:val="2"/>
          <w:sz w:val="32"/>
          <w:szCs w:val="32"/>
          <w:lang w:val="en-US" w:eastAsia="zh-CN" w:bidi="ar-SA"/>
        </w:rPr>
      </w:pPr>
      <w:bookmarkStart w:id="37" w:name="_Toc143805805"/>
      <w:bookmarkStart w:id="38" w:name="_Toc15396604"/>
      <w:bookmarkStart w:id="39" w:name="_Toc15377206"/>
      <w:r>
        <w:rPr>
          <w:rFonts w:hint="eastAsia" w:ascii="黑体" w:hAnsi="黑体" w:eastAsia="黑体" w:cstheme="majorBidi"/>
          <w:b w:val="0"/>
          <w:bCs/>
          <w:kern w:val="2"/>
          <w:sz w:val="32"/>
          <w:szCs w:val="32"/>
          <w:lang w:val="en-US" w:eastAsia="zh-CN" w:bidi="ar-SA"/>
        </w:rPr>
        <w:t>二、收入决算情况说明</w:t>
      </w:r>
      <w:bookmarkEnd w:id="37"/>
      <w:bookmarkEnd w:id="38"/>
      <w:bookmarkEnd w:id="39"/>
    </w:p>
    <w:p>
      <w:pPr>
        <w:pStyle w:val="7"/>
        <w:keepNext w:val="0"/>
        <w:keepLines w:val="0"/>
        <w:pageBreakBefore w:val="0"/>
        <w:widowControl w:val="0"/>
        <w:kinsoku/>
        <w:wordWrap/>
        <w:overflowPunct/>
        <w:topLinePunct w:val="0"/>
        <w:autoSpaceDE/>
        <w:autoSpaceDN/>
        <w:bidi w:val="0"/>
        <w:adjustRightInd/>
        <w:snapToGrid/>
        <w:spacing w:beforeLines="0" w:line="560" w:lineRule="exact"/>
        <w:ind w:firstLine="640" w:firstLineChars="200"/>
        <w:textAlignment w:val="auto"/>
        <w:outlineLvl w:val="2"/>
        <w:rPr>
          <w:rFonts w:hint="eastAsia" w:ascii="仿宋_GB2312" w:hAnsi="仿宋_GB2312" w:eastAsia="仿宋_GB2312" w:cs="仿宋_GB2312"/>
          <w:bCs/>
          <w:sz w:val="32"/>
          <w:szCs w:val="32"/>
        </w:rPr>
      </w:pPr>
      <w:bookmarkStart w:id="40" w:name="_Toc143805806"/>
      <w:r>
        <w:rPr>
          <w:rFonts w:hint="eastAsia" w:ascii="仿宋_GB2312" w:hAnsi="仿宋_GB2312" w:eastAsia="仿宋_GB2312" w:cs="仿宋_GB2312"/>
          <w:bCs/>
          <w:sz w:val="32"/>
          <w:szCs w:val="32"/>
        </w:rPr>
        <w:t>2022年本年收入合计1168.92万元，其中：一般公共预算财政拨款收入1168.92万元，占100%；政府性基金预算财政拨款收入0万元，占0%；国有资本经营预算财政拨款收入0万元，占0%；上级补助收入0万元，占0%；事业收入0万元，占0%；经营收入0万元，占0%；附属单位上缴收入0万元，占0%；其他收入0万元，占0%。</w:t>
      </w:r>
      <w:bookmarkEnd w:id="40"/>
    </w:p>
    <w:p>
      <w:pPr>
        <w:pStyle w:val="7"/>
        <w:keepNext w:val="0"/>
        <w:keepLines w:val="0"/>
        <w:pageBreakBefore w:val="0"/>
        <w:widowControl w:val="0"/>
        <w:kinsoku/>
        <w:wordWrap/>
        <w:overflowPunct/>
        <w:topLinePunct w:val="0"/>
        <w:autoSpaceDE/>
        <w:autoSpaceDN/>
        <w:bidi w:val="0"/>
        <w:adjustRightInd/>
        <w:snapToGrid/>
        <w:spacing w:beforeLines="0" w:line="560" w:lineRule="exact"/>
        <w:ind w:firstLine="640" w:firstLineChars="200"/>
        <w:textAlignment w:val="auto"/>
        <w:outlineLvl w:val="2"/>
        <w:rPr>
          <w:rFonts w:hint="eastAsia" w:ascii="仿宋_GB2312" w:hAnsi="仿宋_GB2312" w:eastAsia="仿宋_GB2312" w:cs="仿宋_GB2312"/>
          <w:bCs/>
          <w:sz w:val="32"/>
          <w:szCs w:val="32"/>
        </w:rPr>
      </w:pPr>
    </w:p>
    <w:p>
      <w:pPr>
        <w:pStyle w:val="7"/>
        <w:keepNext w:val="0"/>
        <w:keepLines w:val="0"/>
        <w:pageBreakBefore w:val="0"/>
        <w:widowControl w:val="0"/>
        <w:kinsoku/>
        <w:wordWrap/>
        <w:overflowPunct/>
        <w:topLinePunct w:val="0"/>
        <w:autoSpaceDE/>
        <w:autoSpaceDN/>
        <w:bidi w:val="0"/>
        <w:adjustRightInd/>
        <w:snapToGrid/>
        <w:spacing w:beforeLines="0" w:line="560" w:lineRule="exact"/>
        <w:ind w:firstLine="640" w:firstLineChars="200"/>
        <w:textAlignment w:val="auto"/>
        <w:outlineLvl w:val="2"/>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drawing>
          <wp:anchor distT="0" distB="0" distL="114300" distR="114300" simplePos="0" relativeHeight="251660288" behindDoc="0" locked="0" layoutInCell="1" allowOverlap="1">
            <wp:simplePos x="0" y="0"/>
            <wp:positionH relativeFrom="column">
              <wp:posOffset>198120</wp:posOffset>
            </wp:positionH>
            <wp:positionV relativeFrom="paragraph">
              <wp:posOffset>697865</wp:posOffset>
            </wp:positionV>
            <wp:extent cx="5080000" cy="4502150"/>
            <wp:effectExtent l="0" t="0" r="6350" b="12700"/>
            <wp:wrapSquare wrapText="bothSides"/>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r>
        <w:rPr>
          <w:rFonts w:hint="eastAsia" w:ascii="仿宋_GB2312" w:hAnsi="仿宋_GB2312" w:eastAsia="仿宋_GB2312" w:cs="仿宋_GB2312"/>
          <w:bCs/>
          <w:sz w:val="32"/>
          <w:szCs w:val="32"/>
        </w:rPr>
        <w:t>（图2：收入决算结构图）（饼状图）</w:t>
      </w:r>
    </w:p>
    <w:p>
      <w:pPr>
        <w:pStyle w:val="4"/>
        <w:keepNext/>
        <w:keepLines/>
        <w:pageBreakBefore w:val="0"/>
        <w:widowControl w:val="0"/>
        <w:numPr>
          <w:ilvl w:val="0"/>
          <w:numId w:val="0"/>
        </w:numPr>
        <w:kinsoku/>
        <w:wordWrap/>
        <w:overflowPunct/>
        <w:topLinePunct w:val="0"/>
        <w:autoSpaceDE/>
        <w:autoSpaceDN/>
        <w:bidi w:val="0"/>
        <w:adjustRightInd/>
        <w:snapToGrid/>
        <w:spacing w:before="0" w:after="0" w:line="560" w:lineRule="exact"/>
        <w:ind w:left="0" w:leftChars="0" w:firstLine="640" w:firstLineChars="200"/>
        <w:textAlignment w:val="auto"/>
        <w:rPr>
          <w:rFonts w:hint="eastAsia" w:ascii="黑体" w:hAnsi="黑体" w:eastAsia="黑体" w:cstheme="majorBidi"/>
          <w:b w:val="0"/>
          <w:bCs/>
          <w:kern w:val="2"/>
          <w:sz w:val="32"/>
          <w:szCs w:val="32"/>
          <w:lang w:val="en-US" w:eastAsia="zh-CN" w:bidi="ar-SA"/>
        </w:rPr>
      </w:pPr>
      <w:bookmarkStart w:id="41" w:name="_Toc15377207"/>
      <w:bookmarkStart w:id="42" w:name="_Toc143805807"/>
      <w:bookmarkStart w:id="43" w:name="_Toc15396605"/>
      <w:r>
        <w:rPr>
          <w:rFonts w:hint="eastAsia" w:ascii="黑体" w:hAnsi="黑体" w:eastAsia="黑体" w:cstheme="majorBidi"/>
          <w:b w:val="0"/>
          <w:bCs/>
          <w:kern w:val="2"/>
          <w:sz w:val="32"/>
          <w:szCs w:val="32"/>
          <w:lang w:val="en-US" w:eastAsia="zh-CN" w:bidi="ar-SA"/>
        </w:rPr>
        <w:t>三</w:t>
      </w:r>
      <w:r>
        <w:rPr>
          <w:rFonts w:hint="default" w:ascii="黑体" w:hAnsi="黑体" w:eastAsia="黑体" w:cstheme="majorBidi"/>
          <w:b w:val="0"/>
          <w:bCs/>
          <w:kern w:val="2"/>
          <w:sz w:val="32"/>
          <w:szCs w:val="32"/>
          <w:lang w:val="en-US" w:eastAsia="zh-CN" w:bidi="ar-SA"/>
        </w:rPr>
        <w:t>、</w:t>
      </w:r>
      <w:r>
        <w:rPr>
          <w:rFonts w:hint="eastAsia" w:ascii="黑体" w:hAnsi="黑体" w:eastAsia="黑体" w:cstheme="majorBidi"/>
          <w:b w:val="0"/>
          <w:bCs/>
          <w:kern w:val="2"/>
          <w:sz w:val="32"/>
          <w:szCs w:val="32"/>
          <w:lang w:val="en-US" w:eastAsia="zh-CN" w:bidi="ar-SA"/>
        </w:rPr>
        <w:t>支出决算情况说明</w:t>
      </w:r>
      <w:bookmarkEnd w:id="41"/>
      <w:bookmarkEnd w:id="42"/>
      <w:bookmarkEnd w:id="43"/>
    </w:p>
    <w:p>
      <w:pPr>
        <w:pStyle w:val="7"/>
        <w:keepNext w:val="0"/>
        <w:keepLines w:val="0"/>
        <w:pageBreakBefore w:val="0"/>
        <w:widowControl w:val="0"/>
        <w:kinsoku/>
        <w:wordWrap/>
        <w:overflowPunct/>
        <w:topLinePunct w:val="0"/>
        <w:autoSpaceDE/>
        <w:autoSpaceDN/>
        <w:bidi w:val="0"/>
        <w:adjustRightInd/>
        <w:snapToGrid/>
        <w:spacing w:beforeLines="0" w:line="560" w:lineRule="exact"/>
        <w:ind w:firstLine="640" w:firstLineChars="200"/>
        <w:textAlignment w:val="auto"/>
        <w:outlineLvl w:val="2"/>
        <w:rPr>
          <w:rFonts w:hint="eastAsia" w:ascii="仿宋_GB2312" w:hAnsi="仿宋_GB2312" w:eastAsia="仿宋_GB2312" w:cs="仿宋_GB2312"/>
          <w:bCs/>
          <w:sz w:val="32"/>
          <w:szCs w:val="32"/>
        </w:rPr>
      </w:pPr>
      <w:bookmarkStart w:id="44" w:name="_Toc143805808"/>
      <w:r>
        <w:rPr>
          <w:rFonts w:hint="eastAsia" w:ascii="仿宋_GB2312" w:hAnsi="仿宋_GB2312" w:eastAsia="仿宋_GB2312" w:cs="仿宋_GB2312"/>
          <w:bCs/>
          <w:sz w:val="32"/>
          <w:szCs w:val="32"/>
        </w:rPr>
        <w:t>2022年本年支出合计1168.92万元，其中：基本支出868.9万元，占74.33%；项目支出300.02万元，占25.67%；上缴上级支出0万元，占0%；经营支出0万元，占0%；对附属单位补助支出0万元，占0%。</w:t>
      </w:r>
      <w:bookmarkEnd w:id="44"/>
    </w:p>
    <w:p>
      <w:pPr>
        <w:pStyle w:val="7"/>
        <w:keepNext w:val="0"/>
        <w:keepLines w:val="0"/>
        <w:pageBreakBefore w:val="0"/>
        <w:widowControl w:val="0"/>
        <w:kinsoku/>
        <w:wordWrap/>
        <w:overflowPunct/>
        <w:topLinePunct w:val="0"/>
        <w:autoSpaceDE/>
        <w:autoSpaceDN/>
        <w:bidi w:val="0"/>
        <w:adjustRightInd/>
        <w:snapToGrid/>
        <w:spacing w:beforeLines="0" w:line="560" w:lineRule="exact"/>
        <w:ind w:firstLine="640" w:firstLineChars="200"/>
        <w:textAlignment w:val="auto"/>
        <w:outlineLvl w:val="2"/>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（图3：支出决算结构图）（饼状图）</w:t>
      </w:r>
    </w:p>
    <w:p>
      <w:pPr>
        <w:spacing w:line="600" w:lineRule="exact"/>
        <w:ind w:firstLine="640" w:firstLineChars="200"/>
        <w:rPr>
          <w:rFonts w:ascii="仿宋_GB2312" w:eastAsia="仿宋_GB2312"/>
          <w:sz w:val="32"/>
          <w:szCs w:val="32"/>
        </w:rPr>
      </w:pPr>
    </w:p>
    <w:p>
      <w:pPr>
        <w:pStyle w:val="4"/>
        <w:keepNext/>
        <w:keepLines/>
        <w:pageBreakBefore w:val="0"/>
        <w:widowControl w:val="0"/>
        <w:numPr>
          <w:ilvl w:val="0"/>
          <w:numId w:val="0"/>
        </w:numPr>
        <w:kinsoku/>
        <w:wordWrap/>
        <w:overflowPunct/>
        <w:topLinePunct w:val="0"/>
        <w:autoSpaceDE/>
        <w:autoSpaceDN/>
        <w:bidi w:val="0"/>
        <w:adjustRightInd/>
        <w:snapToGrid/>
        <w:spacing w:before="0" w:after="0" w:line="640" w:lineRule="exact"/>
        <w:ind w:left="0" w:leftChars="0" w:firstLine="640" w:firstLineChars="200"/>
        <w:textAlignment w:val="auto"/>
        <w:rPr>
          <w:rFonts w:hint="eastAsia" w:ascii="黑体" w:hAnsi="黑体" w:eastAsia="黑体" w:cstheme="majorBidi"/>
          <w:b w:val="0"/>
          <w:bCs/>
          <w:kern w:val="2"/>
          <w:sz w:val="32"/>
          <w:szCs w:val="32"/>
          <w:lang w:val="en-US" w:eastAsia="zh-CN" w:bidi="ar-SA"/>
        </w:rPr>
      </w:pPr>
      <w:r>
        <w:rPr>
          <w:rFonts w:hint="eastAsia" w:ascii="黑体" w:hAnsi="黑体" w:eastAsia="黑体" w:cstheme="majorBidi"/>
          <w:b w:val="0"/>
          <w:bCs/>
          <w:kern w:val="2"/>
          <w:sz w:val="32"/>
          <w:szCs w:val="32"/>
          <w:lang w:val="en-US" w:eastAsia="zh-CN" w:bidi="ar-SA"/>
        </w:rPr>
        <w:drawing>
          <wp:anchor distT="0" distB="0" distL="114300" distR="114300" simplePos="0" relativeHeight="251661312" behindDoc="0" locked="0" layoutInCell="1" allowOverlap="1">
            <wp:simplePos x="0" y="0"/>
            <wp:positionH relativeFrom="column">
              <wp:posOffset>0</wp:posOffset>
            </wp:positionH>
            <wp:positionV relativeFrom="paragraph">
              <wp:posOffset>400050</wp:posOffset>
            </wp:positionV>
            <wp:extent cx="5080000" cy="3810000"/>
            <wp:effectExtent l="4445" t="4445" r="20955" b="14605"/>
            <wp:wrapSquare wrapText="bothSides"/>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bookmarkStart w:id="45" w:name="_Toc15377208"/>
      <w:bookmarkStart w:id="46" w:name="_Toc15396606"/>
      <w:bookmarkStart w:id="47" w:name="_Toc143805809"/>
      <w:r>
        <w:rPr>
          <w:rFonts w:hint="eastAsia" w:ascii="黑体" w:hAnsi="黑体" w:eastAsia="黑体" w:cstheme="majorBidi"/>
          <w:b w:val="0"/>
          <w:bCs/>
          <w:kern w:val="2"/>
          <w:sz w:val="32"/>
          <w:szCs w:val="32"/>
          <w:lang w:val="en-US" w:eastAsia="zh-CN" w:bidi="ar-SA"/>
        </w:rPr>
        <w:t>四、财政拨款收入支出决算总体情况说明</w:t>
      </w:r>
      <w:bookmarkEnd w:id="45"/>
      <w:bookmarkEnd w:id="46"/>
      <w:bookmarkEnd w:id="47"/>
    </w:p>
    <w:p>
      <w:pPr>
        <w:pStyle w:val="7"/>
        <w:keepNext w:val="0"/>
        <w:keepLines w:val="0"/>
        <w:pageBreakBefore w:val="0"/>
        <w:widowControl w:val="0"/>
        <w:kinsoku/>
        <w:wordWrap/>
        <w:overflowPunct/>
        <w:topLinePunct w:val="0"/>
        <w:autoSpaceDE/>
        <w:autoSpaceDN/>
        <w:bidi w:val="0"/>
        <w:adjustRightInd/>
        <w:snapToGrid/>
        <w:spacing w:beforeLines="0" w:line="560" w:lineRule="exact"/>
        <w:ind w:firstLine="640" w:firstLineChars="200"/>
        <w:textAlignment w:val="auto"/>
        <w:outlineLvl w:val="2"/>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2022年财政拨款收、支总计1168.92万元。与2021年相比，财政拨款收、支总计各增加119.75万元，增长11.41%。主要变动原因是2021年有上年结转结余。</w:t>
      </w:r>
    </w:p>
    <w:p>
      <w:pPr>
        <w:pStyle w:val="7"/>
        <w:keepNext w:val="0"/>
        <w:keepLines w:val="0"/>
        <w:pageBreakBefore w:val="0"/>
        <w:widowControl w:val="0"/>
        <w:kinsoku/>
        <w:wordWrap/>
        <w:overflowPunct/>
        <w:topLinePunct w:val="0"/>
        <w:autoSpaceDE/>
        <w:autoSpaceDN/>
        <w:bidi w:val="0"/>
        <w:adjustRightInd/>
        <w:snapToGrid/>
        <w:spacing w:beforeLines="0" w:line="560" w:lineRule="exact"/>
        <w:ind w:firstLine="640" w:firstLineChars="200"/>
        <w:textAlignment w:val="auto"/>
        <w:outlineLvl w:val="2"/>
        <w:rPr>
          <w:rFonts w:hint="eastAsia" w:ascii="仿宋_GB2312" w:hAnsi="仿宋_GB2312" w:eastAsia="仿宋_GB2312" w:cs="仿宋_GB2312"/>
          <w:bCs/>
          <w:sz w:val="32"/>
          <w:szCs w:val="32"/>
        </w:rPr>
      </w:pPr>
      <w:r>
        <w:rPr>
          <w:rFonts w:hint="eastAsia" w:ascii="黑体" w:hAnsi="黑体" w:eastAsia="黑体" w:cstheme="majorBidi"/>
          <w:b w:val="0"/>
          <w:bCs/>
          <w:kern w:val="2"/>
          <w:sz w:val="32"/>
          <w:szCs w:val="32"/>
          <w:lang w:val="en-US" w:eastAsia="zh-CN" w:bidi="ar-SA"/>
        </w:rPr>
        <w:drawing>
          <wp:anchor distT="0" distB="0" distL="114300" distR="114300" simplePos="0" relativeHeight="251662336" behindDoc="0" locked="0" layoutInCell="1" allowOverlap="1">
            <wp:simplePos x="0" y="0"/>
            <wp:positionH relativeFrom="margin">
              <wp:posOffset>223520</wp:posOffset>
            </wp:positionH>
            <wp:positionV relativeFrom="paragraph">
              <wp:posOffset>771525</wp:posOffset>
            </wp:positionV>
            <wp:extent cx="5080000" cy="1936115"/>
            <wp:effectExtent l="0" t="0" r="6350" b="6985"/>
            <wp:wrapSquare wrapText="bothSides"/>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r>
        <w:rPr>
          <w:rFonts w:hint="eastAsia" w:ascii="仿宋_GB2312" w:hAnsi="仿宋_GB2312" w:eastAsia="仿宋_GB2312" w:cs="仿宋_GB2312"/>
          <w:bCs/>
          <w:sz w:val="32"/>
          <w:szCs w:val="32"/>
        </w:rPr>
        <w:t>（图4：财政拨款收、支决算总计变动情况）（柱状图）</w:t>
      </w:r>
    </w:p>
    <w:p>
      <w:pPr>
        <w:pStyle w:val="4"/>
        <w:keepNext/>
        <w:keepLines/>
        <w:pageBreakBefore w:val="0"/>
        <w:widowControl w:val="0"/>
        <w:numPr>
          <w:ilvl w:val="0"/>
          <w:numId w:val="0"/>
        </w:numPr>
        <w:kinsoku/>
        <w:wordWrap/>
        <w:overflowPunct/>
        <w:topLinePunct w:val="0"/>
        <w:autoSpaceDE/>
        <w:autoSpaceDN/>
        <w:bidi w:val="0"/>
        <w:adjustRightInd/>
        <w:snapToGrid/>
        <w:spacing w:before="0" w:after="0" w:line="20" w:lineRule="exact"/>
        <w:ind w:left="0" w:leftChars="0" w:firstLine="640" w:firstLineChars="200"/>
        <w:textAlignment w:val="auto"/>
        <w:rPr>
          <w:rFonts w:hint="eastAsia" w:ascii="黑体" w:hAnsi="黑体" w:eastAsia="黑体" w:cstheme="majorBidi"/>
          <w:b w:val="0"/>
          <w:bCs/>
          <w:kern w:val="2"/>
          <w:sz w:val="32"/>
          <w:szCs w:val="32"/>
          <w:lang w:val="en-US" w:eastAsia="zh-CN" w:bidi="ar-SA"/>
        </w:rPr>
      </w:pPr>
      <w:bookmarkStart w:id="48" w:name="_Toc15377209"/>
      <w:bookmarkStart w:id="49" w:name="_Toc15396607"/>
      <w:bookmarkStart w:id="50" w:name="_Toc143805810"/>
    </w:p>
    <w:p>
      <w:pPr>
        <w:pStyle w:val="4"/>
        <w:keepNext/>
        <w:keepLines/>
        <w:pageBreakBefore w:val="0"/>
        <w:widowControl w:val="0"/>
        <w:numPr>
          <w:ilvl w:val="0"/>
          <w:numId w:val="0"/>
        </w:numPr>
        <w:kinsoku/>
        <w:wordWrap/>
        <w:overflowPunct/>
        <w:topLinePunct w:val="0"/>
        <w:autoSpaceDE/>
        <w:autoSpaceDN/>
        <w:bidi w:val="0"/>
        <w:adjustRightInd/>
        <w:snapToGrid/>
        <w:spacing w:before="0" w:after="0" w:line="640" w:lineRule="exact"/>
        <w:ind w:left="0" w:leftChars="0" w:firstLine="640" w:firstLineChars="200"/>
        <w:textAlignment w:val="auto"/>
        <w:rPr>
          <w:rFonts w:hint="eastAsia" w:ascii="黑体" w:hAnsi="黑体" w:eastAsia="黑体" w:cstheme="majorBidi"/>
          <w:b w:val="0"/>
          <w:bCs/>
          <w:kern w:val="2"/>
          <w:sz w:val="32"/>
          <w:szCs w:val="32"/>
          <w:lang w:val="en-US" w:eastAsia="zh-CN" w:bidi="ar-SA"/>
        </w:rPr>
      </w:pPr>
      <w:r>
        <w:rPr>
          <w:rFonts w:hint="eastAsia" w:ascii="黑体" w:hAnsi="黑体" w:eastAsia="黑体" w:cstheme="majorBidi"/>
          <w:b w:val="0"/>
          <w:bCs/>
          <w:kern w:val="2"/>
          <w:sz w:val="32"/>
          <w:szCs w:val="32"/>
          <w:lang w:val="en-US" w:eastAsia="zh-CN" w:bidi="ar-SA"/>
        </w:rPr>
        <w:t>五、一般公共预算财政拨款支出决算情况说明</w:t>
      </w:r>
      <w:bookmarkEnd w:id="48"/>
      <w:bookmarkEnd w:id="49"/>
      <w:bookmarkEnd w:id="50"/>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1"/>
        <w:rPr>
          <w:rFonts w:hint="eastAsia" w:ascii="楷体" w:hAnsi="楷体" w:eastAsia="楷体" w:cs="楷体"/>
          <w:b/>
          <w:bCs w:val="0"/>
          <w:sz w:val="32"/>
          <w:szCs w:val="32"/>
        </w:rPr>
      </w:pPr>
      <w:bookmarkStart w:id="51" w:name="_Toc143805811"/>
      <w:bookmarkStart w:id="52" w:name="_Toc15377210"/>
      <w:r>
        <w:rPr>
          <w:rFonts w:hint="eastAsia" w:ascii="楷体" w:hAnsi="楷体" w:eastAsia="楷体" w:cs="楷体"/>
          <w:b/>
          <w:bCs w:val="0"/>
          <w:sz w:val="32"/>
          <w:szCs w:val="32"/>
        </w:rPr>
        <w:t>（一）一般公共预算财政拨款支出决算总体情况</w:t>
      </w:r>
      <w:bookmarkEnd w:id="51"/>
      <w:bookmarkEnd w:id="52"/>
    </w:p>
    <w:p>
      <w:pPr>
        <w:pStyle w:val="7"/>
        <w:keepNext w:val="0"/>
        <w:keepLines w:val="0"/>
        <w:pageBreakBefore w:val="0"/>
        <w:widowControl w:val="0"/>
        <w:kinsoku/>
        <w:wordWrap/>
        <w:overflowPunct/>
        <w:topLinePunct w:val="0"/>
        <w:autoSpaceDE/>
        <w:autoSpaceDN/>
        <w:bidi w:val="0"/>
        <w:adjustRightInd/>
        <w:snapToGrid/>
        <w:spacing w:beforeLines="0" w:line="560" w:lineRule="exact"/>
        <w:ind w:firstLine="640" w:firstLineChars="200"/>
        <w:textAlignment w:val="auto"/>
        <w:outlineLvl w:val="2"/>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2022年一般公共预算财政拨款支出1168.92万元，占本年支出合计的100%。与2021年相比，一般公共预算财政拨款支出减少6.09万元，下降0.52%。主要变动原因是单位</w:t>
      </w:r>
      <w:r>
        <w:rPr>
          <w:rFonts w:hint="eastAsia" w:hAnsi="仿宋_GB2312" w:cs="仿宋_GB2312"/>
          <w:bCs/>
          <w:sz w:val="32"/>
          <w:szCs w:val="32"/>
          <w:lang w:eastAsia="zh-CN"/>
        </w:rPr>
        <w:t>厉</w:t>
      </w:r>
      <w:r>
        <w:rPr>
          <w:rFonts w:hint="eastAsia" w:ascii="仿宋_GB2312" w:hAnsi="仿宋_GB2312" w:eastAsia="仿宋_GB2312" w:cs="仿宋_GB2312"/>
          <w:bCs/>
          <w:sz w:val="32"/>
          <w:szCs w:val="32"/>
        </w:rPr>
        <w:t>行节约，缩减开支。</w:t>
      </w:r>
    </w:p>
    <w:p>
      <w:pPr>
        <w:pStyle w:val="7"/>
        <w:keepNext w:val="0"/>
        <w:keepLines w:val="0"/>
        <w:pageBreakBefore w:val="0"/>
        <w:widowControl w:val="0"/>
        <w:kinsoku/>
        <w:wordWrap/>
        <w:overflowPunct/>
        <w:topLinePunct w:val="0"/>
        <w:autoSpaceDE/>
        <w:autoSpaceDN/>
        <w:bidi w:val="0"/>
        <w:adjustRightInd/>
        <w:snapToGrid/>
        <w:spacing w:beforeLines="0" w:line="560" w:lineRule="exact"/>
        <w:ind w:firstLine="640" w:firstLineChars="200"/>
        <w:textAlignment w:val="auto"/>
        <w:outlineLvl w:val="2"/>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（图5：一般公共预算财政拨款支出决算变动情况）（柱状图）</w:t>
      </w:r>
    </w:p>
    <w:p>
      <w:pPr>
        <w:keepNext w:val="0"/>
        <w:keepLines w:val="0"/>
        <w:pageBreakBefore w:val="0"/>
        <w:widowControl w:val="0"/>
        <w:kinsoku/>
        <w:wordWrap/>
        <w:overflowPunct/>
        <w:topLinePunct w:val="0"/>
        <w:autoSpaceDE/>
        <w:autoSpaceDN/>
        <w:bidi w:val="0"/>
        <w:adjustRightInd/>
        <w:snapToGrid/>
        <w:spacing w:line="640" w:lineRule="exact"/>
        <w:ind w:firstLine="643" w:firstLineChars="200"/>
        <w:textAlignment w:val="auto"/>
        <w:outlineLvl w:val="1"/>
        <w:rPr>
          <w:rFonts w:hint="eastAsia" w:ascii="楷体" w:hAnsi="楷体" w:eastAsia="楷体" w:cs="楷体"/>
          <w:b/>
          <w:bCs w:val="0"/>
          <w:sz w:val="32"/>
          <w:szCs w:val="32"/>
        </w:rPr>
      </w:pPr>
      <w:r>
        <w:rPr>
          <w:rFonts w:hint="eastAsia" w:ascii="楷体" w:hAnsi="楷体" w:eastAsia="楷体" w:cs="楷体"/>
          <w:b/>
          <w:bCs w:val="0"/>
          <w:sz w:val="32"/>
          <w:szCs w:val="32"/>
        </w:rPr>
        <w:drawing>
          <wp:anchor distT="0" distB="0" distL="114300" distR="114300" simplePos="0" relativeHeight="251663360" behindDoc="0" locked="0" layoutInCell="1" allowOverlap="1">
            <wp:simplePos x="0" y="0"/>
            <wp:positionH relativeFrom="column">
              <wp:posOffset>0</wp:posOffset>
            </wp:positionH>
            <wp:positionV relativeFrom="paragraph">
              <wp:posOffset>384810</wp:posOffset>
            </wp:positionV>
            <wp:extent cx="5080000" cy="3810000"/>
            <wp:effectExtent l="4445" t="4445" r="20955" b="14605"/>
            <wp:wrapSquare wrapText="bothSides"/>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bookmarkStart w:id="53" w:name="_Toc143805812"/>
      <w:bookmarkStart w:id="54" w:name="_Toc15377211"/>
      <w:r>
        <w:rPr>
          <w:rFonts w:hint="eastAsia" w:ascii="楷体" w:hAnsi="楷体" w:eastAsia="楷体" w:cs="楷体"/>
          <w:b/>
          <w:bCs w:val="0"/>
          <w:sz w:val="32"/>
          <w:szCs w:val="32"/>
        </w:rPr>
        <w:t>（二）一般公共预算财政拨款支出决算结构情况</w:t>
      </w:r>
      <w:bookmarkEnd w:id="53"/>
      <w:bookmarkEnd w:id="54"/>
    </w:p>
    <w:p>
      <w:pPr>
        <w:spacing w:line="600" w:lineRule="exact"/>
        <w:ind w:firstLine="640"/>
        <w:rPr>
          <w:rFonts w:hint="eastAsia" w:ascii="仿宋_GB2312" w:hAnsi="仿宋_GB2312" w:eastAsia="仿宋_GB2312" w:cs="仿宋_GB2312"/>
          <w:b w:val="0"/>
          <w:bCs/>
          <w:sz w:val="32"/>
          <w:szCs w:val="32"/>
        </w:rPr>
      </w:pPr>
      <w:r>
        <w:rPr>
          <w:rFonts w:hint="eastAsia" w:ascii="仿宋_GB2312" w:hAnsi="仿宋_GB2312" w:eastAsia="仿宋_GB2312" w:cs="仿宋_GB2312"/>
          <w:bCs/>
          <w:kern w:val="0"/>
          <w:sz w:val="32"/>
          <w:szCs w:val="32"/>
          <w:lang w:val="en-US" w:eastAsia="zh-CN" w:bidi="ar-SA"/>
        </w:rPr>
        <w:t xml:space="preserve">2022年一般公共预算财政拨款支出1168.92万元，主要用于以下方面: </w:t>
      </w:r>
      <w:r>
        <w:rPr>
          <w:rFonts w:hint="eastAsia" w:ascii="仿宋_GB2312" w:hAnsi="仿宋_GB2312" w:eastAsia="仿宋_GB2312" w:cs="仿宋_GB2312"/>
          <w:b/>
          <w:sz w:val="32"/>
          <w:szCs w:val="32"/>
        </w:rPr>
        <w:t>公共安全支出</w:t>
      </w:r>
      <w:r>
        <w:rPr>
          <w:rFonts w:hint="eastAsia" w:ascii="仿宋_GB2312" w:hAnsi="仿宋_GB2312" w:eastAsia="仿宋_GB2312" w:cs="仿宋_GB2312"/>
          <w:b w:val="0"/>
          <w:bCs/>
          <w:sz w:val="32"/>
          <w:szCs w:val="32"/>
        </w:rPr>
        <w:t>1028.74万元，占88.01%；</w:t>
      </w:r>
      <w:r>
        <w:rPr>
          <w:rFonts w:hint="eastAsia" w:ascii="仿宋_GB2312" w:hAnsi="仿宋_GB2312" w:eastAsia="仿宋_GB2312" w:cs="仿宋_GB2312"/>
          <w:b/>
          <w:sz w:val="32"/>
          <w:szCs w:val="32"/>
        </w:rPr>
        <w:t>社会保障和就业支出</w:t>
      </w:r>
      <w:r>
        <w:rPr>
          <w:rFonts w:hint="eastAsia" w:ascii="仿宋_GB2312" w:hAnsi="仿宋_GB2312" w:eastAsia="仿宋_GB2312" w:cs="仿宋_GB2312"/>
          <w:b w:val="0"/>
          <w:bCs/>
          <w:sz w:val="32"/>
          <w:szCs w:val="32"/>
        </w:rPr>
        <w:t>46.05万元，占3.94%；</w:t>
      </w:r>
      <w:r>
        <w:rPr>
          <w:rFonts w:hint="eastAsia" w:ascii="仿宋_GB2312" w:hAnsi="仿宋_GB2312" w:eastAsia="仿宋_GB2312" w:cs="仿宋_GB2312"/>
          <w:b/>
          <w:sz w:val="32"/>
          <w:szCs w:val="32"/>
        </w:rPr>
        <w:t>卫生健康支出</w:t>
      </w:r>
      <w:r>
        <w:rPr>
          <w:rFonts w:hint="eastAsia" w:ascii="仿宋_GB2312" w:hAnsi="仿宋_GB2312" w:eastAsia="仿宋_GB2312" w:cs="仿宋_GB2312"/>
          <w:b w:val="0"/>
          <w:bCs/>
          <w:sz w:val="32"/>
          <w:szCs w:val="32"/>
        </w:rPr>
        <w:t>31.10万元，占2.66%；</w:t>
      </w:r>
      <w:r>
        <w:rPr>
          <w:rFonts w:hint="eastAsia" w:ascii="仿宋_GB2312" w:hAnsi="仿宋_GB2312" w:eastAsia="仿宋_GB2312" w:cs="仿宋_GB2312"/>
          <w:b/>
          <w:sz w:val="32"/>
          <w:szCs w:val="32"/>
        </w:rPr>
        <w:t>住房保障支出</w:t>
      </w:r>
      <w:r>
        <w:rPr>
          <w:rFonts w:hint="eastAsia" w:ascii="仿宋_GB2312" w:hAnsi="仿宋_GB2312" w:eastAsia="仿宋_GB2312" w:cs="仿宋_GB2312"/>
          <w:b w:val="0"/>
          <w:bCs/>
          <w:sz w:val="32"/>
          <w:szCs w:val="32"/>
        </w:rPr>
        <w:t>63.03万元，占5.39%。</w:t>
      </w:r>
    </w:p>
    <w:p>
      <w:pPr>
        <w:spacing w:line="600" w:lineRule="exact"/>
        <w:ind w:firstLine="640"/>
        <w:rPr>
          <w:rFonts w:hint="eastAsia" w:ascii="仿宋_GB2312" w:hAnsi="仿宋_GB2312" w:eastAsia="仿宋_GB2312" w:cs="仿宋_GB2312"/>
          <w:bCs/>
          <w:kern w:val="0"/>
          <w:sz w:val="32"/>
          <w:szCs w:val="32"/>
          <w:lang w:val="en-US" w:eastAsia="zh-CN" w:bidi="ar-SA"/>
        </w:rPr>
      </w:pPr>
      <w:r>
        <w:rPr>
          <w:rFonts w:hint="eastAsia" w:ascii="仿宋_GB2312" w:hAnsi="仿宋_GB2312" w:eastAsia="仿宋_GB2312" w:cs="仿宋_GB2312"/>
          <w:bCs/>
          <w:kern w:val="0"/>
          <w:sz w:val="32"/>
          <w:szCs w:val="32"/>
          <w:lang w:val="en-US" w:eastAsia="zh-CN" w:bidi="ar-SA"/>
        </w:rPr>
        <w:t>（图6：一般公共预算财政拨款支出决算结构）（饼状图）</w:t>
      </w:r>
    </w:p>
    <w:p>
      <w:pPr>
        <w:pStyle w:val="7"/>
        <w:keepNext w:val="0"/>
        <w:keepLines w:val="0"/>
        <w:pageBreakBefore w:val="0"/>
        <w:widowControl w:val="0"/>
        <w:kinsoku/>
        <w:wordWrap/>
        <w:overflowPunct/>
        <w:topLinePunct w:val="0"/>
        <w:autoSpaceDE/>
        <w:autoSpaceDN/>
        <w:bidi w:val="0"/>
        <w:adjustRightInd/>
        <w:snapToGrid/>
        <w:spacing w:beforeLines="0"/>
        <w:textAlignment w:val="auto"/>
      </w:pPr>
      <w:r>
        <w:rPr>
          <w:rFonts w:hint="eastAsia" w:ascii="仿宋" w:hAnsi="仿宋" w:eastAsia="仿宋"/>
          <w:color w:val="000000"/>
          <w:sz w:val="32"/>
        </w:rPr>
        <w:drawing>
          <wp:anchor distT="0" distB="0" distL="114300" distR="114300" simplePos="0" relativeHeight="251664384" behindDoc="0" locked="0" layoutInCell="1" allowOverlap="1">
            <wp:simplePos x="0" y="0"/>
            <wp:positionH relativeFrom="column">
              <wp:posOffset>0</wp:posOffset>
            </wp:positionH>
            <wp:positionV relativeFrom="paragraph">
              <wp:posOffset>461010</wp:posOffset>
            </wp:positionV>
            <wp:extent cx="5080000" cy="4243705"/>
            <wp:effectExtent l="0" t="0" r="6350" b="4445"/>
            <wp:wrapTopAndBottom/>
            <wp:docPr id="913710032" name="图表 91371003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anchor>
        </w:drawing>
      </w:r>
    </w:p>
    <w:p>
      <w:pPr>
        <w:keepNext w:val="0"/>
        <w:keepLines w:val="0"/>
        <w:pageBreakBefore w:val="0"/>
        <w:widowControl w:val="0"/>
        <w:kinsoku/>
        <w:wordWrap/>
        <w:overflowPunct/>
        <w:topLinePunct w:val="0"/>
        <w:autoSpaceDE/>
        <w:autoSpaceDN/>
        <w:bidi w:val="0"/>
        <w:adjustRightInd/>
        <w:snapToGrid/>
        <w:spacing w:line="640" w:lineRule="exact"/>
        <w:ind w:firstLine="643" w:firstLineChars="200"/>
        <w:textAlignment w:val="auto"/>
        <w:outlineLvl w:val="1"/>
        <w:rPr>
          <w:rFonts w:hint="eastAsia" w:ascii="楷体" w:hAnsi="楷体" w:eastAsia="楷体" w:cs="楷体"/>
          <w:b/>
          <w:bCs w:val="0"/>
          <w:sz w:val="32"/>
          <w:szCs w:val="32"/>
        </w:rPr>
      </w:pPr>
      <w:bookmarkStart w:id="55" w:name="_Toc15377212"/>
      <w:bookmarkStart w:id="56" w:name="_Toc143805813"/>
      <w:r>
        <w:rPr>
          <w:rFonts w:hint="eastAsia" w:ascii="楷体" w:hAnsi="楷体" w:eastAsia="楷体" w:cs="楷体"/>
          <w:b/>
          <w:bCs w:val="0"/>
          <w:sz w:val="32"/>
          <w:szCs w:val="32"/>
        </w:rPr>
        <w:t>（三）一般公共预算财政拨款支出决算具体情况</w:t>
      </w:r>
      <w:bookmarkEnd w:id="55"/>
      <w:bookmarkEnd w:id="56"/>
    </w:p>
    <w:p>
      <w:pPr>
        <w:spacing w:line="600" w:lineRule="exact"/>
        <w:ind w:firstLine="640"/>
        <w:rPr>
          <w:rFonts w:hint="eastAsia" w:ascii="仿宋_GB2312" w:hAnsi="仿宋_GB2312" w:eastAsia="仿宋_GB2312" w:cs="仿宋_GB2312"/>
          <w:b/>
          <w:sz w:val="32"/>
          <w:szCs w:val="32"/>
        </w:rPr>
      </w:pPr>
      <w:bookmarkStart w:id="57" w:name="_Toc15378460"/>
      <w:bookmarkStart w:id="58" w:name="_Toc15377444"/>
      <w:bookmarkStart w:id="59" w:name="_Toc143805814"/>
      <w:bookmarkStart w:id="60" w:name="_Toc15377213"/>
      <w:r>
        <w:rPr>
          <w:rFonts w:hint="eastAsia" w:ascii="仿宋_GB2312" w:hAnsi="仿宋_GB2312" w:eastAsia="仿宋_GB2312" w:cs="仿宋_GB2312"/>
          <w:b/>
          <w:sz w:val="32"/>
          <w:szCs w:val="32"/>
        </w:rPr>
        <w:t>2022年一般公共预算支出决算数为1168.92，完成预算100%。其中：</w:t>
      </w:r>
      <w:bookmarkEnd w:id="57"/>
      <w:bookmarkEnd w:id="58"/>
      <w:bookmarkEnd w:id="59"/>
      <w:bookmarkEnd w:id="60"/>
    </w:p>
    <w:p>
      <w:pPr>
        <w:spacing w:line="600" w:lineRule="exact"/>
        <w:ind w:firstLine="643" w:firstLineChars="200"/>
        <w:rPr>
          <w:rStyle w:val="23"/>
          <w:rFonts w:ascii="仿宋" w:hAnsi="仿宋" w:eastAsia="仿宋"/>
          <w:b w:val="0"/>
          <w:bCs/>
          <w:sz w:val="32"/>
          <w:szCs w:val="32"/>
        </w:rPr>
      </w:pPr>
      <w:r>
        <w:rPr>
          <w:rFonts w:hint="eastAsia" w:ascii="仿宋_GB2312" w:hAnsi="仿宋_GB2312" w:eastAsia="仿宋_GB2312" w:cs="仿宋_GB2312"/>
          <w:b/>
          <w:sz w:val="32"/>
          <w:szCs w:val="32"/>
        </w:rPr>
        <w:t xml:space="preserve">1. </w:t>
      </w:r>
      <w:r>
        <w:rPr>
          <w:rFonts w:hint="eastAsia" w:ascii="仿宋_GB2312" w:hAnsi="仿宋_GB2312" w:eastAsia="仿宋_GB2312" w:cs="仿宋_GB2312"/>
          <w:b/>
          <w:sz w:val="32"/>
          <w:szCs w:val="32"/>
          <w:lang w:val="en-US" w:eastAsia="zh-CN"/>
        </w:rPr>
        <w:t>公共安全支出204（类）司法06（款）行政运行01（项）</w:t>
      </w:r>
      <w:r>
        <w:rPr>
          <w:rFonts w:hint="eastAsia" w:ascii="仿宋_GB2312" w:hAnsi="仿宋_GB2312" w:eastAsia="仿宋_GB2312" w:cs="仿宋_GB2312"/>
          <w:b/>
          <w:sz w:val="32"/>
          <w:szCs w:val="32"/>
        </w:rPr>
        <w:t>:支出决算为720.33万元，</w:t>
      </w:r>
      <w:r>
        <w:rPr>
          <w:rFonts w:hint="eastAsia" w:ascii="仿宋_GB2312" w:hAnsi="仿宋_GB2312" w:eastAsia="仿宋_GB2312" w:cs="仿宋_GB2312"/>
          <w:bCs/>
          <w:kern w:val="0"/>
          <w:sz w:val="32"/>
          <w:szCs w:val="32"/>
          <w:lang w:val="en-US" w:eastAsia="zh-CN" w:bidi="ar-SA"/>
        </w:rPr>
        <w:t>完成预算100%，决算数与预算数持平。</w:t>
      </w:r>
    </w:p>
    <w:p>
      <w:pPr>
        <w:spacing w:line="600" w:lineRule="exact"/>
        <w:ind w:firstLine="643" w:firstLineChars="200"/>
        <w:rPr>
          <w:rFonts w:hint="eastAsia" w:ascii="仿宋_GB2312" w:hAnsi="仿宋_GB2312" w:eastAsia="仿宋_GB2312" w:cs="仿宋_GB2312"/>
          <w:bCs/>
          <w:kern w:val="0"/>
          <w:sz w:val="32"/>
          <w:szCs w:val="32"/>
          <w:lang w:val="en-US" w:eastAsia="zh-CN" w:bidi="ar-SA"/>
        </w:rPr>
      </w:pPr>
      <w:r>
        <w:rPr>
          <w:rFonts w:hint="eastAsia" w:ascii="仿宋_GB2312" w:hAnsi="仿宋_GB2312" w:eastAsia="仿宋_GB2312" w:cs="仿宋_GB2312"/>
          <w:b/>
          <w:sz w:val="32"/>
          <w:szCs w:val="32"/>
        </w:rPr>
        <w:t>2.公共安全支出204（类）司法06（款）一般行政管理事务02（项）:支出决算为47.59万元，</w:t>
      </w:r>
      <w:r>
        <w:rPr>
          <w:rFonts w:hint="eastAsia" w:ascii="仿宋_GB2312" w:hAnsi="仿宋_GB2312" w:eastAsia="仿宋_GB2312" w:cs="仿宋_GB2312"/>
          <w:bCs/>
          <w:kern w:val="0"/>
          <w:sz w:val="32"/>
          <w:szCs w:val="32"/>
          <w:lang w:val="en-US" w:eastAsia="zh-CN" w:bidi="ar-SA"/>
        </w:rPr>
        <w:t>完成预算100%，决算数与预算数持平。</w:t>
      </w:r>
    </w:p>
    <w:p>
      <w:pPr>
        <w:spacing w:line="600" w:lineRule="exact"/>
        <w:ind w:firstLine="643" w:firstLineChars="200"/>
        <w:rPr>
          <w:rFonts w:hint="eastAsia" w:ascii="仿宋_GB2312" w:hAnsi="仿宋_GB2312" w:eastAsia="仿宋_GB2312" w:cs="仿宋_GB2312"/>
          <w:bCs/>
          <w:kern w:val="0"/>
          <w:sz w:val="32"/>
          <w:szCs w:val="32"/>
          <w:lang w:val="en-US" w:eastAsia="zh-CN" w:bidi="ar-SA"/>
        </w:rPr>
      </w:pPr>
      <w:r>
        <w:rPr>
          <w:rFonts w:hint="eastAsia" w:ascii="仿宋_GB2312" w:hAnsi="仿宋_GB2312" w:eastAsia="仿宋_GB2312" w:cs="仿宋_GB2312"/>
          <w:b/>
          <w:sz w:val="32"/>
          <w:szCs w:val="32"/>
        </w:rPr>
        <w:t>3.公共安全支出204（类）司法06（款）基层司法业务04（项）:支出决算为10.75万元，</w:t>
      </w:r>
      <w:r>
        <w:rPr>
          <w:rFonts w:hint="eastAsia" w:ascii="仿宋_GB2312" w:hAnsi="仿宋_GB2312" w:eastAsia="仿宋_GB2312" w:cs="仿宋_GB2312"/>
          <w:bCs/>
          <w:kern w:val="0"/>
          <w:sz w:val="32"/>
          <w:szCs w:val="32"/>
          <w:lang w:val="en-US" w:eastAsia="zh-CN" w:bidi="ar-SA"/>
        </w:rPr>
        <w:t>完成预算100%，决算数与预算数持平。</w:t>
      </w:r>
    </w:p>
    <w:p>
      <w:pPr>
        <w:spacing w:line="600" w:lineRule="exact"/>
        <w:ind w:firstLine="643" w:firstLineChars="200"/>
        <w:rPr>
          <w:rFonts w:hint="eastAsia" w:ascii="仿宋_GB2312" w:hAnsi="仿宋_GB2312" w:eastAsia="仿宋_GB2312" w:cs="仿宋_GB2312"/>
          <w:bCs/>
          <w:kern w:val="0"/>
          <w:sz w:val="32"/>
          <w:szCs w:val="32"/>
          <w:lang w:val="en-US" w:eastAsia="zh-CN" w:bidi="ar-SA"/>
        </w:rPr>
      </w:pPr>
      <w:r>
        <w:rPr>
          <w:rFonts w:hint="eastAsia" w:ascii="仿宋_GB2312" w:hAnsi="仿宋_GB2312" w:eastAsia="仿宋_GB2312" w:cs="仿宋_GB2312"/>
          <w:b/>
          <w:sz w:val="32"/>
          <w:szCs w:val="32"/>
        </w:rPr>
        <w:t>4.公共安全支出204（类）司法06（款）普法宣传05（项）:支出决算为5.29万元，</w:t>
      </w:r>
      <w:r>
        <w:rPr>
          <w:rFonts w:hint="eastAsia" w:ascii="仿宋_GB2312" w:hAnsi="仿宋_GB2312" w:eastAsia="仿宋_GB2312" w:cs="仿宋_GB2312"/>
          <w:bCs/>
          <w:kern w:val="0"/>
          <w:sz w:val="32"/>
          <w:szCs w:val="32"/>
          <w:lang w:val="en-US" w:eastAsia="zh-CN" w:bidi="ar-SA"/>
        </w:rPr>
        <w:t>完成预算100%，决算数与预算数持平。</w:t>
      </w:r>
    </w:p>
    <w:p>
      <w:pPr>
        <w:spacing w:line="600" w:lineRule="exact"/>
        <w:ind w:firstLine="643" w:firstLineChars="200"/>
        <w:rPr>
          <w:rFonts w:hint="eastAsia" w:ascii="仿宋_GB2312" w:hAnsi="仿宋_GB2312" w:eastAsia="仿宋_GB2312" w:cs="仿宋_GB2312"/>
          <w:bCs/>
          <w:kern w:val="0"/>
          <w:sz w:val="32"/>
          <w:szCs w:val="32"/>
          <w:lang w:val="en-US" w:eastAsia="zh-CN" w:bidi="ar-SA"/>
        </w:rPr>
      </w:pPr>
      <w:r>
        <w:rPr>
          <w:rFonts w:hint="eastAsia" w:ascii="仿宋_GB2312" w:hAnsi="仿宋_GB2312" w:eastAsia="仿宋_GB2312" w:cs="仿宋_GB2312"/>
          <w:b/>
          <w:sz w:val="32"/>
          <w:szCs w:val="32"/>
        </w:rPr>
        <w:t>5.公共安全支出204（类）司法06（款）公共法律服务07（项）:支出决算为6.97万元，</w:t>
      </w:r>
      <w:r>
        <w:rPr>
          <w:rFonts w:hint="eastAsia" w:ascii="仿宋_GB2312" w:hAnsi="仿宋_GB2312" w:eastAsia="仿宋_GB2312" w:cs="仿宋_GB2312"/>
          <w:bCs/>
          <w:kern w:val="0"/>
          <w:sz w:val="32"/>
          <w:szCs w:val="32"/>
          <w:lang w:val="en-US" w:eastAsia="zh-CN" w:bidi="ar-SA"/>
        </w:rPr>
        <w:t>完成预算100%，决算数与预算数持平。</w:t>
      </w:r>
    </w:p>
    <w:p>
      <w:pPr>
        <w:spacing w:line="600" w:lineRule="exact"/>
        <w:ind w:firstLine="643" w:firstLineChars="200"/>
        <w:rPr>
          <w:rFonts w:hint="eastAsia" w:ascii="仿宋_GB2312" w:hAnsi="仿宋_GB2312" w:eastAsia="仿宋_GB2312" w:cs="仿宋_GB2312"/>
          <w:bCs/>
          <w:kern w:val="0"/>
          <w:sz w:val="32"/>
          <w:szCs w:val="32"/>
          <w:lang w:val="en-US" w:eastAsia="zh-CN" w:bidi="ar-SA"/>
        </w:rPr>
      </w:pPr>
      <w:r>
        <w:rPr>
          <w:rFonts w:hint="eastAsia" w:ascii="仿宋_GB2312" w:hAnsi="仿宋_GB2312" w:eastAsia="仿宋_GB2312" w:cs="仿宋_GB2312"/>
          <w:b/>
          <w:sz w:val="32"/>
          <w:szCs w:val="32"/>
        </w:rPr>
        <w:t>6.公共安全支出204（类）司法06（款）社区矫正10（项）:支出决算为19万元，</w:t>
      </w:r>
      <w:r>
        <w:rPr>
          <w:rFonts w:hint="eastAsia" w:ascii="仿宋_GB2312" w:hAnsi="仿宋_GB2312" w:eastAsia="仿宋_GB2312" w:cs="仿宋_GB2312"/>
          <w:bCs/>
          <w:kern w:val="0"/>
          <w:sz w:val="32"/>
          <w:szCs w:val="32"/>
          <w:lang w:val="en-US" w:eastAsia="zh-CN" w:bidi="ar-SA"/>
        </w:rPr>
        <w:t>完成预算100%，决算数与预算数持平。</w:t>
      </w:r>
    </w:p>
    <w:p>
      <w:pPr>
        <w:spacing w:line="600" w:lineRule="exact"/>
        <w:ind w:firstLine="643" w:firstLineChars="200"/>
        <w:rPr>
          <w:rFonts w:hint="eastAsia" w:ascii="仿宋_GB2312" w:hAnsi="仿宋_GB2312" w:eastAsia="仿宋_GB2312" w:cs="仿宋_GB2312"/>
          <w:bCs/>
          <w:kern w:val="0"/>
          <w:sz w:val="32"/>
          <w:szCs w:val="32"/>
          <w:lang w:val="en-US" w:eastAsia="zh-CN" w:bidi="ar-SA"/>
        </w:rPr>
      </w:pPr>
      <w:r>
        <w:rPr>
          <w:rFonts w:hint="eastAsia" w:ascii="仿宋_GB2312" w:hAnsi="仿宋_GB2312" w:eastAsia="仿宋_GB2312" w:cs="仿宋_GB2312"/>
          <w:b/>
          <w:sz w:val="32"/>
          <w:szCs w:val="32"/>
        </w:rPr>
        <w:t>7.公共安全支出204（类）司法06（款）法治建设12（项）:支出决算为131.45万元，</w:t>
      </w:r>
      <w:r>
        <w:rPr>
          <w:rFonts w:hint="eastAsia" w:ascii="仿宋_GB2312" w:hAnsi="仿宋_GB2312" w:eastAsia="仿宋_GB2312" w:cs="仿宋_GB2312"/>
          <w:bCs/>
          <w:kern w:val="0"/>
          <w:sz w:val="32"/>
          <w:szCs w:val="32"/>
          <w:lang w:val="en-US" w:eastAsia="zh-CN" w:bidi="ar-SA"/>
        </w:rPr>
        <w:t>完成预算100%，决算数与预算数持平。</w:t>
      </w:r>
    </w:p>
    <w:p>
      <w:pPr>
        <w:spacing w:line="600" w:lineRule="exact"/>
        <w:ind w:firstLine="643" w:firstLineChars="200"/>
        <w:rPr>
          <w:rFonts w:hint="eastAsia" w:ascii="仿宋_GB2312" w:hAnsi="仿宋_GB2312" w:eastAsia="仿宋_GB2312" w:cs="仿宋_GB2312"/>
          <w:bCs/>
          <w:kern w:val="0"/>
          <w:sz w:val="32"/>
          <w:szCs w:val="32"/>
          <w:lang w:val="en-US" w:eastAsia="zh-CN" w:bidi="ar-SA"/>
        </w:rPr>
      </w:pPr>
      <w:r>
        <w:rPr>
          <w:rFonts w:hint="eastAsia" w:ascii="仿宋_GB2312" w:hAnsi="仿宋_GB2312" w:eastAsia="仿宋_GB2312" w:cs="仿宋_GB2312"/>
          <w:b/>
          <w:sz w:val="32"/>
          <w:szCs w:val="32"/>
        </w:rPr>
        <w:t>8.公共安全支出204（类）司法06（款）信息化建设13（项）:支出决算为25万元，</w:t>
      </w:r>
      <w:r>
        <w:rPr>
          <w:rFonts w:hint="eastAsia" w:ascii="仿宋_GB2312" w:hAnsi="仿宋_GB2312" w:eastAsia="仿宋_GB2312" w:cs="仿宋_GB2312"/>
          <w:bCs/>
          <w:kern w:val="0"/>
          <w:sz w:val="32"/>
          <w:szCs w:val="32"/>
          <w:lang w:val="en-US" w:eastAsia="zh-CN" w:bidi="ar-SA"/>
        </w:rPr>
        <w:t>完成预算100%，决算数与预算数持平。</w:t>
      </w:r>
    </w:p>
    <w:p>
      <w:pPr>
        <w:spacing w:line="600" w:lineRule="exact"/>
        <w:ind w:firstLine="643" w:firstLineChars="200"/>
        <w:rPr>
          <w:rFonts w:hint="eastAsia" w:ascii="仿宋_GB2312" w:hAnsi="仿宋_GB2312" w:eastAsia="仿宋_GB2312" w:cs="仿宋_GB2312"/>
          <w:bCs/>
          <w:kern w:val="0"/>
          <w:sz w:val="32"/>
          <w:szCs w:val="32"/>
          <w:lang w:val="en-US" w:eastAsia="zh-CN" w:bidi="ar-SA"/>
        </w:rPr>
      </w:pPr>
      <w:r>
        <w:rPr>
          <w:rFonts w:hint="eastAsia" w:ascii="仿宋_GB2312" w:hAnsi="仿宋_GB2312" w:eastAsia="仿宋_GB2312" w:cs="仿宋_GB2312"/>
          <w:b/>
          <w:sz w:val="32"/>
          <w:szCs w:val="32"/>
        </w:rPr>
        <w:t>9.公共安全支出204（类）司法06（款）事业运行50（项）:支出决算为8.39万元，</w:t>
      </w:r>
      <w:r>
        <w:rPr>
          <w:rFonts w:hint="eastAsia" w:ascii="仿宋_GB2312" w:hAnsi="仿宋_GB2312" w:eastAsia="仿宋_GB2312" w:cs="仿宋_GB2312"/>
          <w:bCs/>
          <w:kern w:val="0"/>
          <w:sz w:val="32"/>
          <w:szCs w:val="32"/>
          <w:lang w:val="en-US" w:eastAsia="zh-CN" w:bidi="ar-SA"/>
        </w:rPr>
        <w:t>完成预算100%，决算数与预算数持平。</w:t>
      </w:r>
    </w:p>
    <w:p>
      <w:pPr>
        <w:spacing w:line="600" w:lineRule="exact"/>
        <w:ind w:firstLine="643" w:firstLineChars="200"/>
        <w:rPr>
          <w:rFonts w:hint="eastAsia" w:ascii="仿宋_GB2312" w:hAnsi="仿宋_GB2312" w:eastAsia="仿宋_GB2312" w:cs="仿宋_GB2312"/>
          <w:bCs/>
          <w:kern w:val="0"/>
          <w:sz w:val="32"/>
          <w:szCs w:val="32"/>
          <w:lang w:val="en-US" w:eastAsia="zh-CN" w:bidi="ar-SA"/>
        </w:rPr>
      </w:pPr>
      <w:r>
        <w:rPr>
          <w:rFonts w:hint="eastAsia" w:ascii="仿宋_GB2312" w:hAnsi="仿宋_GB2312" w:eastAsia="仿宋_GB2312" w:cs="仿宋_GB2312"/>
          <w:b/>
          <w:sz w:val="32"/>
          <w:szCs w:val="32"/>
        </w:rPr>
        <w:t>10.公共安全支出204（类）司法06（款）其他司法支出99（项）:支出决算为53.97万元，</w:t>
      </w:r>
      <w:r>
        <w:rPr>
          <w:rFonts w:hint="eastAsia" w:ascii="仿宋_GB2312" w:hAnsi="仿宋_GB2312" w:eastAsia="仿宋_GB2312" w:cs="仿宋_GB2312"/>
          <w:bCs/>
          <w:kern w:val="0"/>
          <w:sz w:val="32"/>
          <w:szCs w:val="32"/>
          <w:lang w:val="en-US" w:eastAsia="zh-CN" w:bidi="ar-SA"/>
        </w:rPr>
        <w:t>完成预算100%，决算数与预算数持平。</w:t>
      </w:r>
    </w:p>
    <w:p>
      <w:pPr>
        <w:spacing w:line="600" w:lineRule="exact"/>
        <w:ind w:firstLine="643" w:firstLineChars="200"/>
        <w:rPr>
          <w:rFonts w:hint="eastAsia" w:ascii="仿宋_GB2312" w:hAnsi="仿宋_GB2312" w:eastAsia="仿宋_GB2312" w:cs="仿宋_GB2312"/>
          <w:bCs/>
          <w:kern w:val="0"/>
          <w:sz w:val="32"/>
          <w:szCs w:val="32"/>
          <w:lang w:val="en-US" w:eastAsia="zh-CN" w:bidi="ar-SA"/>
        </w:rPr>
      </w:pPr>
      <w:r>
        <w:rPr>
          <w:rFonts w:hint="eastAsia" w:ascii="仿宋_GB2312" w:hAnsi="仿宋_GB2312" w:eastAsia="仿宋_GB2312" w:cs="仿宋_GB2312"/>
          <w:b/>
          <w:sz w:val="32"/>
          <w:szCs w:val="32"/>
        </w:rPr>
        <w:t>11.社会保障和就业208（类）05（款）05（项）: 支出决算为45.83万元，</w:t>
      </w:r>
      <w:r>
        <w:rPr>
          <w:rFonts w:hint="eastAsia" w:ascii="仿宋_GB2312" w:hAnsi="仿宋_GB2312" w:eastAsia="仿宋_GB2312" w:cs="仿宋_GB2312"/>
          <w:bCs/>
          <w:kern w:val="0"/>
          <w:sz w:val="32"/>
          <w:szCs w:val="32"/>
          <w:lang w:val="en-US" w:eastAsia="zh-CN" w:bidi="ar-SA"/>
        </w:rPr>
        <w:t>完成预算100%，决算数与预算数持平。</w:t>
      </w:r>
    </w:p>
    <w:p>
      <w:pPr>
        <w:spacing w:line="600" w:lineRule="exact"/>
        <w:ind w:firstLine="643" w:firstLineChars="200"/>
        <w:rPr>
          <w:rFonts w:hint="eastAsia" w:ascii="仿宋_GB2312" w:hAnsi="仿宋_GB2312" w:eastAsia="仿宋_GB2312" w:cs="仿宋_GB2312"/>
          <w:bCs/>
          <w:kern w:val="0"/>
          <w:sz w:val="32"/>
          <w:szCs w:val="32"/>
          <w:lang w:val="en-US" w:eastAsia="zh-CN" w:bidi="ar-SA"/>
        </w:rPr>
      </w:pPr>
      <w:r>
        <w:rPr>
          <w:rFonts w:hint="eastAsia" w:ascii="仿宋_GB2312" w:hAnsi="仿宋_GB2312" w:eastAsia="仿宋_GB2312" w:cs="仿宋_GB2312"/>
          <w:b/>
          <w:sz w:val="32"/>
          <w:szCs w:val="32"/>
        </w:rPr>
        <w:t>12.社会保障和就业支出208（类）其他社会保障和就业支出99（款）其他社会保障和就业支出99（项）: 支出决算为0.22万元，</w:t>
      </w:r>
      <w:r>
        <w:rPr>
          <w:rFonts w:hint="eastAsia" w:ascii="仿宋_GB2312" w:hAnsi="仿宋_GB2312" w:eastAsia="仿宋_GB2312" w:cs="仿宋_GB2312"/>
          <w:bCs/>
          <w:kern w:val="0"/>
          <w:sz w:val="32"/>
          <w:szCs w:val="32"/>
          <w:lang w:val="en-US" w:eastAsia="zh-CN" w:bidi="ar-SA"/>
        </w:rPr>
        <w:t>完成预算100%，决算数与预算数持平。</w:t>
      </w:r>
    </w:p>
    <w:p>
      <w:pPr>
        <w:spacing w:line="600" w:lineRule="exact"/>
        <w:ind w:firstLine="643" w:firstLineChars="200"/>
        <w:rPr>
          <w:rFonts w:hint="eastAsia" w:ascii="仿宋_GB2312" w:hAnsi="仿宋_GB2312" w:eastAsia="仿宋_GB2312" w:cs="仿宋_GB2312"/>
          <w:bCs/>
          <w:kern w:val="0"/>
          <w:sz w:val="32"/>
          <w:szCs w:val="32"/>
          <w:lang w:val="en-US" w:eastAsia="zh-CN" w:bidi="ar-SA"/>
        </w:rPr>
      </w:pPr>
      <w:r>
        <w:rPr>
          <w:rFonts w:hint="eastAsia" w:ascii="仿宋_GB2312" w:hAnsi="仿宋_GB2312" w:eastAsia="仿宋_GB2312" w:cs="仿宋_GB2312"/>
          <w:b/>
          <w:sz w:val="32"/>
          <w:szCs w:val="32"/>
        </w:rPr>
        <w:t>13.卫生健康支出210（类）行政事业单位医疗11（款）行政单位医疗01（项）:支出决算为23.03万元，</w:t>
      </w:r>
      <w:r>
        <w:rPr>
          <w:rFonts w:hint="eastAsia" w:ascii="仿宋_GB2312" w:hAnsi="仿宋_GB2312" w:eastAsia="仿宋_GB2312" w:cs="仿宋_GB2312"/>
          <w:bCs/>
          <w:kern w:val="0"/>
          <w:sz w:val="32"/>
          <w:szCs w:val="32"/>
          <w:lang w:val="en-US" w:eastAsia="zh-CN" w:bidi="ar-SA"/>
        </w:rPr>
        <w:t>完成预算100%，决算数与预算数持平。</w:t>
      </w:r>
    </w:p>
    <w:p>
      <w:pPr>
        <w:spacing w:line="600" w:lineRule="exact"/>
        <w:ind w:firstLine="643" w:firstLineChars="200"/>
        <w:rPr>
          <w:rFonts w:hint="eastAsia" w:ascii="仿宋_GB2312" w:hAnsi="仿宋_GB2312" w:eastAsia="仿宋_GB2312" w:cs="仿宋_GB2312"/>
          <w:bCs/>
          <w:kern w:val="0"/>
          <w:sz w:val="32"/>
          <w:szCs w:val="32"/>
          <w:lang w:val="en-US" w:eastAsia="zh-CN" w:bidi="ar-SA"/>
        </w:rPr>
      </w:pPr>
      <w:r>
        <w:rPr>
          <w:rFonts w:hint="eastAsia" w:ascii="仿宋_GB2312" w:hAnsi="仿宋_GB2312" w:eastAsia="仿宋_GB2312" w:cs="仿宋_GB2312"/>
          <w:b/>
          <w:sz w:val="32"/>
          <w:szCs w:val="32"/>
        </w:rPr>
        <w:t>14.卫生健康支出210（类）行政事业单位医疗11（款）事业单位医疗02（项）:支出决算为1.52万元，</w:t>
      </w:r>
      <w:r>
        <w:rPr>
          <w:rFonts w:hint="eastAsia" w:ascii="仿宋_GB2312" w:hAnsi="仿宋_GB2312" w:eastAsia="仿宋_GB2312" w:cs="仿宋_GB2312"/>
          <w:bCs/>
          <w:kern w:val="0"/>
          <w:sz w:val="32"/>
          <w:szCs w:val="32"/>
          <w:lang w:val="en-US" w:eastAsia="zh-CN" w:bidi="ar-SA"/>
        </w:rPr>
        <w:t>完成预算100%，决算数与预算数持平。</w:t>
      </w:r>
    </w:p>
    <w:p>
      <w:pPr>
        <w:spacing w:line="600" w:lineRule="exact"/>
        <w:ind w:firstLine="643" w:firstLineChars="200"/>
        <w:rPr>
          <w:rFonts w:hint="eastAsia" w:ascii="仿宋_GB2312" w:hAnsi="仿宋_GB2312" w:eastAsia="仿宋_GB2312" w:cs="仿宋_GB2312"/>
          <w:bCs/>
          <w:kern w:val="0"/>
          <w:sz w:val="32"/>
          <w:szCs w:val="32"/>
          <w:lang w:val="en-US" w:eastAsia="zh-CN" w:bidi="ar-SA"/>
        </w:rPr>
      </w:pPr>
      <w:r>
        <w:rPr>
          <w:rFonts w:hint="eastAsia" w:ascii="仿宋_GB2312" w:hAnsi="仿宋_GB2312" w:eastAsia="仿宋_GB2312" w:cs="仿宋_GB2312"/>
          <w:b/>
          <w:sz w:val="32"/>
          <w:szCs w:val="32"/>
        </w:rPr>
        <w:t>15.卫生健康支出210（类）行政事业单位医疗11（款）公务员医疗补助03（项）:支出决算为6.55万元，</w:t>
      </w:r>
      <w:r>
        <w:rPr>
          <w:rFonts w:hint="eastAsia" w:ascii="仿宋_GB2312" w:hAnsi="仿宋_GB2312" w:eastAsia="仿宋_GB2312" w:cs="仿宋_GB2312"/>
          <w:bCs/>
          <w:kern w:val="0"/>
          <w:sz w:val="32"/>
          <w:szCs w:val="32"/>
          <w:lang w:val="en-US" w:eastAsia="zh-CN" w:bidi="ar-SA"/>
        </w:rPr>
        <w:t>完成预算100%，决算数与预算数持平。</w:t>
      </w:r>
    </w:p>
    <w:p>
      <w:pPr>
        <w:spacing w:line="600" w:lineRule="exact"/>
        <w:ind w:firstLine="643" w:firstLineChars="200"/>
        <w:rPr>
          <w:rFonts w:hint="eastAsia" w:ascii="仿宋_GB2312" w:hAnsi="仿宋_GB2312" w:eastAsia="仿宋_GB2312" w:cs="仿宋_GB2312"/>
          <w:bCs/>
          <w:kern w:val="0"/>
          <w:sz w:val="32"/>
          <w:szCs w:val="32"/>
          <w:lang w:val="en-US" w:eastAsia="zh-CN" w:bidi="ar-SA"/>
        </w:rPr>
      </w:pPr>
      <w:r>
        <w:rPr>
          <w:rFonts w:hint="eastAsia" w:ascii="仿宋_GB2312" w:hAnsi="仿宋_GB2312" w:eastAsia="仿宋_GB2312" w:cs="仿宋_GB2312"/>
          <w:b/>
          <w:sz w:val="32"/>
          <w:szCs w:val="32"/>
        </w:rPr>
        <w:t>16.住房保障221（类）住房保障支出02（款）住房公积金01（项）：支出决算为63.03万元，</w:t>
      </w:r>
      <w:r>
        <w:rPr>
          <w:rFonts w:hint="eastAsia" w:ascii="仿宋_GB2312" w:hAnsi="仿宋_GB2312" w:eastAsia="仿宋_GB2312" w:cs="仿宋_GB2312"/>
          <w:bCs/>
          <w:kern w:val="0"/>
          <w:sz w:val="32"/>
          <w:szCs w:val="32"/>
          <w:lang w:val="en-US" w:eastAsia="zh-CN" w:bidi="ar-SA"/>
        </w:rPr>
        <w:t>完成预算100%，决算数与预算数持平。</w:t>
      </w:r>
    </w:p>
    <w:p>
      <w:pPr>
        <w:pStyle w:val="4"/>
        <w:keepNext/>
        <w:keepLines/>
        <w:pageBreakBefore w:val="0"/>
        <w:widowControl w:val="0"/>
        <w:numPr>
          <w:ilvl w:val="0"/>
          <w:numId w:val="0"/>
        </w:numPr>
        <w:kinsoku/>
        <w:wordWrap/>
        <w:overflowPunct/>
        <w:topLinePunct w:val="0"/>
        <w:autoSpaceDE/>
        <w:autoSpaceDN/>
        <w:bidi w:val="0"/>
        <w:adjustRightInd/>
        <w:snapToGrid/>
        <w:spacing w:before="0" w:after="0" w:line="640" w:lineRule="exact"/>
        <w:ind w:left="0" w:leftChars="0" w:firstLine="640" w:firstLineChars="200"/>
        <w:textAlignment w:val="auto"/>
        <w:rPr>
          <w:rFonts w:hint="eastAsia" w:ascii="黑体" w:hAnsi="黑体" w:eastAsia="黑体" w:cstheme="majorBidi"/>
          <w:b w:val="0"/>
          <w:bCs/>
          <w:kern w:val="2"/>
          <w:sz w:val="32"/>
          <w:szCs w:val="32"/>
          <w:lang w:val="en-US" w:eastAsia="zh-CN" w:bidi="ar-SA"/>
        </w:rPr>
      </w:pPr>
      <w:bookmarkStart w:id="61" w:name="_Toc15396608"/>
      <w:bookmarkStart w:id="62" w:name="_Toc143805815"/>
      <w:bookmarkStart w:id="63" w:name="_Toc15377214"/>
      <w:r>
        <w:rPr>
          <w:rFonts w:hint="eastAsia" w:ascii="黑体" w:hAnsi="黑体" w:eastAsia="黑体" w:cstheme="majorBidi"/>
          <w:b w:val="0"/>
          <w:bCs/>
          <w:kern w:val="2"/>
          <w:sz w:val="32"/>
          <w:szCs w:val="32"/>
          <w:lang w:val="en-US" w:eastAsia="zh-CN" w:bidi="ar-SA"/>
        </w:rPr>
        <w:t>六、一般公共预算财政拨款基本支出决算情况说明</w:t>
      </w:r>
      <w:bookmarkEnd w:id="61"/>
      <w:bookmarkEnd w:id="62"/>
      <w:bookmarkEnd w:id="63"/>
    </w:p>
    <w:p>
      <w:pPr>
        <w:spacing w:line="600" w:lineRule="exact"/>
        <w:ind w:firstLine="640" w:firstLineChars="200"/>
        <w:rPr>
          <w:rFonts w:hint="eastAsia" w:ascii="仿宋_GB2312" w:hAnsi="仿宋_GB2312" w:eastAsia="仿宋_GB2312" w:cs="仿宋_GB2312"/>
          <w:bCs/>
          <w:kern w:val="0"/>
          <w:sz w:val="32"/>
          <w:szCs w:val="32"/>
          <w:lang w:val="en-US" w:eastAsia="zh-CN" w:bidi="ar-SA"/>
        </w:rPr>
      </w:pPr>
      <w:r>
        <w:rPr>
          <w:rFonts w:hint="eastAsia" w:ascii="仿宋_GB2312" w:hAnsi="仿宋_GB2312" w:eastAsia="仿宋_GB2312" w:cs="仿宋_GB2312"/>
          <w:bCs/>
          <w:kern w:val="0"/>
          <w:sz w:val="32"/>
          <w:szCs w:val="32"/>
          <w:lang w:val="en-US" w:eastAsia="zh-CN" w:bidi="ar-SA"/>
        </w:rPr>
        <w:t>2022年一般公共预算财政拨款基本支出868.9万元，其中：</w:t>
      </w:r>
    </w:p>
    <w:p>
      <w:pPr>
        <w:spacing w:line="600" w:lineRule="exact"/>
        <w:ind w:firstLine="640" w:firstLineChars="200"/>
        <w:rPr>
          <w:rFonts w:hint="eastAsia" w:ascii="仿宋_GB2312" w:hAnsi="仿宋_GB2312" w:eastAsia="仿宋_GB2312" w:cs="仿宋_GB2312"/>
          <w:bCs/>
          <w:kern w:val="0"/>
          <w:sz w:val="32"/>
          <w:szCs w:val="32"/>
          <w:lang w:val="en-US" w:eastAsia="zh-CN" w:bidi="ar-SA"/>
        </w:rPr>
      </w:pPr>
      <w:r>
        <w:rPr>
          <w:rFonts w:hint="eastAsia" w:ascii="仿宋_GB2312" w:hAnsi="仿宋_GB2312" w:eastAsia="仿宋_GB2312" w:cs="仿宋_GB2312"/>
          <w:bCs/>
          <w:kern w:val="0"/>
          <w:sz w:val="32"/>
          <w:szCs w:val="32"/>
          <w:lang w:val="en-US" w:eastAsia="zh-CN" w:bidi="ar-SA"/>
        </w:rPr>
        <w:t>人员经费786.62万元，主要包括：基本工资、津贴补贴、奖金、绩效工资、机关事业单位基本养老保险缴费、其他社会保障缴费、职工基本医疗保、公务员医疗补助缴费、他社会保障缴费、其他工资福利支出、抚恤金、住房公积金、其他对个人和家庭的补助支出。</w:t>
      </w:r>
    </w:p>
    <w:p>
      <w:pPr>
        <w:spacing w:line="600" w:lineRule="exact"/>
        <w:ind w:firstLine="640" w:firstLineChars="200"/>
        <w:rPr>
          <w:rFonts w:hint="eastAsia" w:ascii="仿宋_GB2312" w:hAnsi="仿宋_GB2312" w:eastAsia="仿宋_GB2312" w:cs="仿宋_GB2312"/>
          <w:bCs/>
          <w:kern w:val="0"/>
          <w:sz w:val="32"/>
          <w:szCs w:val="32"/>
          <w:lang w:val="en-US" w:eastAsia="zh-CN" w:bidi="ar-SA"/>
        </w:rPr>
      </w:pPr>
      <w:r>
        <w:rPr>
          <w:rFonts w:hint="eastAsia" w:ascii="仿宋_GB2312" w:hAnsi="仿宋_GB2312" w:eastAsia="仿宋_GB2312" w:cs="仿宋_GB2312"/>
          <w:bCs/>
          <w:kern w:val="0"/>
          <w:sz w:val="32"/>
          <w:szCs w:val="32"/>
          <w:lang w:val="en-US" w:eastAsia="zh-CN" w:bidi="ar-SA"/>
        </w:rPr>
        <w:t>公用经费82.28万元，主要包括：办公费、印刷费、手续费、水费、电费、差旅费、会议费、培训费、公务接待费、委托业务费、工会经费、福利费、公务用车运行维护费、其他交通费、其他商品和服务支出。</w:t>
      </w:r>
    </w:p>
    <w:p>
      <w:pPr>
        <w:pStyle w:val="4"/>
        <w:keepNext/>
        <w:keepLines/>
        <w:pageBreakBefore w:val="0"/>
        <w:widowControl w:val="0"/>
        <w:numPr>
          <w:ilvl w:val="0"/>
          <w:numId w:val="0"/>
        </w:numPr>
        <w:kinsoku/>
        <w:wordWrap/>
        <w:overflowPunct/>
        <w:topLinePunct w:val="0"/>
        <w:autoSpaceDE/>
        <w:autoSpaceDN/>
        <w:bidi w:val="0"/>
        <w:adjustRightInd/>
        <w:snapToGrid/>
        <w:spacing w:before="0" w:after="0" w:line="640" w:lineRule="exact"/>
        <w:ind w:left="0" w:leftChars="0" w:firstLine="640" w:firstLineChars="200"/>
        <w:textAlignment w:val="auto"/>
        <w:rPr>
          <w:rFonts w:hint="eastAsia" w:ascii="黑体" w:hAnsi="黑体" w:eastAsia="黑体" w:cstheme="majorBidi"/>
          <w:b w:val="0"/>
          <w:bCs/>
          <w:kern w:val="2"/>
          <w:sz w:val="32"/>
          <w:szCs w:val="32"/>
          <w:lang w:val="en-US" w:eastAsia="zh-CN" w:bidi="ar-SA"/>
        </w:rPr>
      </w:pPr>
      <w:bookmarkStart w:id="64" w:name="_Toc15396609"/>
      <w:bookmarkStart w:id="65" w:name="_Toc15377215"/>
      <w:bookmarkStart w:id="66" w:name="_Toc143805816"/>
      <w:r>
        <w:rPr>
          <w:rFonts w:hint="eastAsia" w:ascii="黑体" w:hAnsi="黑体" w:eastAsia="黑体" w:cstheme="majorBidi"/>
          <w:b w:val="0"/>
          <w:bCs/>
          <w:kern w:val="2"/>
          <w:sz w:val="32"/>
          <w:szCs w:val="32"/>
          <w:lang w:val="en-US" w:eastAsia="zh-CN" w:bidi="ar-SA"/>
        </w:rPr>
        <w:t>七、财政拨款“三公”经费支出决算情况说明</w:t>
      </w:r>
      <w:bookmarkEnd w:id="64"/>
      <w:bookmarkEnd w:id="65"/>
      <w:bookmarkEnd w:id="66"/>
    </w:p>
    <w:p>
      <w:pPr>
        <w:keepNext w:val="0"/>
        <w:keepLines w:val="0"/>
        <w:pageBreakBefore w:val="0"/>
        <w:widowControl w:val="0"/>
        <w:kinsoku/>
        <w:wordWrap/>
        <w:overflowPunct/>
        <w:topLinePunct w:val="0"/>
        <w:autoSpaceDE/>
        <w:autoSpaceDN/>
        <w:bidi w:val="0"/>
        <w:adjustRightInd/>
        <w:snapToGrid/>
        <w:spacing w:line="640" w:lineRule="exact"/>
        <w:ind w:firstLine="643" w:firstLineChars="200"/>
        <w:textAlignment w:val="auto"/>
        <w:outlineLvl w:val="1"/>
        <w:rPr>
          <w:rFonts w:hint="eastAsia" w:ascii="楷体" w:hAnsi="楷体" w:eastAsia="楷体" w:cs="楷体"/>
          <w:b/>
          <w:bCs w:val="0"/>
          <w:sz w:val="32"/>
          <w:szCs w:val="32"/>
        </w:rPr>
      </w:pPr>
      <w:bookmarkStart w:id="67" w:name="_Toc15377216"/>
      <w:bookmarkStart w:id="68" w:name="_Toc143805817"/>
      <w:r>
        <w:rPr>
          <w:rFonts w:hint="eastAsia" w:ascii="楷体" w:hAnsi="楷体" w:eastAsia="楷体" w:cs="楷体"/>
          <w:b/>
          <w:bCs w:val="0"/>
          <w:sz w:val="32"/>
          <w:szCs w:val="32"/>
        </w:rPr>
        <w:t>（一）“三公”经费财政拨款支出决算总体情况说明</w:t>
      </w:r>
      <w:bookmarkEnd w:id="67"/>
      <w:bookmarkEnd w:id="68"/>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22年“三公”经费财政拨款支出决算为</w:t>
      </w:r>
      <w:r>
        <w:rPr>
          <w:rFonts w:ascii="仿宋" w:hAnsi="仿宋" w:eastAsia="仿宋"/>
          <w:sz w:val="32"/>
          <w:szCs w:val="32"/>
        </w:rPr>
        <w:t>5</w:t>
      </w:r>
      <w:r>
        <w:rPr>
          <w:rFonts w:hint="eastAsia" w:ascii="仿宋" w:hAnsi="仿宋" w:eastAsia="仿宋"/>
          <w:sz w:val="32"/>
          <w:szCs w:val="32"/>
        </w:rPr>
        <w:t>.</w:t>
      </w:r>
      <w:r>
        <w:rPr>
          <w:rFonts w:ascii="仿宋" w:hAnsi="仿宋" w:eastAsia="仿宋"/>
          <w:sz w:val="32"/>
          <w:szCs w:val="32"/>
        </w:rPr>
        <w:t>54</w:t>
      </w:r>
      <w:r>
        <w:rPr>
          <w:rFonts w:hint="eastAsia" w:ascii="仿宋" w:hAnsi="仿宋" w:eastAsia="仿宋"/>
          <w:sz w:val="32"/>
          <w:szCs w:val="32"/>
        </w:rPr>
        <w:t>万元，完成预算</w:t>
      </w:r>
      <w:r>
        <w:rPr>
          <w:rFonts w:ascii="仿宋" w:hAnsi="仿宋" w:eastAsia="仿宋"/>
          <w:sz w:val="32"/>
          <w:szCs w:val="32"/>
        </w:rPr>
        <w:t>100%</w:t>
      </w:r>
      <w:r>
        <w:rPr>
          <w:rFonts w:hint="eastAsia" w:ascii="仿宋" w:hAnsi="仿宋" w:eastAsia="仿宋"/>
          <w:sz w:val="32"/>
          <w:szCs w:val="32"/>
        </w:rPr>
        <w:t>，较上年减少</w:t>
      </w:r>
      <w:r>
        <w:rPr>
          <w:rFonts w:ascii="仿宋" w:hAnsi="仿宋" w:eastAsia="仿宋"/>
          <w:sz w:val="32"/>
          <w:szCs w:val="32"/>
        </w:rPr>
        <w:t>9</w:t>
      </w:r>
      <w:r>
        <w:rPr>
          <w:rFonts w:hint="eastAsia" w:ascii="仿宋" w:hAnsi="仿宋" w:eastAsia="仿宋"/>
          <w:sz w:val="32"/>
          <w:szCs w:val="32"/>
        </w:rPr>
        <w:t>.</w:t>
      </w:r>
      <w:r>
        <w:rPr>
          <w:rFonts w:ascii="仿宋" w:hAnsi="仿宋" w:eastAsia="仿宋"/>
          <w:sz w:val="32"/>
          <w:szCs w:val="32"/>
        </w:rPr>
        <w:t>06</w:t>
      </w:r>
      <w:r>
        <w:rPr>
          <w:rFonts w:hint="eastAsia" w:ascii="仿宋" w:hAnsi="仿宋" w:eastAsia="仿宋"/>
          <w:sz w:val="32"/>
          <w:szCs w:val="32"/>
        </w:rPr>
        <w:t>万元，下降</w:t>
      </w:r>
      <w:r>
        <w:rPr>
          <w:rFonts w:ascii="仿宋" w:hAnsi="仿宋" w:eastAsia="仿宋"/>
          <w:sz w:val="32"/>
          <w:szCs w:val="32"/>
        </w:rPr>
        <w:t>62</w:t>
      </w:r>
      <w:r>
        <w:rPr>
          <w:rFonts w:hint="eastAsia" w:ascii="仿宋" w:hAnsi="仿宋" w:eastAsia="仿宋"/>
          <w:sz w:val="32"/>
          <w:szCs w:val="32"/>
        </w:rPr>
        <w:t>.</w:t>
      </w:r>
      <w:r>
        <w:rPr>
          <w:rFonts w:ascii="仿宋" w:hAnsi="仿宋" w:eastAsia="仿宋"/>
          <w:sz w:val="32"/>
          <w:szCs w:val="32"/>
        </w:rPr>
        <w:t>05</w:t>
      </w:r>
      <w:r>
        <w:rPr>
          <w:rFonts w:hint="eastAsia" w:ascii="仿宋" w:hAnsi="仿宋" w:eastAsia="仿宋"/>
          <w:sz w:val="32"/>
          <w:szCs w:val="32"/>
        </w:rPr>
        <w:t>%。决算数与预算数持平。</w:t>
      </w:r>
    </w:p>
    <w:p>
      <w:pPr>
        <w:keepNext w:val="0"/>
        <w:keepLines w:val="0"/>
        <w:pageBreakBefore w:val="0"/>
        <w:widowControl w:val="0"/>
        <w:kinsoku/>
        <w:wordWrap/>
        <w:overflowPunct/>
        <w:topLinePunct w:val="0"/>
        <w:autoSpaceDE/>
        <w:autoSpaceDN/>
        <w:bidi w:val="0"/>
        <w:adjustRightInd/>
        <w:snapToGrid/>
        <w:spacing w:line="640" w:lineRule="exact"/>
        <w:ind w:firstLine="643" w:firstLineChars="200"/>
        <w:textAlignment w:val="auto"/>
        <w:outlineLvl w:val="1"/>
        <w:rPr>
          <w:rFonts w:hint="eastAsia" w:ascii="楷体" w:hAnsi="楷体" w:eastAsia="楷体" w:cs="楷体"/>
          <w:b/>
          <w:bCs w:val="0"/>
          <w:sz w:val="32"/>
          <w:szCs w:val="32"/>
        </w:rPr>
      </w:pPr>
      <w:bookmarkStart w:id="69" w:name="_Toc15377217"/>
      <w:bookmarkStart w:id="70" w:name="_Toc143805818"/>
      <w:r>
        <w:rPr>
          <w:rFonts w:hint="eastAsia" w:ascii="楷体" w:hAnsi="楷体" w:eastAsia="楷体" w:cs="楷体"/>
          <w:b/>
          <w:bCs w:val="0"/>
          <w:sz w:val="32"/>
          <w:szCs w:val="32"/>
        </w:rPr>
        <w:t>（二）“三公”经费财政拨款支出决算具体情况说明</w:t>
      </w:r>
      <w:bookmarkEnd w:id="69"/>
      <w:bookmarkEnd w:id="70"/>
    </w:p>
    <w:p>
      <w:pPr>
        <w:spacing w:line="600" w:lineRule="exact"/>
        <w:ind w:firstLine="640" w:firstLineChars="200"/>
        <w:rPr>
          <w:rFonts w:hint="eastAsia" w:ascii="仿宋_GB2312" w:hAnsi="仿宋_GB2312" w:eastAsia="仿宋_GB2312" w:cs="仿宋_GB2312"/>
          <w:bCs/>
          <w:kern w:val="0"/>
          <w:sz w:val="32"/>
          <w:szCs w:val="32"/>
          <w:lang w:val="en-US" w:eastAsia="zh-CN" w:bidi="ar-SA"/>
        </w:rPr>
      </w:pPr>
      <w:r>
        <w:rPr>
          <w:rFonts w:hint="eastAsia" w:ascii="仿宋_GB2312" w:hAnsi="仿宋_GB2312" w:eastAsia="仿宋_GB2312" w:cs="仿宋_GB2312"/>
          <w:bCs/>
          <w:kern w:val="0"/>
          <w:sz w:val="32"/>
          <w:szCs w:val="32"/>
          <w:lang w:val="en-US" w:eastAsia="zh-CN" w:bidi="ar-SA"/>
        </w:rPr>
        <w:t>2022年“三公”经费财政拨款支出决算中，因公出国（境）费支出决算0万元，占0%；公务用车购置及运行维护费支出决算4.35万元，占78.52%；公务接待费支出决算1.19万元，占21.48%。具体情况如下：</w:t>
      </w:r>
    </w:p>
    <w:p>
      <w:pPr>
        <w:spacing w:line="600" w:lineRule="exact"/>
        <w:ind w:firstLine="640" w:firstLineChars="200"/>
        <w:rPr>
          <w:rFonts w:hint="eastAsia" w:ascii="仿宋_GB2312" w:hAnsi="仿宋_GB2312" w:eastAsia="仿宋_GB2312" w:cs="仿宋_GB2312"/>
          <w:bCs/>
          <w:kern w:val="0"/>
          <w:sz w:val="32"/>
          <w:szCs w:val="32"/>
          <w:lang w:val="en-US" w:eastAsia="zh-CN" w:bidi="ar-SA"/>
        </w:rPr>
      </w:pPr>
    </w:p>
    <w:p>
      <w:pPr>
        <w:spacing w:line="600" w:lineRule="exact"/>
        <w:ind w:firstLine="640" w:firstLineChars="200"/>
        <w:rPr>
          <w:rFonts w:hint="eastAsia" w:ascii="仿宋_GB2312" w:hAnsi="仿宋_GB2312" w:eastAsia="仿宋_GB2312" w:cs="仿宋_GB2312"/>
          <w:bCs/>
          <w:kern w:val="0"/>
          <w:sz w:val="32"/>
          <w:szCs w:val="32"/>
          <w:lang w:val="en-US" w:eastAsia="zh-CN" w:bidi="ar-SA"/>
        </w:rPr>
      </w:pPr>
    </w:p>
    <w:p>
      <w:pPr>
        <w:spacing w:line="600" w:lineRule="exact"/>
        <w:ind w:firstLine="640" w:firstLineChars="200"/>
        <w:rPr>
          <w:rFonts w:hint="eastAsia" w:ascii="仿宋_GB2312" w:hAnsi="仿宋_GB2312" w:eastAsia="仿宋_GB2312" w:cs="仿宋_GB2312"/>
          <w:bCs/>
          <w:kern w:val="0"/>
          <w:sz w:val="32"/>
          <w:szCs w:val="32"/>
          <w:lang w:val="en-US" w:eastAsia="zh-CN" w:bidi="ar-SA"/>
        </w:rPr>
      </w:pPr>
    </w:p>
    <w:p>
      <w:pPr>
        <w:spacing w:line="600" w:lineRule="exact"/>
        <w:ind w:firstLine="640" w:firstLineChars="200"/>
        <w:rPr>
          <w:rFonts w:hint="eastAsia" w:ascii="仿宋_GB2312" w:hAnsi="仿宋_GB2312" w:eastAsia="仿宋_GB2312" w:cs="仿宋_GB2312"/>
          <w:bCs/>
          <w:kern w:val="0"/>
          <w:sz w:val="32"/>
          <w:szCs w:val="32"/>
          <w:lang w:val="en-US" w:eastAsia="zh-CN" w:bidi="ar-SA"/>
        </w:rPr>
      </w:pPr>
    </w:p>
    <w:p>
      <w:pPr>
        <w:spacing w:line="600" w:lineRule="exact"/>
        <w:ind w:firstLine="640" w:firstLineChars="200"/>
        <w:rPr>
          <w:rFonts w:hint="eastAsia" w:ascii="仿宋_GB2312" w:hAnsi="仿宋_GB2312" w:eastAsia="仿宋_GB2312" w:cs="仿宋_GB2312"/>
          <w:bCs/>
          <w:kern w:val="0"/>
          <w:sz w:val="32"/>
          <w:szCs w:val="32"/>
          <w:lang w:val="en-US" w:eastAsia="zh-CN" w:bidi="ar-SA"/>
        </w:rPr>
      </w:pPr>
      <w:r>
        <w:rPr>
          <w:rFonts w:hint="eastAsia" w:ascii="仿宋_GB2312" w:hAnsi="仿宋_GB2312" w:eastAsia="仿宋_GB2312" w:cs="仿宋_GB2312"/>
          <w:bCs/>
          <w:kern w:val="0"/>
          <w:sz w:val="32"/>
          <w:szCs w:val="32"/>
          <w:lang w:val="en-US" w:eastAsia="zh-CN" w:bidi="ar-SA"/>
        </w:rPr>
        <w:t>（图7：“三公”经费财政拨款支出结构）（饼状图）</w:t>
      </w:r>
    </w:p>
    <w:p>
      <w:pPr>
        <w:pStyle w:val="7"/>
        <w:spacing w:before="93"/>
      </w:pPr>
      <w:r>
        <w:rPr>
          <w:rFonts w:hint="eastAsia" w:ascii="仿宋" w:hAnsi="仿宋" w:eastAsia="仿宋"/>
          <w:color w:val="000000"/>
          <w:sz w:val="32"/>
        </w:rPr>
        <w:drawing>
          <wp:anchor distT="0" distB="0" distL="114300" distR="114300" simplePos="0" relativeHeight="251665408" behindDoc="0" locked="0" layoutInCell="1" allowOverlap="1">
            <wp:simplePos x="0" y="0"/>
            <wp:positionH relativeFrom="column">
              <wp:posOffset>502920</wp:posOffset>
            </wp:positionH>
            <wp:positionV relativeFrom="paragraph">
              <wp:posOffset>251460</wp:posOffset>
            </wp:positionV>
            <wp:extent cx="5080000" cy="3855720"/>
            <wp:effectExtent l="0" t="0" r="6350" b="11430"/>
            <wp:wrapSquare wrapText="bothSides"/>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anchor>
        </w:drawing>
      </w:r>
    </w:p>
    <w:p>
      <w:pPr>
        <w:pStyle w:val="7"/>
        <w:spacing w:before="93"/>
      </w:pPr>
    </w:p>
    <w:p>
      <w:pPr>
        <w:pStyle w:val="7"/>
        <w:spacing w:before="93"/>
      </w:pPr>
    </w:p>
    <w:p>
      <w:pPr>
        <w:pStyle w:val="7"/>
        <w:spacing w:before="93"/>
      </w:pPr>
    </w:p>
    <w:p>
      <w:pPr>
        <w:pStyle w:val="7"/>
        <w:spacing w:before="93"/>
      </w:pPr>
    </w:p>
    <w:p>
      <w:pPr>
        <w:pStyle w:val="7"/>
        <w:spacing w:before="93"/>
      </w:pPr>
    </w:p>
    <w:p>
      <w:pPr>
        <w:pStyle w:val="7"/>
        <w:spacing w:before="93"/>
      </w:pPr>
    </w:p>
    <w:p>
      <w:pPr>
        <w:spacing w:line="600" w:lineRule="exact"/>
        <w:ind w:firstLine="640"/>
        <w:rPr>
          <w:rFonts w:ascii="仿宋_GB2312" w:eastAsia="仿宋_GB2312"/>
          <w:b/>
          <w:sz w:val="32"/>
          <w:szCs w:val="32"/>
        </w:rPr>
      </w:pPr>
      <w:r>
        <w:rPr>
          <w:rFonts w:ascii="仿宋_GB2312" w:eastAsia="仿宋_GB2312"/>
          <w:b/>
          <w:sz w:val="32"/>
          <w:szCs w:val="32"/>
        </w:rPr>
        <w:t>1</w:t>
      </w:r>
    </w:p>
    <w:p>
      <w:pPr>
        <w:spacing w:line="600" w:lineRule="exact"/>
        <w:ind w:firstLine="640"/>
        <w:rPr>
          <w:rFonts w:ascii="仿宋_GB2312" w:eastAsia="仿宋_GB2312"/>
          <w:b/>
          <w:sz w:val="32"/>
          <w:szCs w:val="32"/>
        </w:rPr>
      </w:pPr>
    </w:p>
    <w:p>
      <w:pPr>
        <w:spacing w:line="600" w:lineRule="exact"/>
        <w:ind w:firstLine="640"/>
        <w:rPr>
          <w:rFonts w:ascii="仿宋_GB2312" w:eastAsia="仿宋_GB2312"/>
          <w:b/>
          <w:sz w:val="32"/>
          <w:szCs w:val="32"/>
        </w:rPr>
      </w:pPr>
    </w:p>
    <w:p>
      <w:pPr>
        <w:spacing w:line="600" w:lineRule="exact"/>
        <w:ind w:firstLine="640"/>
        <w:rPr>
          <w:rFonts w:hint="eastAsia" w:ascii="仿宋_GB2312" w:hAnsi="仿宋_GB2312" w:eastAsia="仿宋_GB2312" w:cs="仿宋_GB2312"/>
          <w:bCs/>
          <w:kern w:val="0"/>
          <w:sz w:val="32"/>
          <w:szCs w:val="32"/>
          <w:lang w:val="en-US" w:eastAsia="zh-CN" w:bidi="ar-SA"/>
        </w:rPr>
      </w:pPr>
      <w:r>
        <w:rPr>
          <w:rFonts w:hint="eastAsia" w:ascii="仿宋_GB2312" w:hAnsi="仿宋_GB2312" w:eastAsia="仿宋_GB2312" w:cs="仿宋_GB2312"/>
          <w:b/>
          <w:sz w:val="32"/>
          <w:szCs w:val="32"/>
          <w:lang w:val="en-US" w:eastAsia="zh-CN"/>
        </w:rPr>
        <w:t>1</w:t>
      </w:r>
      <w:r>
        <w:rPr>
          <w:rFonts w:hint="eastAsia" w:ascii="仿宋_GB2312" w:hAnsi="仿宋_GB2312" w:eastAsia="仿宋_GB2312" w:cs="仿宋_GB2312"/>
          <w:b/>
          <w:sz w:val="32"/>
          <w:szCs w:val="32"/>
        </w:rPr>
        <w:t>.因公出国（境）经费支出</w:t>
      </w:r>
      <w:r>
        <w:rPr>
          <w:rFonts w:hint="eastAsia" w:ascii="仿宋_GB2312" w:hAnsi="仿宋_GB2312" w:eastAsia="仿宋_GB2312" w:cs="仿宋_GB2312"/>
          <w:bCs/>
          <w:kern w:val="0"/>
          <w:sz w:val="32"/>
          <w:szCs w:val="32"/>
          <w:lang w:val="en-US" w:eastAsia="zh-CN" w:bidi="ar-SA"/>
        </w:rPr>
        <w:t>0万元，完成预算0%。全年安排因公出国（境）团组0次，出国（境）0人。因公出国（境）支出决算与2021年持平。</w:t>
      </w:r>
    </w:p>
    <w:p>
      <w:pPr>
        <w:spacing w:line="600" w:lineRule="exact"/>
        <w:ind w:firstLine="640"/>
        <w:rPr>
          <w:rFonts w:hint="eastAsia" w:ascii="仿宋_GB2312" w:hAnsi="仿宋_GB2312" w:eastAsia="仿宋_GB2312" w:cs="仿宋_GB2312"/>
          <w:bCs/>
          <w:kern w:val="0"/>
          <w:sz w:val="32"/>
          <w:szCs w:val="32"/>
          <w:lang w:val="en-US" w:eastAsia="zh-CN" w:bidi="ar-SA"/>
        </w:rPr>
      </w:pPr>
      <w:r>
        <w:rPr>
          <w:rFonts w:hint="eastAsia" w:ascii="仿宋_GB2312" w:hAnsi="仿宋_GB2312" w:eastAsia="仿宋_GB2312" w:cs="仿宋_GB2312"/>
          <w:b/>
          <w:sz w:val="32"/>
          <w:szCs w:val="32"/>
        </w:rPr>
        <w:t>2.公务用车购置及运行维护费支出</w:t>
      </w:r>
      <w:r>
        <w:rPr>
          <w:rFonts w:hint="eastAsia" w:ascii="仿宋_GB2312" w:hAnsi="仿宋_GB2312" w:eastAsia="仿宋_GB2312" w:cs="仿宋_GB2312"/>
          <w:bCs/>
          <w:kern w:val="0"/>
          <w:sz w:val="32"/>
          <w:szCs w:val="32"/>
          <w:lang w:val="en-US" w:eastAsia="zh-CN" w:bidi="ar-SA"/>
        </w:rPr>
        <w:t>4.35万元,完成预算100%。公务用车购置及运行维护费支出决算比2021年减少7.65万元，下降63.75%。主要原因是单位</w:t>
      </w:r>
      <w:r>
        <w:rPr>
          <w:rFonts w:hint="eastAsia" w:hAnsi="仿宋_GB2312" w:cs="仿宋_GB2312"/>
          <w:bCs/>
          <w:sz w:val="32"/>
          <w:szCs w:val="32"/>
          <w:lang w:eastAsia="zh-CN"/>
        </w:rPr>
        <w:t>厉</w:t>
      </w:r>
      <w:r>
        <w:rPr>
          <w:rFonts w:hint="eastAsia" w:ascii="仿宋_GB2312" w:hAnsi="仿宋_GB2312" w:eastAsia="仿宋_GB2312" w:cs="仿宋_GB2312"/>
          <w:bCs/>
          <w:sz w:val="32"/>
          <w:szCs w:val="32"/>
        </w:rPr>
        <w:t>行节约</w:t>
      </w:r>
      <w:r>
        <w:rPr>
          <w:rFonts w:hint="eastAsia" w:ascii="仿宋_GB2312" w:hAnsi="仿宋_GB2312" w:eastAsia="仿宋_GB2312" w:cs="仿宋_GB2312"/>
          <w:bCs/>
          <w:kern w:val="0"/>
          <w:sz w:val="32"/>
          <w:szCs w:val="32"/>
          <w:lang w:val="en-US" w:eastAsia="zh-CN" w:bidi="ar-SA"/>
        </w:rPr>
        <w:t>，缩减开支。</w:t>
      </w:r>
    </w:p>
    <w:p>
      <w:pPr>
        <w:spacing w:line="600" w:lineRule="exact"/>
        <w:ind w:firstLine="640" w:firstLineChars="200"/>
        <w:rPr>
          <w:rFonts w:hint="eastAsia" w:ascii="仿宋_GB2312" w:hAnsi="仿宋_GB2312" w:eastAsia="仿宋_GB2312" w:cs="仿宋_GB2312"/>
          <w:bCs/>
          <w:kern w:val="0"/>
          <w:sz w:val="32"/>
          <w:szCs w:val="32"/>
          <w:lang w:val="en-US" w:eastAsia="zh-CN" w:bidi="ar-SA"/>
        </w:rPr>
      </w:pPr>
      <w:r>
        <w:rPr>
          <w:rFonts w:hint="eastAsia" w:ascii="仿宋_GB2312" w:hAnsi="仿宋_GB2312" w:eastAsia="仿宋_GB2312" w:cs="仿宋_GB2312"/>
          <w:bCs/>
          <w:kern w:val="0"/>
          <w:sz w:val="32"/>
          <w:szCs w:val="32"/>
          <w:lang w:val="en-US" w:eastAsia="zh-CN" w:bidi="ar-SA"/>
        </w:rPr>
        <w:t>其中：</w:t>
      </w:r>
      <w:r>
        <w:rPr>
          <w:rFonts w:hint="eastAsia" w:ascii="仿宋_GB2312" w:hAnsi="仿宋_GB2312" w:eastAsia="仿宋_GB2312" w:cs="仿宋_GB2312"/>
          <w:b/>
          <w:sz w:val="32"/>
          <w:szCs w:val="32"/>
        </w:rPr>
        <w:t>公务用车购置支出</w:t>
      </w:r>
      <w:r>
        <w:rPr>
          <w:rFonts w:hint="eastAsia" w:ascii="仿宋_GB2312" w:hAnsi="仿宋_GB2312" w:eastAsia="仿宋_GB2312" w:cs="仿宋_GB2312"/>
          <w:bCs/>
          <w:kern w:val="0"/>
          <w:sz w:val="32"/>
          <w:szCs w:val="32"/>
          <w:lang w:val="en-US" w:eastAsia="zh-CN" w:bidi="ar-SA"/>
        </w:rPr>
        <w:t>0万元。全年按规定更新购置公务用车0辆，其中：轿车0辆、金额0万元，越野车0辆、金额0万元，载客汽车0辆、金额0万元。截至2022年12月底，单位共有公务用车2辆，其中：执法执勤警用轿车2辆、越野车0辆、载客汽车0辆。</w:t>
      </w:r>
    </w:p>
    <w:p>
      <w:pPr>
        <w:spacing w:line="600" w:lineRule="exact"/>
        <w:ind w:firstLine="640"/>
        <w:rPr>
          <w:rFonts w:hint="eastAsia" w:ascii="仿宋_GB2312" w:hAnsi="仿宋_GB2312" w:eastAsia="仿宋_GB2312" w:cs="仿宋_GB2312"/>
          <w:bCs/>
          <w:kern w:val="0"/>
          <w:sz w:val="32"/>
          <w:szCs w:val="32"/>
          <w:lang w:val="en-US" w:eastAsia="zh-CN" w:bidi="ar-SA"/>
        </w:rPr>
      </w:pPr>
      <w:r>
        <w:rPr>
          <w:rFonts w:hint="eastAsia" w:ascii="仿宋_GB2312" w:hAnsi="仿宋_GB2312" w:eastAsia="仿宋_GB2312" w:cs="仿宋_GB2312"/>
          <w:b/>
          <w:sz w:val="32"/>
          <w:szCs w:val="32"/>
        </w:rPr>
        <w:t>公务用车运行维护费支出</w:t>
      </w:r>
      <w:r>
        <w:rPr>
          <w:rFonts w:hint="eastAsia" w:ascii="仿宋_GB2312" w:hAnsi="仿宋_GB2312" w:eastAsia="仿宋_GB2312" w:cs="仿宋_GB2312"/>
          <w:bCs/>
          <w:kern w:val="0"/>
          <w:sz w:val="32"/>
          <w:szCs w:val="32"/>
          <w:lang w:val="en-US" w:eastAsia="zh-CN" w:bidi="ar-SA"/>
        </w:rPr>
        <w:t>4.35万元。主要用于行政运行、社区矫正、安置帮教、法律援助、普法宣传等所需的公务用车燃料费、维修费、过路过桥费、保险费等支出。</w:t>
      </w:r>
    </w:p>
    <w:p>
      <w:pPr>
        <w:spacing w:line="600" w:lineRule="exact"/>
        <w:ind w:firstLine="640"/>
        <w:rPr>
          <w:rFonts w:hint="eastAsia" w:ascii="仿宋_GB2312" w:hAnsi="仿宋_GB2312" w:eastAsia="仿宋_GB2312" w:cs="仿宋_GB2312"/>
          <w:bCs/>
          <w:kern w:val="0"/>
          <w:sz w:val="32"/>
          <w:szCs w:val="32"/>
          <w:lang w:val="en-US" w:eastAsia="zh-CN" w:bidi="ar-SA"/>
        </w:rPr>
      </w:pPr>
      <w:r>
        <w:rPr>
          <w:rFonts w:hint="eastAsia" w:ascii="仿宋_GB2312" w:hAnsi="仿宋_GB2312" w:eastAsia="仿宋_GB2312" w:cs="仿宋_GB2312"/>
          <w:b/>
          <w:sz w:val="32"/>
          <w:szCs w:val="32"/>
        </w:rPr>
        <w:t>3.公务接待费支出</w:t>
      </w:r>
      <w:r>
        <w:rPr>
          <w:rFonts w:hint="eastAsia" w:ascii="仿宋_GB2312" w:hAnsi="仿宋_GB2312" w:eastAsia="仿宋_GB2312" w:cs="仿宋_GB2312"/>
          <w:bCs/>
          <w:kern w:val="0"/>
          <w:sz w:val="32"/>
          <w:szCs w:val="32"/>
          <w:lang w:val="en-US" w:eastAsia="zh-CN" w:bidi="ar-SA"/>
        </w:rPr>
        <w:t>1.19万元，完成预算100%。公务接待费支出决算比2021年减少1.41万元，下降54.23%。主要</w:t>
      </w:r>
      <w:r>
        <w:rPr>
          <w:rFonts w:hint="eastAsia" w:hAnsi="仿宋_GB2312" w:cs="仿宋_GB2312"/>
          <w:bCs/>
          <w:sz w:val="32"/>
          <w:szCs w:val="32"/>
          <w:lang w:eastAsia="zh-CN"/>
        </w:rPr>
        <w:t>厉</w:t>
      </w:r>
      <w:r>
        <w:rPr>
          <w:rFonts w:hint="eastAsia" w:ascii="仿宋_GB2312" w:hAnsi="仿宋_GB2312" w:eastAsia="仿宋_GB2312" w:cs="仿宋_GB2312"/>
          <w:bCs/>
          <w:sz w:val="32"/>
          <w:szCs w:val="32"/>
        </w:rPr>
        <w:t>行节约</w:t>
      </w:r>
      <w:r>
        <w:rPr>
          <w:rFonts w:hint="eastAsia" w:ascii="仿宋_GB2312" w:hAnsi="仿宋_GB2312" w:eastAsia="仿宋_GB2312" w:cs="仿宋_GB2312"/>
          <w:bCs/>
          <w:kern w:val="0"/>
          <w:sz w:val="32"/>
          <w:szCs w:val="32"/>
          <w:lang w:val="en-US" w:eastAsia="zh-CN" w:bidi="ar-SA"/>
        </w:rPr>
        <w:t>，缩减开支。</w:t>
      </w:r>
    </w:p>
    <w:p>
      <w:pPr>
        <w:spacing w:line="600" w:lineRule="exact"/>
        <w:ind w:firstLine="640"/>
        <w:rPr>
          <w:rFonts w:hint="eastAsia" w:ascii="仿宋_GB2312" w:hAnsi="仿宋_GB2312" w:eastAsia="仿宋_GB2312" w:cs="仿宋_GB2312"/>
          <w:bCs/>
          <w:kern w:val="0"/>
          <w:sz w:val="32"/>
          <w:szCs w:val="32"/>
          <w:lang w:val="en-US" w:eastAsia="zh-CN" w:bidi="ar-SA"/>
        </w:rPr>
      </w:pPr>
      <w:r>
        <w:rPr>
          <w:rFonts w:hint="eastAsia" w:ascii="仿宋_GB2312" w:hAnsi="仿宋_GB2312" w:eastAsia="仿宋_GB2312" w:cs="仿宋_GB2312"/>
          <w:b/>
          <w:sz w:val="32"/>
          <w:szCs w:val="32"/>
        </w:rPr>
        <w:t>国内公务接待支出</w:t>
      </w:r>
      <w:r>
        <w:rPr>
          <w:rFonts w:hint="eastAsia" w:ascii="仿宋_GB2312" w:hAnsi="仿宋_GB2312" w:eastAsia="仿宋_GB2312" w:cs="仿宋_GB2312"/>
          <w:bCs/>
          <w:kern w:val="0"/>
          <w:sz w:val="32"/>
          <w:szCs w:val="32"/>
          <w:lang w:val="en-US" w:eastAsia="zh-CN" w:bidi="ar-SA"/>
        </w:rPr>
        <w:t>1.19万元，主要用于执行公务、开展业务活动开支的交通费、用餐费等。国内公务接待31批次，224人次（不包括陪同人员），共计支出1.19万元。</w:t>
      </w:r>
    </w:p>
    <w:p>
      <w:pPr>
        <w:spacing w:line="600" w:lineRule="exact"/>
        <w:ind w:firstLine="643" w:firstLineChars="200"/>
        <w:rPr>
          <w:rFonts w:hint="eastAsia" w:ascii="仿宋_GB2312" w:hAnsi="仿宋_GB2312" w:eastAsia="仿宋_GB2312" w:cs="仿宋_GB2312"/>
          <w:bCs/>
          <w:kern w:val="0"/>
          <w:sz w:val="32"/>
          <w:szCs w:val="32"/>
          <w:lang w:val="en-US" w:eastAsia="zh-CN" w:bidi="ar-SA"/>
        </w:rPr>
      </w:pPr>
      <w:r>
        <w:rPr>
          <w:rFonts w:hint="eastAsia" w:ascii="仿宋_GB2312" w:hAnsi="仿宋_GB2312" w:eastAsia="仿宋_GB2312" w:cs="仿宋_GB2312"/>
          <w:b/>
          <w:sz w:val="32"/>
          <w:szCs w:val="32"/>
        </w:rPr>
        <w:t>外事接待支出</w:t>
      </w:r>
      <w:r>
        <w:rPr>
          <w:rFonts w:hint="eastAsia" w:ascii="仿宋_GB2312" w:hAnsi="仿宋_GB2312" w:eastAsia="仿宋_GB2312" w:cs="仿宋_GB2312"/>
          <w:bCs/>
          <w:kern w:val="0"/>
          <w:sz w:val="32"/>
          <w:szCs w:val="32"/>
          <w:lang w:val="en-US" w:eastAsia="zh-CN" w:bidi="ar-SA"/>
        </w:rPr>
        <w:t>0万元。外事接待0批次，0人次（不包括陪同人员），共计支出0万元。</w:t>
      </w:r>
      <w:bookmarkStart w:id="71" w:name="_Toc15377218"/>
      <w:bookmarkStart w:id="72" w:name="_Toc15396610"/>
    </w:p>
    <w:p>
      <w:pPr>
        <w:spacing w:line="600" w:lineRule="exact"/>
        <w:ind w:firstLine="640"/>
        <w:outlineLvl w:val="1"/>
        <w:rPr>
          <w:rStyle w:val="35"/>
          <w:rFonts w:ascii="黑体" w:hAnsi="黑体" w:eastAsia="黑体"/>
        </w:rPr>
      </w:pPr>
      <w:bookmarkStart w:id="73" w:name="_Toc143805819"/>
      <w:r>
        <w:rPr>
          <w:rFonts w:hint="eastAsia" w:ascii="黑体" w:eastAsia="黑体"/>
          <w:sz w:val="32"/>
          <w:szCs w:val="32"/>
        </w:rPr>
        <w:t>八、</w:t>
      </w:r>
      <w:r>
        <w:rPr>
          <w:rStyle w:val="35"/>
          <w:rFonts w:hint="eastAsia" w:ascii="黑体" w:hAnsi="黑体" w:eastAsia="黑体"/>
          <w:b w:val="0"/>
        </w:rPr>
        <w:t>政府性基金预算支出决算情况说明</w:t>
      </w:r>
      <w:bookmarkEnd w:id="71"/>
      <w:bookmarkEnd w:id="72"/>
      <w:bookmarkEnd w:id="73"/>
    </w:p>
    <w:p>
      <w:pPr>
        <w:spacing w:line="600" w:lineRule="exact"/>
        <w:ind w:firstLine="640" w:firstLineChars="200"/>
        <w:rPr>
          <w:rFonts w:hint="eastAsia" w:ascii="仿宋_GB2312" w:hAnsi="仿宋_GB2312" w:eastAsia="仿宋_GB2312" w:cs="仿宋_GB2312"/>
          <w:bCs/>
          <w:kern w:val="0"/>
          <w:sz w:val="32"/>
          <w:szCs w:val="32"/>
          <w:lang w:val="en-US" w:eastAsia="zh-CN" w:bidi="ar-SA"/>
        </w:rPr>
      </w:pPr>
      <w:r>
        <w:rPr>
          <w:rFonts w:hint="eastAsia" w:ascii="仿宋_GB2312" w:hAnsi="仿宋_GB2312" w:eastAsia="仿宋_GB2312" w:cs="仿宋_GB2312"/>
          <w:bCs/>
          <w:kern w:val="0"/>
          <w:sz w:val="32"/>
          <w:szCs w:val="32"/>
          <w:lang w:val="en-US" w:eastAsia="zh-CN" w:bidi="ar-SA"/>
        </w:rPr>
        <w:t>2022年政府性基金预算财政拨款支出0万元。</w:t>
      </w:r>
    </w:p>
    <w:p>
      <w:pPr>
        <w:numPr>
          <w:ilvl w:val="0"/>
          <w:numId w:val="3"/>
        </w:numPr>
        <w:spacing w:line="600" w:lineRule="exact"/>
        <w:ind w:firstLine="640"/>
        <w:outlineLvl w:val="1"/>
        <w:rPr>
          <w:rStyle w:val="35"/>
          <w:rFonts w:ascii="黑体" w:hAnsi="黑体" w:eastAsia="黑体"/>
          <w:b w:val="0"/>
        </w:rPr>
      </w:pPr>
      <w:bookmarkStart w:id="74" w:name="_Toc143805820"/>
      <w:bookmarkStart w:id="75" w:name="_Toc15396611"/>
      <w:bookmarkStart w:id="76" w:name="_Toc15377219"/>
      <w:r>
        <w:rPr>
          <w:rStyle w:val="35"/>
          <w:rFonts w:hint="eastAsia" w:ascii="黑体" w:hAnsi="黑体" w:eastAsia="黑体"/>
          <w:b w:val="0"/>
        </w:rPr>
        <w:t>国有资本经营预算支出决算情况说明</w:t>
      </w:r>
      <w:bookmarkEnd w:id="74"/>
      <w:bookmarkEnd w:id="75"/>
      <w:bookmarkEnd w:id="76"/>
    </w:p>
    <w:p>
      <w:pPr>
        <w:spacing w:line="600" w:lineRule="exact"/>
        <w:ind w:firstLine="640" w:firstLineChars="200"/>
        <w:rPr>
          <w:rFonts w:ascii="仿宋" w:hAnsi="仿宋" w:eastAsia="仿宋" w:cs="方正小标宋简体"/>
          <w:sz w:val="44"/>
          <w:szCs w:val="44"/>
        </w:rPr>
      </w:pPr>
      <w:r>
        <w:rPr>
          <w:rFonts w:hint="eastAsia" w:ascii="仿宋_GB2312" w:hAnsi="仿宋_GB2312" w:eastAsia="仿宋_GB2312" w:cs="仿宋_GB2312"/>
          <w:bCs/>
          <w:kern w:val="0"/>
          <w:sz w:val="32"/>
          <w:szCs w:val="32"/>
          <w:lang w:val="en-US" w:eastAsia="zh-CN" w:bidi="ar-SA"/>
        </w:rPr>
        <w:t>2022年国有资本经营预算财政拨款支出0万元。</w:t>
      </w:r>
    </w:p>
    <w:p>
      <w:pPr>
        <w:numPr>
          <w:ilvl w:val="0"/>
          <w:numId w:val="3"/>
        </w:numPr>
        <w:spacing w:line="600" w:lineRule="exact"/>
        <w:ind w:firstLine="640"/>
        <w:outlineLvl w:val="1"/>
        <w:rPr>
          <w:rStyle w:val="35"/>
          <w:rFonts w:ascii="黑体" w:hAnsi="黑体" w:eastAsia="黑体"/>
          <w:b w:val="0"/>
        </w:rPr>
      </w:pPr>
      <w:bookmarkStart w:id="77" w:name="_Toc143805821"/>
      <w:bookmarkStart w:id="78" w:name="_Toc15377221"/>
      <w:bookmarkStart w:id="79" w:name="_Toc15396612"/>
      <w:r>
        <w:rPr>
          <w:rStyle w:val="35"/>
          <w:rFonts w:hint="eastAsia" w:ascii="黑体" w:hAnsi="黑体" w:eastAsia="黑体"/>
          <w:b w:val="0"/>
        </w:rPr>
        <w:t>其他重要事项的情况说明</w:t>
      </w:r>
      <w:bookmarkEnd w:id="77"/>
      <w:bookmarkEnd w:id="78"/>
      <w:bookmarkEnd w:id="79"/>
    </w:p>
    <w:p>
      <w:pPr>
        <w:keepNext w:val="0"/>
        <w:keepLines w:val="0"/>
        <w:pageBreakBefore w:val="0"/>
        <w:widowControl w:val="0"/>
        <w:kinsoku/>
        <w:wordWrap/>
        <w:overflowPunct/>
        <w:topLinePunct w:val="0"/>
        <w:autoSpaceDE/>
        <w:autoSpaceDN/>
        <w:bidi w:val="0"/>
        <w:adjustRightInd/>
        <w:snapToGrid/>
        <w:spacing w:line="640" w:lineRule="exact"/>
        <w:ind w:firstLine="643" w:firstLineChars="200"/>
        <w:textAlignment w:val="auto"/>
        <w:outlineLvl w:val="1"/>
        <w:rPr>
          <w:rFonts w:hint="eastAsia" w:ascii="楷体" w:hAnsi="楷体" w:eastAsia="楷体" w:cs="楷体"/>
          <w:b/>
          <w:bCs w:val="0"/>
          <w:sz w:val="32"/>
          <w:szCs w:val="32"/>
        </w:rPr>
      </w:pPr>
      <w:bookmarkStart w:id="80" w:name="_Toc143805822"/>
      <w:bookmarkStart w:id="81" w:name="_Toc15377222"/>
      <w:r>
        <w:rPr>
          <w:rFonts w:hint="eastAsia" w:ascii="楷体" w:hAnsi="楷体" w:eastAsia="楷体" w:cs="楷体"/>
          <w:b/>
          <w:bCs w:val="0"/>
          <w:sz w:val="32"/>
          <w:szCs w:val="32"/>
        </w:rPr>
        <w:t>（一）机关运行经费支出情况</w:t>
      </w:r>
      <w:bookmarkEnd w:id="80"/>
      <w:bookmarkEnd w:id="81"/>
    </w:p>
    <w:p>
      <w:pPr>
        <w:spacing w:line="600" w:lineRule="exact"/>
        <w:ind w:firstLine="640" w:firstLineChars="200"/>
        <w:rPr>
          <w:rFonts w:hint="eastAsia" w:ascii="仿宋_GB2312" w:hAnsi="仿宋_GB2312" w:eastAsia="仿宋_GB2312" w:cs="仿宋_GB2312"/>
          <w:bCs/>
          <w:kern w:val="0"/>
          <w:sz w:val="32"/>
          <w:szCs w:val="32"/>
          <w:lang w:val="en-US" w:eastAsia="zh-CN" w:bidi="ar-SA"/>
        </w:rPr>
      </w:pPr>
      <w:r>
        <w:rPr>
          <w:rFonts w:hint="eastAsia" w:ascii="仿宋_GB2312" w:hAnsi="仿宋_GB2312" w:eastAsia="仿宋_GB2312" w:cs="仿宋_GB2312"/>
          <w:bCs/>
          <w:kern w:val="0"/>
          <w:sz w:val="32"/>
          <w:szCs w:val="32"/>
          <w:lang w:val="en-US" w:eastAsia="zh-CN" w:bidi="ar-SA"/>
        </w:rPr>
        <w:t>2022年，遂宁市安居区司法局机关运行经费支出82.28万元，比2021年减少26.96万元，下降24.68%主要原因是单位</w:t>
      </w:r>
      <w:r>
        <w:rPr>
          <w:rFonts w:hint="eastAsia" w:hAnsi="仿宋_GB2312" w:cs="仿宋_GB2312"/>
          <w:bCs/>
          <w:sz w:val="32"/>
          <w:szCs w:val="32"/>
          <w:lang w:eastAsia="zh-CN"/>
        </w:rPr>
        <w:t>厉</w:t>
      </w:r>
      <w:r>
        <w:rPr>
          <w:rFonts w:hint="eastAsia" w:ascii="仿宋_GB2312" w:hAnsi="仿宋_GB2312" w:eastAsia="仿宋_GB2312" w:cs="仿宋_GB2312"/>
          <w:bCs/>
          <w:sz w:val="32"/>
          <w:szCs w:val="32"/>
        </w:rPr>
        <w:t>行节约</w:t>
      </w:r>
      <w:r>
        <w:rPr>
          <w:rFonts w:hint="eastAsia" w:ascii="仿宋_GB2312" w:hAnsi="仿宋_GB2312" w:eastAsia="仿宋_GB2312" w:cs="仿宋_GB2312"/>
          <w:bCs/>
          <w:kern w:val="0"/>
          <w:sz w:val="32"/>
          <w:szCs w:val="32"/>
          <w:lang w:val="en-US" w:eastAsia="zh-CN" w:bidi="ar-SA"/>
        </w:rPr>
        <w:t>，缩减开支。</w:t>
      </w:r>
    </w:p>
    <w:p>
      <w:pPr>
        <w:keepNext w:val="0"/>
        <w:keepLines w:val="0"/>
        <w:pageBreakBefore w:val="0"/>
        <w:widowControl w:val="0"/>
        <w:kinsoku/>
        <w:wordWrap/>
        <w:overflowPunct/>
        <w:topLinePunct w:val="0"/>
        <w:autoSpaceDE/>
        <w:autoSpaceDN/>
        <w:bidi w:val="0"/>
        <w:adjustRightInd/>
        <w:snapToGrid/>
        <w:spacing w:line="640" w:lineRule="exact"/>
        <w:ind w:firstLine="643" w:firstLineChars="200"/>
        <w:textAlignment w:val="auto"/>
        <w:outlineLvl w:val="1"/>
        <w:rPr>
          <w:rFonts w:hint="eastAsia" w:ascii="楷体" w:hAnsi="楷体" w:eastAsia="楷体" w:cs="楷体"/>
          <w:b/>
          <w:bCs w:val="0"/>
          <w:sz w:val="32"/>
          <w:szCs w:val="32"/>
        </w:rPr>
      </w:pPr>
      <w:bookmarkStart w:id="82" w:name="_Toc143805823"/>
      <w:bookmarkStart w:id="83" w:name="_Toc15377223"/>
      <w:r>
        <w:rPr>
          <w:rFonts w:hint="eastAsia" w:ascii="楷体" w:hAnsi="楷体" w:eastAsia="楷体" w:cs="楷体"/>
          <w:b/>
          <w:bCs w:val="0"/>
          <w:sz w:val="32"/>
          <w:szCs w:val="32"/>
        </w:rPr>
        <w:t>（二）政府采购支出情况</w:t>
      </w:r>
      <w:bookmarkEnd w:id="82"/>
      <w:bookmarkEnd w:id="83"/>
    </w:p>
    <w:p>
      <w:pPr>
        <w:spacing w:line="600" w:lineRule="exact"/>
        <w:ind w:firstLine="640" w:firstLineChars="200"/>
        <w:rPr>
          <w:rFonts w:hint="eastAsia" w:ascii="仿宋_GB2312" w:hAnsi="仿宋_GB2312" w:eastAsia="仿宋_GB2312" w:cs="仿宋_GB2312"/>
          <w:bCs/>
          <w:kern w:val="0"/>
          <w:sz w:val="32"/>
          <w:szCs w:val="32"/>
          <w:lang w:val="en-US" w:eastAsia="zh-CN" w:bidi="ar-SA"/>
        </w:rPr>
      </w:pPr>
      <w:r>
        <w:rPr>
          <w:rFonts w:hint="eastAsia" w:ascii="仿宋_GB2312" w:hAnsi="仿宋_GB2312" w:eastAsia="仿宋_GB2312" w:cs="仿宋_GB2312"/>
          <w:bCs/>
          <w:kern w:val="0"/>
          <w:sz w:val="32"/>
          <w:szCs w:val="32"/>
          <w:lang w:val="en-US" w:eastAsia="zh-CN" w:bidi="ar-SA"/>
        </w:rPr>
        <w:t>2022年，遂宁市安居区司法局政府采购支出总额2.788万元，其中：政府采购货物支出2.788万元、政府采购工程支出0万元、政府采购服务支出0万元。授予中小企业合同金额0万元，占政府采购支出总额的0%，其中：授予小微企业合同金额2.788万元，占政府采购支出总额的100%。</w:t>
      </w:r>
    </w:p>
    <w:p>
      <w:pPr>
        <w:keepNext w:val="0"/>
        <w:keepLines w:val="0"/>
        <w:pageBreakBefore w:val="0"/>
        <w:widowControl w:val="0"/>
        <w:kinsoku/>
        <w:wordWrap/>
        <w:overflowPunct/>
        <w:topLinePunct w:val="0"/>
        <w:autoSpaceDE/>
        <w:autoSpaceDN/>
        <w:bidi w:val="0"/>
        <w:adjustRightInd/>
        <w:snapToGrid/>
        <w:spacing w:line="640" w:lineRule="exact"/>
        <w:ind w:firstLine="643" w:firstLineChars="200"/>
        <w:textAlignment w:val="auto"/>
        <w:outlineLvl w:val="1"/>
        <w:rPr>
          <w:rFonts w:hint="eastAsia" w:ascii="楷体" w:hAnsi="楷体" w:eastAsia="楷体" w:cs="楷体"/>
          <w:b/>
          <w:bCs w:val="0"/>
          <w:sz w:val="32"/>
          <w:szCs w:val="32"/>
        </w:rPr>
      </w:pPr>
      <w:bookmarkStart w:id="84" w:name="_Toc143805824"/>
      <w:bookmarkStart w:id="85" w:name="_Toc15377224"/>
      <w:r>
        <w:rPr>
          <w:rFonts w:hint="eastAsia" w:ascii="楷体" w:hAnsi="楷体" w:eastAsia="楷体" w:cs="楷体"/>
          <w:b/>
          <w:bCs w:val="0"/>
          <w:sz w:val="32"/>
          <w:szCs w:val="32"/>
        </w:rPr>
        <w:t>（三）国有资产占有使用情况</w:t>
      </w:r>
      <w:bookmarkEnd w:id="84"/>
      <w:bookmarkEnd w:id="85"/>
    </w:p>
    <w:p>
      <w:pPr>
        <w:spacing w:line="600" w:lineRule="exact"/>
        <w:ind w:firstLine="640" w:firstLineChars="200"/>
        <w:rPr>
          <w:rFonts w:hint="eastAsia" w:ascii="仿宋_GB2312" w:hAnsi="仿宋_GB2312" w:eastAsia="仿宋_GB2312" w:cs="仿宋_GB2312"/>
          <w:bCs/>
          <w:kern w:val="0"/>
          <w:sz w:val="32"/>
          <w:szCs w:val="32"/>
          <w:lang w:val="en-US" w:eastAsia="zh-CN" w:bidi="ar-SA"/>
        </w:rPr>
      </w:pPr>
      <w:r>
        <w:rPr>
          <w:rFonts w:hint="eastAsia" w:ascii="仿宋_GB2312" w:hAnsi="仿宋_GB2312" w:eastAsia="仿宋_GB2312" w:cs="仿宋_GB2312"/>
          <w:bCs/>
          <w:kern w:val="0"/>
          <w:sz w:val="32"/>
          <w:szCs w:val="32"/>
          <w:lang w:val="en-US" w:eastAsia="zh-CN" w:bidi="ar-SA"/>
        </w:rPr>
        <w:t>截至2022年12月31日，遂宁市安居区司法局共有车辆2辆，其中：主要领导干部用车0辆、机要通信用车0辆、应急保障用车0辆、执法执勤用车2辆，其他用车0辆。单价100万元以上专用设备0台（套）。</w:t>
      </w:r>
    </w:p>
    <w:p>
      <w:pPr>
        <w:keepNext w:val="0"/>
        <w:keepLines w:val="0"/>
        <w:pageBreakBefore w:val="0"/>
        <w:widowControl w:val="0"/>
        <w:kinsoku/>
        <w:wordWrap/>
        <w:overflowPunct/>
        <w:topLinePunct w:val="0"/>
        <w:autoSpaceDE/>
        <w:autoSpaceDN/>
        <w:bidi w:val="0"/>
        <w:adjustRightInd/>
        <w:snapToGrid/>
        <w:spacing w:line="640" w:lineRule="exact"/>
        <w:ind w:firstLine="643" w:firstLineChars="200"/>
        <w:textAlignment w:val="auto"/>
        <w:outlineLvl w:val="1"/>
        <w:rPr>
          <w:rFonts w:hint="eastAsia" w:ascii="楷体" w:hAnsi="楷体" w:eastAsia="楷体" w:cs="楷体"/>
          <w:b/>
          <w:bCs w:val="0"/>
          <w:sz w:val="32"/>
          <w:szCs w:val="32"/>
        </w:rPr>
      </w:pPr>
      <w:bookmarkStart w:id="86" w:name="_Toc143805825"/>
      <w:r>
        <w:rPr>
          <w:rFonts w:hint="eastAsia" w:ascii="楷体" w:hAnsi="楷体" w:eastAsia="楷体" w:cs="楷体"/>
          <w:b/>
          <w:bCs w:val="0"/>
          <w:sz w:val="32"/>
          <w:szCs w:val="32"/>
        </w:rPr>
        <w:t>（四）预算绩效管理情况</w:t>
      </w:r>
      <w:bookmarkEnd w:id="86"/>
    </w:p>
    <w:p>
      <w:pPr>
        <w:spacing w:line="600" w:lineRule="exact"/>
        <w:ind w:firstLine="640" w:firstLineChars="200"/>
        <w:rPr>
          <w:rFonts w:hint="eastAsia" w:ascii="仿宋_GB2312" w:hAnsi="仿宋_GB2312" w:eastAsia="仿宋_GB2312" w:cs="仿宋_GB2312"/>
          <w:bCs/>
          <w:kern w:val="0"/>
          <w:sz w:val="32"/>
          <w:szCs w:val="32"/>
          <w:lang w:val="en-US" w:eastAsia="zh-CN" w:bidi="ar-SA"/>
        </w:rPr>
      </w:pPr>
      <w:r>
        <w:rPr>
          <w:rFonts w:hint="eastAsia" w:ascii="仿宋_GB2312" w:hAnsi="仿宋_GB2312" w:eastAsia="仿宋_GB2312" w:cs="仿宋_GB2312"/>
          <w:bCs/>
          <w:kern w:val="0"/>
          <w:sz w:val="32"/>
          <w:szCs w:val="32"/>
          <w:lang w:val="en-US" w:eastAsia="zh-CN" w:bidi="ar-SA"/>
        </w:rPr>
        <w:t>根据预算绩效管理要求，本部门在2022年度预算编制阶段，组织对法律援助、普法宣传、案件代理、公共法律服务运行维护费、社区矫正办公经费等5个项目开展了预算事前绩效评估，对5个项目编制了绩效目标，预算执行过程中，选取5个项目开展绩效监控。</w:t>
      </w:r>
    </w:p>
    <w:p>
      <w:pPr>
        <w:spacing w:line="600" w:lineRule="exact"/>
        <w:ind w:firstLine="640" w:firstLineChars="200"/>
        <w:rPr>
          <w:rFonts w:hint="eastAsia" w:ascii="黑体" w:hAnsi="黑体" w:eastAsia="黑体"/>
          <w:b/>
          <w:sz w:val="44"/>
          <w:szCs w:val="44"/>
        </w:rPr>
      </w:pPr>
      <w:r>
        <w:rPr>
          <w:rFonts w:hint="eastAsia" w:ascii="仿宋_GB2312" w:hAnsi="仿宋_GB2312" w:eastAsia="仿宋_GB2312" w:cs="仿宋_GB2312"/>
          <w:bCs/>
          <w:kern w:val="0"/>
          <w:sz w:val="32"/>
          <w:szCs w:val="32"/>
          <w:lang w:val="en-US" w:eastAsia="zh-CN" w:bidi="ar-SA"/>
        </w:rPr>
        <w:t>组织对2022年度一般公共预算、政府性基金预算、国有资本经营预算、社会保险基金预算以及资本资产、债券资金等全面开展绩效自评，形成遂宁市安居区司法局部门整体（含部门预算项目）绩效自评报告、法律援助、普法宣传、案件代理、公共法律服务运行维护费、社区矫正办公经费等专项预算项目绩效自评报告，其中，安居区司法局部门整体（含部门预算项目）绩效自评得分为100分。</w:t>
      </w:r>
      <w:bookmarkStart w:id="87" w:name="_Toc15396613"/>
      <w:bookmarkStart w:id="88" w:name="_Toc15377225"/>
    </w:p>
    <w:p>
      <w:pPr>
        <w:widowControl/>
        <w:jc w:val="center"/>
        <w:rPr>
          <w:rFonts w:hint="eastAsia" w:ascii="黑体" w:hAnsi="黑体" w:eastAsia="黑体"/>
          <w:b/>
          <w:sz w:val="44"/>
          <w:szCs w:val="44"/>
        </w:rPr>
      </w:pPr>
      <w:r>
        <w:rPr>
          <w:rFonts w:hint="eastAsia" w:ascii="黑体" w:hAnsi="黑体" w:eastAsia="黑体"/>
          <w:b/>
          <w:sz w:val="44"/>
          <w:szCs w:val="44"/>
        </w:rPr>
        <w:t xml:space="preserve">第三部分 </w:t>
      </w:r>
      <w:r>
        <w:rPr>
          <w:rFonts w:ascii="黑体" w:hAnsi="黑体" w:eastAsia="黑体"/>
          <w:b/>
          <w:sz w:val="44"/>
          <w:szCs w:val="44"/>
        </w:rPr>
        <w:t xml:space="preserve"> </w:t>
      </w:r>
      <w:r>
        <w:rPr>
          <w:rFonts w:hint="eastAsia" w:ascii="黑体" w:hAnsi="黑体" w:eastAsia="黑体"/>
          <w:sz w:val="44"/>
          <w:szCs w:val="44"/>
        </w:rPr>
        <w:t>名</w:t>
      </w:r>
      <w:r>
        <w:rPr>
          <w:rStyle w:val="34"/>
          <w:rFonts w:hint="eastAsia" w:ascii="黑体" w:hAnsi="黑体" w:eastAsia="黑体"/>
          <w:b w:val="0"/>
        </w:rPr>
        <w:t>词解释</w:t>
      </w:r>
      <w:bookmarkEnd w:id="87"/>
      <w:bookmarkEnd w:id="88"/>
    </w:p>
    <w:p>
      <w:pPr>
        <w:spacing w:line="600" w:lineRule="exact"/>
        <w:ind w:firstLine="640" w:firstLineChars="200"/>
        <w:rPr>
          <w:rFonts w:hint="eastAsia" w:ascii="仿宋_GB2312" w:hAnsi="仿宋_GB2312" w:eastAsia="仿宋_GB2312" w:cs="仿宋_GB2312"/>
          <w:bCs/>
          <w:kern w:val="0"/>
          <w:sz w:val="32"/>
          <w:szCs w:val="32"/>
          <w:lang w:val="en-US" w:eastAsia="zh-CN" w:bidi="ar-SA"/>
        </w:rPr>
      </w:pPr>
      <w:r>
        <w:rPr>
          <w:rFonts w:hint="eastAsia" w:ascii="仿宋_GB2312" w:hAnsi="仿宋_GB2312" w:eastAsia="仿宋_GB2312" w:cs="仿宋_GB2312"/>
          <w:bCs/>
          <w:kern w:val="0"/>
          <w:sz w:val="32"/>
          <w:szCs w:val="32"/>
          <w:lang w:val="en-US" w:eastAsia="zh-CN" w:bidi="ar-SA"/>
        </w:rPr>
        <w:t>1.财政拨款收入：指单位从同级财政部门取得的财政预算资金。</w:t>
      </w:r>
    </w:p>
    <w:p>
      <w:pPr>
        <w:spacing w:line="600" w:lineRule="exact"/>
        <w:ind w:firstLine="640" w:firstLineChars="200"/>
        <w:rPr>
          <w:rFonts w:hint="eastAsia" w:ascii="仿宋_GB2312" w:hAnsi="仿宋_GB2312" w:eastAsia="仿宋_GB2312" w:cs="仿宋_GB2312"/>
          <w:bCs/>
          <w:kern w:val="0"/>
          <w:sz w:val="32"/>
          <w:szCs w:val="32"/>
          <w:lang w:val="en-US" w:eastAsia="zh-CN" w:bidi="ar-SA"/>
        </w:rPr>
      </w:pPr>
      <w:r>
        <w:rPr>
          <w:rFonts w:hint="eastAsia" w:ascii="仿宋_GB2312" w:hAnsi="仿宋_GB2312" w:eastAsia="仿宋_GB2312" w:cs="仿宋_GB2312"/>
          <w:bCs/>
          <w:kern w:val="0"/>
          <w:sz w:val="32"/>
          <w:szCs w:val="32"/>
          <w:lang w:val="en-US" w:eastAsia="zh-CN" w:bidi="ar-SA"/>
        </w:rPr>
        <w:t>2.事业收入：指事业单位开展专业业务活动及辅助活动取得的收入。如…（二级预算单位事业收入情况）等。</w:t>
      </w:r>
    </w:p>
    <w:p>
      <w:pPr>
        <w:spacing w:line="600" w:lineRule="exact"/>
        <w:ind w:firstLine="640" w:firstLineChars="200"/>
        <w:rPr>
          <w:rFonts w:hint="eastAsia" w:ascii="仿宋_GB2312" w:hAnsi="仿宋_GB2312" w:eastAsia="仿宋_GB2312" w:cs="仿宋_GB2312"/>
          <w:bCs/>
          <w:kern w:val="0"/>
          <w:sz w:val="32"/>
          <w:szCs w:val="32"/>
          <w:lang w:val="en-US" w:eastAsia="zh-CN" w:bidi="ar-SA"/>
        </w:rPr>
      </w:pPr>
      <w:r>
        <w:rPr>
          <w:rFonts w:hint="eastAsia" w:ascii="仿宋_GB2312" w:hAnsi="仿宋_GB2312" w:eastAsia="仿宋_GB2312" w:cs="仿宋_GB2312"/>
          <w:bCs/>
          <w:kern w:val="0"/>
          <w:sz w:val="32"/>
          <w:szCs w:val="32"/>
          <w:lang w:val="en-US" w:eastAsia="zh-CN" w:bidi="ar-SA"/>
        </w:rPr>
        <w:t>3.经营收入：指事业单位在专业业务活动及其辅助活动之外开展非独立核算经营活动取得的收入。如…（二级预算单位经营收入情况）等。</w:t>
      </w:r>
    </w:p>
    <w:p>
      <w:pPr>
        <w:spacing w:line="600" w:lineRule="exact"/>
        <w:ind w:firstLine="640" w:firstLineChars="200"/>
        <w:rPr>
          <w:rFonts w:hint="eastAsia" w:ascii="仿宋_GB2312" w:hAnsi="仿宋_GB2312" w:eastAsia="仿宋_GB2312" w:cs="仿宋_GB2312"/>
          <w:bCs/>
          <w:kern w:val="0"/>
          <w:sz w:val="32"/>
          <w:szCs w:val="32"/>
          <w:lang w:val="en-US" w:eastAsia="zh-CN" w:bidi="ar-SA"/>
        </w:rPr>
      </w:pPr>
      <w:r>
        <w:rPr>
          <w:rFonts w:hint="eastAsia" w:ascii="仿宋_GB2312" w:hAnsi="仿宋_GB2312" w:eastAsia="仿宋_GB2312" w:cs="仿宋_GB2312"/>
          <w:bCs/>
          <w:kern w:val="0"/>
          <w:sz w:val="32"/>
          <w:szCs w:val="32"/>
          <w:lang w:val="en-US" w:eastAsia="zh-CN" w:bidi="ar-SA"/>
        </w:rPr>
        <w:t xml:space="preserve">4.其他收入：指单位取得的除上述收入以外的各项收入。主要是…（收入类型）等。 </w:t>
      </w:r>
    </w:p>
    <w:p>
      <w:pPr>
        <w:spacing w:line="600" w:lineRule="exact"/>
        <w:ind w:firstLine="640" w:firstLineChars="200"/>
        <w:rPr>
          <w:rFonts w:hint="eastAsia" w:ascii="仿宋_GB2312" w:hAnsi="仿宋_GB2312" w:eastAsia="仿宋_GB2312" w:cs="仿宋_GB2312"/>
          <w:bCs/>
          <w:kern w:val="0"/>
          <w:sz w:val="32"/>
          <w:szCs w:val="32"/>
          <w:lang w:val="en-US" w:eastAsia="zh-CN" w:bidi="ar-SA"/>
        </w:rPr>
      </w:pPr>
      <w:r>
        <w:rPr>
          <w:rFonts w:hint="eastAsia" w:ascii="仿宋_GB2312" w:hAnsi="仿宋_GB2312" w:eastAsia="仿宋_GB2312" w:cs="仿宋_GB2312"/>
          <w:bCs/>
          <w:kern w:val="0"/>
          <w:sz w:val="32"/>
          <w:szCs w:val="32"/>
          <w:lang w:val="en-US" w:eastAsia="zh-CN" w:bidi="ar-SA"/>
        </w:rPr>
        <w:t xml:space="preserve">5.使用非财政拨款结余：指事业单位使用以前年度积累的非财政拨款结余弥补当年收支差额的金额。 </w:t>
      </w:r>
    </w:p>
    <w:p>
      <w:pPr>
        <w:spacing w:line="600" w:lineRule="exact"/>
        <w:ind w:firstLine="640" w:firstLineChars="200"/>
        <w:rPr>
          <w:rFonts w:hint="eastAsia" w:ascii="仿宋_GB2312" w:hAnsi="仿宋_GB2312" w:eastAsia="仿宋_GB2312" w:cs="仿宋_GB2312"/>
          <w:bCs/>
          <w:kern w:val="0"/>
          <w:sz w:val="32"/>
          <w:szCs w:val="32"/>
          <w:lang w:val="en-US" w:eastAsia="zh-CN" w:bidi="ar-SA"/>
        </w:rPr>
      </w:pPr>
      <w:r>
        <w:rPr>
          <w:rFonts w:hint="eastAsia" w:ascii="仿宋_GB2312" w:hAnsi="仿宋_GB2312" w:eastAsia="仿宋_GB2312" w:cs="仿宋_GB2312"/>
          <w:bCs/>
          <w:kern w:val="0"/>
          <w:sz w:val="32"/>
          <w:szCs w:val="32"/>
          <w:lang w:val="en-US" w:eastAsia="zh-CN" w:bidi="ar-SA"/>
        </w:rPr>
        <w:t xml:space="preserve">6.年初结转和结余：指以前年度尚未完成、结转到本年按有关规定继续使用的资金。 </w:t>
      </w:r>
    </w:p>
    <w:p>
      <w:pPr>
        <w:spacing w:line="600" w:lineRule="exact"/>
        <w:ind w:firstLine="640" w:firstLineChars="200"/>
        <w:rPr>
          <w:rFonts w:hint="eastAsia" w:ascii="仿宋_GB2312" w:hAnsi="仿宋_GB2312" w:eastAsia="仿宋_GB2312" w:cs="仿宋_GB2312"/>
          <w:bCs/>
          <w:kern w:val="0"/>
          <w:sz w:val="32"/>
          <w:szCs w:val="32"/>
          <w:lang w:val="en-US" w:eastAsia="zh-CN" w:bidi="ar-SA"/>
        </w:rPr>
      </w:pPr>
      <w:r>
        <w:rPr>
          <w:rFonts w:hint="eastAsia" w:ascii="仿宋_GB2312" w:hAnsi="仿宋_GB2312" w:eastAsia="仿宋_GB2312" w:cs="仿宋_GB2312"/>
          <w:bCs/>
          <w:kern w:val="0"/>
          <w:sz w:val="32"/>
          <w:szCs w:val="32"/>
          <w:lang w:val="en-US" w:eastAsia="zh-CN" w:bidi="ar-SA"/>
        </w:rPr>
        <w:t>7.结余分配：指事业单位按照会计制度规定缴纳的所得税、提取的专用结余以及转入非财政拨款结余的金额等。</w:t>
      </w:r>
    </w:p>
    <w:p>
      <w:pPr>
        <w:spacing w:line="600" w:lineRule="exact"/>
        <w:ind w:firstLine="640" w:firstLineChars="200"/>
        <w:rPr>
          <w:rFonts w:hint="eastAsia" w:ascii="仿宋_GB2312" w:hAnsi="仿宋_GB2312" w:eastAsia="仿宋_GB2312" w:cs="仿宋_GB2312"/>
          <w:bCs/>
          <w:kern w:val="0"/>
          <w:sz w:val="32"/>
          <w:szCs w:val="32"/>
          <w:lang w:val="en-US" w:eastAsia="zh-CN" w:bidi="ar-SA"/>
        </w:rPr>
      </w:pPr>
      <w:r>
        <w:rPr>
          <w:rFonts w:hint="eastAsia" w:ascii="仿宋_GB2312" w:hAnsi="仿宋_GB2312" w:eastAsia="仿宋_GB2312" w:cs="仿宋_GB2312"/>
          <w:bCs/>
          <w:kern w:val="0"/>
          <w:sz w:val="32"/>
          <w:szCs w:val="32"/>
          <w:lang w:val="en-US" w:eastAsia="zh-CN" w:bidi="ar-SA"/>
        </w:rPr>
        <w:t>8.年末结转和结余：指单位按有关规定结转到下年或以后年度继续使用的资金。</w:t>
      </w:r>
    </w:p>
    <w:p>
      <w:pPr>
        <w:spacing w:line="600" w:lineRule="exact"/>
        <w:ind w:firstLine="640" w:firstLineChars="200"/>
        <w:rPr>
          <w:rFonts w:hint="eastAsia" w:ascii="仿宋_GB2312" w:hAnsi="仿宋_GB2312" w:eastAsia="仿宋_GB2312" w:cs="仿宋_GB2312"/>
          <w:bCs/>
          <w:kern w:val="0"/>
          <w:sz w:val="32"/>
          <w:szCs w:val="32"/>
          <w:lang w:val="en-US" w:eastAsia="zh-CN" w:bidi="ar-SA"/>
        </w:rPr>
      </w:pPr>
      <w:r>
        <w:rPr>
          <w:rFonts w:hint="eastAsia" w:ascii="仿宋_GB2312" w:hAnsi="仿宋_GB2312" w:eastAsia="仿宋_GB2312" w:cs="仿宋_GB2312"/>
          <w:bCs/>
          <w:kern w:val="0"/>
          <w:sz w:val="32"/>
          <w:szCs w:val="32"/>
          <w:lang w:val="en-US" w:eastAsia="zh-CN" w:bidi="ar-SA"/>
        </w:rPr>
        <w:t>9.公共安全支出204（类）司法06（款）行政运行01（项）:指行政单位（包括实行公务员管理的事业单位）的基本支出。。</w:t>
      </w:r>
    </w:p>
    <w:p>
      <w:pPr>
        <w:spacing w:line="600" w:lineRule="exact"/>
        <w:ind w:firstLine="640" w:firstLineChars="200"/>
        <w:rPr>
          <w:rFonts w:hint="eastAsia" w:ascii="仿宋_GB2312" w:hAnsi="仿宋_GB2312" w:eastAsia="仿宋_GB2312" w:cs="仿宋_GB2312"/>
          <w:bCs/>
          <w:kern w:val="0"/>
          <w:sz w:val="32"/>
          <w:szCs w:val="32"/>
          <w:lang w:val="en-US" w:eastAsia="zh-CN" w:bidi="ar-SA"/>
        </w:rPr>
      </w:pPr>
      <w:r>
        <w:rPr>
          <w:rFonts w:hint="eastAsia" w:ascii="仿宋_GB2312" w:hAnsi="仿宋_GB2312" w:eastAsia="仿宋_GB2312" w:cs="仿宋_GB2312"/>
          <w:bCs/>
          <w:kern w:val="0"/>
          <w:sz w:val="32"/>
          <w:szCs w:val="32"/>
          <w:lang w:val="en-US" w:eastAsia="zh-CN" w:bidi="ar-SA"/>
        </w:rPr>
        <w:t>10.公共安全支出204（类）司法06（款）一般行政管理事务02（项）: 指行政单位（包括实行公务员管理的事业单位）未单独设置项级科目的其他项目支出。。</w:t>
      </w:r>
    </w:p>
    <w:p>
      <w:pPr>
        <w:spacing w:line="600" w:lineRule="exact"/>
        <w:ind w:firstLine="640" w:firstLineChars="200"/>
        <w:rPr>
          <w:rFonts w:hint="eastAsia" w:ascii="仿宋_GB2312" w:hAnsi="仿宋_GB2312" w:eastAsia="仿宋_GB2312" w:cs="仿宋_GB2312"/>
          <w:bCs/>
          <w:kern w:val="0"/>
          <w:sz w:val="32"/>
          <w:szCs w:val="32"/>
          <w:lang w:val="en-US" w:eastAsia="zh-CN" w:bidi="ar-SA"/>
        </w:rPr>
      </w:pPr>
      <w:bookmarkStart w:id="89" w:name="_Toc143805826"/>
      <w:r>
        <w:rPr>
          <w:rFonts w:hint="eastAsia" w:ascii="仿宋_GB2312" w:hAnsi="仿宋_GB2312" w:eastAsia="仿宋_GB2312" w:cs="仿宋_GB2312"/>
          <w:bCs/>
          <w:kern w:val="0"/>
          <w:sz w:val="32"/>
          <w:szCs w:val="32"/>
          <w:lang w:val="en-US" w:eastAsia="zh-CN" w:bidi="ar-SA"/>
        </w:rPr>
        <w:t>11.公共安全支出204（类）司法06（款）基层司法业务04（项）: 指各级司法行政部门用于基层业务的支出，包括基层工作指导费、调解费、安置帮教费、司法所经费和“148”法律服务专用电话等支出。</w:t>
      </w:r>
      <w:bookmarkEnd w:id="89"/>
    </w:p>
    <w:p>
      <w:pPr>
        <w:spacing w:line="600" w:lineRule="exact"/>
        <w:ind w:firstLine="640" w:firstLineChars="200"/>
        <w:rPr>
          <w:rFonts w:hint="eastAsia" w:ascii="仿宋_GB2312" w:hAnsi="仿宋_GB2312" w:eastAsia="仿宋_GB2312" w:cs="仿宋_GB2312"/>
          <w:bCs/>
          <w:kern w:val="0"/>
          <w:sz w:val="32"/>
          <w:szCs w:val="32"/>
          <w:lang w:val="en-US" w:eastAsia="zh-CN" w:bidi="ar-SA"/>
        </w:rPr>
      </w:pPr>
      <w:r>
        <w:rPr>
          <w:rFonts w:hint="eastAsia" w:ascii="仿宋_GB2312" w:hAnsi="仿宋_GB2312" w:eastAsia="仿宋_GB2312" w:cs="仿宋_GB2312"/>
          <w:bCs/>
          <w:kern w:val="0"/>
          <w:sz w:val="32"/>
          <w:szCs w:val="32"/>
          <w:lang w:val="en-US" w:eastAsia="zh-CN" w:bidi="ar-SA"/>
        </w:rPr>
        <w:t>12.公共安全支出204（类）司法06（款）普法宣传05（项）:指各级司法行政部门用于组织各种媒体的宣传、普法装备与设施、宣传资料、对外宣传、法制作品的审读评审等方面的支出。</w:t>
      </w:r>
    </w:p>
    <w:p>
      <w:pPr>
        <w:spacing w:line="600" w:lineRule="exact"/>
        <w:ind w:firstLine="640" w:firstLineChars="200"/>
        <w:rPr>
          <w:rFonts w:hint="eastAsia" w:ascii="仿宋_GB2312" w:hAnsi="仿宋_GB2312" w:eastAsia="仿宋_GB2312" w:cs="仿宋_GB2312"/>
          <w:bCs/>
          <w:kern w:val="0"/>
          <w:sz w:val="32"/>
          <w:szCs w:val="32"/>
          <w:lang w:val="en-US" w:eastAsia="zh-CN" w:bidi="ar-SA"/>
        </w:rPr>
      </w:pPr>
      <w:r>
        <w:rPr>
          <w:rFonts w:hint="eastAsia" w:ascii="仿宋_GB2312" w:hAnsi="仿宋_GB2312" w:eastAsia="仿宋_GB2312" w:cs="仿宋_GB2312"/>
          <w:bCs/>
          <w:kern w:val="0"/>
          <w:sz w:val="32"/>
          <w:szCs w:val="32"/>
          <w:lang w:val="en-US" w:eastAsia="zh-CN" w:bidi="ar-SA"/>
        </w:rPr>
        <w:t>13.公共安全支出204（类）司法06（款）公共法律服务07（项）:指各级法律援助机构用于开展法律援助工作的支出。。</w:t>
      </w:r>
    </w:p>
    <w:p>
      <w:pPr>
        <w:spacing w:line="600" w:lineRule="exact"/>
        <w:ind w:firstLine="640" w:firstLineChars="200"/>
        <w:rPr>
          <w:rFonts w:hint="eastAsia" w:ascii="仿宋_GB2312" w:hAnsi="仿宋_GB2312" w:eastAsia="仿宋_GB2312" w:cs="仿宋_GB2312"/>
          <w:bCs/>
          <w:kern w:val="0"/>
          <w:sz w:val="32"/>
          <w:szCs w:val="32"/>
          <w:lang w:val="en-US" w:eastAsia="zh-CN" w:bidi="ar-SA"/>
        </w:rPr>
      </w:pPr>
      <w:bookmarkStart w:id="90" w:name="_Toc143805827"/>
      <w:r>
        <w:rPr>
          <w:rFonts w:hint="eastAsia" w:ascii="仿宋_GB2312" w:hAnsi="仿宋_GB2312" w:eastAsia="仿宋_GB2312" w:cs="仿宋_GB2312"/>
          <w:bCs/>
          <w:kern w:val="0"/>
          <w:sz w:val="32"/>
          <w:szCs w:val="32"/>
          <w:lang w:val="en-US" w:eastAsia="zh-CN" w:bidi="ar-SA"/>
        </w:rPr>
        <w:t>14.公共安全支出204（类）司法06（款）社区矫正10（项）:指各级司法行政部门用于社区矫正的支出。</w:t>
      </w:r>
      <w:bookmarkEnd w:id="90"/>
    </w:p>
    <w:p>
      <w:pPr>
        <w:spacing w:line="600" w:lineRule="exact"/>
        <w:ind w:firstLine="640" w:firstLineChars="200"/>
        <w:rPr>
          <w:rFonts w:hint="eastAsia" w:ascii="仿宋_GB2312" w:hAnsi="仿宋_GB2312" w:eastAsia="仿宋_GB2312" w:cs="仿宋_GB2312"/>
          <w:bCs/>
          <w:kern w:val="0"/>
          <w:sz w:val="32"/>
          <w:szCs w:val="32"/>
          <w:lang w:val="en-US" w:eastAsia="zh-CN" w:bidi="ar-SA"/>
        </w:rPr>
      </w:pPr>
      <w:r>
        <w:rPr>
          <w:rFonts w:hint="eastAsia" w:ascii="仿宋_GB2312" w:hAnsi="仿宋_GB2312" w:eastAsia="仿宋_GB2312" w:cs="仿宋_GB2312"/>
          <w:bCs/>
          <w:kern w:val="0"/>
          <w:sz w:val="32"/>
          <w:szCs w:val="32"/>
          <w:lang w:val="en-US" w:eastAsia="zh-CN" w:bidi="ar-SA"/>
        </w:rPr>
        <w:t>15.公共安全支出204（类）司法06（款）法治建设12（项）：指全面依法治国相关工作和行政立法、执法监督、行政复议等方面的支出。</w:t>
      </w:r>
    </w:p>
    <w:p>
      <w:pPr>
        <w:spacing w:line="600" w:lineRule="exact"/>
        <w:ind w:firstLine="640" w:firstLineChars="200"/>
        <w:rPr>
          <w:rFonts w:hint="eastAsia" w:ascii="仿宋_GB2312" w:hAnsi="仿宋_GB2312" w:eastAsia="仿宋_GB2312" w:cs="仿宋_GB2312"/>
          <w:bCs/>
          <w:kern w:val="0"/>
          <w:sz w:val="32"/>
          <w:szCs w:val="32"/>
          <w:lang w:val="en-US" w:eastAsia="zh-CN" w:bidi="ar-SA"/>
        </w:rPr>
      </w:pPr>
      <w:r>
        <w:rPr>
          <w:rFonts w:hint="eastAsia" w:ascii="仿宋_GB2312" w:hAnsi="仿宋_GB2312" w:eastAsia="仿宋_GB2312" w:cs="仿宋_GB2312"/>
          <w:bCs/>
          <w:kern w:val="0"/>
          <w:sz w:val="32"/>
          <w:szCs w:val="32"/>
          <w:lang w:val="en-US" w:eastAsia="zh-CN" w:bidi="ar-SA"/>
        </w:rPr>
        <w:t>16.公共安全支出204（类）司法06（款）信息化建设13（项）:指信息化建设及运行维护等方面的支出。</w:t>
      </w:r>
    </w:p>
    <w:p>
      <w:pPr>
        <w:spacing w:line="600" w:lineRule="exact"/>
        <w:ind w:firstLine="640" w:firstLineChars="200"/>
        <w:rPr>
          <w:rFonts w:hint="eastAsia" w:ascii="仿宋_GB2312" w:hAnsi="仿宋_GB2312" w:eastAsia="仿宋_GB2312" w:cs="仿宋_GB2312"/>
          <w:bCs/>
          <w:kern w:val="0"/>
          <w:sz w:val="32"/>
          <w:szCs w:val="32"/>
          <w:lang w:val="en-US" w:eastAsia="zh-CN" w:bidi="ar-SA"/>
        </w:rPr>
      </w:pPr>
      <w:bookmarkStart w:id="91" w:name="_Toc143805828"/>
      <w:r>
        <w:rPr>
          <w:rFonts w:hint="eastAsia" w:ascii="仿宋_GB2312" w:hAnsi="仿宋_GB2312" w:eastAsia="仿宋_GB2312" w:cs="仿宋_GB2312"/>
          <w:bCs/>
          <w:kern w:val="0"/>
          <w:sz w:val="32"/>
          <w:szCs w:val="32"/>
          <w:lang w:val="en-US" w:eastAsia="zh-CN" w:bidi="ar-SA"/>
        </w:rPr>
        <w:t>17.公共安全支出204（类）司法06（款）事业运行50（项）:指事业单位的基本支出，不包括行政单位（包括实行公务员管理的事业单位）后勤服务中心、医务室等附属事业单位。</w:t>
      </w:r>
      <w:bookmarkEnd w:id="91"/>
    </w:p>
    <w:p>
      <w:pPr>
        <w:spacing w:line="600" w:lineRule="exact"/>
        <w:ind w:firstLine="640" w:firstLineChars="200"/>
        <w:rPr>
          <w:rFonts w:hint="eastAsia" w:ascii="仿宋_GB2312" w:hAnsi="仿宋_GB2312" w:eastAsia="仿宋_GB2312" w:cs="仿宋_GB2312"/>
          <w:bCs/>
          <w:kern w:val="0"/>
          <w:sz w:val="32"/>
          <w:szCs w:val="32"/>
          <w:lang w:val="en-US" w:eastAsia="zh-CN" w:bidi="ar-SA"/>
        </w:rPr>
      </w:pPr>
      <w:r>
        <w:rPr>
          <w:rFonts w:hint="eastAsia" w:ascii="仿宋_GB2312" w:hAnsi="仿宋_GB2312" w:eastAsia="仿宋_GB2312" w:cs="仿宋_GB2312"/>
          <w:bCs/>
          <w:kern w:val="0"/>
          <w:sz w:val="32"/>
          <w:szCs w:val="32"/>
          <w:lang w:val="en-US" w:eastAsia="zh-CN" w:bidi="ar-SA"/>
        </w:rPr>
        <w:t>18.公共安全支出204（类）司法06（款）其他司法支出99（项）: 指司法行政部门发生的法学研究费、司法协助费、典型推广和表彰费、证书工本费等支出。</w:t>
      </w:r>
    </w:p>
    <w:p>
      <w:pPr>
        <w:spacing w:line="600" w:lineRule="exact"/>
        <w:ind w:firstLine="640" w:firstLineChars="200"/>
        <w:rPr>
          <w:rFonts w:hint="eastAsia" w:ascii="仿宋_GB2312" w:hAnsi="仿宋_GB2312" w:eastAsia="仿宋_GB2312" w:cs="仿宋_GB2312"/>
          <w:bCs/>
          <w:kern w:val="0"/>
          <w:sz w:val="32"/>
          <w:szCs w:val="32"/>
          <w:lang w:val="en-US" w:eastAsia="zh-CN" w:bidi="ar-SA"/>
        </w:rPr>
      </w:pPr>
      <w:r>
        <w:rPr>
          <w:rFonts w:hint="eastAsia" w:ascii="仿宋_GB2312" w:hAnsi="仿宋_GB2312" w:eastAsia="仿宋_GB2312" w:cs="仿宋_GB2312"/>
          <w:bCs/>
          <w:kern w:val="0"/>
          <w:sz w:val="32"/>
          <w:szCs w:val="32"/>
          <w:lang w:val="en-US" w:eastAsia="zh-CN" w:bidi="ar-SA"/>
        </w:rPr>
        <w:t>19.社会保障和就业支出208（类）行政事业单位养老支出05（款）机关事业单位基本养老保险缴费支出05（项）:指机关事业单位实施养老保险制度由单位缴纳的基本养老保险费支出。</w:t>
      </w:r>
    </w:p>
    <w:p>
      <w:pPr>
        <w:spacing w:line="600" w:lineRule="exact"/>
        <w:ind w:firstLine="640" w:firstLineChars="200"/>
        <w:rPr>
          <w:rFonts w:hint="eastAsia" w:ascii="仿宋_GB2312" w:hAnsi="仿宋_GB2312" w:eastAsia="仿宋_GB2312" w:cs="仿宋_GB2312"/>
          <w:bCs/>
          <w:kern w:val="0"/>
          <w:sz w:val="32"/>
          <w:szCs w:val="32"/>
          <w:lang w:val="en-US" w:eastAsia="zh-CN" w:bidi="ar-SA"/>
        </w:rPr>
      </w:pPr>
      <w:r>
        <w:rPr>
          <w:rFonts w:hint="eastAsia" w:ascii="仿宋_GB2312" w:hAnsi="仿宋_GB2312" w:eastAsia="仿宋_GB2312" w:cs="仿宋_GB2312"/>
          <w:bCs/>
          <w:kern w:val="0"/>
          <w:sz w:val="32"/>
          <w:szCs w:val="32"/>
          <w:lang w:val="en-US" w:eastAsia="zh-CN" w:bidi="ar-SA"/>
        </w:rPr>
        <w:t>20.社会保障和就业支出208（类）其他社会保障和就业支出99（款）其他社会保障和就业支出99（项）：指其他用于社会保障和就业方面的支出。</w:t>
      </w:r>
    </w:p>
    <w:p>
      <w:pPr>
        <w:spacing w:line="600" w:lineRule="exact"/>
        <w:ind w:firstLine="640" w:firstLineChars="200"/>
        <w:rPr>
          <w:rFonts w:hint="eastAsia" w:ascii="仿宋_GB2312" w:hAnsi="仿宋_GB2312" w:eastAsia="仿宋_GB2312" w:cs="仿宋_GB2312"/>
          <w:bCs/>
          <w:kern w:val="0"/>
          <w:sz w:val="32"/>
          <w:szCs w:val="32"/>
          <w:lang w:val="en-US" w:eastAsia="zh-CN" w:bidi="ar-SA"/>
        </w:rPr>
      </w:pPr>
      <w:r>
        <w:rPr>
          <w:rFonts w:hint="eastAsia" w:ascii="仿宋_GB2312" w:hAnsi="仿宋_GB2312" w:eastAsia="仿宋_GB2312" w:cs="仿宋_GB2312"/>
          <w:bCs/>
          <w:kern w:val="0"/>
          <w:sz w:val="32"/>
          <w:szCs w:val="32"/>
          <w:lang w:val="en-US" w:eastAsia="zh-CN" w:bidi="ar-SA"/>
        </w:rPr>
        <w:t>21.卫生健康支出210（类）行政事业单位医疗11（款）行政单位医疗01（项）:指财政部门集中安排的行政单位基本医疗保险缴费经费。</w:t>
      </w:r>
    </w:p>
    <w:p>
      <w:pPr>
        <w:spacing w:line="600" w:lineRule="exact"/>
        <w:ind w:firstLine="640" w:firstLineChars="200"/>
        <w:rPr>
          <w:rFonts w:hint="eastAsia" w:ascii="仿宋_GB2312" w:hAnsi="仿宋_GB2312" w:eastAsia="仿宋_GB2312" w:cs="仿宋_GB2312"/>
          <w:bCs/>
          <w:kern w:val="0"/>
          <w:sz w:val="32"/>
          <w:szCs w:val="32"/>
          <w:lang w:val="en-US" w:eastAsia="zh-CN" w:bidi="ar-SA"/>
        </w:rPr>
      </w:pPr>
      <w:r>
        <w:rPr>
          <w:rFonts w:hint="eastAsia" w:ascii="仿宋_GB2312" w:hAnsi="仿宋_GB2312" w:eastAsia="仿宋_GB2312" w:cs="仿宋_GB2312"/>
          <w:bCs/>
          <w:kern w:val="0"/>
          <w:sz w:val="32"/>
          <w:szCs w:val="32"/>
          <w:lang w:val="en-US" w:eastAsia="zh-CN" w:bidi="ar-SA"/>
        </w:rPr>
        <w:t>22.卫生健康支出210（类）行政事业单位医疗11（款）事业单位医疗02（项）:指财政部门集中安排的事业单位基本医疗保险缴费经费。</w:t>
      </w:r>
    </w:p>
    <w:p>
      <w:pPr>
        <w:spacing w:line="600" w:lineRule="exact"/>
        <w:ind w:firstLine="640" w:firstLineChars="200"/>
        <w:rPr>
          <w:rFonts w:hint="eastAsia" w:ascii="仿宋_GB2312" w:hAnsi="仿宋_GB2312" w:eastAsia="仿宋_GB2312" w:cs="仿宋_GB2312"/>
          <w:bCs/>
          <w:kern w:val="0"/>
          <w:sz w:val="32"/>
          <w:szCs w:val="32"/>
          <w:lang w:val="en-US" w:eastAsia="zh-CN" w:bidi="ar-SA"/>
        </w:rPr>
      </w:pPr>
      <w:r>
        <w:rPr>
          <w:rFonts w:hint="eastAsia" w:ascii="仿宋_GB2312" w:hAnsi="仿宋_GB2312" w:eastAsia="仿宋_GB2312" w:cs="仿宋_GB2312"/>
          <w:bCs/>
          <w:kern w:val="0"/>
          <w:sz w:val="32"/>
          <w:szCs w:val="32"/>
          <w:lang w:val="en-US" w:eastAsia="zh-CN" w:bidi="ar-SA"/>
        </w:rPr>
        <w:t>23.卫生健康支出210（类）行政事业单位医疗11（款）公务员医疗补助03（项）:指财政部门集中安排的公务员医疗补助经费。</w:t>
      </w:r>
    </w:p>
    <w:p>
      <w:pPr>
        <w:spacing w:line="600" w:lineRule="exact"/>
        <w:ind w:firstLine="640" w:firstLineChars="200"/>
        <w:rPr>
          <w:rFonts w:hint="eastAsia" w:ascii="仿宋_GB2312" w:hAnsi="仿宋_GB2312" w:eastAsia="仿宋_GB2312" w:cs="仿宋_GB2312"/>
          <w:bCs/>
          <w:kern w:val="0"/>
          <w:sz w:val="32"/>
          <w:szCs w:val="32"/>
          <w:lang w:val="en-US" w:eastAsia="zh-CN" w:bidi="ar-SA"/>
        </w:rPr>
      </w:pPr>
      <w:r>
        <w:rPr>
          <w:rFonts w:hint="eastAsia" w:ascii="仿宋_GB2312" w:hAnsi="仿宋_GB2312" w:eastAsia="仿宋_GB2312" w:cs="仿宋_GB2312"/>
          <w:bCs/>
          <w:kern w:val="0"/>
          <w:sz w:val="32"/>
          <w:szCs w:val="32"/>
          <w:lang w:val="en-US" w:eastAsia="zh-CN" w:bidi="ar-SA"/>
        </w:rPr>
        <w:t>24.住房保障221（类）住房保障支出02（款）住房公积金01（项）：指行政事业单位按人力资源和社会保障部、财政部规定的基本工资和津贴补贴以及规定比例为职工缴纳的住房公积金。</w:t>
      </w:r>
    </w:p>
    <w:p>
      <w:pPr>
        <w:spacing w:line="600" w:lineRule="exact"/>
        <w:ind w:firstLine="640" w:firstLineChars="200"/>
        <w:rPr>
          <w:rFonts w:hint="eastAsia" w:ascii="仿宋_GB2312" w:hAnsi="仿宋_GB2312" w:eastAsia="仿宋_GB2312" w:cs="仿宋_GB2312"/>
          <w:bCs/>
          <w:kern w:val="0"/>
          <w:sz w:val="32"/>
          <w:szCs w:val="32"/>
          <w:lang w:val="en-US" w:eastAsia="zh-CN" w:bidi="ar-SA"/>
        </w:rPr>
      </w:pPr>
      <w:r>
        <w:rPr>
          <w:rFonts w:hint="eastAsia" w:ascii="仿宋_GB2312" w:hAnsi="仿宋_GB2312" w:eastAsia="仿宋_GB2312" w:cs="仿宋_GB2312"/>
          <w:bCs/>
          <w:kern w:val="0"/>
          <w:sz w:val="32"/>
          <w:szCs w:val="32"/>
          <w:lang w:val="en-US" w:eastAsia="zh-CN" w:bidi="ar-SA"/>
        </w:rPr>
        <w:t>25.基本支出：指为保障机构正常运转、完成日常工作任务而发生的人员支出和公用支出。</w:t>
      </w:r>
    </w:p>
    <w:p>
      <w:pPr>
        <w:spacing w:line="600" w:lineRule="exact"/>
        <w:ind w:firstLine="640" w:firstLineChars="200"/>
        <w:rPr>
          <w:rFonts w:hint="eastAsia" w:ascii="仿宋_GB2312" w:hAnsi="仿宋_GB2312" w:eastAsia="仿宋_GB2312" w:cs="仿宋_GB2312"/>
          <w:bCs/>
          <w:kern w:val="0"/>
          <w:sz w:val="32"/>
          <w:szCs w:val="32"/>
          <w:lang w:val="en-US" w:eastAsia="zh-CN" w:bidi="ar-SA"/>
        </w:rPr>
      </w:pPr>
      <w:r>
        <w:rPr>
          <w:rFonts w:hint="eastAsia" w:ascii="仿宋_GB2312" w:hAnsi="仿宋_GB2312" w:eastAsia="仿宋_GB2312" w:cs="仿宋_GB2312"/>
          <w:bCs/>
          <w:kern w:val="0"/>
          <w:sz w:val="32"/>
          <w:szCs w:val="32"/>
          <w:lang w:val="en-US" w:eastAsia="zh-CN" w:bidi="ar-SA"/>
        </w:rPr>
        <w:t xml:space="preserve">26.项目支出：指在基本支出之外为完成特定行政任务和事业发展目标所发生的支出。 </w:t>
      </w:r>
    </w:p>
    <w:p>
      <w:pPr>
        <w:spacing w:line="600" w:lineRule="exact"/>
        <w:ind w:firstLine="640" w:firstLineChars="200"/>
        <w:rPr>
          <w:rFonts w:hint="eastAsia" w:ascii="仿宋_GB2312" w:hAnsi="仿宋_GB2312" w:eastAsia="仿宋_GB2312" w:cs="仿宋_GB2312"/>
          <w:bCs/>
          <w:kern w:val="0"/>
          <w:sz w:val="32"/>
          <w:szCs w:val="32"/>
          <w:lang w:val="en-US" w:eastAsia="zh-CN" w:bidi="ar-SA"/>
        </w:rPr>
      </w:pPr>
      <w:r>
        <w:rPr>
          <w:rFonts w:hint="eastAsia" w:ascii="仿宋_GB2312" w:hAnsi="仿宋_GB2312" w:eastAsia="仿宋_GB2312" w:cs="仿宋_GB2312"/>
          <w:bCs/>
          <w:kern w:val="0"/>
          <w:sz w:val="32"/>
          <w:szCs w:val="32"/>
          <w:lang w:val="en-US" w:eastAsia="zh-CN" w:bidi="ar-SA"/>
        </w:rPr>
        <w:t>27.经营支出：指事业单位在专业业务活动及其辅助活动之外开展非独立核算经营活动发生的支出。</w:t>
      </w:r>
    </w:p>
    <w:p>
      <w:pPr>
        <w:spacing w:line="600" w:lineRule="exact"/>
        <w:ind w:firstLine="640" w:firstLineChars="200"/>
        <w:rPr>
          <w:rFonts w:hint="eastAsia" w:ascii="仿宋_GB2312" w:hAnsi="仿宋_GB2312" w:eastAsia="仿宋_GB2312" w:cs="仿宋_GB2312"/>
          <w:bCs/>
          <w:kern w:val="0"/>
          <w:sz w:val="32"/>
          <w:szCs w:val="32"/>
          <w:lang w:val="en-US" w:eastAsia="zh-CN" w:bidi="ar-SA"/>
        </w:rPr>
      </w:pPr>
      <w:r>
        <w:rPr>
          <w:rFonts w:hint="eastAsia" w:ascii="仿宋_GB2312" w:hAnsi="仿宋_GB2312" w:eastAsia="仿宋_GB2312" w:cs="仿宋_GB2312"/>
          <w:bCs/>
          <w:kern w:val="0"/>
          <w:sz w:val="32"/>
          <w:szCs w:val="32"/>
          <w:lang w:val="en-US" w:eastAsia="zh-CN" w:bidi="ar-SA"/>
        </w:rPr>
        <w:t>28.“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600" w:lineRule="exact"/>
        <w:ind w:firstLine="640" w:firstLineChars="200"/>
        <w:rPr>
          <w:rFonts w:hint="eastAsia" w:ascii="仿宋_GB2312" w:hAnsi="仿宋_GB2312" w:eastAsia="仿宋_GB2312" w:cs="仿宋_GB2312"/>
          <w:bCs/>
          <w:kern w:val="0"/>
          <w:sz w:val="32"/>
          <w:szCs w:val="32"/>
          <w:lang w:val="en-US" w:eastAsia="zh-CN" w:bidi="ar-SA"/>
        </w:rPr>
      </w:pPr>
      <w:r>
        <w:rPr>
          <w:rFonts w:hint="eastAsia" w:ascii="仿宋_GB2312" w:hAnsi="仿宋_GB2312" w:eastAsia="仿宋_GB2312" w:cs="仿宋_GB2312"/>
          <w:bCs/>
          <w:kern w:val="0"/>
          <w:sz w:val="32"/>
          <w:szCs w:val="32"/>
          <w:lang w:val="en-US" w:eastAsia="zh-CN" w:bidi="ar-SA"/>
        </w:rPr>
        <w:t>29.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25"/>
        <w:spacing w:line="560" w:lineRule="exact"/>
        <w:rPr>
          <w:rFonts w:ascii="仿宋_GB2312" w:eastAsia="仿宋_GB2312" w:cs="黑体"/>
          <w:color w:val="auto"/>
          <w:sz w:val="32"/>
          <w:szCs w:val="32"/>
        </w:rPr>
      </w:pPr>
    </w:p>
    <w:p>
      <w:pPr>
        <w:ind w:firstLine="643" w:firstLineChars="200"/>
        <w:rPr>
          <w:rFonts w:ascii="仿宋" w:hAnsi="仿宋" w:eastAsia="仿宋"/>
          <w:b/>
          <w:sz w:val="32"/>
          <w:szCs w:val="32"/>
        </w:rPr>
      </w:pPr>
    </w:p>
    <w:p>
      <w:pPr>
        <w:spacing w:line="600" w:lineRule="exact"/>
        <w:jc w:val="both"/>
        <w:outlineLvl w:val="0"/>
        <w:rPr>
          <w:rFonts w:hint="eastAsia" w:ascii="黑体" w:hAnsi="黑体" w:eastAsia="黑体"/>
          <w:sz w:val="44"/>
          <w:szCs w:val="44"/>
        </w:rPr>
      </w:pPr>
      <w:bookmarkStart w:id="92" w:name="_Toc15396614"/>
      <w:bookmarkStart w:id="93" w:name="_Toc143805829"/>
    </w:p>
    <w:p>
      <w:pPr>
        <w:spacing w:line="600" w:lineRule="exact"/>
        <w:jc w:val="center"/>
        <w:outlineLvl w:val="0"/>
        <w:rPr>
          <w:rStyle w:val="34"/>
          <w:rFonts w:ascii="黑体" w:hAnsi="黑体" w:eastAsia="黑体"/>
          <w:b w:val="0"/>
        </w:rPr>
      </w:pPr>
      <w:r>
        <w:rPr>
          <w:rFonts w:hint="eastAsia" w:ascii="黑体" w:hAnsi="黑体" w:eastAsia="黑体"/>
          <w:sz w:val="44"/>
          <w:szCs w:val="44"/>
        </w:rPr>
        <w:t>第</w:t>
      </w:r>
      <w:r>
        <w:rPr>
          <w:rStyle w:val="34"/>
          <w:rFonts w:hint="eastAsia" w:ascii="黑体" w:hAnsi="黑体" w:eastAsia="黑体"/>
          <w:b w:val="0"/>
        </w:rPr>
        <w:t>四部分 附件</w:t>
      </w:r>
      <w:bookmarkEnd w:id="92"/>
      <w:bookmarkEnd w:id="93"/>
    </w:p>
    <w:p>
      <w:pPr>
        <w:spacing w:line="572" w:lineRule="exact"/>
        <w:jc w:val="left"/>
        <w:outlineLvl w:val="0"/>
        <w:rPr>
          <w:rFonts w:ascii="方正小标宋简体" w:hAnsi="方正小标宋简体" w:eastAsia="黑体" w:cs="方正小标宋简体"/>
          <w:sz w:val="44"/>
          <w:szCs w:val="44"/>
        </w:rPr>
      </w:pPr>
      <w:bookmarkStart w:id="94" w:name="_Toc143805830"/>
      <w:r>
        <w:rPr>
          <w:rFonts w:hint="eastAsia" w:ascii="黑体" w:hAnsi="黑体" w:eastAsia="黑体" w:cs="黑体"/>
          <w:sz w:val="32"/>
          <w:szCs w:val="32"/>
        </w:rPr>
        <w:t>附件1</w:t>
      </w:r>
      <w:bookmarkEnd w:id="94"/>
    </w:p>
    <w:p>
      <w:pPr>
        <w:widowControl/>
        <w:spacing w:line="560" w:lineRule="exact"/>
        <w:contextualSpacing/>
        <w:jc w:val="center"/>
        <w:rPr>
          <w:rFonts w:ascii="黑体" w:hAnsi="宋体" w:eastAsia="黑体" w:cs="宋体"/>
          <w:kern w:val="0"/>
          <w:sz w:val="32"/>
          <w:szCs w:val="32"/>
          <w:shd w:val="clear" w:color="auto" w:fill="FFFFFF"/>
        </w:rPr>
      </w:pPr>
      <w:r>
        <w:rPr>
          <w:rFonts w:hint="eastAsia" w:ascii="宋体" w:hAnsi="宋体"/>
          <w:b/>
          <w:sz w:val="32"/>
          <w:szCs w:val="32"/>
          <w:shd w:val="clear" w:color="auto" w:fill="FFFFFF"/>
        </w:rPr>
        <w:t>2022年部门整体绩效评价报告</w:t>
      </w:r>
    </w:p>
    <w:p>
      <w:pPr>
        <w:pStyle w:val="4"/>
        <w:keepNext/>
        <w:keepLines/>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ascii="黑体" w:eastAsia="黑体"/>
          <w:b w:val="0"/>
          <w:lang w:val="zh-CN"/>
        </w:rPr>
      </w:pPr>
      <w:bookmarkStart w:id="95" w:name="_Toc143805831"/>
      <w:r>
        <w:rPr>
          <w:rFonts w:hint="eastAsia" w:ascii="黑体" w:eastAsia="黑体"/>
          <w:b w:val="0"/>
        </w:rPr>
        <w:t>一、</w:t>
      </w:r>
      <w:r>
        <w:rPr>
          <w:rFonts w:hint="eastAsia" w:ascii="黑体" w:eastAsia="黑体"/>
          <w:b w:val="0"/>
          <w:lang w:val="zh-CN"/>
        </w:rPr>
        <w:t>部门（单位）概况</w:t>
      </w:r>
      <w:bookmarkEnd w:id="95"/>
    </w:p>
    <w:p>
      <w:pPr>
        <w:autoSpaceDE w:val="0"/>
        <w:autoSpaceDN w:val="0"/>
        <w:adjustRightInd w:val="0"/>
        <w:spacing w:line="600" w:lineRule="exact"/>
        <w:ind w:firstLine="643" w:firstLineChars="200"/>
        <w:jc w:val="left"/>
        <w:outlineLvl w:val="2"/>
        <w:rPr>
          <w:rFonts w:hint="eastAsia" w:ascii="楷体" w:hAnsi="楷体" w:eastAsia="楷体" w:cs="楷体"/>
          <w:b/>
          <w:bCs w:val="0"/>
          <w:sz w:val="32"/>
          <w:szCs w:val="32"/>
          <w:lang w:val="zh-CN"/>
        </w:rPr>
      </w:pPr>
      <w:bookmarkStart w:id="96" w:name="_Toc143805832"/>
      <w:r>
        <w:rPr>
          <w:rFonts w:hint="eastAsia" w:ascii="楷体" w:hAnsi="楷体" w:eastAsia="楷体" w:cs="楷体"/>
          <w:b/>
          <w:bCs w:val="0"/>
          <w:sz w:val="32"/>
          <w:szCs w:val="32"/>
          <w:lang w:val="zh-CN"/>
        </w:rPr>
        <w:t>（一）机构组成。</w:t>
      </w:r>
      <w:bookmarkEnd w:id="96"/>
    </w:p>
    <w:p>
      <w:pPr>
        <w:spacing w:line="600" w:lineRule="exact"/>
        <w:ind w:firstLine="640" w:firstLineChars="200"/>
        <w:rPr>
          <w:rFonts w:hint="eastAsia" w:ascii="仿宋_GB2312" w:hAnsi="仿宋_GB2312" w:eastAsia="仿宋_GB2312" w:cs="仿宋_GB2312"/>
          <w:bCs/>
          <w:kern w:val="0"/>
          <w:sz w:val="32"/>
          <w:szCs w:val="32"/>
          <w:lang w:val="zh-CN" w:eastAsia="zh-CN" w:bidi="ar-SA"/>
        </w:rPr>
      </w:pPr>
      <w:r>
        <w:rPr>
          <w:rFonts w:hint="eastAsia" w:ascii="仿宋_GB2312" w:hAnsi="仿宋_GB2312" w:eastAsia="仿宋_GB2312" w:cs="仿宋_GB2312"/>
          <w:bCs/>
          <w:kern w:val="0"/>
          <w:sz w:val="32"/>
          <w:szCs w:val="32"/>
          <w:lang w:val="en-US" w:eastAsia="zh-CN" w:bidi="ar-SA"/>
        </w:rPr>
        <w:t>安居区司法局设9个内设机构和17个基层司法所，下属二级预算单位1个，其中行政单位0个，参照公务员法管理的事业单位0个，其他事业单位1个。主要包括：遂宁市安居公证处。</w:t>
      </w:r>
    </w:p>
    <w:p>
      <w:pPr>
        <w:autoSpaceDE w:val="0"/>
        <w:autoSpaceDN w:val="0"/>
        <w:adjustRightInd w:val="0"/>
        <w:spacing w:line="600" w:lineRule="exact"/>
        <w:ind w:firstLine="643" w:firstLineChars="200"/>
        <w:jc w:val="left"/>
        <w:outlineLvl w:val="2"/>
        <w:rPr>
          <w:rFonts w:hint="eastAsia" w:ascii="楷体" w:hAnsi="楷体" w:eastAsia="楷体" w:cs="楷体"/>
          <w:b/>
          <w:bCs w:val="0"/>
          <w:sz w:val="32"/>
          <w:szCs w:val="32"/>
          <w:lang w:val="zh-CN"/>
        </w:rPr>
      </w:pPr>
      <w:bookmarkStart w:id="97" w:name="_Toc143805833"/>
      <w:r>
        <w:rPr>
          <w:rFonts w:hint="eastAsia" w:ascii="楷体" w:hAnsi="楷体" w:eastAsia="楷体" w:cs="楷体"/>
          <w:b/>
          <w:bCs w:val="0"/>
          <w:sz w:val="32"/>
          <w:szCs w:val="32"/>
          <w:lang w:val="zh-CN"/>
        </w:rPr>
        <w:t>（</w:t>
      </w:r>
      <w:r>
        <w:rPr>
          <w:rFonts w:hint="eastAsia" w:ascii="楷体" w:hAnsi="楷体" w:eastAsia="楷体" w:cs="楷体"/>
          <w:b/>
          <w:bCs w:val="0"/>
          <w:sz w:val="32"/>
          <w:szCs w:val="32"/>
          <w:lang w:val="en-US" w:eastAsia="zh-CN"/>
        </w:rPr>
        <w:t>二</w:t>
      </w:r>
      <w:r>
        <w:rPr>
          <w:rFonts w:hint="eastAsia" w:ascii="楷体" w:hAnsi="楷体" w:eastAsia="楷体" w:cs="楷体"/>
          <w:b/>
          <w:bCs w:val="0"/>
          <w:sz w:val="32"/>
          <w:szCs w:val="32"/>
          <w:lang w:val="zh-CN"/>
        </w:rPr>
        <w:t>）机构职能。</w:t>
      </w:r>
      <w:bookmarkEnd w:id="97"/>
    </w:p>
    <w:p>
      <w:pPr>
        <w:spacing w:line="600" w:lineRule="exact"/>
        <w:ind w:firstLine="640" w:firstLineChars="200"/>
        <w:rPr>
          <w:rFonts w:hint="eastAsia" w:ascii="仿宋_GB2312" w:hAnsi="仿宋_GB2312" w:eastAsia="仿宋_GB2312" w:cs="仿宋_GB2312"/>
          <w:bCs/>
          <w:kern w:val="0"/>
          <w:sz w:val="32"/>
          <w:szCs w:val="32"/>
          <w:lang w:val="en-US" w:eastAsia="zh-CN" w:bidi="ar-SA"/>
        </w:rPr>
      </w:pPr>
      <w:r>
        <w:rPr>
          <w:rFonts w:hint="eastAsia" w:ascii="仿宋_GB2312" w:hAnsi="仿宋_GB2312" w:eastAsia="仿宋_GB2312" w:cs="仿宋_GB2312"/>
          <w:bCs/>
          <w:kern w:val="0"/>
          <w:sz w:val="32"/>
          <w:szCs w:val="32"/>
          <w:lang w:val="en-US" w:eastAsia="zh-CN" w:bidi="ar-SA"/>
        </w:rPr>
        <w:t>1.负责区委、区政府规范性文件、重大行政决策发布前的合法性审查。承办区政府规范性文件的报送备案工作。负责全区各级各部门规范性文件报送区政府的备案审查工作。组织开展规范性文件清理。负责区本级政府合同备案管理、区政府涉法事务处理。</w:t>
      </w:r>
    </w:p>
    <w:p>
      <w:pPr>
        <w:spacing w:line="600" w:lineRule="exact"/>
        <w:ind w:firstLine="640" w:firstLineChars="200"/>
        <w:rPr>
          <w:rFonts w:hint="eastAsia" w:ascii="仿宋_GB2312" w:hAnsi="仿宋_GB2312" w:eastAsia="仿宋_GB2312" w:cs="仿宋_GB2312"/>
          <w:bCs/>
          <w:kern w:val="0"/>
          <w:sz w:val="32"/>
          <w:szCs w:val="32"/>
          <w:lang w:val="en-US" w:eastAsia="zh-CN" w:bidi="ar-SA"/>
        </w:rPr>
      </w:pPr>
      <w:r>
        <w:rPr>
          <w:rFonts w:hint="eastAsia" w:ascii="仿宋_GB2312" w:hAnsi="仿宋_GB2312" w:eastAsia="仿宋_GB2312" w:cs="仿宋_GB2312"/>
          <w:bCs/>
          <w:kern w:val="0"/>
          <w:sz w:val="32"/>
          <w:szCs w:val="32"/>
          <w:lang w:val="en-US" w:eastAsia="zh-CN" w:bidi="ar-SA"/>
        </w:rPr>
        <w:t>2.承担统筹推进法治政府建设的责任。监督指导全区各级各部门依法行政工作。负责综合协调、监督检查行政执法，指导推进行政执法体制改革有关工作，严格规范公正文明执法。指导监督全区行政复议、行政诉讼、行政裁决和行政赔偿工作，承办向区政府申请的行政复议、行政赔偿案件，代理区政府行政应诉案件。</w:t>
      </w:r>
    </w:p>
    <w:p>
      <w:pPr>
        <w:spacing w:line="600" w:lineRule="exact"/>
        <w:ind w:firstLine="640" w:firstLineChars="200"/>
        <w:rPr>
          <w:rFonts w:hint="eastAsia" w:ascii="仿宋_GB2312" w:hAnsi="仿宋_GB2312" w:eastAsia="仿宋_GB2312" w:cs="仿宋_GB2312"/>
          <w:bCs/>
          <w:kern w:val="0"/>
          <w:sz w:val="32"/>
          <w:szCs w:val="32"/>
          <w:lang w:val="en-US" w:eastAsia="zh-CN" w:bidi="ar-SA"/>
        </w:rPr>
      </w:pPr>
      <w:r>
        <w:rPr>
          <w:rFonts w:hint="eastAsia" w:ascii="仿宋_GB2312" w:hAnsi="仿宋_GB2312" w:eastAsia="仿宋_GB2312" w:cs="仿宋_GB2312"/>
          <w:bCs/>
          <w:kern w:val="0"/>
          <w:sz w:val="32"/>
          <w:szCs w:val="32"/>
          <w:lang w:val="en-US" w:eastAsia="zh-CN" w:bidi="ar-SA"/>
        </w:rPr>
        <w:t>3.承担统筹规划法治社会建设的责任。负责拟订法治宣传教育规划，组织实施普法宣传，组织对外法治宣传。推动人民参与和促进法治建设。指导全区各级各部门依法治理和法治创建工作。指导调解工作。负责并指导人民监督员的选任管理工作。负责人民陪审员选任工作。推进司法所建设。</w:t>
      </w:r>
    </w:p>
    <w:p>
      <w:pPr>
        <w:spacing w:line="600" w:lineRule="exact"/>
        <w:ind w:firstLine="640" w:firstLineChars="200"/>
        <w:rPr>
          <w:rFonts w:hint="eastAsia" w:ascii="仿宋_GB2312" w:hAnsi="仿宋_GB2312" w:eastAsia="仿宋_GB2312" w:cs="仿宋_GB2312"/>
          <w:bCs/>
          <w:kern w:val="0"/>
          <w:sz w:val="32"/>
          <w:szCs w:val="32"/>
          <w:lang w:val="en-US" w:eastAsia="zh-CN" w:bidi="ar-SA"/>
        </w:rPr>
      </w:pPr>
      <w:r>
        <w:rPr>
          <w:rFonts w:hint="eastAsia" w:ascii="仿宋_GB2312" w:hAnsi="仿宋_GB2312" w:eastAsia="仿宋_GB2312" w:cs="仿宋_GB2312"/>
          <w:bCs/>
          <w:kern w:val="0"/>
          <w:sz w:val="32"/>
          <w:szCs w:val="32"/>
          <w:lang w:val="en-US" w:eastAsia="zh-CN" w:bidi="ar-SA"/>
        </w:rPr>
        <w:t>4.指导、监督管理刑满释放人员的安置帮教工作；牵头组织有关单位和社区基层组织开展社区矫正工作，对社区服刑人员实施管理。</w:t>
      </w:r>
    </w:p>
    <w:p>
      <w:pPr>
        <w:spacing w:line="600" w:lineRule="exact"/>
        <w:ind w:firstLine="640" w:firstLineChars="200"/>
        <w:rPr>
          <w:rFonts w:hint="eastAsia" w:ascii="仿宋_GB2312" w:hAnsi="仿宋_GB2312" w:eastAsia="仿宋_GB2312" w:cs="仿宋_GB2312"/>
          <w:bCs/>
          <w:kern w:val="0"/>
          <w:sz w:val="32"/>
          <w:szCs w:val="32"/>
          <w:lang w:val="en-US" w:eastAsia="zh-CN" w:bidi="ar-SA"/>
        </w:rPr>
      </w:pPr>
      <w:r>
        <w:rPr>
          <w:rFonts w:hint="eastAsia" w:ascii="仿宋_GB2312" w:hAnsi="仿宋_GB2312" w:eastAsia="仿宋_GB2312" w:cs="仿宋_GB2312"/>
          <w:bCs/>
          <w:kern w:val="0"/>
          <w:sz w:val="32"/>
          <w:szCs w:val="32"/>
          <w:lang w:val="en-US" w:eastAsia="zh-CN" w:bidi="ar-SA"/>
        </w:rPr>
        <w:t>5.负责拟订全区公共法律服务体系建设规划并指导实施，统筹和布局全区城乡法律服务资源。指导监督律师、公证、法律援助和基层法律服务工作。</w:t>
      </w:r>
    </w:p>
    <w:p>
      <w:pPr>
        <w:spacing w:line="600" w:lineRule="exact"/>
        <w:ind w:firstLine="640" w:firstLineChars="200"/>
        <w:rPr>
          <w:rFonts w:hint="eastAsia" w:ascii="仿宋_GB2312" w:hAnsi="仿宋_GB2312" w:eastAsia="仿宋_GB2312" w:cs="仿宋_GB2312"/>
          <w:bCs/>
          <w:kern w:val="0"/>
          <w:sz w:val="32"/>
          <w:szCs w:val="32"/>
          <w:lang w:val="en-US" w:eastAsia="zh-CN" w:bidi="ar-SA"/>
        </w:rPr>
      </w:pPr>
      <w:r>
        <w:rPr>
          <w:rFonts w:hint="eastAsia" w:ascii="仿宋_GB2312" w:hAnsi="仿宋_GB2312" w:eastAsia="仿宋_GB2312" w:cs="仿宋_GB2312"/>
          <w:bCs/>
          <w:kern w:val="0"/>
          <w:sz w:val="32"/>
          <w:szCs w:val="32"/>
          <w:lang w:val="en-US" w:eastAsia="zh-CN" w:bidi="ar-SA"/>
        </w:rPr>
        <w:t>6.负责本系统服装和警车管理工作。承担本系统财务、装备、设施、场所等保障工作。</w:t>
      </w:r>
    </w:p>
    <w:p>
      <w:pPr>
        <w:spacing w:line="600" w:lineRule="exact"/>
        <w:ind w:firstLine="640" w:firstLineChars="200"/>
        <w:rPr>
          <w:rFonts w:hint="eastAsia" w:ascii="仿宋_GB2312" w:hAnsi="仿宋_GB2312" w:eastAsia="仿宋_GB2312" w:cs="仿宋_GB2312"/>
          <w:bCs/>
          <w:kern w:val="0"/>
          <w:sz w:val="32"/>
          <w:szCs w:val="32"/>
          <w:lang w:val="en-US" w:eastAsia="zh-CN" w:bidi="ar-SA"/>
        </w:rPr>
      </w:pPr>
      <w:r>
        <w:rPr>
          <w:rFonts w:hint="eastAsia" w:ascii="仿宋_GB2312" w:hAnsi="仿宋_GB2312" w:eastAsia="仿宋_GB2312" w:cs="仿宋_GB2312"/>
          <w:bCs/>
          <w:kern w:val="0"/>
          <w:sz w:val="32"/>
          <w:szCs w:val="32"/>
          <w:lang w:val="en-US" w:eastAsia="zh-CN" w:bidi="ar-SA"/>
        </w:rPr>
        <w:t>7.规划、协调、指导法治人才队伍建设相关工作，负责监督本系统队伍建设工作。</w:t>
      </w:r>
    </w:p>
    <w:p>
      <w:pPr>
        <w:spacing w:line="600" w:lineRule="exact"/>
        <w:ind w:firstLine="640" w:firstLineChars="200"/>
        <w:rPr>
          <w:rFonts w:hint="eastAsia" w:ascii="仿宋_GB2312" w:hAnsi="仿宋_GB2312" w:eastAsia="仿宋_GB2312" w:cs="仿宋_GB2312"/>
          <w:bCs/>
          <w:kern w:val="0"/>
          <w:sz w:val="32"/>
          <w:szCs w:val="32"/>
          <w:lang w:val="en-US" w:eastAsia="zh-CN" w:bidi="ar-SA"/>
        </w:rPr>
      </w:pPr>
      <w:r>
        <w:rPr>
          <w:rFonts w:hint="eastAsia" w:ascii="仿宋_GB2312" w:hAnsi="仿宋_GB2312" w:eastAsia="仿宋_GB2312" w:cs="仿宋_GB2312"/>
          <w:bCs/>
          <w:kern w:val="0"/>
          <w:sz w:val="32"/>
          <w:szCs w:val="32"/>
          <w:lang w:val="en-US" w:eastAsia="zh-CN" w:bidi="ar-SA"/>
        </w:rPr>
        <w:t xml:space="preserve">8.负责并指导本系统行政审批工作。负责全区外来企业涉法政务服务和行政执法方面的投诉处理。 </w:t>
      </w:r>
    </w:p>
    <w:p>
      <w:pPr>
        <w:spacing w:line="600" w:lineRule="exact"/>
        <w:ind w:firstLine="640" w:firstLineChars="200"/>
        <w:rPr>
          <w:rFonts w:hint="eastAsia" w:ascii="仿宋_GB2312" w:hAnsi="仿宋_GB2312" w:eastAsia="仿宋_GB2312" w:cs="仿宋_GB2312"/>
          <w:bCs/>
          <w:kern w:val="0"/>
          <w:sz w:val="32"/>
          <w:szCs w:val="32"/>
          <w:lang w:val="en-US" w:eastAsia="zh-CN" w:bidi="ar-SA"/>
        </w:rPr>
      </w:pPr>
      <w:r>
        <w:rPr>
          <w:rFonts w:hint="eastAsia" w:ascii="仿宋_GB2312" w:hAnsi="仿宋_GB2312" w:eastAsia="仿宋_GB2312" w:cs="仿宋_GB2312"/>
          <w:bCs/>
          <w:kern w:val="0"/>
          <w:sz w:val="32"/>
          <w:szCs w:val="32"/>
          <w:lang w:val="en-US" w:eastAsia="zh-CN" w:bidi="ar-SA"/>
        </w:rPr>
        <w:t>9.负责职责范围内的安全生产和职业健康、生态环境保护、审批服务便民化、市场监管等工作。</w:t>
      </w:r>
    </w:p>
    <w:p>
      <w:pPr>
        <w:spacing w:line="600" w:lineRule="exact"/>
        <w:ind w:firstLine="640" w:firstLineChars="200"/>
        <w:rPr>
          <w:rFonts w:hint="eastAsia" w:ascii="仿宋_GB2312" w:hAnsi="仿宋_GB2312" w:eastAsia="仿宋_GB2312" w:cs="仿宋_GB2312"/>
          <w:bCs/>
          <w:kern w:val="0"/>
          <w:sz w:val="32"/>
          <w:szCs w:val="32"/>
          <w:lang w:val="zh-CN" w:eastAsia="zh-CN" w:bidi="ar-SA"/>
        </w:rPr>
      </w:pPr>
      <w:r>
        <w:rPr>
          <w:rFonts w:hint="eastAsia" w:ascii="仿宋_GB2312" w:hAnsi="仿宋_GB2312" w:eastAsia="仿宋_GB2312" w:cs="仿宋_GB2312"/>
          <w:bCs/>
          <w:kern w:val="0"/>
          <w:sz w:val="32"/>
          <w:szCs w:val="32"/>
          <w:lang w:val="en-US" w:eastAsia="zh-CN" w:bidi="ar-SA"/>
        </w:rPr>
        <w:t>10.完成区委和区政府交办的其他任务。</w:t>
      </w:r>
    </w:p>
    <w:p>
      <w:pPr>
        <w:autoSpaceDE w:val="0"/>
        <w:autoSpaceDN w:val="0"/>
        <w:adjustRightInd w:val="0"/>
        <w:spacing w:line="600" w:lineRule="exact"/>
        <w:ind w:firstLine="643" w:firstLineChars="200"/>
        <w:jc w:val="left"/>
        <w:outlineLvl w:val="2"/>
        <w:rPr>
          <w:rFonts w:hint="eastAsia" w:ascii="楷体" w:hAnsi="楷体" w:eastAsia="楷体" w:cs="楷体"/>
          <w:b/>
          <w:bCs w:val="0"/>
          <w:sz w:val="32"/>
          <w:szCs w:val="32"/>
          <w:lang w:val="zh-CN"/>
        </w:rPr>
      </w:pPr>
      <w:bookmarkStart w:id="98" w:name="_Toc143805834"/>
      <w:r>
        <w:rPr>
          <w:rFonts w:hint="eastAsia" w:ascii="楷体" w:hAnsi="楷体" w:eastAsia="楷体" w:cs="楷体"/>
          <w:b/>
          <w:bCs w:val="0"/>
          <w:sz w:val="32"/>
          <w:szCs w:val="32"/>
          <w:lang w:val="zh-CN"/>
        </w:rPr>
        <w:t>（三）人员概况。</w:t>
      </w:r>
      <w:bookmarkEnd w:id="98"/>
    </w:p>
    <w:p>
      <w:pPr>
        <w:spacing w:line="600" w:lineRule="exact"/>
        <w:ind w:firstLine="640" w:firstLineChars="200"/>
        <w:rPr>
          <w:rFonts w:hint="eastAsia" w:ascii="仿宋_GB2312" w:hAnsi="仿宋_GB2312" w:eastAsia="仿宋_GB2312" w:cs="仿宋_GB2312"/>
          <w:bCs/>
          <w:kern w:val="0"/>
          <w:sz w:val="32"/>
          <w:szCs w:val="32"/>
          <w:lang w:val="en-US" w:eastAsia="zh-CN" w:bidi="ar-SA"/>
        </w:rPr>
      </w:pPr>
      <w:r>
        <w:rPr>
          <w:rFonts w:hint="eastAsia" w:ascii="仿宋_GB2312" w:hAnsi="仿宋_GB2312" w:eastAsia="仿宋_GB2312" w:cs="仿宋_GB2312"/>
          <w:bCs/>
          <w:kern w:val="0"/>
          <w:sz w:val="32"/>
          <w:szCs w:val="32"/>
          <w:lang w:val="en-US" w:eastAsia="zh-CN" w:bidi="ar-SA"/>
        </w:rPr>
        <w:t>安居区司法局人员编制数43个（包括6个事业编制，37个政法专项编制）。</w:t>
      </w:r>
    </w:p>
    <w:p>
      <w:pPr>
        <w:spacing w:line="600" w:lineRule="exact"/>
        <w:ind w:firstLine="640" w:firstLineChars="200"/>
        <w:rPr>
          <w:rFonts w:hint="eastAsia" w:ascii="仿宋_GB2312" w:hAnsi="仿宋_GB2312" w:eastAsia="仿宋_GB2312" w:cs="仿宋_GB2312"/>
          <w:bCs/>
          <w:kern w:val="0"/>
          <w:sz w:val="32"/>
          <w:szCs w:val="32"/>
          <w:lang w:val="zh-CN" w:eastAsia="zh-CN" w:bidi="ar-SA"/>
        </w:rPr>
      </w:pPr>
      <w:r>
        <w:rPr>
          <w:rFonts w:hint="eastAsia" w:ascii="仿宋_GB2312" w:hAnsi="仿宋_GB2312" w:eastAsia="仿宋_GB2312" w:cs="仿宋_GB2312"/>
          <w:bCs/>
          <w:kern w:val="0"/>
          <w:sz w:val="32"/>
          <w:szCs w:val="32"/>
          <w:lang w:val="en-US" w:eastAsia="zh-CN" w:bidi="ar-SA"/>
        </w:rPr>
        <w:t>截止2022年12月底，安居区司法局实有在岗人员41名，其中行政编制人员35名，参公管理事业编制人员4名，事业编制人员2名。</w:t>
      </w:r>
    </w:p>
    <w:p>
      <w:pPr>
        <w:pStyle w:val="4"/>
        <w:keepNext/>
        <w:keepLines/>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黑体" w:eastAsia="黑体"/>
          <w:b w:val="0"/>
        </w:rPr>
      </w:pPr>
      <w:bookmarkStart w:id="99" w:name="_Toc143805835"/>
      <w:r>
        <w:rPr>
          <w:rFonts w:hint="eastAsia" w:ascii="黑体" w:eastAsia="黑体"/>
          <w:b w:val="0"/>
        </w:rPr>
        <w:t>二、部门财政资金收支情况</w:t>
      </w:r>
      <w:bookmarkEnd w:id="99"/>
    </w:p>
    <w:p>
      <w:pPr>
        <w:autoSpaceDE w:val="0"/>
        <w:autoSpaceDN w:val="0"/>
        <w:adjustRightInd w:val="0"/>
        <w:spacing w:line="600" w:lineRule="exact"/>
        <w:ind w:firstLine="643" w:firstLineChars="200"/>
        <w:jc w:val="left"/>
        <w:outlineLvl w:val="2"/>
        <w:rPr>
          <w:rFonts w:ascii="仿宋" w:hAnsi="仿宋" w:eastAsia="仿宋"/>
          <w:b/>
          <w:sz w:val="32"/>
          <w:szCs w:val="32"/>
          <w:lang w:val="zh-CN"/>
        </w:rPr>
      </w:pPr>
      <w:bookmarkStart w:id="100" w:name="_Toc143805836"/>
      <w:r>
        <w:rPr>
          <w:rFonts w:hint="eastAsia" w:ascii="楷体" w:hAnsi="楷体" w:eastAsia="楷体" w:cs="楷体"/>
          <w:b/>
          <w:bCs w:val="0"/>
          <w:sz w:val="32"/>
          <w:szCs w:val="32"/>
          <w:lang w:val="zh-CN"/>
        </w:rPr>
        <w:t>（一）部门财政资金收入情况。</w:t>
      </w:r>
      <w:bookmarkEnd w:id="100"/>
    </w:p>
    <w:p>
      <w:pPr>
        <w:spacing w:line="600" w:lineRule="exact"/>
        <w:ind w:firstLine="640" w:firstLineChars="200"/>
        <w:rPr>
          <w:rFonts w:hint="eastAsia" w:ascii="仿宋_GB2312" w:hAnsi="仿宋_GB2312" w:eastAsia="仿宋_GB2312" w:cs="仿宋_GB2312"/>
          <w:bCs/>
          <w:kern w:val="0"/>
          <w:sz w:val="32"/>
          <w:szCs w:val="32"/>
          <w:lang w:val="zh-CN" w:eastAsia="zh-CN" w:bidi="ar-SA"/>
        </w:rPr>
      </w:pPr>
      <w:r>
        <w:rPr>
          <w:rFonts w:hint="eastAsia" w:ascii="仿宋_GB2312" w:hAnsi="仿宋_GB2312" w:eastAsia="仿宋_GB2312" w:cs="仿宋_GB2312"/>
          <w:bCs/>
          <w:kern w:val="0"/>
          <w:sz w:val="32"/>
          <w:szCs w:val="32"/>
          <w:lang w:val="en-US" w:eastAsia="zh-CN" w:bidi="ar-SA"/>
        </w:rPr>
        <w:t>2022年度遂宁市安居区司法局本年收入总计1168.92万元，与2021年相比，收入减少6.09万元。主要原因项目经费减少。</w:t>
      </w:r>
    </w:p>
    <w:p>
      <w:pPr>
        <w:autoSpaceDE w:val="0"/>
        <w:autoSpaceDN w:val="0"/>
        <w:adjustRightInd w:val="0"/>
        <w:spacing w:line="600" w:lineRule="exact"/>
        <w:ind w:firstLine="643" w:firstLineChars="200"/>
        <w:jc w:val="left"/>
        <w:outlineLvl w:val="2"/>
        <w:rPr>
          <w:rFonts w:hint="eastAsia" w:ascii="楷体" w:hAnsi="楷体" w:eastAsia="楷体" w:cs="楷体"/>
          <w:b/>
          <w:bCs w:val="0"/>
          <w:sz w:val="32"/>
          <w:szCs w:val="32"/>
          <w:lang w:val="zh-CN"/>
        </w:rPr>
      </w:pPr>
      <w:bookmarkStart w:id="101" w:name="_Toc143805837"/>
      <w:r>
        <w:rPr>
          <w:rFonts w:hint="eastAsia" w:ascii="楷体" w:hAnsi="楷体" w:eastAsia="楷体" w:cs="楷体"/>
          <w:b/>
          <w:bCs w:val="0"/>
          <w:sz w:val="32"/>
          <w:szCs w:val="32"/>
          <w:lang w:val="zh-CN"/>
        </w:rPr>
        <w:t>（</w:t>
      </w:r>
      <w:r>
        <w:rPr>
          <w:rFonts w:hint="eastAsia" w:ascii="楷体" w:hAnsi="楷体" w:eastAsia="楷体" w:cs="楷体"/>
          <w:b/>
          <w:bCs w:val="0"/>
          <w:sz w:val="32"/>
          <w:szCs w:val="32"/>
          <w:lang w:val="en-US" w:eastAsia="zh-CN"/>
        </w:rPr>
        <w:t>二</w:t>
      </w:r>
      <w:r>
        <w:rPr>
          <w:rFonts w:hint="eastAsia" w:ascii="楷体" w:hAnsi="楷体" w:eastAsia="楷体" w:cs="楷体"/>
          <w:b/>
          <w:bCs w:val="0"/>
          <w:sz w:val="32"/>
          <w:szCs w:val="32"/>
          <w:lang w:val="zh-CN"/>
        </w:rPr>
        <w:t>）部门财政资金支出情况。</w:t>
      </w:r>
      <w:bookmarkEnd w:id="101"/>
    </w:p>
    <w:p>
      <w:pPr>
        <w:spacing w:line="600" w:lineRule="exact"/>
        <w:ind w:firstLine="640" w:firstLineChars="200"/>
        <w:rPr>
          <w:rFonts w:hint="eastAsia" w:ascii="仿宋_GB2312" w:hAnsi="仿宋_GB2312" w:eastAsia="仿宋_GB2312" w:cs="仿宋_GB2312"/>
          <w:bCs/>
          <w:kern w:val="0"/>
          <w:sz w:val="32"/>
          <w:szCs w:val="32"/>
          <w:lang w:val="zh-CN" w:eastAsia="zh-CN" w:bidi="ar-SA"/>
        </w:rPr>
      </w:pPr>
      <w:r>
        <w:rPr>
          <w:rFonts w:hint="eastAsia" w:ascii="仿宋_GB2312" w:hAnsi="仿宋_GB2312" w:eastAsia="仿宋_GB2312" w:cs="仿宋_GB2312"/>
          <w:bCs/>
          <w:kern w:val="0"/>
          <w:sz w:val="32"/>
          <w:szCs w:val="32"/>
          <w:lang w:val="en-US" w:eastAsia="zh-CN" w:bidi="ar-SA"/>
        </w:rPr>
        <w:t>2022年度遂宁市安居区司法局本年支出总计1168.92万元，与2021年相比，支出减少6.08万元。主要原因：部分转移支付未支出。</w:t>
      </w:r>
    </w:p>
    <w:p>
      <w:pPr>
        <w:pStyle w:val="4"/>
        <w:keepNext/>
        <w:keepLines/>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黑体" w:eastAsia="黑体"/>
          <w:b w:val="0"/>
        </w:rPr>
      </w:pPr>
      <w:bookmarkStart w:id="102" w:name="_Toc143805838"/>
      <w:r>
        <w:rPr>
          <w:rFonts w:hint="eastAsia" w:ascii="黑体" w:eastAsia="黑体"/>
          <w:b w:val="0"/>
        </w:rPr>
        <w:t>三、部门整体预算绩效管理情况</w:t>
      </w:r>
      <w:bookmarkEnd w:id="102"/>
    </w:p>
    <w:p>
      <w:pPr>
        <w:autoSpaceDE w:val="0"/>
        <w:autoSpaceDN w:val="0"/>
        <w:adjustRightInd w:val="0"/>
        <w:spacing w:line="600" w:lineRule="exact"/>
        <w:ind w:firstLine="643" w:firstLineChars="200"/>
        <w:jc w:val="left"/>
        <w:outlineLvl w:val="2"/>
        <w:rPr>
          <w:rFonts w:hint="eastAsia" w:ascii="楷体" w:hAnsi="楷体" w:eastAsia="楷体" w:cs="楷体"/>
          <w:b/>
          <w:bCs w:val="0"/>
          <w:sz w:val="32"/>
          <w:szCs w:val="32"/>
          <w:lang w:val="zh-CN"/>
        </w:rPr>
      </w:pPr>
      <w:bookmarkStart w:id="103" w:name="_Toc143805839"/>
      <w:r>
        <w:rPr>
          <w:rFonts w:hint="eastAsia" w:ascii="楷体" w:hAnsi="楷体" w:eastAsia="楷体" w:cs="楷体"/>
          <w:b/>
          <w:bCs w:val="0"/>
          <w:sz w:val="32"/>
          <w:szCs w:val="32"/>
          <w:lang w:val="zh-CN"/>
        </w:rPr>
        <w:t>（一）部门预算项目绩效管理。</w:t>
      </w:r>
      <w:bookmarkEnd w:id="103"/>
    </w:p>
    <w:p>
      <w:pPr>
        <w:spacing w:line="600" w:lineRule="exact"/>
        <w:ind w:firstLine="640" w:firstLineChars="200"/>
        <w:rPr>
          <w:rFonts w:hint="eastAsia" w:ascii="仿宋_GB2312" w:hAnsi="仿宋_GB2312" w:eastAsia="仿宋_GB2312" w:cs="仿宋_GB2312"/>
          <w:bCs/>
          <w:kern w:val="0"/>
          <w:sz w:val="32"/>
          <w:szCs w:val="32"/>
          <w:lang w:val="zh-CN" w:eastAsia="zh-CN" w:bidi="ar-SA"/>
        </w:rPr>
      </w:pPr>
      <w:r>
        <w:rPr>
          <w:rFonts w:hint="eastAsia" w:ascii="仿宋_GB2312" w:hAnsi="仿宋_GB2312" w:eastAsia="仿宋_GB2312" w:cs="仿宋_GB2312"/>
          <w:bCs/>
          <w:kern w:val="0"/>
          <w:sz w:val="32"/>
          <w:szCs w:val="32"/>
          <w:lang w:val="en-US" w:eastAsia="zh-CN" w:bidi="ar-SA"/>
        </w:rPr>
        <w:t>遂宁市安居区司法局严格按《预算法》要求，严守区级部门预算编制通知的时间节点，按时高质量完成基础库、项目库报送工作。同时我局整体绩效目标编制完整、合理，项目绩效目标编制明确、量化。并及时研究提出资金分配方案，全力配合财政局做好提前下达转移支付相关工作。</w:t>
      </w:r>
    </w:p>
    <w:p>
      <w:pPr>
        <w:autoSpaceDE w:val="0"/>
        <w:autoSpaceDN w:val="0"/>
        <w:adjustRightInd w:val="0"/>
        <w:spacing w:line="600" w:lineRule="exact"/>
        <w:ind w:firstLine="643" w:firstLineChars="200"/>
        <w:jc w:val="left"/>
        <w:outlineLvl w:val="2"/>
        <w:rPr>
          <w:rFonts w:hint="eastAsia" w:ascii="楷体" w:hAnsi="楷体" w:eastAsia="楷体" w:cs="楷体"/>
          <w:b/>
          <w:bCs w:val="0"/>
          <w:sz w:val="32"/>
          <w:szCs w:val="32"/>
          <w:lang w:val="zh-CN"/>
        </w:rPr>
      </w:pPr>
      <w:bookmarkStart w:id="104" w:name="_Toc143805840"/>
      <w:r>
        <w:rPr>
          <w:rFonts w:hint="eastAsia" w:ascii="楷体" w:hAnsi="楷体" w:eastAsia="楷体" w:cs="楷体"/>
          <w:b/>
          <w:bCs w:val="0"/>
          <w:sz w:val="32"/>
          <w:szCs w:val="32"/>
          <w:lang w:val="zh-CN"/>
        </w:rPr>
        <w:t>（二）结果应用情况。</w:t>
      </w:r>
      <w:bookmarkEnd w:id="104"/>
    </w:p>
    <w:p>
      <w:pPr>
        <w:spacing w:line="560" w:lineRule="exact"/>
        <w:ind w:firstLine="643" w:firstLineChars="200"/>
        <w:jc w:val="left"/>
        <w:rPr>
          <w:rFonts w:hint="eastAsia" w:ascii="仿宋_GB2312" w:hAnsi="仿宋_GB2312" w:eastAsia="仿宋_GB2312" w:cs="仿宋_GB2312"/>
          <w:bCs/>
          <w:kern w:val="0"/>
          <w:sz w:val="32"/>
          <w:szCs w:val="32"/>
          <w:lang w:val="en-US" w:eastAsia="zh-CN" w:bidi="ar-SA"/>
        </w:rPr>
      </w:pPr>
      <w:r>
        <w:rPr>
          <w:rFonts w:hint="eastAsia" w:ascii="仿宋_GB2312" w:hAnsi="仿宋_GB2312" w:eastAsia="仿宋_GB2312" w:cs="仿宋_GB2312"/>
          <w:b/>
          <w:bCs/>
          <w:sz w:val="32"/>
          <w:szCs w:val="32"/>
        </w:rPr>
        <w:t>社区矫正工作有力度。</w:t>
      </w:r>
      <w:r>
        <w:rPr>
          <w:rFonts w:hint="eastAsia" w:ascii="仿宋_GB2312" w:hAnsi="仿宋_GB2312" w:eastAsia="仿宋_GB2312" w:cs="仿宋_GB2312"/>
          <w:bCs/>
          <w:kern w:val="0"/>
          <w:sz w:val="32"/>
          <w:szCs w:val="32"/>
          <w:lang w:val="en-US" w:eastAsia="zh-CN" w:bidi="ar-SA"/>
        </w:rPr>
        <w:t>在全市率先实现镇（街道）社区矫正委员会全覆盖，工作中充分发挥党委领导作用，研究解决难点堵点问题，确保党的领导落实到社区矫正工作的各环节、全过程；投入150余万元创建部级“智慧矫正中心”，目前等待司法部验收。全年接受委托社会调查107件，管控社区矫正对象272人，解除83人，收监2人，开展集中教育9次，受教育面300余人，开展个别教育985人；做好刑满释放人员安置帮教工作，建立刑释人员档案349人，指导就业29人，落实最低生活保障7人、临时救助2人、医疗救助1人；远程会见“乡乡通”直抵基层，共进行远程会见514人次，为服刑人员家属降低探监成本和便利的同时，增强了服刑人员积极改造的动力。</w:t>
      </w:r>
    </w:p>
    <w:p>
      <w:pPr>
        <w:spacing w:line="560" w:lineRule="exact"/>
        <w:ind w:firstLine="643" w:firstLineChars="200"/>
        <w:jc w:val="left"/>
        <w:rPr>
          <w:rFonts w:hint="eastAsia" w:ascii="仿宋_GB2312" w:hAnsi="仿宋_GB2312" w:eastAsia="仿宋_GB2312" w:cs="仿宋_GB2312"/>
          <w:bCs/>
          <w:kern w:val="0"/>
          <w:sz w:val="32"/>
          <w:szCs w:val="32"/>
          <w:lang w:val="en-US" w:eastAsia="zh-CN" w:bidi="ar-SA"/>
        </w:rPr>
      </w:pPr>
      <w:r>
        <w:rPr>
          <w:rFonts w:hint="eastAsia" w:ascii="仿宋_GB2312" w:hAnsi="仿宋_GB2312" w:eastAsia="仿宋_GB2312" w:cs="仿宋_GB2312"/>
          <w:b/>
          <w:bCs/>
          <w:sz w:val="32"/>
          <w:szCs w:val="32"/>
        </w:rPr>
        <w:t>法治阵地建设有点位。</w:t>
      </w:r>
      <w:r>
        <w:rPr>
          <w:rFonts w:hint="eastAsia" w:ascii="仿宋_GB2312" w:hAnsi="仿宋_GB2312" w:eastAsia="仿宋_GB2312" w:cs="仿宋_GB2312"/>
          <w:bCs/>
          <w:kern w:val="0"/>
          <w:sz w:val="32"/>
          <w:szCs w:val="32"/>
          <w:lang w:val="en-US" w:eastAsia="zh-CN" w:bidi="ar-SA"/>
        </w:rPr>
        <w:t>紧扣遂潼一体化选题，通过246国道线链接安居磨溪镇和潼南双江镇，以点带面，在3年内分3期打造多个点辐射多个面，创建一条既有风土人情、又兼具创新性的跨区域法治文化景观带；推进基层民主法治建设，积极申报磨溪镇老木垭村为第一批省级民主法治示范村（社区），部署开展第十批全国民主法治示范村（社区）创建，</w:t>
      </w:r>
      <w:bookmarkStart w:id="164" w:name="_GoBack"/>
      <w:bookmarkEnd w:id="164"/>
      <w:r>
        <w:rPr>
          <w:rFonts w:hint="eastAsia" w:ascii="仿宋_GB2312" w:hAnsi="仿宋_GB2312" w:eastAsia="仿宋_GB2312" w:cs="仿宋_GB2312"/>
          <w:bCs/>
          <w:kern w:val="0"/>
          <w:sz w:val="32"/>
          <w:szCs w:val="32"/>
          <w:lang w:val="en-US" w:eastAsia="zh-CN" w:bidi="ar-SA"/>
        </w:rPr>
        <w:t>截至目前共创建2个国家级，32个市级，16个区级“民主法治村（社区）”；利用安居融媒APP、法治安居、安逸安居微信公众号、视频号等网络媒体平台，及时发布依法治区工作动态，全年发布相关信息200余条。</w:t>
      </w:r>
    </w:p>
    <w:p>
      <w:pPr>
        <w:spacing w:line="560" w:lineRule="exact"/>
        <w:ind w:firstLine="643" w:firstLineChars="200"/>
        <w:jc w:val="left"/>
        <w:rPr>
          <w:rFonts w:hint="eastAsia" w:ascii="仿宋_GB2312" w:hAnsi="仿宋_GB2312" w:eastAsia="仿宋_GB2312" w:cs="仿宋_GB2312"/>
          <w:bCs/>
          <w:kern w:val="0"/>
          <w:sz w:val="32"/>
          <w:szCs w:val="32"/>
          <w:lang w:val="en-US" w:eastAsia="zh-CN" w:bidi="ar-SA"/>
        </w:rPr>
      </w:pPr>
      <w:r>
        <w:rPr>
          <w:rFonts w:hint="eastAsia" w:ascii="仿宋_GB2312" w:hAnsi="仿宋_GB2312" w:eastAsia="仿宋_GB2312" w:cs="仿宋_GB2312"/>
          <w:b/>
          <w:bCs/>
          <w:sz w:val="32"/>
          <w:szCs w:val="32"/>
        </w:rPr>
        <w:t>普法宣传解读有作为。</w:t>
      </w:r>
      <w:r>
        <w:rPr>
          <w:rFonts w:hint="eastAsia" w:ascii="仿宋_GB2312" w:hAnsi="仿宋_GB2312" w:eastAsia="仿宋_GB2312" w:cs="仿宋_GB2312"/>
          <w:bCs/>
          <w:kern w:val="0"/>
          <w:sz w:val="32"/>
          <w:szCs w:val="32"/>
          <w:lang w:val="en-US" w:eastAsia="zh-CN" w:bidi="ar-SA"/>
        </w:rPr>
        <w:t>成立“八五”普法暨民法典普法宣讲团，持续开展“法治四川行”一月一主题活动，开展普法宣传活动70余次，发放法律宣传读本6万余本；落实国家工作人员学法考法制度，推广国家工作人员学法考法平台运用，全区1万余国家工作人员加入平台，学习率达100%；开办“法治传音筒”普法广播栏目，打通普法“最后一公里”，开办以来播放广播12期。利用《琼江讲堂》栏目，播出法治专题节目10期、法治微视频18部，进一步增强电视观众法治意识。</w:t>
      </w:r>
    </w:p>
    <w:p>
      <w:pPr>
        <w:spacing w:line="600" w:lineRule="exact"/>
        <w:ind w:firstLine="643" w:firstLineChars="200"/>
        <w:rPr>
          <w:rFonts w:hint="eastAsia" w:ascii="仿宋_GB2312" w:hAnsi="仿宋_GB2312" w:eastAsia="仿宋_GB2312" w:cs="仿宋_GB2312"/>
          <w:bCs/>
          <w:kern w:val="0"/>
          <w:sz w:val="32"/>
          <w:szCs w:val="32"/>
          <w:lang w:val="en-US" w:eastAsia="zh-CN" w:bidi="ar-SA"/>
        </w:rPr>
      </w:pPr>
      <w:r>
        <w:rPr>
          <w:rFonts w:hint="eastAsia" w:ascii="仿宋_GB2312" w:hAnsi="仿宋_GB2312" w:eastAsia="仿宋_GB2312" w:cs="仿宋_GB2312"/>
          <w:b/>
          <w:bCs/>
          <w:sz w:val="32"/>
          <w:szCs w:val="32"/>
        </w:rPr>
        <w:t>法律服务工作有温度。</w:t>
      </w:r>
      <w:r>
        <w:rPr>
          <w:rFonts w:hint="eastAsia" w:ascii="仿宋_GB2312" w:hAnsi="仿宋_GB2312" w:eastAsia="仿宋_GB2312" w:cs="仿宋_GB2312"/>
          <w:bCs/>
          <w:kern w:val="0"/>
          <w:sz w:val="32"/>
          <w:szCs w:val="32"/>
          <w:lang w:val="en-US" w:eastAsia="zh-CN" w:bidi="ar-SA"/>
        </w:rPr>
        <w:t>积极整合律师、公证、司法所、人民调解等四个专业服务资源，打通服务群众“最后一公里”，建成区级公共法律服务中心1个、乡镇（街道）公共法律服务工作站18个、村（社区）公共法律服务工作室329个，全年办理民事案件565件，刑事案件62件，签署认罪认罚具结书157份，讨回欠薪、挽回经济损失42.30万元；办理各类公证共计774件，公证收费共计30余万元，减少证明事项2项，为行动不便的群众提供上门服务80余次，提供延时服务50余次，为困难群众减免公证费用3万余元。</w:t>
      </w:r>
      <w:bookmarkStart w:id="105" w:name="_Toc143805841"/>
    </w:p>
    <w:p>
      <w:pPr>
        <w:spacing w:line="600" w:lineRule="exact"/>
        <w:ind w:firstLine="643" w:firstLineChars="200"/>
        <w:rPr>
          <w:rFonts w:hint="eastAsia" w:ascii="仿宋_GB2312" w:hAnsi="仿宋_GB2312" w:eastAsia="仿宋_GB2312" w:cs="仿宋_GB2312"/>
          <w:b w:val="0"/>
          <w:bCs/>
          <w:kern w:val="0"/>
          <w:sz w:val="32"/>
          <w:szCs w:val="32"/>
          <w:lang w:val="en-US" w:eastAsia="zh-CN" w:bidi="ar-SA"/>
        </w:rPr>
      </w:pPr>
      <w:r>
        <w:rPr>
          <w:rFonts w:hint="eastAsia" w:ascii="仿宋_GB2312" w:hAnsi="仿宋_GB2312" w:eastAsia="仿宋_GB2312" w:cs="仿宋_GB2312"/>
          <w:b/>
          <w:bCs/>
          <w:sz w:val="32"/>
          <w:szCs w:val="32"/>
        </w:rPr>
        <w:t>人民调解工作有深度。</w:t>
      </w:r>
      <w:r>
        <w:rPr>
          <w:rFonts w:hint="eastAsia" w:ascii="仿宋_GB2312" w:hAnsi="仿宋_GB2312" w:eastAsia="仿宋_GB2312" w:cs="仿宋_GB2312"/>
          <w:bCs/>
          <w:kern w:val="0"/>
          <w:sz w:val="32"/>
          <w:szCs w:val="32"/>
          <w:lang w:val="en-US" w:eastAsia="zh-CN" w:bidi="ar-SA"/>
        </w:rPr>
        <w:t>制发《调解促稳定 喜迎二十大“三查三化三优”专项行动方案》，指导各级调解组织坚持“日常排查+专项排查”，做好矛盾纠纷排查工作；探索“一地一解纷超市”建设新模式，实现矛盾纠纷调处“一站式”服务，建立基层“解纷超市”11个，建立73人调解人员资源库，建立调解前置程序，指导各类调解组织排查矛盾纠纷1363件，调解成功率98.6%，涉及金额333.62万元。持续发挥“六个一”涉法涉诉信访化解工作机制效果，加大律师参与化解信访工作力度，全年指派6名律师参与7件信访案件化解；发挥信访听证制度化解争议实效，组织召开涉法涉诉信访听证2次，引导信访当事人合理合法表达信访诉求。</w:t>
      </w:r>
      <w:bookmarkEnd w:id="105"/>
    </w:p>
    <w:p>
      <w:pPr>
        <w:widowControl/>
        <w:adjustRightInd w:val="0"/>
        <w:snapToGrid w:val="0"/>
        <w:spacing w:line="580" w:lineRule="exact"/>
        <w:ind w:firstLine="643" w:firstLineChars="200"/>
        <w:contextualSpacing/>
        <w:jc w:val="left"/>
        <w:rPr>
          <w:rFonts w:hint="eastAsia" w:ascii="仿宋_GB2312" w:hAnsi="仿宋_GB2312" w:eastAsia="仿宋_GB2312" w:cs="仿宋_GB2312"/>
          <w:bCs/>
          <w:kern w:val="0"/>
          <w:sz w:val="32"/>
          <w:szCs w:val="32"/>
          <w:lang w:val="zh-CN" w:eastAsia="zh-CN" w:bidi="ar-SA"/>
        </w:rPr>
      </w:pPr>
      <w:r>
        <w:rPr>
          <w:rFonts w:hint="eastAsia" w:ascii="仿宋_GB2312" w:hAnsi="仿宋_GB2312" w:eastAsia="仿宋_GB2312" w:cs="仿宋_GB2312"/>
          <w:b/>
          <w:bCs/>
          <w:sz w:val="32"/>
          <w:szCs w:val="32"/>
        </w:rPr>
        <w:t>乡村法治振兴有保障。</w:t>
      </w:r>
      <w:r>
        <w:rPr>
          <w:rFonts w:hint="eastAsia" w:ascii="仿宋_GB2312" w:hAnsi="仿宋_GB2312" w:eastAsia="仿宋_GB2312" w:cs="仿宋_GB2312"/>
          <w:bCs/>
          <w:kern w:val="0"/>
          <w:sz w:val="32"/>
          <w:szCs w:val="32"/>
          <w:lang w:val="en-US" w:eastAsia="zh-CN" w:bidi="ar-SA"/>
        </w:rPr>
        <w:t>依托律师、法律顾问进网格等服务平台，由303名村居法律顾问坐诊“家门口”，现场为群众解答涉及“套路贷”、民事诉讼、民间经济纠纷等方面的实际法律问题。依托“双月十日”公共法律集中服务活动品牌，深入基层提供全覆盖、零距离、无障碍的专项法律服务；参与村(社区)制度建设，协助调处因体制改革引发的矛盾纠纷。全年共为村(社区)提供土地交付、承包经营等方面的法律意见120余条。推动村(居)民形成办事依法、遇事找法、解决问题用法、化解矛盾靠法的良好氛围，传递法治的力量。大力实施“法律明白人”培育工程，采取线上、线下相结合的方式，组织全区993名法律明白人培训20余次，参与法治宣传30余次</w:t>
      </w:r>
      <w:r>
        <w:rPr>
          <w:rFonts w:hint="eastAsia" w:ascii="仿宋_GB2312" w:hAnsi="仿宋_GB2312" w:eastAsia="仿宋_GB2312" w:cs="仿宋_GB2312"/>
          <w:bCs/>
          <w:kern w:val="0"/>
          <w:sz w:val="32"/>
          <w:szCs w:val="32"/>
          <w:lang w:val="zh-CN" w:eastAsia="zh-CN" w:bidi="ar-SA"/>
        </w:rPr>
        <w:t>。</w:t>
      </w:r>
    </w:p>
    <w:p>
      <w:pPr>
        <w:pStyle w:val="4"/>
        <w:keepNext/>
        <w:keepLines/>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黑体" w:eastAsia="黑体"/>
          <w:b w:val="0"/>
        </w:rPr>
      </w:pPr>
      <w:bookmarkStart w:id="106" w:name="_Toc143805842"/>
      <w:r>
        <w:rPr>
          <w:rFonts w:hint="eastAsia" w:ascii="黑体" w:eastAsia="黑体"/>
          <w:b w:val="0"/>
        </w:rPr>
        <w:t>四、评价结论及建议</w:t>
      </w:r>
      <w:bookmarkEnd w:id="106"/>
    </w:p>
    <w:p>
      <w:pPr>
        <w:pageBreakBefore w:val="0"/>
        <w:widowControl w:val="0"/>
        <w:kinsoku/>
        <w:wordWrap/>
        <w:overflowPunct/>
        <w:topLinePunct w:val="0"/>
        <w:autoSpaceDE w:val="0"/>
        <w:autoSpaceDN w:val="0"/>
        <w:bidi w:val="0"/>
        <w:adjustRightInd w:val="0"/>
        <w:snapToGrid/>
        <w:spacing w:line="560" w:lineRule="exact"/>
        <w:ind w:firstLine="643" w:firstLineChars="200"/>
        <w:jc w:val="left"/>
        <w:textAlignment w:val="auto"/>
        <w:outlineLvl w:val="2"/>
        <w:rPr>
          <w:rFonts w:ascii="仿宋" w:hAnsi="仿宋" w:eastAsia="仿宋"/>
          <w:b/>
          <w:sz w:val="32"/>
          <w:szCs w:val="32"/>
          <w:lang w:val="zh-CN"/>
        </w:rPr>
      </w:pPr>
      <w:bookmarkStart w:id="107" w:name="_Toc143805843"/>
      <w:r>
        <w:rPr>
          <w:rFonts w:hint="eastAsia" w:ascii="仿宋" w:hAnsi="仿宋" w:eastAsia="仿宋"/>
          <w:b/>
          <w:sz w:val="32"/>
          <w:szCs w:val="32"/>
          <w:lang w:val="zh-CN"/>
        </w:rPr>
        <w:t>（一）评价结论。</w:t>
      </w:r>
      <w:bookmarkEnd w:id="107"/>
    </w:p>
    <w:p>
      <w:pPr>
        <w:spacing w:line="600" w:lineRule="exact"/>
        <w:ind w:firstLine="640" w:firstLineChars="200"/>
        <w:rPr>
          <w:rFonts w:hint="eastAsia" w:ascii="仿宋_GB2312" w:hAnsi="仿宋_GB2312" w:eastAsia="仿宋_GB2312" w:cs="仿宋_GB2312"/>
          <w:bCs/>
          <w:kern w:val="0"/>
          <w:sz w:val="32"/>
          <w:szCs w:val="32"/>
          <w:lang w:val="zh-CN" w:eastAsia="zh-CN" w:bidi="ar-SA"/>
        </w:rPr>
      </w:pPr>
      <w:r>
        <w:rPr>
          <w:rFonts w:hint="eastAsia" w:ascii="仿宋_GB2312" w:hAnsi="仿宋_GB2312" w:eastAsia="仿宋_GB2312" w:cs="仿宋_GB2312"/>
          <w:bCs/>
          <w:kern w:val="0"/>
          <w:sz w:val="32"/>
          <w:szCs w:val="32"/>
          <w:lang w:val="zh-CN" w:eastAsia="zh-CN" w:bidi="ar-SA"/>
        </w:rPr>
        <w:t>经遂宁市安居区司法局认真自评，20</w:t>
      </w:r>
      <w:r>
        <w:rPr>
          <w:rFonts w:hint="eastAsia" w:ascii="仿宋_GB2312" w:hAnsi="仿宋_GB2312" w:eastAsia="仿宋_GB2312" w:cs="仿宋_GB2312"/>
          <w:bCs/>
          <w:kern w:val="0"/>
          <w:sz w:val="32"/>
          <w:szCs w:val="32"/>
          <w:lang w:val="en-US" w:eastAsia="zh-CN" w:bidi="ar-SA"/>
        </w:rPr>
        <w:t>22</w:t>
      </w:r>
      <w:r>
        <w:rPr>
          <w:rFonts w:hint="eastAsia" w:ascii="仿宋_GB2312" w:hAnsi="仿宋_GB2312" w:eastAsia="仿宋_GB2312" w:cs="仿宋_GB2312"/>
          <w:bCs/>
          <w:kern w:val="0"/>
          <w:sz w:val="32"/>
          <w:szCs w:val="32"/>
          <w:lang w:val="zh-CN" w:eastAsia="zh-CN" w:bidi="ar-SA"/>
        </w:rPr>
        <w:t>年整体支出绩效评为“良好”。绩效目标明确，资金落实到位，管理体系完善，司法行政工作成效显现。</w:t>
      </w:r>
    </w:p>
    <w:p>
      <w:pPr>
        <w:pageBreakBefore w:val="0"/>
        <w:widowControl w:val="0"/>
        <w:numPr>
          <w:ilvl w:val="0"/>
          <w:numId w:val="4"/>
        </w:numPr>
        <w:kinsoku/>
        <w:wordWrap/>
        <w:overflowPunct/>
        <w:topLinePunct w:val="0"/>
        <w:autoSpaceDE w:val="0"/>
        <w:autoSpaceDN w:val="0"/>
        <w:bidi w:val="0"/>
        <w:adjustRightInd w:val="0"/>
        <w:snapToGrid/>
        <w:spacing w:line="560" w:lineRule="exact"/>
        <w:ind w:firstLine="643" w:firstLineChars="200"/>
        <w:jc w:val="left"/>
        <w:textAlignment w:val="auto"/>
        <w:outlineLvl w:val="2"/>
        <w:rPr>
          <w:rFonts w:ascii="仿宋" w:hAnsi="仿宋" w:eastAsia="仿宋"/>
          <w:b/>
          <w:sz w:val="32"/>
          <w:szCs w:val="32"/>
          <w:lang w:val="zh-CN"/>
        </w:rPr>
      </w:pPr>
      <w:bookmarkStart w:id="108" w:name="_Toc143805844"/>
      <w:r>
        <w:rPr>
          <w:rFonts w:hint="eastAsia" w:ascii="仿宋" w:hAnsi="仿宋" w:eastAsia="仿宋"/>
          <w:b/>
          <w:sz w:val="32"/>
          <w:szCs w:val="32"/>
          <w:lang w:val="zh-CN"/>
        </w:rPr>
        <w:t>存在问题。</w:t>
      </w:r>
      <w:bookmarkEnd w:id="108"/>
    </w:p>
    <w:p>
      <w:pPr>
        <w:pageBreakBefore w:val="0"/>
        <w:widowControl w:val="0"/>
        <w:kinsoku/>
        <w:wordWrap/>
        <w:overflowPunct/>
        <w:topLinePunct w:val="0"/>
        <w:bidi w:val="0"/>
        <w:snapToGrid/>
        <w:spacing w:line="560" w:lineRule="exact"/>
        <w:ind w:firstLine="960" w:firstLineChars="300"/>
        <w:textAlignment w:val="auto"/>
        <w:rPr>
          <w:rFonts w:hint="eastAsia" w:ascii="仿宋_GB2312" w:hAnsi="仿宋_GB2312" w:eastAsia="仿宋_GB2312" w:cs="仿宋_GB2312"/>
          <w:bCs/>
          <w:kern w:val="0"/>
          <w:sz w:val="32"/>
          <w:szCs w:val="32"/>
          <w:lang w:val="en-US" w:eastAsia="zh-CN" w:bidi="ar-SA"/>
        </w:rPr>
      </w:pPr>
      <w:r>
        <w:rPr>
          <w:rFonts w:hint="eastAsia" w:ascii="仿宋_GB2312" w:hAnsi="仿宋_GB2312" w:eastAsia="仿宋_GB2312" w:cs="仿宋_GB2312"/>
          <w:bCs/>
          <w:kern w:val="0"/>
          <w:sz w:val="32"/>
          <w:szCs w:val="32"/>
          <w:lang w:val="en-US" w:eastAsia="zh-CN" w:bidi="ar-SA"/>
        </w:rPr>
        <w:t>2022年，我们全面发挥职能优势，扎实开展各项工作，取得了一定的成效，但工作还存在着许多薄弱环节和短板：</w:t>
      </w:r>
      <w:r>
        <w:rPr>
          <w:rFonts w:ascii="仿宋" w:hAnsi="仿宋" w:eastAsia="仿宋"/>
          <w:b/>
          <w:bCs/>
          <w:sz w:val="32"/>
          <w:szCs w:val="32"/>
        </w:rPr>
        <w:t>一是</w:t>
      </w:r>
      <w:r>
        <w:rPr>
          <w:rFonts w:hint="eastAsia" w:ascii="仿宋_GB2312" w:hAnsi="仿宋_GB2312" w:eastAsia="仿宋_GB2312" w:cs="仿宋_GB2312"/>
          <w:bCs/>
          <w:kern w:val="0"/>
          <w:sz w:val="32"/>
          <w:szCs w:val="32"/>
          <w:lang w:val="en-US" w:eastAsia="zh-CN" w:bidi="ar-SA"/>
        </w:rPr>
        <w:t>发展不够平衡，基层基础比较薄弱。如我局基层司法所办公阵地、业务能力等规范化建设基础薄弱。</w:t>
      </w:r>
      <w:r>
        <w:rPr>
          <w:rFonts w:ascii="仿宋" w:hAnsi="仿宋" w:eastAsia="仿宋"/>
          <w:b/>
          <w:bCs/>
          <w:sz w:val="32"/>
          <w:szCs w:val="32"/>
        </w:rPr>
        <w:t>二是</w:t>
      </w:r>
      <w:r>
        <w:rPr>
          <w:rFonts w:hint="eastAsia" w:ascii="仿宋_GB2312" w:hAnsi="仿宋_GB2312" w:eastAsia="仿宋_GB2312" w:cs="仿宋_GB2312"/>
          <w:bCs/>
          <w:kern w:val="0"/>
          <w:sz w:val="32"/>
          <w:szCs w:val="32"/>
          <w:lang w:val="en-US" w:eastAsia="zh-CN" w:bidi="ar-SA"/>
        </w:rPr>
        <w:t>专业人才缺乏，法律服务机构还不健全。如我区法律人才资源较为缺少，仅有2个律师事务所、7名社会律师。</w:t>
      </w:r>
      <w:r>
        <w:rPr>
          <w:rFonts w:hint="eastAsia" w:ascii="仿宋" w:hAnsi="仿宋" w:eastAsia="仿宋"/>
          <w:b/>
          <w:bCs/>
          <w:sz w:val="32"/>
          <w:szCs w:val="32"/>
        </w:rPr>
        <w:t>三是</w:t>
      </w:r>
      <w:r>
        <w:rPr>
          <w:rFonts w:hint="eastAsia" w:ascii="仿宋_GB2312" w:hAnsi="仿宋_GB2312" w:eastAsia="仿宋_GB2312" w:cs="仿宋_GB2312"/>
          <w:bCs/>
          <w:kern w:val="0"/>
          <w:sz w:val="32"/>
          <w:szCs w:val="32"/>
          <w:lang w:val="en-US" w:eastAsia="zh-CN" w:bidi="ar-SA"/>
        </w:rPr>
        <w:t>依法治区考核力度不足。目前依法治区考核是放在全市党务目标进行的考核，分值较低，无单独的考核细则，也无加分项目，各部门干事激情不足。</w:t>
      </w:r>
    </w:p>
    <w:p>
      <w:pPr>
        <w:pageBreakBefore w:val="0"/>
        <w:widowControl w:val="0"/>
        <w:numPr>
          <w:ilvl w:val="0"/>
          <w:numId w:val="4"/>
        </w:numPr>
        <w:kinsoku/>
        <w:wordWrap/>
        <w:overflowPunct/>
        <w:topLinePunct w:val="0"/>
        <w:autoSpaceDE w:val="0"/>
        <w:autoSpaceDN w:val="0"/>
        <w:bidi w:val="0"/>
        <w:adjustRightInd w:val="0"/>
        <w:snapToGrid/>
        <w:spacing w:line="560" w:lineRule="exact"/>
        <w:ind w:firstLine="643" w:firstLineChars="200"/>
        <w:jc w:val="left"/>
        <w:textAlignment w:val="auto"/>
        <w:outlineLvl w:val="2"/>
        <w:rPr>
          <w:rFonts w:ascii="仿宋" w:hAnsi="仿宋" w:eastAsia="仿宋"/>
          <w:b/>
          <w:sz w:val="32"/>
          <w:szCs w:val="32"/>
          <w:lang w:val="zh-CN"/>
        </w:rPr>
      </w:pPr>
      <w:bookmarkStart w:id="109" w:name="_Toc143805845"/>
      <w:r>
        <w:rPr>
          <w:rFonts w:hint="eastAsia" w:ascii="仿宋" w:hAnsi="仿宋" w:eastAsia="仿宋"/>
          <w:b/>
          <w:sz w:val="32"/>
          <w:szCs w:val="32"/>
          <w:lang w:val="zh-CN"/>
        </w:rPr>
        <w:t>改进建议。</w:t>
      </w:r>
      <w:bookmarkEnd w:id="109"/>
    </w:p>
    <w:p>
      <w:pPr>
        <w:pStyle w:val="25"/>
        <w:pageBreakBefore w:val="0"/>
        <w:widowControl w:val="0"/>
        <w:kinsoku/>
        <w:wordWrap/>
        <w:overflowPunct/>
        <w:topLinePunct w:val="0"/>
        <w:bidi w:val="0"/>
        <w:snapToGrid/>
        <w:spacing w:line="560" w:lineRule="exact"/>
        <w:ind w:left="420" w:leftChars="200" w:firstLine="640" w:firstLineChars="200"/>
        <w:textAlignment w:val="auto"/>
        <w:rPr>
          <w:rFonts w:hint="eastAsia" w:ascii="仿宋_GB2312" w:hAnsi="仿宋_GB2312" w:eastAsia="仿宋_GB2312" w:cs="仿宋_GB2312"/>
          <w:bCs/>
          <w:color w:val="auto"/>
          <w:kern w:val="0"/>
          <w:sz w:val="32"/>
          <w:szCs w:val="32"/>
          <w:lang w:val="zh-CN" w:eastAsia="zh-CN" w:bidi="ar-SA"/>
        </w:rPr>
        <w:sectPr>
          <w:footerReference r:id="rId6" w:type="default"/>
          <w:pgSz w:w="11906" w:h="16838"/>
          <w:pgMar w:top="1440" w:right="1800" w:bottom="1440" w:left="1800" w:header="851" w:footer="992" w:gutter="0"/>
          <w:pgNumType w:fmt="decimal" w:start="1"/>
          <w:cols w:space="425" w:num="1"/>
          <w:docGrid w:type="lines" w:linePitch="312" w:charSpace="0"/>
        </w:sectPr>
      </w:pPr>
      <w:r>
        <w:rPr>
          <w:rFonts w:hint="eastAsia" w:ascii="仿宋_GB2312" w:hAnsi="仿宋_GB2312" w:eastAsia="仿宋_GB2312" w:cs="仿宋_GB2312"/>
          <w:bCs/>
          <w:color w:val="auto"/>
          <w:kern w:val="0"/>
          <w:sz w:val="32"/>
          <w:szCs w:val="32"/>
          <w:lang w:val="en-US" w:eastAsia="zh-CN" w:bidi="ar-SA"/>
        </w:rPr>
        <w:t>引进专业人员，充实队伍，面向社会公开招聘一批懂法律、懂政策，具有较高综合素质和道德修养的人员，充实司法行政队伍；根据工作的实际需要，逐年增加法治政府建设、行政审批、社区矫正、法律援助、普法宣传、人民调解的业务专项经费；追加全区依法治区专项工作经费预算，为我区实现高质量发展提供坚强法治保障；继续推进公共法律服务体系建设。实现公共法律服务实体、热线、网络三大平台基本融合，汇聚形成公共法律服务大数据。</w:t>
      </w:r>
    </w:p>
    <w:p>
      <w:pPr>
        <w:widowControl/>
        <w:adjustRightInd w:val="0"/>
        <w:snapToGrid w:val="0"/>
        <w:spacing w:line="620" w:lineRule="exact"/>
        <w:contextualSpacing/>
        <w:jc w:val="left"/>
        <w:rPr>
          <w:rFonts w:hint="eastAsia" w:ascii="黑体" w:hAnsi="黑体" w:eastAsia="黑体" w:cs="黑体"/>
          <w:kern w:val="0"/>
          <w:sz w:val="32"/>
          <w:szCs w:val="32"/>
          <w:lang w:val="zh-CN"/>
        </w:rPr>
      </w:pPr>
      <w:r>
        <w:rPr>
          <w:rFonts w:hint="eastAsia" w:ascii="黑体" w:hAnsi="黑体" w:eastAsia="黑体" w:cs="黑体"/>
          <w:kern w:val="0"/>
          <w:sz w:val="32"/>
          <w:szCs w:val="32"/>
          <w:lang w:val="zh-CN"/>
        </w:rPr>
        <w:t>附表：</w:t>
      </w:r>
      <w:r>
        <w:rPr>
          <w:rFonts w:hint="eastAsia" w:ascii="黑体" w:hAnsi="黑体" w:eastAsia="黑体" w:cs="黑体"/>
          <w:kern w:val="0"/>
          <w:sz w:val="32"/>
          <w:szCs w:val="32"/>
          <w:lang w:val="en-US" w:eastAsia="zh-CN"/>
        </w:rPr>
        <w:t xml:space="preserve">        </w:t>
      </w:r>
      <w:r>
        <w:rPr>
          <w:rFonts w:hint="eastAsia" w:ascii="黑体" w:hAnsi="黑体" w:eastAsia="黑体" w:cs="黑体"/>
          <w:kern w:val="0"/>
          <w:sz w:val="32"/>
          <w:szCs w:val="32"/>
        </w:rPr>
        <w:t>1.</w:t>
      </w:r>
      <w:r>
        <w:rPr>
          <w:rFonts w:hint="eastAsia" w:ascii="黑体" w:hAnsi="黑体" w:eastAsia="黑体" w:cs="黑体"/>
          <w:kern w:val="0"/>
          <w:sz w:val="32"/>
          <w:szCs w:val="32"/>
          <w:lang w:val="zh-CN"/>
        </w:rPr>
        <w:t>部门整体支出绩效自评表</w:t>
      </w:r>
    </w:p>
    <w:tbl>
      <w:tblPr>
        <w:tblStyle w:val="21"/>
        <w:tblW w:w="8504" w:type="dxa"/>
        <w:tblInd w:w="0" w:type="dxa"/>
        <w:tblLayout w:type="autofit"/>
        <w:tblCellMar>
          <w:top w:w="0" w:type="dxa"/>
          <w:left w:w="0" w:type="dxa"/>
          <w:bottom w:w="0" w:type="dxa"/>
          <w:right w:w="0" w:type="dxa"/>
        </w:tblCellMar>
      </w:tblPr>
      <w:tblGrid>
        <w:gridCol w:w="872"/>
        <w:gridCol w:w="872"/>
        <w:gridCol w:w="1154"/>
        <w:gridCol w:w="799"/>
        <w:gridCol w:w="1130"/>
        <w:gridCol w:w="2050"/>
        <w:gridCol w:w="749"/>
        <w:gridCol w:w="878"/>
      </w:tblGrid>
      <w:tr>
        <w:tblPrEx>
          <w:tblCellMar>
            <w:top w:w="0" w:type="dxa"/>
            <w:left w:w="0" w:type="dxa"/>
            <w:bottom w:w="0" w:type="dxa"/>
            <w:right w:w="0" w:type="dxa"/>
          </w:tblCellMar>
        </w:tblPrEx>
        <w:trPr>
          <w:trHeight w:val="690" w:hRule="atLeast"/>
        </w:trPr>
        <w:tc>
          <w:tcPr>
            <w:tcW w:w="8504" w:type="dxa"/>
            <w:gridSpan w:val="8"/>
            <w:tcBorders>
              <w:top w:val="nil"/>
              <w:left w:val="nil"/>
              <w:bottom w:val="single" w:color="000000" w:sz="4" w:space="0"/>
              <w:right w:val="nil"/>
            </w:tcBorders>
            <w:shd w:val="clear" w:color="auto" w:fill="auto"/>
            <w:tcMar>
              <w:top w:w="15" w:type="dxa"/>
              <w:left w:w="15" w:type="dxa"/>
              <w:right w:w="15" w:type="dxa"/>
            </w:tcMar>
            <w:vAlign w:val="center"/>
          </w:tcPr>
          <w:p>
            <w:pPr>
              <w:widowControl/>
              <w:jc w:val="center"/>
              <w:textAlignment w:val="center"/>
              <w:rPr>
                <w:rFonts w:ascii="方正小标宋简体" w:hAnsi="方正小标宋简体" w:eastAsia="方正小标宋简体" w:cs="方正小标宋简体"/>
                <w:color w:val="000000"/>
                <w:sz w:val="40"/>
                <w:szCs w:val="40"/>
              </w:rPr>
            </w:pPr>
            <w:r>
              <w:rPr>
                <w:rFonts w:ascii="方正小标宋简体" w:hAnsi="方正小标宋简体" w:eastAsia="方正小标宋简体" w:cs="方正小标宋简体"/>
                <w:color w:val="000000"/>
                <w:kern w:val="0"/>
                <w:sz w:val="40"/>
                <w:szCs w:val="40"/>
                <w:lang w:bidi="ar"/>
              </w:rPr>
              <w:t>2022年区级部门整体支出绩效评价指标体系</w:t>
            </w:r>
          </w:p>
        </w:tc>
      </w:tr>
      <w:tr>
        <w:tblPrEx>
          <w:tblCellMar>
            <w:top w:w="0" w:type="dxa"/>
            <w:left w:w="0" w:type="dxa"/>
            <w:bottom w:w="0" w:type="dxa"/>
            <w:right w:w="0" w:type="dxa"/>
          </w:tblCellMar>
        </w:tblPrEx>
        <w:trPr>
          <w:trHeight w:val="690" w:hRule="atLeast"/>
        </w:trPr>
        <w:tc>
          <w:tcPr>
            <w:tcW w:w="289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黑体" w:hAnsi="黑体" w:eastAsia="黑体" w:cs="黑体"/>
                <w:b w:val="0"/>
                <w:bCs/>
                <w:color w:val="000000"/>
                <w:sz w:val="21"/>
                <w:szCs w:val="21"/>
              </w:rPr>
            </w:pPr>
            <w:r>
              <w:rPr>
                <w:rFonts w:hint="eastAsia" w:ascii="黑体" w:hAnsi="黑体" w:eastAsia="黑体" w:cs="黑体"/>
                <w:b w:val="0"/>
                <w:bCs/>
                <w:color w:val="000000"/>
                <w:kern w:val="0"/>
                <w:sz w:val="21"/>
                <w:szCs w:val="21"/>
                <w:lang w:bidi="ar"/>
              </w:rPr>
              <w:t>绩效指标</w:t>
            </w:r>
          </w:p>
        </w:tc>
        <w:tc>
          <w:tcPr>
            <w:tcW w:w="79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黑体" w:hAnsi="黑体" w:eastAsia="黑体" w:cs="黑体"/>
                <w:b w:val="0"/>
                <w:bCs/>
                <w:color w:val="000000"/>
                <w:sz w:val="21"/>
                <w:szCs w:val="21"/>
              </w:rPr>
            </w:pPr>
            <w:r>
              <w:rPr>
                <w:rFonts w:hint="eastAsia" w:ascii="黑体" w:hAnsi="黑体" w:eastAsia="黑体" w:cs="黑体"/>
                <w:b w:val="0"/>
                <w:bCs/>
                <w:color w:val="000000"/>
                <w:kern w:val="0"/>
                <w:sz w:val="21"/>
                <w:szCs w:val="21"/>
                <w:lang w:bidi="ar"/>
              </w:rPr>
              <w:t>指标分值</w:t>
            </w:r>
          </w:p>
        </w:tc>
        <w:tc>
          <w:tcPr>
            <w:tcW w:w="113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黑体" w:hAnsi="黑体" w:eastAsia="黑体" w:cs="黑体"/>
                <w:b w:val="0"/>
                <w:bCs/>
                <w:color w:val="000000"/>
                <w:sz w:val="21"/>
                <w:szCs w:val="21"/>
              </w:rPr>
            </w:pPr>
            <w:r>
              <w:rPr>
                <w:rFonts w:hint="eastAsia" w:ascii="黑体" w:hAnsi="黑体" w:eastAsia="黑体" w:cs="黑体"/>
                <w:b w:val="0"/>
                <w:bCs/>
                <w:color w:val="000000"/>
                <w:kern w:val="0"/>
                <w:sz w:val="21"/>
                <w:szCs w:val="21"/>
                <w:lang w:bidi="ar"/>
              </w:rPr>
              <w:t>指标解释</w:t>
            </w:r>
          </w:p>
        </w:tc>
        <w:tc>
          <w:tcPr>
            <w:tcW w:w="2050"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黑体" w:hAnsi="黑体" w:eastAsia="黑体" w:cs="黑体"/>
                <w:b w:val="0"/>
                <w:bCs/>
                <w:color w:val="000000"/>
                <w:sz w:val="21"/>
                <w:szCs w:val="21"/>
              </w:rPr>
            </w:pPr>
            <w:r>
              <w:rPr>
                <w:rFonts w:hint="eastAsia" w:ascii="黑体" w:hAnsi="黑体" w:eastAsia="黑体" w:cs="黑体"/>
                <w:b w:val="0"/>
                <w:bCs/>
                <w:color w:val="000000"/>
                <w:kern w:val="0"/>
                <w:sz w:val="21"/>
                <w:szCs w:val="21"/>
                <w:lang w:bidi="ar"/>
              </w:rPr>
              <w:t>计分标准</w:t>
            </w:r>
          </w:p>
        </w:tc>
        <w:tc>
          <w:tcPr>
            <w:tcW w:w="749"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黑体" w:hAnsi="黑体" w:eastAsia="黑体" w:cs="黑体"/>
                <w:b w:val="0"/>
                <w:bCs/>
                <w:color w:val="000000"/>
                <w:sz w:val="24"/>
                <w:szCs w:val="24"/>
              </w:rPr>
            </w:pPr>
            <w:r>
              <w:rPr>
                <w:rFonts w:hint="eastAsia" w:ascii="黑体" w:hAnsi="黑体" w:eastAsia="黑体" w:cs="黑体"/>
                <w:b w:val="0"/>
                <w:bCs/>
                <w:color w:val="000000"/>
                <w:kern w:val="0"/>
                <w:sz w:val="24"/>
                <w:szCs w:val="24"/>
                <w:lang w:bidi="ar"/>
              </w:rPr>
              <w:t>自评得分</w:t>
            </w:r>
          </w:p>
        </w:tc>
        <w:tc>
          <w:tcPr>
            <w:tcW w:w="87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黑体" w:hAnsi="黑体" w:eastAsia="黑体" w:cs="黑体"/>
                <w:b w:val="0"/>
                <w:bCs/>
                <w:color w:val="000000"/>
                <w:sz w:val="24"/>
                <w:szCs w:val="24"/>
              </w:rPr>
            </w:pPr>
            <w:r>
              <w:rPr>
                <w:rFonts w:hint="eastAsia" w:ascii="黑体" w:hAnsi="黑体" w:eastAsia="黑体" w:cs="黑体"/>
                <w:b w:val="0"/>
                <w:bCs/>
                <w:color w:val="000000"/>
                <w:kern w:val="0"/>
                <w:sz w:val="24"/>
                <w:szCs w:val="24"/>
                <w:lang w:bidi="ar"/>
              </w:rPr>
              <w:t>备注</w:t>
            </w:r>
          </w:p>
        </w:tc>
      </w:tr>
      <w:tr>
        <w:tblPrEx>
          <w:tblCellMar>
            <w:top w:w="0" w:type="dxa"/>
            <w:left w:w="0" w:type="dxa"/>
            <w:bottom w:w="0" w:type="dxa"/>
            <w:right w:w="0" w:type="dxa"/>
          </w:tblCellMar>
        </w:tblPrEx>
        <w:trPr>
          <w:trHeight w:val="345" w:hRule="atLeast"/>
        </w:trPr>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黑体" w:hAnsi="黑体" w:eastAsia="黑体" w:cs="黑体"/>
                <w:b w:val="0"/>
                <w:bCs/>
                <w:color w:val="000000"/>
                <w:sz w:val="21"/>
                <w:szCs w:val="21"/>
              </w:rPr>
            </w:pPr>
            <w:r>
              <w:rPr>
                <w:rFonts w:hint="eastAsia" w:ascii="黑体" w:hAnsi="黑体" w:eastAsia="黑体" w:cs="黑体"/>
                <w:b w:val="0"/>
                <w:bCs/>
                <w:color w:val="000000"/>
                <w:kern w:val="0"/>
                <w:sz w:val="21"/>
                <w:szCs w:val="21"/>
                <w:lang w:bidi="ar"/>
              </w:rPr>
              <w:t>一级指标</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黑体" w:hAnsi="黑体" w:eastAsia="黑体" w:cs="黑体"/>
                <w:b w:val="0"/>
                <w:bCs/>
                <w:color w:val="000000"/>
                <w:sz w:val="21"/>
                <w:szCs w:val="21"/>
              </w:rPr>
            </w:pPr>
            <w:r>
              <w:rPr>
                <w:rFonts w:hint="eastAsia" w:ascii="黑体" w:hAnsi="黑体" w:eastAsia="黑体" w:cs="黑体"/>
                <w:b w:val="0"/>
                <w:bCs/>
                <w:color w:val="000000"/>
                <w:kern w:val="0"/>
                <w:sz w:val="21"/>
                <w:szCs w:val="21"/>
                <w:lang w:bidi="ar"/>
              </w:rPr>
              <w:t>二级指标</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黑体" w:hAnsi="黑体" w:eastAsia="黑体" w:cs="黑体"/>
                <w:b w:val="0"/>
                <w:bCs/>
                <w:color w:val="000000"/>
                <w:sz w:val="21"/>
                <w:szCs w:val="21"/>
              </w:rPr>
            </w:pPr>
            <w:r>
              <w:rPr>
                <w:rFonts w:hint="eastAsia" w:ascii="黑体" w:hAnsi="黑体" w:eastAsia="黑体" w:cs="黑体"/>
                <w:b w:val="0"/>
                <w:bCs/>
                <w:color w:val="000000"/>
                <w:kern w:val="0"/>
                <w:sz w:val="21"/>
                <w:szCs w:val="21"/>
                <w:lang w:bidi="ar"/>
              </w:rPr>
              <w:t>三级指标</w:t>
            </w:r>
          </w:p>
        </w:tc>
        <w:tc>
          <w:tcPr>
            <w:tcW w:w="7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b/>
                <w:color w:val="000000"/>
                <w:sz w:val="21"/>
                <w:szCs w:val="21"/>
              </w:rPr>
            </w:pPr>
          </w:p>
        </w:tc>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b/>
                <w:color w:val="000000"/>
                <w:sz w:val="21"/>
                <w:szCs w:val="21"/>
              </w:rPr>
            </w:pPr>
          </w:p>
        </w:tc>
        <w:tc>
          <w:tcPr>
            <w:tcW w:w="205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b/>
                <w:color w:val="000000"/>
                <w:sz w:val="21"/>
                <w:szCs w:val="21"/>
              </w:rPr>
            </w:pPr>
          </w:p>
        </w:tc>
        <w:tc>
          <w:tcPr>
            <w:tcW w:w="749"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24"/>
                <w:szCs w:val="24"/>
              </w:rPr>
            </w:pPr>
          </w:p>
        </w:tc>
        <w:tc>
          <w:tcPr>
            <w:tcW w:w="8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24"/>
                <w:szCs w:val="24"/>
              </w:rPr>
            </w:pPr>
          </w:p>
        </w:tc>
      </w:tr>
      <w:tr>
        <w:tblPrEx>
          <w:tblCellMar>
            <w:top w:w="0" w:type="dxa"/>
            <w:left w:w="0" w:type="dxa"/>
            <w:bottom w:w="0" w:type="dxa"/>
            <w:right w:w="0" w:type="dxa"/>
          </w:tblCellMar>
        </w:tblPrEx>
        <w:trPr>
          <w:trHeight w:val="2640" w:hRule="atLeast"/>
        </w:trPr>
        <w:tc>
          <w:tcPr>
            <w:tcW w:w="87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部门预算管理（80分）</w:t>
            </w:r>
          </w:p>
        </w:tc>
        <w:tc>
          <w:tcPr>
            <w:tcW w:w="87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预算编制（30分）</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目标制定</w:t>
            </w:r>
          </w:p>
        </w:tc>
        <w:tc>
          <w:tcPr>
            <w:tcW w:w="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10</w:t>
            </w:r>
          </w:p>
        </w:tc>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评价部门绩效目标是否要素完整、细化量化。</w:t>
            </w:r>
          </w:p>
        </w:tc>
        <w:tc>
          <w:tcPr>
            <w:tcW w:w="2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 xml:space="preserve">1.绩效目标编制要素完整的，得5分，否则酌情扣分。                                                       2.绩效指标细化量化的，得5分，否则酌情扣分。                  有项目绩效目标的部门（单位），根据项目绩效目标编制质量打分，无项目绩效目标的部门，根据部门整体支出绩效目标打分。                                                                    </w:t>
            </w:r>
          </w:p>
        </w:tc>
        <w:tc>
          <w:tcPr>
            <w:tcW w:w="7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10</w:t>
            </w:r>
          </w:p>
        </w:tc>
        <w:tc>
          <w:tcPr>
            <w:tcW w:w="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color w:val="000000"/>
                <w:sz w:val="24"/>
              </w:rPr>
            </w:pPr>
          </w:p>
        </w:tc>
      </w:tr>
      <w:tr>
        <w:tblPrEx>
          <w:tblCellMar>
            <w:top w:w="0" w:type="dxa"/>
            <w:left w:w="0" w:type="dxa"/>
            <w:bottom w:w="0" w:type="dxa"/>
            <w:right w:w="0" w:type="dxa"/>
          </w:tblCellMar>
        </w:tblPrEx>
        <w:trPr>
          <w:trHeight w:val="2840" w:hRule="atLeast"/>
        </w:trPr>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color w:val="000000"/>
                <w:szCs w:val="21"/>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color w:val="000000"/>
                <w:szCs w:val="21"/>
              </w:rPr>
            </w:pP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目标实现</w:t>
            </w:r>
          </w:p>
        </w:tc>
        <w:tc>
          <w:tcPr>
            <w:tcW w:w="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10</w:t>
            </w:r>
          </w:p>
        </w:tc>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评价部门绩效目标实际实现程度与预期目标的偏离度。</w:t>
            </w:r>
          </w:p>
        </w:tc>
        <w:tc>
          <w:tcPr>
            <w:tcW w:w="2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以项目完成数量为核心，评价项目实际完成情况与预期绩效目标偏离度，单个数量指标实际完成未达到预期指标或超过预期指标30%以上的，均不计分。该项指标得分=达到预期值的数量指标个数/全部数量指标个数（即评价选取的项目绩效目标包含的所有数量指标）</w:t>
            </w:r>
          </w:p>
        </w:tc>
        <w:tc>
          <w:tcPr>
            <w:tcW w:w="7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10</w:t>
            </w:r>
          </w:p>
        </w:tc>
        <w:tc>
          <w:tcPr>
            <w:tcW w:w="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color w:val="000000"/>
                <w:sz w:val="24"/>
              </w:rPr>
            </w:pPr>
          </w:p>
        </w:tc>
      </w:tr>
      <w:tr>
        <w:tblPrEx>
          <w:tblCellMar>
            <w:top w:w="0" w:type="dxa"/>
            <w:left w:w="0" w:type="dxa"/>
            <w:bottom w:w="0" w:type="dxa"/>
            <w:right w:w="0" w:type="dxa"/>
          </w:tblCellMar>
        </w:tblPrEx>
        <w:trPr>
          <w:trHeight w:val="2100" w:hRule="atLeast"/>
        </w:trPr>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color w:val="000000"/>
                <w:szCs w:val="21"/>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color w:val="000000"/>
                <w:szCs w:val="21"/>
              </w:rPr>
            </w:pP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编制准确</w:t>
            </w:r>
          </w:p>
        </w:tc>
        <w:tc>
          <w:tcPr>
            <w:tcW w:w="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10</w:t>
            </w:r>
          </w:p>
        </w:tc>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评价部门年初预算编制是否科学准确。</w:t>
            </w:r>
          </w:p>
        </w:tc>
        <w:tc>
          <w:tcPr>
            <w:tcW w:w="2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指标得分=（1-（10×部门全年预算调剂金额/年初部门预算数））*指标分值。其中：若部门全年预算调剂金额/年初部门预算数&gt;0.1，此项得0分。</w:t>
            </w:r>
          </w:p>
        </w:tc>
        <w:tc>
          <w:tcPr>
            <w:tcW w:w="7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10</w:t>
            </w:r>
          </w:p>
        </w:tc>
        <w:tc>
          <w:tcPr>
            <w:tcW w:w="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color w:val="000000"/>
                <w:sz w:val="24"/>
              </w:rPr>
            </w:pPr>
          </w:p>
        </w:tc>
      </w:tr>
    </w:tbl>
    <w:p>
      <w:pPr>
        <w:jc w:val="center"/>
        <w:rPr>
          <w:rFonts w:ascii="仿宋" w:hAnsi="仿宋" w:eastAsia="仿宋" w:cs="仿宋"/>
          <w:color w:val="000000"/>
          <w:szCs w:val="21"/>
        </w:rPr>
        <w:sectPr>
          <w:footerReference r:id="rId9" w:type="first"/>
          <w:headerReference r:id="rId7" w:type="default"/>
          <w:footerReference r:id="rId8" w:type="default"/>
          <w:pgSz w:w="11906" w:h="16838"/>
          <w:pgMar w:top="1440" w:right="1803" w:bottom="1440" w:left="1803" w:header="851" w:footer="992" w:gutter="0"/>
          <w:pgNumType w:fmt="decimal" w:start="25"/>
          <w:cols w:space="0" w:num="1"/>
          <w:titlePg/>
          <w:docGrid w:type="lines" w:linePitch="319" w:charSpace="0"/>
        </w:sectPr>
      </w:pPr>
    </w:p>
    <w:tbl>
      <w:tblPr>
        <w:tblStyle w:val="21"/>
        <w:tblW w:w="8504" w:type="dxa"/>
        <w:tblInd w:w="0" w:type="dxa"/>
        <w:tblLayout w:type="autofit"/>
        <w:tblCellMar>
          <w:top w:w="0" w:type="dxa"/>
          <w:left w:w="0" w:type="dxa"/>
          <w:bottom w:w="0" w:type="dxa"/>
          <w:right w:w="0" w:type="dxa"/>
        </w:tblCellMar>
      </w:tblPr>
      <w:tblGrid>
        <w:gridCol w:w="872"/>
        <w:gridCol w:w="872"/>
        <w:gridCol w:w="1154"/>
        <w:gridCol w:w="799"/>
        <w:gridCol w:w="1130"/>
        <w:gridCol w:w="2050"/>
        <w:gridCol w:w="749"/>
        <w:gridCol w:w="878"/>
      </w:tblGrid>
      <w:tr>
        <w:tblPrEx>
          <w:tblCellMar>
            <w:top w:w="0" w:type="dxa"/>
            <w:left w:w="0" w:type="dxa"/>
            <w:bottom w:w="0" w:type="dxa"/>
            <w:right w:w="0" w:type="dxa"/>
          </w:tblCellMar>
        </w:tblPrEx>
        <w:trPr>
          <w:trHeight w:val="2059" w:hRule="atLeast"/>
        </w:trPr>
        <w:tc>
          <w:tcPr>
            <w:tcW w:w="872"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pStyle w:val="2"/>
            </w:pPr>
          </w:p>
        </w:tc>
        <w:tc>
          <w:tcPr>
            <w:tcW w:w="87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 xml:space="preserve">                                                                             预算执行（30分）</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支出控制</w:t>
            </w:r>
          </w:p>
        </w:tc>
        <w:tc>
          <w:tcPr>
            <w:tcW w:w="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10</w:t>
            </w:r>
          </w:p>
        </w:tc>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部门公用经费及非定额公用支出控制情况。</w:t>
            </w:r>
          </w:p>
        </w:tc>
        <w:tc>
          <w:tcPr>
            <w:tcW w:w="2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计算部门日常公用经费、项目支出中“办公费、印刷费、水费、电费、物业管理费”等科目年初预算数与决算数偏差程度                                                              预决算偏差程度在10%以内的，得10分。偏差度在10%-20%之间的，得5分，偏差度超过20%的，不得分。</w:t>
            </w:r>
          </w:p>
        </w:tc>
        <w:tc>
          <w:tcPr>
            <w:tcW w:w="7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10</w:t>
            </w:r>
          </w:p>
        </w:tc>
        <w:tc>
          <w:tcPr>
            <w:tcW w:w="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color w:val="000000"/>
                <w:sz w:val="24"/>
              </w:rPr>
            </w:pPr>
          </w:p>
        </w:tc>
      </w:tr>
      <w:tr>
        <w:tblPrEx>
          <w:tblCellMar>
            <w:top w:w="0" w:type="dxa"/>
            <w:left w:w="0" w:type="dxa"/>
            <w:bottom w:w="0" w:type="dxa"/>
            <w:right w:w="0" w:type="dxa"/>
          </w:tblCellMar>
        </w:tblPrEx>
        <w:trPr>
          <w:trHeight w:val="3120" w:hRule="atLeast"/>
        </w:trPr>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Cs w:val="21"/>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color w:val="000000"/>
                <w:szCs w:val="21"/>
              </w:rPr>
            </w:pP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动态调整</w:t>
            </w:r>
          </w:p>
        </w:tc>
        <w:tc>
          <w:tcPr>
            <w:tcW w:w="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10</w:t>
            </w:r>
          </w:p>
        </w:tc>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评价部门开展绩效运行监控后，将绩效监控结果应用到预算调整的情况。</w:t>
            </w:r>
          </w:p>
        </w:tc>
        <w:tc>
          <w:tcPr>
            <w:tcW w:w="2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 xml:space="preserve">1.当部门绩效监控调整取消额和结余注销额均不为零时，指标得分=部门项目支出绩效监控调整取消额÷(部门绩效监控调整取消额+预算结余注销额）*10                                                  2.当部门绩效监控调整取消额为零，结余注销额不为零时，指标得分=（1-10*结余注销额/年度预算总额）*10，结余注销额超过部门年度预算总额10%的，指标不得分。                  3.当部门绩效监控调整取消额与结余注销额均为零时，得满分。                                                             </w:t>
            </w:r>
          </w:p>
        </w:tc>
        <w:tc>
          <w:tcPr>
            <w:tcW w:w="7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10</w:t>
            </w:r>
          </w:p>
        </w:tc>
        <w:tc>
          <w:tcPr>
            <w:tcW w:w="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color w:val="000000"/>
                <w:sz w:val="24"/>
              </w:rPr>
            </w:pPr>
          </w:p>
        </w:tc>
      </w:tr>
      <w:tr>
        <w:tblPrEx>
          <w:tblCellMar>
            <w:top w:w="0" w:type="dxa"/>
            <w:left w:w="0" w:type="dxa"/>
            <w:bottom w:w="0" w:type="dxa"/>
            <w:right w:w="0" w:type="dxa"/>
          </w:tblCellMar>
        </w:tblPrEx>
        <w:trPr>
          <w:trHeight w:val="2010" w:hRule="atLeast"/>
        </w:trPr>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Cs w:val="21"/>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color w:val="000000"/>
                <w:szCs w:val="21"/>
              </w:rPr>
            </w:pP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执行进度</w:t>
            </w:r>
          </w:p>
        </w:tc>
        <w:tc>
          <w:tcPr>
            <w:tcW w:w="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10</w:t>
            </w:r>
          </w:p>
        </w:tc>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评价部门在6、9、11月的预算执行情况。</w:t>
            </w:r>
          </w:p>
        </w:tc>
        <w:tc>
          <w:tcPr>
            <w:tcW w:w="2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 xml:space="preserve">部门预算执行进度在6、9、11月应达到序时进度的80%、90%、90%，即实际支出进度分别达到40%、67.5%、82.5%。                                                     6、9、11月部门预算执行进度达到量化指标的分别得3、4、3分，未达到目标进度的按其实际进度占目标进度的比重计算得分。                                             </w:t>
            </w:r>
          </w:p>
        </w:tc>
        <w:tc>
          <w:tcPr>
            <w:tcW w:w="7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10</w:t>
            </w:r>
          </w:p>
        </w:tc>
        <w:tc>
          <w:tcPr>
            <w:tcW w:w="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color w:val="000000"/>
                <w:sz w:val="24"/>
              </w:rPr>
            </w:pPr>
          </w:p>
        </w:tc>
      </w:tr>
      <w:tr>
        <w:tblPrEx>
          <w:tblCellMar>
            <w:top w:w="0" w:type="dxa"/>
            <w:left w:w="0" w:type="dxa"/>
            <w:bottom w:w="0" w:type="dxa"/>
            <w:right w:w="0" w:type="dxa"/>
          </w:tblCellMar>
        </w:tblPrEx>
        <w:trPr>
          <w:trHeight w:val="1080" w:hRule="atLeast"/>
        </w:trPr>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Cs w:val="21"/>
              </w:rPr>
            </w:pPr>
          </w:p>
        </w:tc>
        <w:tc>
          <w:tcPr>
            <w:tcW w:w="87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完成结果（20分）</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预算完成</w:t>
            </w:r>
          </w:p>
        </w:tc>
        <w:tc>
          <w:tcPr>
            <w:tcW w:w="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10</w:t>
            </w:r>
          </w:p>
        </w:tc>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评价部门预算项目年终预算执行情况。</w:t>
            </w:r>
          </w:p>
        </w:tc>
        <w:tc>
          <w:tcPr>
            <w:tcW w:w="2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部门预算项目12月预算执行进度达到100%的，得10分，未达100%的，按照实际进度量化计算得分。</w:t>
            </w:r>
          </w:p>
        </w:tc>
        <w:tc>
          <w:tcPr>
            <w:tcW w:w="7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10</w:t>
            </w:r>
          </w:p>
        </w:tc>
        <w:tc>
          <w:tcPr>
            <w:tcW w:w="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color w:val="000000"/>
                <w:sz w:val="24"/>
              </w:rPr>
            </w:pPr>
          </w:p>
        </w:tc>
      </w:tr>
      <w:tr>
        <w:tblPrEx>
          <w:tblCellMar>
            <w:top w:w="0" w:type="dxa"/>
            <w:left w:w="0" w:type="dxa"/>
            <w:bottom w:w="0" w:type="dxa"/>
            <w:right w:w="0" w:type="dxa"/>
          </w:tblCellMar>
        </w:tblPrEx>
        <w:trPr>
          <w:trHeight w:val="1080" w:hRule="atLeast"/>
        </w:trPr>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Cs w:val="21"/>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color w:val="000000"/>
                <w:szCs w:val="21"/>
              </w:rPr>
            </w:pP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违规记录</w:t>
            </w:r>
          </w:p>
        </w:tc>
        <w:tc>
          <w:tcPr>
            <w:tcW w:w="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10</w:t>
            </w:r>
          </w:p>
        </w:tc>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根据审计监督、财政检查结果反映部门上一年度部门预算管理是否合规。</w:t>
            </w:r>
          </w:p>
        </w:tc>
        <w:tc>
          <w:tcPr>
            <w:tcW w:w="2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依据评价年度审计监督、财政检查结果，出现部门预算管理方面违纪违规问题的，每个问题扣0.5分，直至扣完。</w:t>
            </w:r>
          </w:p>
        </w:tc>
        <w:tc>
          <w:tcPr>
            <w:tcW w:w="7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10</w:t>
            </w:r>
          </w:p>
        </w:tc>
        <w:tc>
          <w:tcPr>
            <w:tcW w:w="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color w:val="000000"/>
                <w:sz w:val="24"/>
              </w:rPr>
            </w:pPr>
          </w:p>
        </w:tc>
      </w:tr>
    </w:tbl>
    <w:p>
      <w:pPr>
        <w:pStyle w:val="7"/>
        <w:spacing w:before="95"/>
        <w:rPr>
          <w:rFonts w:hAnsi="Calibri" w:cs="仿宋"/>
          <w:sz w:val="32"/>
          <w:szCs w:val="32"/>
          <w:lang w:val="zh-CN"/>
        </w:rPr>
      </w:pPr>
    </w:p>
    <w:p>
      <w:pPr>
        <w:pStyle w:val="7"/>
        <w:spacing w:before="95"/>
        <w:rPr>
          <w:rFonts w:hAnsi="Calibri" w:cs="仿宋"/>
          <w:sz w:val="32"/>
          <w:szCs w:val="32"/>
          <w:lang w:val="zh-CN"/>
        </w:rPr>
      </w:pPr>
    </w:p>
    <w:p>
      <w:pPr>
        <w:pStyle w:val="7"/>
        <w:spacing w:before="95"/>
        <w:rPr>
          <w:rFonts w:hAnsi="Calibri" w:cs="仿宋"/>
          <w:sz w:val="32"/>
          <w:szCs w:val="32"/>
          <w:lang w:val="zh-CN"/>
        </w:rPr>
      </w:pPr>
    </w:p>
    <w:p>
      <w:pPr>
        <w:pStyle w:val="7"/>
        <w:spacing w:before="95"/>
        <w:rPr>
          <w:rFonts w:hAnsi="Calibri" w:cs="仿宋"/>
          <w:sz w:val="32"/>
          <w:szCs w:val="32"/>
          <w:lang w:val="zh-CN"/>
        </w:rPr>
      </w:pPr>
    </w:p>
    <w:p>
      <w:pPr>
        <w:pStyle w:val="7"/>
        <w:spacing w:before="95"/>
        <w:rPr>
          <w:rFonts w:hAnsi="Calibri" w:cs="仿宋"/>
          <w:sz w:val="32"/>
          <w:szCs w:val="32"/>
          <w:lang w:val="zh-CN"/>
        </w:rPr>
      </w:pPr>
    </w:p>
    <w:p>
      <w:pPr>
        <w:pStyle w:val="7"/>
        <w:spacing w:before="95"/>
        <w:rPr>
          <w:rFonts w:hAnsi="Calibri" w:cs="仿宋"/>
          <w:sz w:val="32"/>
          <w:szCs w:val="32"/>
          <w:lang w:val="zh-CN"/>
        </w:rPr>
      </w:pPr>
    </w:p>
    <w:p>
      <w:pPr>
        <w:pStyle w:val="7"/>
        <w:spacing w:before="95"/>
        <w:rPr>
          <w:rFonts w:hAnsi="Calibri" w:cs="仿宋"/>
          <w:sz w:val="32"/>
          <w:szCs w:val="32"/>
          <w:lang w:val="zh-CN"/>
        </w:rPr>
      </w:pPr>
    </w:p>
    <w:p>
      <w:pPr>
        <w:pStyle w:val="7"/>
        <w:spacing w:before="95"/>
        <w:rPr>
          <w:rFonts w:hAnsi="Calibri" w:cs="仿宋"/>
          <w:sz w:val="32"/>
          <w:szCs w:val="32"/>
          <w:lang w:val="zh-CN"/>
        </w:rPr>
      </w:pPr>
    </w:p>
    <w:p>
      <w:pPr>
        <w:pStyle w:val="7"/>
        <w:spacing w:before="95"/>
        <w:rPr>
          <w:rFonts w:hAnsi="Calibri" w:cs="仿宋"/>
          <w:sz w:val="32"/>
          <w:szCs w:val="32"/>
          <w:lang w:val="zh-CN"/>
        </w:rPr>
      </w:pPr>
    </w:p>
    <w:p>
      <w:pPr>
        <w:pStyle w:val="7"/>
        <w:spacing w:before="95"/>
        <w:rPr>
          <w:rFonts w:hAnsi="Calibri" w:cs="仿宋"/>
          <w:sz w:val="32"/>
          <w:szCs w:val="32"/>
          <w:lang w:val="zh-CN"/>
        </w:rPr>
      </w:pPr>
    </w:p>
    <w:p>
      <w:pPr>
        <w:pStyle w:val="7"/>
        <w:spacing w:before="95"/>
        <w:rPr>
          <w:rFonts w:hAnsi="Calibri" w:cs="仿宋"/>
          <w:sz w:val="32"/>
          <w:szCs w:val="32"/>
          <w:lang w:val="zh-CN"/>
        </w:rPr>
      </w:pPr>
    </w:p>
    <w:p>
      <w:pPr>
        <w:pStyle w:val="7"/>
        <w:spacing w:before="95"/>
        <w:rPr>
          <w:rFonts w:hAnsi="Calibri" w:cs="仿宋"/>
          <w:sz w:val="32"/>
          <w:szCs w:val="32"/>
          <w:lang w:val="zh-CN"/>
        </w:rPr>
      </w:pPr>
    </w:p>
    <w:p>
      <w:pPr>
        <w:pStyle w:val="7"/>
        <w:spacing w:before="95"/>
        <w:rPr>
          <w:rFonts w:hAnsi="Calibri" w:cs="仿宋"/>
          <w:sz w:val="32"/>
          <w:szCs w:val="32"/>
          <w:lang w:val="zh-CN"/>
        </w:rPr>
      </w:pPr>
    </w:p>
    <w:p>
      <w:pPr>
        <w:widowControl/>
        <w:numPr>
          <w:ilvl w:val="0"/>
          <w:numId w:val="0"/>
        </w:numPr>
        <w:adjustRightInd w:val="0"/>
        <w:snapToGrid w:val="0"/>
        <w:spacing w:line="580" w:lineRule="exact"/>
        <w:ind w:left="1577" w:leftChars="0"/>
        <w:contextualSpacing/>
        <w:jc w:val="left"/>
        <w:rPr>
          <w:rFonts w:hint="eastAsia" w:ascii="黑体" w:hAnsi="黑体" w:eastAsia="黑体" w:cs="黑体"/>
          <w:kern w:val="0"/>
          <w:sz w:val="32"/>
          <w:szCs w:val="32"/>
        </w:rPr>
      </w:pPr>
      <w:r>
        <w:rPr>
          <w:rFonts w:hint="eastAsia" w:ascii="黑体" w:hAnsi="黑体" w:eastAsia="黑体" w:cs="黑体"/>
          <w:color w:val="000000"/>
          <w:kern w:val="0"/>
          <w:sz w:val="32"/>
          <w:szCs w:val="32"/>
          <w:lang w:val="en-US" w:eastAsia="zh-CN" w:bidi="ar"/>
        </w:rPr>
        <w:t>2.</w:t>
      </w:r>
      <w:r>
        <w:rPr>
          <w:rFonts w:hint="eastAsia" w:ascii="黑体" w:hAnsi="黑体" w:eastAsia="黑体" w:cs="黑体"/>
          <w:color w:val="000000"/>
          <w:kern w:val="0"/>
          <w:sz w:val="32"/>
          <w:szCs w:val="32"/>
          <w:lang w:bidi="ar"/>
        </w:rPr>
        <w:t>法律援助</w:t>
      </w:r>
      <w:r>
        <w:rPr>
          <w:rFonts w:hint="eastAsia" w:ascii="黑体" w:hAnsi="黑体" w:eastAsia="黑体" w:cs="黑体"/>
          <w:kern w:val="0"/>
          <w:sz w:val="32"/>
          <w:szCs w:val="32"/>
        </w:rPr>
        <w:t>项目绩效目标自评表</w:t>
      </w:r>
    </w:p>
    <w:tbl>
      <w:tblPr>
        <w:tblStyle w:val="21"/>
        <w:tblW w:w="8504" w:type="dxa"/>
        <w:tblInd w:w="0" w:type="dxa"/>
        <w:tblLayout w:type="autofit"/>
        <w:tblCellMar>
          <w:top w:w="0" w:type="dxa"/>
          <w:left w:w="0" w:type="dxa"/>
          <w:bottom w:w="0" w:type="dxa"/>
          <w:right w:w="0" w:type="dxa"/>
        </w:tblCellMar>
      </w:tblPr>
      <w:tblGrid>
        <w:gridCol w:w="521"/>
        <w:gridCol w:w="1129"/>
        <w:gridCol w:w="1006"/>
        <w:gridCol w:w="1223"/>
        <w:gridCol w:w="348"/>
        <w:gridCol w:w="862"/>
        <w:gridCol w:w="348"/>
        <w:gridCol w:w="852"/>
        <w:gridCol w:w="391"/>
        <w:gridCol w:w="319"/>
        <w:gridCol w:w="1505"/>
      </w:tblGrid>
      <w:tr>
        <w:tblPrEx>
          <w:tblCellMar>
            <w:top w:w="0" w:type="dxa"/>
            <w:left w:w="0" w:type="dxa"/>
            <w:bottom w:w="0" w:type="dxa"/>
            <w:right w:w="0" w:type="dxa"/>
          </w:tblCellMar>
        </w:tblPrEx>
        <w:trPr>
          <w:trHeight w:val="901" w:hRule="atLeast"/>
        </w:trPr>
        <w:tc>
          <w:tcPr>
            <w:tcW w:w="14103"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s="黑体"/>
                <w:b/>
                <w:color w:val="000000"/>
                <w:sz w:val="30"/>
                <w:szCs w:val="30"/>
              </w:rPr>
            </w:pPr>
            <w:r>
              <w:rPr>
                <w:rFonts w:hint="eastAsia" w:ascii="黑体" w:hAnsi="宋体" w:eastAsia="黑体" w:cs="黑体"/>
                <w:b/>
                <w:color w:val="000000"/>
                <w:kern w:val="0"/>
                <w:sz w:val="30"/>
                <w:szCs w:val="30"/>
                <w:lang w:bidi="ar"/>
              </w:rPr>
              <w:t>部门预算项目支出绩效自评表（2022年度）</w:t>
            </w:r>
          </w:p>
        </w:tc>
      </w:tr>
      <w:tr>
        <w:tblPrEx>
          <w:tblCellMar>
            <w:top w:w="0" w:type="dxa"/>
            <w:left w:w="0" w:type="dxa"/>
            <w:bottom w:w="0" w:type="dxa"/>
            <w:right w:w="0" w:type="dxa"/>
          </w:tblCellMar>
        </w:tblPrEx>
        <w:trPr>
          <w:trHeight w:val="286" w:hRule="atLeast"/>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项目名称</w:t>
            </w:r>
          </w:p>
        </w:tc>
        <w:tc>
          <w:tcPr>
            <w:tcW w:w="11367"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51090422T000000280560-法律援助</w:t>
            </w:r>
          </w:p>
        </w:tc>
      </w:tr>
      <w:tr>
        <w:tblPrEx>
          <w:tblCellMar>
            <w:top w:w="0" w:type="dxa"/>
            <w:left w:w="0" w:type="dxa"/>
            <w:bottom w:w="0" w:type="dxa"/>
            <w:right w:w="0" w:type="dxa"/>
          </w:tblCellMar>
        </w:tblPrEx>
        <w:trPr>
          <w:trHeight w:val="512" w:hRule="atLeast"/>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主管部门</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遂宁市安居区司法局部门</w:t>
            </w:r>
          </w:p>
        </w:tc>
        <w:tc>
          <w:tcPr>
            <w:tcW w:w="1091" w:type="dxa"/>
            <w:tcBorders>
              <w:top w:val="nil"/>
              <w:left w:val="nil"/>
              <w:bottom w:val="nil"/>
              <w:right w:val="nil"/>
            </w:tcBorders>
            <w:shd w:val="clear" w:color="auto" w:fill="auto"/>
            <w:tcMar>
              <w:top w:w="15" w:type="dxa"/>
              <w:left w:w="15" w:type="dxa"/>
              <w:right w:w="15" w:type="dxa"/>
            </w:tcMar>
            <w:vAlign w:val="center"/>
          </w:tcPr>
          <w:p>
            <w:pPr>
              <w:widowControl/>
              <w:jc w:val="lef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实施单位 （盖章）</w:t>
            </w:r>
          </w:p>
        </w:tc>
        <w:tc>
          <w:tcPr>
            <w:tcW w:w="351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遂宁市安居区司法局</w:t>
            </w:r>
          </w:p>
        </w:tc>
      </w:tr>
      <w:tr>
        <w:tblPrEx>
          <w:tblCellMar>
            <w:top w:w="0" w:type="dxa"/>
            <w:left w:w="0" w:type="dxa"/>
            <w:bottom w:w="0" w:type="dxa"/>
            <w:right w:w="0"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项目基本情况</w:t>
            </w: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1.项目年度目标完成情况</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项目年度目标</w:t>
            </w:r>
          </w:p>
        </w:tc>
        <w:tc>
          <w:tcPr>
            <w:tcW w:w="460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年度目标完成情况</w:t>
            </w:r>
          </w:p>
        </w:tc>
      </w:tr>
      <w:tr>
        <w:tblPrEx>
          <w:tblCellMar>
            <w:top w:w="0" w:type="dxa"/>
            <w:left w:w="0" w:type="dxa"/>
            <w:bottom w:w="0" w:type="dxa"/>
            <w:right w:w="0" w:type="dxa"/>
          </w:tblCellMar>
        </w:tblPrEx>
        <w:trPr>
          <w:trHeight w:val="226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color w:val="000000"/>
                <w:sz w:val="18"/>
                <w:szCs w:val="18"/>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color w:val="000000"/>
                <w:sz w:val="18"/>
                <w:szCs w:val="18"/>
              </w:rPr>
            </w:pP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积极推广“枫桥式司法所” 建设。根据《遂宁市2021年人民调解、司法所工作要点的通知》，要坚持重心下移、关口前置，以“枫桥式司法所”创建为契机，严格按照2020-2022年“枫桥式司法所”创建三年目标任务，结合本地实际创新开展各项业务工作，打造“一所一特色”工作品牌，各县(市、区)2021年力争创建1-2个省级“枫桥式司法所”，推动司法所提档升级，努力为群众提供“面对面”法律服务。进一步加强司法所基础建设。要以做好乡镇行政区划调整改革“后半篇文章”为契机，认真贯彻《关于推进乡镇行政区划调整改革进一步加强司法所建设的意见》,严格对照司法部《司法所外观标识规范》和全省司法所建设地方标准，进一步加强司法所基础建设，力争三年内实现司法所外观标识全面更换。</w:t>
            </w:r>
          </w:p>
        </w:tc>
        <w:tc>
          <w:tcPr>
            <w:tcW w:w="460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对照年度目标，说明相关任务目标的完成情况（100字以内）</w:t>
            </w:r>
          </w:p>
        </w:tc>
      </w:tr>
      <w:tr>
        <w:tblPrEx>
          <w:tblCellMar>
            <w:top w:w="0" w:type="dxa"/>
            <w:left w:w="0" w:type="dxa"/>
            <w:bottom w:w="0" w:type="dxa"/>
            <w:right w:w="0" w:type="dxa"/>
          </w:tblCellMar>
        </w:tblPrEx>
        <w:trPr>
          <w:trHeight w:val="693"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color w:val="000000"/>
                <w:sz w:val="18"/>
                <w:szCs w:val="18"/>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2.项目实施内容及过程概述</w:t>
            </w:r>
          </w:p>
        </w:tc>
        <w:tc>
          <w:tcPr>
            <w:tcW w:w="11367"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color w:val="000000"/>
                <w:sz w:val="18"/>
                <w:szCs w:val="18"/>
              </w:rPr>
            </w:pPr>
          </w:p>
        </w:tc>
      </w:tr>
      <w:tr>
        <w:tblPrEx>
          <w:tblCellMar>
            <w:top w:w="0" w:type="dxa"/>
            <w:left w:w="0" w:type="dxa"/>
            <w:bottom w:w="0" w:type="dxa"/>
            <w:right w:w="0"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预算执行情况（10分）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年初预算</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原因</w:t>
            </w:r>
          </w:p>
        </w:tc>
      </w:tr>
      <w:tr>
        <w:tblPrEx>
          <w:tblCellMar>
            <w:top w:w="0" w:type="dxa"/>
            <w:left w:w="0" w:type="dxa"/>
            <w:bottom w:w="0" w:type="dxa"/>
            <w:right w:w="0" w:type="dxa"/>
          </w:tblCellMar>
        </w:tblPrEx>
        <w:trPr>
          <w:trHeight w:val="38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color w:val="000000"/>
                <w:sz w:val="18"/>
                <w:szCs w:val="18"/>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8.00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6.97</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6.97</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color w:val="000000"/>
                <w:sz w:val="18"/>
                <w:szCs w:val="18"/>
              </w:rPr>
            </w:pPr>
          </w:p>
        </w:tc>
        <w:tc>
          <w:tcPr>
            <w:tcW w:w="25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仿宋_GB2312" w:hAnsi="仿宋_GB2312" w:eastAsia="仿宋_GB2312" w:cs="仿宋_GB2312"/>
                <w:i/>
                <w:color w:val="000000"/>
                <w:sz w:val="18"/>
                <w:szCs w:val="18"/>
              </w:rPr>
            </w:pPr>
            <w:r>
              <w:rPr>
                <w:rFonts w:hint="eastAsia" w:ascii="仿宋_GB2312" w:hAnsi="仿宋_GB2312" w:eastAsia="仿宋_GB2312" w:cs="仿宋_GB2312"/>
                <w:i w:val="0"/>
                <w:iCs/>
                <w:color w:val="000000"/>
                <w:kern w:val="0"/>
                <w:sz w:val="18"/>
                <w:szCs w:val="18"/>
                <w:lang w:bidi="ar"/>
              </w:rPr>
              <w:t>1.预算执行率=预算执行数/调整后预算数，预算执行率未达到90%的需说明原因（100字以内）;2.年中发生预算调整的（追加或调减）,应单独说明理由；3.其他资金包括：社会投入资金、银行贷款.</w:t>
            </w:r>
          </w:p>
        </w:tc>
      </w:tr>
      <w:tr>
        <w:tblPrEx>
          <w:tblCellMar>
            <w:top w:w="0" w:type="dxa"/>
            <w:left w:w="0" w:type="dxa"/>
            <w:bottom w:w="0" w:type="dxa"/>
            <w:right w:w="0" w:type="dxa"/>
          </w:tblCellMar>
        </w:tblPrEx>
        <w:trPr>
          <w:trHeight w:val="43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color w:val="000000"/>
                <w:sz w:val="18"/>
                <w:szCs w:val="18"/>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8.00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6.97</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6.97</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i/>
                <w:color w:val="000000"/>
                <w:sz w:val="18"/>
                <w:szCs w:val="18"/>
              </w:rPr>
            </w:pPr>
          </w:p>
        </w:tc>
      </w:tr>
      <w:tr>
        <w:tblPrEx>
          <w:tblCellMar>
            <w:top w:w="0" w:type="dxa"/>
            <w:left w:w="0" w:type="dxa"/>
            <w:bottom w:w="0" w:type="dxa"/>
            <w:right w:w="0" w:type="dxa"/>
          </w:tblCellMar>
        </w:tblPrEx>
        <w:trPr>
          <w:trHeight w:val="44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color w:val="000000"/>
                <w:sz w:val="18"/>
                <w:szCs w:val="18"/>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i/>
                <w:color w:val="000000"/>
                <w:sz w:val="18"/>
                <w:szCs w:val="18"/>
              </w:rPr>
            </w:pPr>
          </w:p>
        </w:tc>
      </w:tr>
      <w:tr>
        <w:tblPrEx>
          <w:tblCellMar>
            <w:top w:w="0" w:type="dxa"/>
            <w:left w:w="0" w:type="dxa"/>
            <w:bottom w:w="0" w:type="dxa"/>
            <w:right w:w="0" w:type="dxa"/>
          </w:tblCellMar>
        </w:tblPrEx>
        <w:trPr>
          <w:trHeight w:val="40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color w:val="000000"/>
                <w:sz w:val="18"/>
                <w:szCs w:val="18"/>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单位资金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i/>
                <w:color w:val="000000"/>
                <w:sz w:val="18"/>
                <w:szCs w:val="18"/>
              </w:rPr>
            </w:pPr>
          </w:p>
        </w:tc>
      </w:tr>
      <w:tr>
        <w:tblPrEx>
          <w:tblCellMar>
            <w:top w:w="0" w:type="dxa"/>
            <w:left w:w="0" w:type="dxa"/>
            <w:bottom w:w="0" w:type="dxa"/>
            <w:right w:w="0" w:type="dxa"/>
          </w:tblCellMar>
        </w:tblPrEx>
        <w:trPr>
          <w:trHeight w:val="37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color w:val="000000"/>
                <w:sz w:val="18"/>
                <w:szCs w:val="18"/>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color w:val="000000"/>
                <w:sz w:val="16"/>
                <w:szCs w:val="16"/>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color w:val="000000"/>
                <w:sz w:val="16"/>
                <w:szCs w:val="16"/>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color w:val="000000"/>
                <w:sz w:val="16"/>
                <w:szCs w:val="16"/>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color w:val="000000"/>
                <w:sz w:val="16"/>
                <w:szCs w:val="16"/>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i/>
                <w:color w:val="000000"/>
                <w:sz w:val="18"/>
                <w:szCs w:val="18"/>
              </w:rPr>
            </w:pPr>
          </w:p>
        </w:tc>
      </w:tr>
      <w:tr>
        <w:tblPrEx>
          <w:tblCellMar>
            <w:top w:w="0" w:type="dxa"/>
            <w:left w:w="0" w:type="dxa"/>
            <w:bottom w:w="0" w:type="dxa"/>
            <w:right w:w="0"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绩效指标（90分）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二级指标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指标性质</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未完成原因分析</w:t>
            </w:r>
          </w:p>
        </w:tc>
      </w:tr>
      <w:tr>
        <w:tblPrEx>
          <w:tblCellMar>
            <w:top w:w="0" w:type="dxa"/>
            <w:left w:w="0" w:type="dxa"/>
            <w:bottom w:w="0" w:type="dxa"/>
            <w:right w:w="0"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color w:val="000000"/>
                <w:sz w:val="18"/>
                <w:szCs w:val="18"/>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质量指标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援助案件质量投诉</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2</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color w:val="000000"/>
                <w:sz w:val="16"/>
                <w:szCs w:val="16"/>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30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color w:val="000000"/>
                <w:sz w:val="18"/>
                <w:szCs w:val="18"/>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color w:val="000000"/>
                <w:sz w:val="16"/>
                <w:szCs w:val="16"/>
              </w:rPr>
            </w:pPr>
          </w:p>
        </w:tc>
      </w:tr>
      <w:tr>
        <w:tblPrEx>
          <w:tblCellMar>
            <w:top w:w="0" w:type="dxa"/>
            <w:left w:w="0" w:type="dxa"/>
            <w:bottom w:w="0" w:type="dxa"/>
            <w:right w:w="0"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color w:val="000000"/>
                <w:sz w:val="18"/>
                <w:szCs w:val="18"/>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经济效益指标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为群众挽回经济损失</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定性</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高中低</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其他</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color w:val="000000"/>
                <w:sz w:val="16"/>
                <w:szCs w:val="16"/>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30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color w:val="000000"/>
                <w:sz w:val="18"/>
                <w:szCs w:val="18"/>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color w:val="000000"/>
                <w:sz w:val="16"/>
                <w:szCs w:val="16"/>
              </w:rPr>
            </w:pPr>
          </w:p>
        </w:tc>
      </w:tr>
      <w:tr>
        <w:tblPrEx>
          <w:tblCellMar>
            <w:top w:w="0" w:type="dxa"/>
            <w:left w:w="0" w:type="dxa"/>
            <w:bottom w:w="0" w:type="dxa"/>
            <w:right w:w="0"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color w:val="000000"/>
                <w:sz w:val="18"/>
                <w:szCs w:val="18"/>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满意度指标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服务对象满意度指标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群众满意度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95</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color w:val="000000"/>
                <w:sz w:val="16"/>
                <w:szCs w:val="16"/>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30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color w:val="000000"/>
                <w:sz w:val="18"/>
                <w:szCs w:val="18"/>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color w:val="000000"/>
                <w:sz w:val="16"/>
                <w:szCs w:val="16"/>
              </w:rPr>
            </w:pPr>
          </w:p>
        </w:tc>
      </w:tr>
      <w:tr>
        <w:tblPrEx>
          <w:tblCellMar>
            <w:top w:w="0" w:type="dxa"/>
            <w:left w:w="0" w:type="dxa"/>
            <w:bottom w:w="0" w:type="dxa"/>
            <w:right w:w="0" w:type="dxa"/>
          </w:tblCellMar>
        </w:tblPrEx>
        <w:trPr>
          <w:trHeight w:val="286" w:hRule="atLeast"/>
        </w:trPr>
        <w:tc>
          <w:tcPr>
            <w:tcW w:w="10585"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color w:val="000000"/>
                <w:sz w:val="18"/>
                <w:szCs w:val="18"/>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color w:val="000000"/>
                <w:sz w:val="18"/>
                <w:szCs w:val="18"/>
              </w:rPr>
            </w:pPr>
          </w:p>
        </w:tc>
      </w:tr>
      <w:tr>
        <w:tblPrEx>
          <w:tblCellMar>
            <w:top w:w="0" w:type="dxa"/>
            <w:left w:w="0" w:type="dxa"/>
            <w:bottom w:w="0" w:type="dxa"/>
            <w:right w:w="0" w:type="dxa"/>
          </w:tblCellMar>
        </w:tblPrEx>
        <w:trPr>
          <w:trHeight w:val="60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评价结论</w:t>
            </w:r>
          </w:p>
        </w:tc>
        <w:tc>
          <w:tcPr>
            <w:tcW w:w="13419"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580" w:lineRule="exact"/>
              <w:ind w:firstLine="420" w:firstLineChars="200"/>
              <w:contextualSpacing/>
              <w:jc w:val="left"/>
              <w:rPr>
                <w:rFonts w:hint="eastAsia" w:ascii="仿宋_GB2312" w:hAnsi="仿宋_GB2312" w:eastAsia="仿宋_GB2312" w:cs="仿宋_GB2312"/>
                <w:szCs w:val="21"/>
                <w:lang w:val="zh-CN"/>
              </w:rPr>
            </w:pPr>
            <w:r>
              <w:rPr>
                <w:rFonts w:hint="eastAsia" w:ascii="仿宋_GB2312" w:hAnsi="仿宋_GB2312" w:eastAsia="仿宋_GB2312" w:cs="仿宋_GB2312"/>
                <w:kern w:val="0"/>
                <w:szCs w:val="21"/>
                <w:lang w:val="zh-CN"/>
              </w:rPr>
              <w:t>法律援助经费</w:t>
            </w:r>
            <w:r>
              <w:rPr>
                <w:rFonts w:hint="eastAsia" w:ascii="仿宋_GB2312" w:hAnsi="仿宋_GB2312" w:eastAsia="仿宋_GB2312" w:cs="仿宋_GB2312"/>
                <w:szCs w:val="21"/>
                <w:lang w:val="zh-CN"/>
              </w:rPr>
              <w:t>项目绩效总体评价良好。</w:t>
            </w:r>
          </w:p>
          <w:p>
            <w:pPr>
              <w:widowControl/>
              <w:jc w:val="left"/>
              <w:textAlignment w:val="center"/>
              <w:rPr>
                <w:rFonts w:hint="eastAsia" w:ascii="仿宋_GB2312" w:hAnsi="仿宋_GB2312" w:eastAsia="仿宋_GB2312" w:cs="仿宋_GB2312"/>
                <w:i/>
                <w:color w:val="000000"/>
                <w:sz w:val="16"/>
                <w:szCs w:val="16"/>
              </w:rPr>
            </w:pPr>
          </w:p>
        </w:tc>
      </w:tr>
      <w:tr>
        <w:tblPrEx>
          <w:tblCellMar>
            <w:top w:w="0" w:type="dxa"/>
            <w:left w:w="0" w:type="dxa"/>
            <w:bottom w:w="0" w:type="dxa"/>
            <w:right w:w="0" w:type="dxa"/>
          </w:tblCellMar>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存在问题</w:t>
            </w:r>
          </w:p>
        </w:tc>
        <w:tc>
          <w:tcPr>
            <w:tcW w:w="13419"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560" w:lineRule="exact"/>
              <w:ind w:firstLine="360" w:firstLineChars="20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2022年，我们全面发挥职能优势，扎实开展各项工作，取得了一定的成效，但工作还存在着许多薄弱环节和短板：</w:t>
            </w:r>
            <w:r>
              <w:rPr>
                <w:rFonts w:hint="eastAsia" w:ascii="仿宋_GB2312" w:hAnsi="仿宋_GB2312" w:eastAsia="仿宋_GB2312" w:cs="仿宋_GB2312"/>
                <w:b/>
                <w:bCs/>
                <w:sz w:val="18"/>
                <w:szCs w:val="18"/>
              </w:rPr>
              <w:t>一是</w:t>
            </w:r>
            <w:r>
              <w:rPr>
                <w:rFonts w:hint="eastAsia" w:ascii="仿宋_GB2312" w:hAnsi="仿宋_GB2312" w:eastAsia="仿宋_GB2312" w:cs="仿宋_GB2312"/>
                <w:sz w:val="18"/>
                <w:szCs w:val="18"/>
              </w:rPr>
              <w:t>发展不够平衡，基层基础比较薄弱。如我局基层司法所办公阵地、业务能力等规范化建设基础薄弱。</w:t>
            </w:r>
            <w:r>
              <w:rPr>
                <w:rFonts w:hint="eastAsia" w:ascii="仿宋_GB2312" w:hAnsi="仿宋_GB2312" w:eastAsia="仿宋_GB2312" w:cs="仿宋_GB2312"/>
                <w:b/>
                <w:bCs/>
                <w:sz w:val="18"/>
                <w:szCs w:val="18"/>
              </w:rPr>
              <w:t>二是</w:t>
            </w:r>
            <w:r>
              <w:rPr>
                <w:rFonts w:hint="eastAsia" w:ascii="仿宋_GB2312" w:hAnsi="仿宋_GB2312" w:eastAsia="仿宋_GB2312" w:cs="仿宋_GB2312"/>
                <w:sz w:val="18"/>
                <w:szCs w:val="18"/>
              </w:rPr>
              <w:t>专业人才缺乏，法律服务机构还不健全。如我区法律人才资源较为缺少，仅有2个律师事务所、7名社会律师。</w:t>
            </w:r>
            <w:r>
              <w:rPr>
                <w:rFonts w:hint="eastAsia" w:ascii="仿宋_GB2312" w:hAnsi="仿宋_GB2312" w:eastAsia="仿宋_GB2312" w:cs="仿宋_GB2312"/>
                <w:b/>
                <w:bCs/>
                <w:sz w:val="18"/>
                <w:szCs w:val="18"/>
              </w:rPr>
              <w:t>三是</w:t>
            </w:r>
            <w:r>
              <w:rPr>
                <w:rFonts w:hint="eastAsia" w:ascii="仿宋_GB2312" w:hAnsi="仿宋_GB2312" w:eastAsia="仿宋_GB2312" w:cs="仿宋_GB2312"/>
                <w:sz w:val="18"/>
                <w:szCs w:val="18"/>
              </w:rPr>
              <w:t>依法治区考核力度不足。目前依法治区考核是放在全市党务目标进行的考核，分值较低，无单独的考核细则，也无加分项目，各部门干事激情不足。</w:t>
            </w:r>
            <w:r>
              <w:rPr>
                <w:rFonts w:hint="eastAsia" w:ascii="仿宋_GB2312" w:hAnsi="仿宋_GB2312" w:eastAsia="仿宋_GB2312" w:cs="仿宋_GB2312"/>
                <w:kern w:val="0"/>
                <w:sz w:val="18"/>
                <w:szCs w:val="18"/>
                <w:lang w:val="zh-CN"/>
              </w:rPr>
              <w:tab/>
            </w:r>
          </w:p>
          <w:p>
            <w:pPr>
              <w:widowControl/>
              <w:jc w:val="left"/>
              <w:textAlignment w:val="center"/>
              <w:rPr>
                <w:rFonts w:hint="eastAsia" w:ascii="仿宋_GB2312" w:hAnsi="仿宋_GB2312" w:eastAsia="仿宋_GB2312" w:cs="仿宋_GB2312"/>
                <w:i/>
                <w:color w:val="000000"/>
                <w:sz w:val="18"/>
                <w:szCs w:val="18"/>
              </w:rPr>
            </w:pPr>
          </w:p>
        </w:tc>
      </w:tr>
      <w:tr>
        <w:tblPrEx>
          <w:tblCellMar>
            <w:top w:w="0" w:type="dxa"/>
            <w:left w:w="0" w:type="dxa"/>
            <w:bottom w:w="0" w:type="dxa"/>
            <w:right w:w="0" w:type="dxa"/>
          </w:tblCellMar>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改进措施</w:t>
            </w:r>
          </w:p>
        </w:tc>
        <w:tc>
          <w:tcPr>
            <w:tcW w:w="13419"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仿宋_GB2312" w:hAnsi="仿宋_GB2312" w:eastAsia="仿宋_GB2312" w:cs="仿宋_GB2312"/>
                <w:i/>
                <w:color w:val="000000"/>
                <w:sz w:val="18"/>
                <w:szCs w:val="18"/>
              </w:rPr>
            </w:pPr>
            <w:r>
              <w:rPr>
                <w:rFonts w:hint="eastAsia" w:ascii="仿宋_GB2312" w:hAnsi="仿宋_GB2312" w:eastAsia="仿宋_GB2312" w:cs="仿宋_GB2312"/>
                <w:sz w:val="18"/>
                <w:szCs w:val="18"/>
              </w:rPr>
              <w:t>引进专业人员，充实队伍，面向社会公开招聘一批懂法律、懂政策，具有较高综合素质和道德修养的人员，充实司法行政队伍；根据工作的实际需要，逐年增加法治政府建设、行政审批、社区矫正、法律援助、普法宣传、人民调解的业务专项经费；追加全区依法治区专项工作经费预算，为我区实现高质量发展提供坚强法治保障；</w:t>
            </w:r>
            <w:r>
              <w:rPr>
                <w:rFonts w:hint="eastAsia" w:ascii="仿宋_GB2312" w:hAnsi="仿宋_GB2312" w:eastAsia="仿宋_GB2312" w:cs="仿宋_GB2312"/>
                <w:color w:val="000000"/>
                <w:sz w:val="18"/>
                <w:szCs w:val="18"/>
              </w:rPr>
              <w:t>继续推进公共法律服务体系建设。实现公共法律服务实体、热线、网络三大平台基本融合，汇聚形成公共法律服务大数据</w:t>
            </w:r>
            <w:r>
              <w:rPr>
                <w:rFonts w:hint="eastAsia" w:ascii="仿宋_GB2312" w:hAnsi="仿宋_GB2312" w:eastAsia="仿宋_GB2312" w:cs="仿宋_GB2312"/>
                <w:kern w:val="0"/>
                <w:sz w:val="18"/>
                <w:szCs w:val="18"/>
                <w:lang w:val="zh-CN"/>
              </w:rPr>
              <w:t>。</w:t>
            </w:r>
          </w:p>
        </w:tc>
      </w:tr>
      <w:tr>
        <w:tblPrEx>
          <w:tblCellMar>
            <w:top w:w="0" w:type="dxa"/>
            <w:left w:w="0" w:type="dxa"/>
            <w:bottom w:w="0" w:type="dxa"/>
            <w:right w:w="0" w:type="dxa"/>
          </w:tblCellMar>
        </w:tblPrEx>
        <w:trPr>
          <w:trHeight w:val="286" w:hRule="atLeast"/>
        </w:trPr>
        <w:tc>
          <w:tcPr>
            <w:tcW w:w="729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项目负责人：</w:t>
            </w:r>
          </w:p>
        </w:tc>
        <w:tc>
          <w:tcPr>
            <w:tcW w:w="6807"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财务负责人：</w:t>
            </w:r>
          </w:p>
        </w:tc>
      </w:tr>
    </w:tbl>
    <w:p>
      <w:pPr>
        <w:pStyle w:val="7"/>
        <w:spacing w:before="95"/>
        <w:rPr>
          <w:rFonts w:hAnsi="Calibri" w:cs="仿宋"/>
          <w:sz w:val="32"/>
          <w:szCs w:val="32"/>
        </w:rPr>
      </w:pPr>
    </w:p>
    <w:p>
      <w:pPr>
        <w:pStyle w:val="7"/>
        <w:spacing w:before="95"/>
        <w:rPr>
          <w:rFonts w:hAnsi="Calibri" w:cs="仿宋"/>
          <w:sz w:val="32"/>
          <w:szCs w:val="32"/>
        </w:rPr>
      </w:pPr>
    </w:p>
    <w:p>
      <w:pPr>
        <w:pStyle w:val="7"/>
        <w:spacing w:before="95"/>
        <w:rPr>
          <w:rFonts w:hAnsi="Calibri" w:cs="仿宋"/>
          <w:sz w:val="32"/>
          <w:szCs w:val="32"/>
        </w:rPr>
      </w:pPr>
    </w:p>
    <w:p>
      <w:pPr>
        <w:pStyle w:val="7"/>
        <w:spacing w:before="95"/>
        <w:rPr>
          <w:rFonts w:hAnsi="Calibri" w:cs="仿宋"/>
          <w:sz w:val="32"/>
          <w:szCs w:val="32"/>
        </w:rPr>
      </w:pPr>
    </w:p>
    <w:p>
      <w:pPr>
        <w:pStyle w:val="7"/>
        <w:spacing w:before="95"/>
        <w:rPr>
          <w:rFonts w:hAnsi="Calibri" w:cs="仿宋"/>
          <w:sz w:val="32"/>
          <w:szCs w:val="32"/>
        </w:rPr>
      </w:pPr>
    </w:p>
    <w:p>
      <w:pPr>
        <w:pStyle w:val="7"/>
        <w:spacing w:before="95"/>
        <w:rPr>
          <w:rFonts w:hAnsi="Calibri" w:cs="仿宋"/>
          <w:sz w:val="32"/>
          <w:szCs w:val="32"/>
        </w:rPr>
      </w:pPr>
    </w:p>
    <w:p>
      <w:pPr>
        <w:pStyle w:val="7"/>
        <w:spacing w:before="95"/>
        <w:rPr>
          <w:rFonts w:hAnsi="Calibri" w:cs="仿宋"/>
          <w:sz w:val="32"/>
          <w:szCs w:val="32"/>
        </w:rPr>
      </w:pPr>
    </w:p>
    <w:p>
      <w:pPr>
        <w:widowControl/>
        <w:numPr>
          <w:ilvl w:val="0"/>
          <w:numId w:val="0"/>
        </w:numPr>
        <w:adjustRightInd w:val="0"/>
        <w:snapToGrid w:val="0"/>
        <w:spacing w:line="580" w:lineRule="exact"/>
        <w:ind w:left="1680" w:leftChars="0" w:firstLine="0" w:firstLineChars="0"/>
        <w:contextualSpacing/>
        <w:jc w:val="left"/>
        <w:rPr>
          <w:rFonts w:ascii="仿宋_GB2312" w:hAnsi="Calibri" w:eastAsia="仿宋_GB2312" w:cs="仿宋"/>
          <w:kern w:val="0"/>
          <w:sz w:val="32"/>
          <w:szCs w:val="32"/>
        </w:rPr>
      </w:pPr>
      <w:r>
        <w:rPr>
          <w:rFonts w:hint="eastAsia" w:ascii="仿宋_GB2312" w:hAnsi="Calibri" w:eastAsia="仿宋_GB2312" w:cs="仿宋"/>
          <w:kern w:val="0"/>
          <w:sz w:val="32"/>
          <w:szCs w:val="32"/>
          <w:lang w:val="en-US" w:eastAsia="zh-CN" w:bidi="ar-SA"/>
        </w:rPr>
        <w:t>3</w:t>
      </w:r>
      <w:r>
        <w:rPr>
          <w:rFonts w:ascii="仿宋_GB2312" w:hAnsi="Calibri" w:eastAsia="仿宋_GB2312" w:cs="仿宋"/>
          <w:kern w:val="0"/>
          <w:sz w:val="32"/>
          <w:szCs w:val="32"/>
          <w:lang w:val="en-US" w:eastAsia="zh-CN" w:bidi="ar-SA"/>
        </w:rPr>
        <w:t>.</w:t>
      </w:r>
      <w:r>
        <w:rPr>
          <w:rFonts w:hint="eastAsia" w:ascii="仿宋_GB2312" w:hAnsi="仿宋_GB2312" w:eastAsia="仿宋_GB2312" w:cs="仿宋_GB2312"/>
          <w:color w:val="000000"/>
          <w:kern w:val="0"/>
          <w:sz w:val="32"/>
          <w:szCs w:val="32"/>
          <w:lang w:bidi="ar"/>
        </w:rPr>
        <w:t>普法宣传</w:t>
      </w:r>
      <w:r>
        <w:rPr>
          <w:rFonts w:hint="eastAsia" w:ascii="仿宋_GB2312" w:hAnsi="仿宋_GB2312" w:eastAsia="仿宋_GB2312" w:cs="仿宋_GB2312"/>
          <w:kern w:val="0"/>
          <w:sz w:val="32"/>
          <w:szCs w:val="32"/>
        </w:rPr>
        <w:t>项目绩效目标自评</w:t>
      </w:r>
      <w:r>
        <w:rPr>
          <w:rFonts w:hint="eastAsia" w:ascii="仿宋_GB2312" w:hAnsi="Calibri" w:eastAsia="仿宋_GB2312" w:cs="仿宋"/>
          <w:kern w:val="0"/>
          <w:sz w:val="32"/>
          <w:szCs w:val="32"/>
        </w:rPr>
        <w:t>表</w:t>
      </w:r>
    </w:p>
    <w:tbl>
      <w:tblPr>
        <w:tblStyle w:val="21"/>
        <w:tblW w:w="8504" w:type="dxa"/>
        <w:tblInd w:w="0" w:type="dxa"/>
        <w:tblLayout w:type="autofit"/>
        <w:tblCellMar>
          <w:top w:w="0" w:type="dxa"/>
          <w:left w:w="0" w:type="dxa"/>
          <w:bottom w:w="0" w:type="dxa"/>
          <w:right w:w="0" w:type="dxa"/>
        </w:tblCellMar>
      </w:tblPr>
      <w:tblGrid>
        <w:gridCol w:w="513"/>
        <w:gridCol w:w="1086"/>
        <w:gridCol w:w="1022"/>
        <w:gridCol w:w="1175"/>
        <w:gridCol w:w="340"/>
        <w:gridCol w:w="1034"/>
        <w:gridCol w:w="340"/>
        <w:gridCol w:w="840"/>
        <w:gridCol w:w="386"/>
        <w:gridCol w:w="313"/>
        <w:gridCol w:w="1455"/>
      </w:tblGrid>
      <w:tr>
        <w:tblPrEx>
          <w:tblCellMar>
            <w:top w:w="0" w:type="dxa"/>
            <w:left w:w="0" w:type="dxa"/>
            <w:bottom w:w="0" w:type="dxa"/>
            <w:right w:w="0" w:type="dxa"/>
          </w:tblCellMar>
        </w:tblPrEx>
        <w:trPr>
          <w:trHeight w:val="901" w:hRule="atLeast"/>
        </w:trPr>
        <w:tc>
          <w:tcPr>
            <w:tcW w:w="8504"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s="黑体"/>
                <w:b/>
                <w:color w:val="000000"/>
                <w:sz w:val="30"/>
                <w:szCs w:val="30"/>
              </w:rPr>
            </w:pPr>
            <w:r>
              <w:rPr>
                <w:rFonts w:hint="eastAsia" w:ascii="黑体" w:hAnsi="宋体" w:eastAsia="黑体" w:cs="黑体"/>
                <w:b/>
                <w:color w:val="000000"/>
                <w:kern w:val="0"/>
                <w:sz w:val="30"/>
                <w:szCs w:val="30"/>
                <w:lang w:bidi="ar"/>
              </w:rPr>
              <w:t>部门预算项目支出绩效自评表（2022年度）</w:t>
            </w:r>
          </w:p>
        </w:tc>
      </w:tr>
      <w:tr>
        <w:tblPrEx>
          <w:tblCellMar>
            <w:top w:w="0" w:type="dxa"/>
            <w:left w:w="0" w:type="dxa"/>
            <w:bottom w:w="0" w:type="dxa"/>
            <w:right w:w="0" w:type="dxa"/>
          </w:tblCellMar>
        </w:tblPrEx>
        <w:trPr>
          <w:trHeight w:val="286" w:hRule="atLeast"/>
        </w:trPr>
        <w:tc>
          <w:tcPr>
            <w:tcW w:w="159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项目名称</w:t>
            </w:r>
          </w:p>
        </w:tc>
        <w:tc>
          <w:tcPr>
            <w:tcW w:w="6905"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51090422T000000280584-普法宣传</w:t>
            </w:r>
          </w:p>
        </w:tc>
      </w:tr>
      <w:tr>
        <w:tblPrEx>
          <w:tblCellMar>
            <w:top w:w="0" w:type="dxa"/>
            <w:left w:w="0" w:type="dxa"/>
            <w:bottom w:w="0" w:type="dxa"/>
            <w:right w:w="0" w:type="dxa"/>
          </w:tblCellMar>
        </w:tblPrEx>
        <w:trPr>
          <w:trHeight w:val="512" w:hRule="atLeast"/>
        </w:trPr>
        <w:tc>
          <w:tcPr>
            <w:tcW w:w="159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主管部门</w:t>
            </w:r>
          </w:p>
        </w:tc>
        <w:tc>
          <w:tcPr>
            <w:tcW w:w="3911"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遂宁市安居区司法局部门</w:t>
            </w:r>
          </w:p>
        </w:tc>
        <w:tc>
          <w:tcPr>
            <w:tcW w:w="840" w:type="dxa"/>
            <w:tcBorders>
              <w:top w:val="nil"/>
              <w:left w:val="nil"/>
              <w:bottom w:val="nil"/>
              <w:right w:val="nil"/>
            </w:tcBorders>
            <w:shd w:val="clear" w:color="auto" w:fill="auto"/>
            <w:tcMar>
              <w:top w:w="15" w:type="dxa"/>
              <w:left w:w="15" w:type="dxa"/>
              <w:right w:w="15" w:type="dxa"/>
            </w:tcMar>
            <w:vAlign w:val="center"/>
          </w:tcPr>
          <w:p>
            <w:pPr>
              <w:widowControl/>
              <w:jc w:val="lef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实施单位 （盖章）</w:t>
            </w:r>
          </w:p>
        </w:tc>
        <w:tc>
          <w:tcPr>
            <w:tcW w:w="215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遂宁市安居区司法局</w:t>
            </w:r>
          </w:p>
        </w:tc>
      </w:tr>
      <w:tr>
        <w:tblPrEx>
          <w:tblCellMar>
            <w:top w:w="0" w:type="dxa"/>
            <w:left w:w="0" w:type="dxa"/>
            <w:bottom w:w="0" w:type="dxa"/>
            <w:right w:w="0" w:type="dxa"/>
          </w:tblCellMar>
        </w:tblPrEx>
        <w:trPr>
          <w:trHeight w:val="286" w:hRule="atLeast"/>
        </w:trPr>
        <w:tc>
          <w:tcPr>
            <w:tcW w:w="51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项目基本情况</w:t>
            </w:r>
          </w:p>
        </w:tc>
        <w:tc>
          <w:tcPr>
            <w:tcW w:w="108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1.项目年度目标完成情况</w:t>
            </w:r>
          </w:p>
        </w:tc>
        <w:tc>
          <w:tcPr>
            <w:tcW w:w="3911"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项目年度目标</w:t>
            </w:r>
          </w:p>
        </w:tc>
        <w:tc>
          <w:tcPr>
            <w:tcW w:w="299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年度目标完成情况</w:t>
            </w:r>
          </w:p>
        </w:tc>
      </w:tr>
      <w:tr>
        <w:tblPrEx>
          <w:tblCellMar>
            <w:top w:w="0" w:type="dxa"/>
            <w:left w:w="0" w:type="dxa"/>
            <w:bottom w:w="0" w:type="dxa"/>
            <w:right w:w="0" w:type="dxa"/>
          </w:tblCellMar>
        </w:tblPrEx>
        <w:trPr>
          <w:trHeight w:val="1809" w:hRule="atLeast"/>
        </w:trPr>
        <w:tc>
          <w:tcPr>
            <w:tcW w:w="5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color w:val="000000"/>
                <w:sz w:val="18"/>
                <w:szCs w:val="18"/>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color w:val="000000"/>
                <w:sz w:val="18"/>
                <w:szCs w:val="18"/>
              </w:rPr>
            </w:pPr>
          </w:p>
        </w:tc>
        <w:tc>
          <w:tcPr>
            <w:tcW w:w="3911"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仿宋_GB2312" w:hAnsi="仿宋_GB2312" w:eastAsia="仿宋_GB2312" w:cs="仿宋_GB2312"/>
                <w:color w:val="000000"/>
                <w:kern w:val="0"/>
                <w:sz w:val="18"/>
                <w:szCs w:val="18"/>
                <w:lang w:eastAsia="zh-CN" w:bidi="ar"/>
              </w:rPr>
            </w:pPr>
            <w:r>
              <w:rPr>
                <w:rFonts w:hint="eastAsia" w:ascii="仿宋_GB2312" w:hAnsi="仿宋_GB2312" w:eastAsia="仿宋_GB2312" w:cs="仿宋_GB2312"/>
                <w:color w:val="000000"/>
                <w:kern w:val="0"/>
                <w:sz w:val="18"/>
                <w:szCs w:val="18"/>
                <w:lang w:bidi="ar"/>
              </w:rPr>
              <w:t>根据中共遂宁市安居区委全面依法治市委员会办公室遂宁市安居区司法局关于印发《2021年遂宁市安居区普法依法治理工作要点》的通知（遂安司法〔2021〕24号）文件要求，启动“八五”普法规划。</w:t>
            </w:r>
          </w:p>
          <w:p>
            <w:pPr>
              <w:widowControl/>
              <w:jc w:val="lef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根据“七五”普法（遂安委〔2017〕10号）文件规定。（依法治区“七五”普法、法治宣传经费。根据“七五”普法（遂安委〔2017〕10号文件规定，并结合市上研讨会意见，拟按每年人均不低于0.5-0.8元的标准列入区财政预算，专款专用。全区常住人口43万，人均0.5元，预算21.5万元。（因“八五”普法经费文件暂未出台，现暂按“七五”普法文件规定申请预算。）</w:t>
            </w:r>
          </w:p>
        </w:tc>
        <w:tc>
          <w:tcPr>
            <w:tcW w:w="299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对照年度目标，说明相关任务目标的完成情况（100字以内）</w:t>
            </w:r>
          </w:p>
        </w:tc>
      </w:tr>
      <w:tr>
        <w:tblPrEx>
          <w:tblCellMar>
            <w:top w:w="0" w:type="dxa"/>
            <w:left w:w="0" w:type="dxa"/>
            <w:bottom w:w="0" w:type="dxa"/>
            <w:right w:w="0" w:type="dxa"/>
          </w:tblCellMar>
        </w:tblPrEx>
        <w:trPr>
          <w:trHeight w:val="693" w:hRule="atLeast"/>
        </w:trPr>
        <w:tc>
          <w:tcPr>
            <w:tcW w:w="5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color w:val="000000"/>
                <w:sz w:val="18"/>
                <w:szCs w:val="18"/>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2.项目实施内容及过程概述</w:t>
            </w:r>
          </w:p>
        </w:tc>
        <w:tc>
          <w:tcPr>
            <w:tcW w:w="6905"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color w:val="000000"/>
                <w:sz w:val="18"/>
                <w:szCs w:val="18"/>
              </w:rPr>
            </w:pPr>
          </w:p>
        </w:tc>
      </w:tr>
      <w:tr>
        <w:tblPrEx>
          <w:tblCellMar>
            <w:top w:w="0" w:type="dxa"/>
            <w:left w:w="0" w:type="dxa"/>
            <w:bottom w:w="0" w:type="dxa"/>
            <w:right w:w="0" w:type="dxa"/>
          </w:tblCellMar>
        </w:tblPrEx>
        <w:trPr>
          <w:trHeight w:val="361" w:hRule="atLeast"/>
        </w:trPr>
        <w:tc>
          <w:tcPr>
            <w:tcW w:w="51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预算执行情况（10分）</w:t>
            </w:r>
          </w:p>
        </w:tc>
        <w:tc>
          <w:tcPr>
            <w:tcW w:w="10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年度预算数（万元）</w:t>
            </w: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年初预算</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调整后预算数</w:t>
            </w:r>
          </w:p>
        </w:tc>
        <w:tc>
          <w:tcPr>
            <w:tcW w:w="171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预算执行数</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预算执行率</w:t>
            </w:r>
          </w:p>
        </w:tc>
        <w:tc>
          <w:tcPr>
            <w:tcW w:w="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权重</w:t>
            </w:r>
          </w:p>
        </w:tc>
        <w:tc>
          <w:tcPr>
            <w:tcW w:w="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得分</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原因</w:t>
            </w:r>
          </w:p>
        </w:tc>
      </w:tr>
      <w:tr>
        <w:tblPrEx>
          <w:tblCellMar>
            <w:top w:w="0" w:type="dxa"/>
            <w:left w:w="0" w:type="dxa"/>
            <w:bottom w:w="0" w:type="dxa"/>
            <w:right w:w="0" w:type="dxa"/>
          </w:tblCellMar>
        </w:tblPrEx>
        <w:trPr>
          <w:trHeight w:val="387" w:hRule="atLeast"/>
        </w:trPr>
        <w:tc>
          <w:tcPr>
            <w:tcW w:w="5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color w:val="000000"/>
                <w:sz w:val="18"/>
                <w:szCs w:val="18"/>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总额</w:t>
            </w: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10.00</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5.29</w:t>
            </w:r>
          </w:p>
        </w:tc>
        <w:tc>
          <w:tcPr>
            <w:tcW w:w="171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5.29</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100.00%</w:t>
            </w:r>
          </w:p>
        </w:tc>
        <w:tc>
          <w:tcPr>
            <w:tcW w:w="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10</w:t>
            </w:r>
          </w:p>
        </w:tc>
        <w:tc>
          <w:tcPr>
            <w:tcW w:w="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iCs/>
                <w:color w:val="000000"/>
                <w:sz w:val="18"/>
                <w:szCs w:val="18"/>
              </w:rPr>
            </w:pPr>
          </w:p>
        </w:tc>
        <w:tc>
          <w:tcPr>
            <w:tcW w:w="14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仿宋_GB2312" w:hAnsi="仿宋_GB2312" w:eastAsia="仿宋_GB2312" w:cs="仿宋_GB2312"/>
                <w:i/>
                <w:iCs/>
                <w:color w:val="000000"/>
                <w:sz w:val="18"/>
                <w:szCs w:val="18"/>
              </w:rPr>
            </w:pPr>
            <w:r>
              <w:rPr>
                <w:rFonts w:hint="eastAsia" w:ascii="仿宋_GB2312" w:hAnsi="仿宋_GB2312" w:eastAsia="仿宋_GB2312" w:cs="仿宋_GB2312"/>
                <w:i w:val="0"/>
                <w:iCs w:val="0"/>
                <w:color w:val="000000"/>
                <w:kern w:val="0"/>
                <w:sz w:val="18"/>
                <w:szCs w:val="18"/>
                <w:lang w:bidi="ar"/>
              </w:rPr>
              <w:t>1.预算执行率=预算执行数/调整后预算数，预算执行率未达到90%的需说明原因（100字以内）;2.年中发生预算调整的（追加或调减）,应单独说明理由；3.其他资金包括：社会投入资金、银行贷款.</w:t>
            </w:r>
          </w:p>
        </w:tc>
      </w:tr>
      <w:tr>
        <w:tblPrEx>
          <w:tblCellMar>
            <w:top w:w="0" w:type="dxa"/>
            <w:left w:w="0" w:type="dxa"/>
            <w:bottom w:w="0" w:type="dxa"/>
            <w:right w:w="0" w:type="dxa"/>
          </w:tblCellMar>
        </w:tblPrEx>
        <w:trPr>
          <w:trHeight w:val="432" w:hRule="atLeast"/>
        </w:trPr>
        <w:tc>
          <w:tcPr>
            <w:tcW w:w="5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color w:val="000000"/>
                <w:sz w:val="18"/>
                <w:szCs w:val="18"/>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其中：财政资金</w:t>
            </w: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10.00</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5.29</w:t>
            </w:r>
          </w:p>
        </w:tc>
        <w:tc>
          <w:tcPr>
            <w:tcW w:w="171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5.29</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100.00%</w:t>
            </w:r>
          </w:p>
        </w:tc>
        <w:tc>
          <w:tcPr>
            <w:tcW w:w="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w:t>
            </w:r>
          </w:p>
        </w:tc>
        <w:tc>
          <w:tcPr>
            <w:tcW w:w="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w:t>
            </w: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i/>
                <w:color w:val="000000"/>
                <w:sz w:val="18"/>
                <w:szCs w:val="18"/>
              </w:rPr>
            </w:pPr>
          </w:p>
        </w:tc>
      </w:tr>
      <w:tr>
        <w:tblPrEx>
          <w:tblCellMar>
            <w:top w:w="0" w:type="dxa"/>
            <w:left w:w="0" w:type="dxa"/>
            <w:bottom w:w="0" w:type="dxa"/>
            <w:right w:w="0" w:type="dxa"/>
          </w:tblCellMar>
        </w:tblPrEx>
        <w:trPr>
          <w:trHeight w:val="447" w:hRule="atLeast"/>
        </w:trPr>
        <w:tc>
          <w:tcPr>
            <w:tcW w:w="5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color w:val="000000"/>
                <w:sz w:val="18"/>
                <w:szCs w:val="18"/>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财政专户管理资金</w:t>
            </w: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0.00</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0.00</w:t>
            </w:r>
          </w:p>
        </w:tc>
        <w:tc>
          <w:tcPr>
            <w:tcW w:w="171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0.00</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0.00%</w:t>
            </w:r>
          </w:p>
        </w:tc>
        <w:tc>
          <w:tcPr>
            <w:tcW w:w="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w:t>
            </w:r>
          </w:p>
        </w:tc>
        <w:tc>
          <w:tcPr>
            <w:tcW w:w="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w:t>
            </w: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i/>
                <w:color w:val="000000"/>
                <w:sz w:val="18"/>
                <w:szCs w:val="18"/>
              </w:rPr>
            </w:pPr>
          </w:p>
        </w:tc>
      </w:tr>
      <w:tr>
        <w:tblPrEx>
          <w:tblCellMar>
            <w:top w:w="0" w:type="dxa"/>
            <w:left w:w="0" w:type="dxa"/>
            <w:bottom w:w="0" w:type="dxa"/>
            <w:right w:w="0" w:type="dxa"/>
          </w:tblCellMar>
        </w:tblPrEx>
        <w:trPr>
          <w:trHeight w:val="402" w:hRule="atLeast"/>
        </w:trPr>
        <w:tc>
          <w:tcPr>
            <w:tcW w:w="5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color w:val="000000"/>
                <w:sz w:val="18"/>
                <w:szCs w:val="18"/>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单位资金</w:t>
            </w: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0.00</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0.00</w:t>
            </w:r>
          </w:p>
        </w:tc>
        <w:tc>
          <w:tcPr>
            <w:tcW w:w="171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0.00</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0.00%</w:t>
            </w:r>
          </w:p>
        </w:tc>
        <w:tc>
          <w:tcPr>
            <w:tcW w:w="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w:t>
            </w:r>
          </w:p>
        </w:tc>
        <w:tc>
          <w:tcPr>
            <w:tcW w:w="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w:t>
            </w: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i/>
                <w:color w:val="000000"/>
                <w:sz w:val="18"/>
                <w:szCs w:val="18"/>
              </w:rPr>
            </w:pPr>
          </w:p>
        </w:tc>
      </w:tr>
      <w:tr>
        <w:tblPrEx>
          <w:tblCellMar>
            <w:top w:w="0" w:type="dxa"/>
            <w:left w:w="0" w:type="dxa"/>
            <w:bottom w:w="0" w:type="dxa"/>
            <w:right w:w="0" w:type="dxa"/>
          </w:tblCellMar>
        </w:tblPrEx>
        <w:trPr>
          <w:trHeight w:val="379" w:hRule="atLeast"/>
        </w:trPr>
        <w:tc>
          <w:tcPr>
            <w:tcW w:w="5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color w:val="000000"/>
                <w:sz w:val="18"/>
                <w:szCs w:val="18"/>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其他资金</w:t>
            </w: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color w:val="000000"/>
                <w:sz w:val="16"/>
                <w:szCs w:val="16"/>
              </w:rPr>
            </w:pP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color w:val="000000"/>
                <w:sz w:val="16"/>
                <w:szCs w:val="16"/>
              </w:rPr>
            </w:pPr>
          </w:p>
        </w:tc>
        <w:tc>
          <w:tcPr>
            <w:tcW w:w="171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color w:val="000000"/>
                <w:sz w:val="16"/>
                <w:szCs w:val="16"/>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color w:val="000000"/>
                <w:sz w:val="16"/>
                <w:szCs w:val="16"/>
              </w:rPr>
            </w:pPr>
          </w:p>
        </w:tc>
        <w:tc>
          <w:tcPr>
            <w:tcW w:w="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w:t>
            </w:r>
          </w:p>
        </w:tc>
        <w:tc>
          <w:tcPr>
            <w:tcW w:w="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w:t>
            </w: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i/>
                <w:color w:val="000000"/>
                <w:sz w:val="18"/>
                <w:szCs w:val="18"/>
              </w:rPr>
            </w:pPr>
          </w:p>
        </w:tc>
      </w:tr>
      <w:tr>
        <w:tblPrEx>
          <w:tblCellMar>
            <w:top w:w="0" w:type="dxa"/>
            <w:left w:w="0" w:type="dxa"/>
            <w:bottom w:w="0" w:type="dxa"/>
            <w:right w:w="0" w:type="dxa"/>
          </w:tblCellMar>
        </w:tblPrEx>
        <w:trPr>
          <w:trHeight w:val="452" w:hRule="atLeast"/>
        </w:trPr>
        <w:tc>
          <w:tcPr>
            <w:tcW w:w="51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绩效指标（90分）</w:t>
            </w:r>
          </w:p>
        </w:tc>
        <w:tc>
          <w:tcPr>
            <w:tcW w:w="10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一级指标</w:t>
            </w: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二级指标</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三级指标</w:t>
            </w:r>
          </w:p>
        </w:tc>
        <w:tc>
          <w:tcPr>
            <w:tcW w:w="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指标性质</w:t>
            </w:r>
          </w:p>
        </w:tc>
        <w:tc>
          <w:tcPr>
            <w:tcW w:w="1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指标值</w:t>
            </w:r>
          </w:p>
        </w:tc>
        <w:tc>
          <w:tcPr>
            <w:tcW w:w="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度量单位</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完成值</w:t>
            </w:r>
          </w:p>
        </w:tc>
        <w:tc>
          <w:tcPr>
            <w:tcW w:w="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权重</w:t>
            </w:r>
          </w:p>
        </w:tc>
        <w:tc>
          <w:tcPr>
            <w:tcW w:w="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得分</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未完成原因分析</w:t>
            </w:r>
          </w:p>
        </w:tc>
      </w:tr>
      <w:tr>
        <w:tblPrEx>
          <w:tblCellMar>
            <w:top w:w="0" w:type="dxa"/>
            <w:left w:w="0" w:type="dxa"/>
            <w:bottom w:w="0" w:type="dxa"/>
            <w:right w:w="0" w:type="dxa"/>
          </w:tblCellMar>
        </w:tblPrEx>
        <w:trPr>
          <w:trHeight w:val="339" w:hRule="atLeast"/>
        </w:trPr>
        <w:tc>
          <w:tcPr>
            <w:tcW w:w="5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color w:val="000000"/>
                <w:sz w:val="18"/>
                <w:szCs w:val="18"/>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产出指标</w:t>
            </w: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数量指标</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累计发放法律宣传资料</w:t>
            </w:r>
          </w:p>
        </w:tc>
        <w:tc>
          <w:tcPr>
            <w:tcW w:w="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150000</w:t>
            </w:r>
          </w:p>
        </w:tc>
        <w:tc>
          <w:tcPr>
            <w:tcW w:w="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册</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color w:val="000000"/>
                <w:sz w:val="16"/>
                <w:szCs w:val="16"/>
              </w:rPr>
            </w:pPr>
          </w:p>
        </w:tc>
        <w:tc>
          <w:tcPr>
            <w:tcW w:w="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30</w:t>
            </w:r>
          </w:p>
        </w:tc>
        <w:tc>
          <w:tcPr>
            <w:tcW w:w="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color w:val="000000"/>
                <w:sz w:val="18"/>
                <w:szCs w:val="18"/>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color w:val="000000"/>
                <w:sz w:val="16"/>
                <w:szCs w:val="16"/>
              </w:rPr>
            </w:pPr>
          </w:p>
        </w:tc>
      </w:tr>
      <w:tr>
        <w:tblPrEx>
          <w:tblCellMar>
            <w:top w:w="0" w:type="dxa"/>
            <w:left w:w="0" w:type="dxa"/>
            <w:bottom w:w="0" w:type="dxa"/>
            <w:right w:w="0" w:type="dxa"/>
          </w:tblCellMar>
        </w:tblPrEx>
        <w:trPr>
          <w:trHeight w:val="339" w:hRule="atLeast"/>
        </w:trPr>
        <w:tc>
          <w:tcPr>
            <w:tcW w:w="5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color w:val="000000"/>
                <w:sz w:val="18"/>
                <w:szCs w:val="18"/>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效益指标</w:t>
            </w: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社会效益指标</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开展法律七进、12.4宣传</w:t>
            </w:r>
          </w:p>
        </w:tc>
        <w:tc>
          <w:tcPr>
            <w:tcW w:w="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定性</w:t>
            </w:r>
          </w:p>
        </w:tc>
        <w:tc>
          <w:tcPr>
            <w:tcW w:w="1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优良中低差</w:t>
            </w:r>
          </w:p>
        </w:tc>
        <w:tc>
          <w:tcPr>
            <w:tcW w:w="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其他</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color w:val="000000"/>
                <w:sz w:val="16"/>
                <w:szCs w:val="16"/>
              </w:rPr>
            </w:pPr>
          </w:p>
        </w:tc>
        <w:tc>
          <w:tcPr>
            <w:tcW w:w="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30</w:t>
            </w:r>
          </w:p>
        </w:tc>
        <w:tc>
          <w:tcPr>
            <w:tcW w:w="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color w:val="000000"/>
                <w:sz w:val="18"/>
                <w:szCs w:val="18"/>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color w:val="000000"/>
                <w:sz w:val="16"/>
                <w:szCs w:val="16"/>
              </w:rPr>
            </w:pPr>
          </w:p>
        </w:tc>
      </w:tr>
      <w:tr>
        <w:tblPrEx>
          <w:tblCellMar>
            <w:top w:w="0" w:type="dxa"/>
            <w:left w:w="0" w:type="dxa"/>
            <w:bottom w:w="0" w:type="dxa"/>
            <w:right w:w="0" w:type="dxa"/>
          </w:tblCellMar>
        </w:tblPrEx>
        <w:trPr>
          <w:trHeight w:val="452" w:hRule="atLeast"/>
        </w:trPr>
        <w:tc>
          <w:tcPr>
            <w:tcW w:w="5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color w:val="000000"/>
                <w:sz w:val="18"/>
                <w:szCs w:val="18"/>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满意度指标</w:t>
            </w: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服务对象满意度指标</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群众满意度</w:t>
            </w:r>
          </w:p>
        </w:tc>
        <w:tc>
          <w:tcPr>
            <w:tcW w:w="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定性</w:t>
            </w:r>
          </w:p>
        </w:tc>
        <w:tc>
          <w:tcPr>
            <w:tcW w:w="1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优良中低差</w:t>
            </w:r>
          </w:p>
        </w:tc>
        <w:tc>
          <w:tcPr>
            <w:tcW w:w="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其他</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color w:val="000000"/>
                <w:sz w:val="16"/>
                <w:szCs w:val="16"/>
              </w:rPr>
            </w:pPr>
          </w:p>
        </w:tc>
        <w:tc>
          <w:tcPr>
            <w:tcW w:w="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30</w:t>
            </w:r>
          </w:p>
        </w:tc>
        <w:tc>
          <w:tcPr>
            <w:tcW w:w="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color w:val="000000"/>
                <w:sz w:val="18"/>
                <w:szCs w:val="18"/>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color w:val="000000"/>
                <w:sz w:val="16"/>
                <w:szCs w:val="16"/>
              </w:rPr>
            </w:pPr>
          </w:p>
        </w:tc>
      </w:tr>
      <w:tr>
        <w:tblPrEx>
          <w:tblCellMar>
            <w:top w:w="0" w:type="dxa"/>
            <w:left w:w="0" w:type="dxa"/>
            <w:bottom w:w="0" w:type="dxa"/>
            <w:right w:w="0" w:type="dxa"/>
          </w:tblCellMar>
        </w:tblPrEx>
        <w:trPr>
          <w:trHeight w:val="286" w:hRule="atLeast"/>
        </w:trPr>
        <w:tc>
          <w:tcPr>
            <w:tcW w:w="6350"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合计</w:t>
            </w:r>
          </w:p>
        </w:tc>
        <w:tc>
          <w:tcPr>
            <w:tcW w:w="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100</w:t>
            </w:r>
          </w:p>
        </w:tc>
        <w:tc>
          <w:tcPr>
            <w:tcW w:w="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color w:val="000000"/>
                <w:sz w:val="18"/>
                <w:szCs w:val="18"/>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color w:val="000000"/>
                <w:sz w:val="18"/>
                <w:szCs w:val="18"/>
              </w:rPr>
            </w:pPr>
          </w:p>
        </w:tc>
      </w:tr>
      <w:tr>
        <w:tblPrEx>
          <w:tblCellMar>
            <w:top w:w="0" w:type="dxa"/>
            <w:left w:w="0" w:type="dxa"/>
            <w:bottom w:w="0" w:type="dxa"/>
            <w:right w:w="0" w:type="dxa"/>
          </w:tblCellMar>
        </w:tblPrEx>
        <w:trPr>
          <w:trHeight w:val="603"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评价结论</w:t>
            </w:r>
          </w:p>
        </w:tc>
        <w:tc>
          <w:tcPr>
            <w:tcW w:w="7991"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仿宋_GB2312" w:hAnsi="仿宋_GB2312" w:eastAsia="仿宋_GB2312" w:cs="仿宋_GB2312"/>
                <w:i/>
                <w:color w:val="000000"/>
                <w:sz w:val="18"/>
                <w:szCs w:val="18"/>
              </w:rPr>
            </w:pPr>
            <w:r>
              <w:rPr>
                <w:rFonts w:hint="eastAsia" w:ascii="仿宋_GB2312" w:hAnsi="仿宋_GB2312" w:eastAsia="仿宋_GB2312" w:cs="仿宋_GB2312"/>
                <w:color w:val="000000"/>
                <w:kern w:val="0"/>
                <w:sz w:val="18"/>
                <w:szCs w:val="18"/>
                <w:shd w:val="clear" w:color="auto" w:fill="FFFFFF"/>
                <w:lang w:val="zh-CN"/>
              </w:rPr>
              <w:t>经遂宁市安居区司法局认真自评，20</w:t>
            </w:r>
            <w:r>
              <w:rPr>
                <w:rFonts w:hint="eastAsia" w:ascii="仿宋_GB2312" w:hAnsi="仿宋_GB2312" w:eastAsia="仿宋_GB2312" w:cs="仿宋_GB2312"/>
                <w:color w:val="000000"/>
                <w:kern w:val="0"/>
                <w:sz w:val="18"/>
                <w:szCs w:val="18"/>
                <w:shd w:val="clear" w:color="auto" w:fill="FFFFFF"/>
              </w:rPr>
              <w:t>22</w:t>
            </w:r>
            <w:r>
              <w:rPr>
                <w:rFonts w:hint="eastAsia" w:ascii="仿宋_GB2312" w:hAnsi="仿宋_GB2312" w:eastAsia="仿宋_GB2312" w:cs="仿宋_GB2312"/>
                <w:color w:val="000000"/>
                <w:kern w:val="0"/>
                <w:sz w:val="18"/>
                <w:szCs w:val="18"/>
                <w:shd w:val="clear" w:color="auto" w:fill="FFFFFF"/>
                <w:lang w:val="zh-CN"/>
              </w:rPr>
              <w:t>年</w:t>
            </w:r>
            <w:r>
              <w:rPr>
                <w:rFonts w:hint="eastAsia" w:ascii="仿宋_GB2312" w:hAnsi="仿宋_GB2312" w:eastAsia="仿宋_GB2312" w:cs="仿宋_GB2312"/>
                <w:kern w:val="0"/>
                <w:sz w:val="18"/>
                <w:szCs w:val="18"/>
                <w:lang w:val="zh-CN"/>
              </w:rPr>
              <w:t>普法宣传</w:t>
            </w:r>
            <w:r>
              <w:rPr>
                <w:rFonts w:hint="eastAsia" w:ascii="仿宋_GB2312" w:hAnsi="仿宋_GB2312" w:eastAsia="仿宋_GB2312" w:cs="仿宋_GB2312"/>
                <w:color w:val="000000"/>
                <w:kern w:val="0"/>
                <w:sz w:val="18"/>
                <w:szCs w:val="18"/>
                <w:shd w:val="clear" w:color="auto" w:fill="FFFFFF"/>
                <w:lang w:val="zh-CN"/>
              </w:rPr>
              <w:t>支出绩效评为“良好”。绩效目标明确，资金落实到位，管理体系完善，司法行政工作成效显现。</w:t>
            </w:r>
          </w:p>
        </w:tc>
      </w:tr>
      <w:tr>
        <w:tblPrEx>
          <w:tblCellMar>
            <w:top w:w="0" w:type="dxa"/>
            <w:left w:w="0" w:type="dxa"/>
            <w:bottom w:w="0" w:type="dxa"/>
            <w:right w:w="0" w:type="dxa"/>
          </w:tblCellMar>
        </w:tblPrEx>
        <w:trPr>
          <w:trHeight w:val="572"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存在问题</w:t>
            </w:r>
          </w:p>
        </w:tc>
        <w:tc>
          <w:tcPr>
            <w:tcW w:w="7991"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仿宋_GB2312" w:hAnsi="仿宋_GB2312" w:eastAsia="仿宋_GB2312" w:cs="仿宋_GB2312"/>
                <w:i/>
                <w:color w:val="000000"/>
                <w:szCs w:val="21"/>
              </w:rPr>
            </w:pPr>
            <w:r>
              <w:rPr>
                <w:rFonts w:hint="eastAsia" w:ascii="仿宋_GB2312" w:hAnsi="仿宋_GB2312" w:eastAsia="仿宋_GB2312" w:cs="仿宋_GB2312"/>
                <w:szCs w:val="21"/>
              </w:rPr>
              <w:t>2022年，我们全面发挥职能优势，扎实开展各项工作，取得了一定的成效，但工作还存在着许多薄弱环节和短板：</w:t>
            </w:r>
            <w:r>
              <w:rPr>
                <w:rFonts w:hint="eastAsia" w:ascii="仿宋_GB2312" w:hAnsi="仿宋_GB2312" w:eastAsia="仿宋_GB2312" w:cs="仿宋_GB2312"/>
                <w:b/>
                <w:bCs/>
                <w:szCs w:val="21"/>
              </w:rPr>
              <w:t>一是</w:t>
            </w:r>
            <w:r>
              <w:rPr>
                <w:rFonts w:hint="eastAsia" w:ascii="仿宋_GB2312" w:hAnsi="仿宋_GB2312" w:eastAsia="仿宋_GB2312" w:cs="仿宋_GB2312"/>
                <w:szCs w:val="21"/>
              </w:rPr>
              <w:t>发展不够平衡，基层基础比较薄弱。如我局基层司法所办公阵地、业务能力等规范化建设基础薄弱。</w:t>
            </w:r>
            <w:r>
              <w:rPr>
                <w:rFonts w:hint="eastAsia" w:ascii="仿宋_GB2312" w:hAnsi="仿宋_GB2312" w:eastAsia="仿宋_GB2312" w:cs="仿宋_GB2312"/>
                <w:b/>
                <w:bCs/>
                <w:szCs w:val="21"/>
              </w:rPr>
              <w:t>二是</w:t>
            </w:r>
            <w:r>
              <w:rPr>
                <w:rFonts w:hint="eastAsia" w:ascii="仿宋_GB2312" w:hAnsi="仿宋_GB2312" w:eastAsia="仿宋_GB2312" w:cs="仿宋_GB2312"/>
                <w:szCs w:val="21"/>
              </w:rPr>
              <w:t>专业人才缺乏，法律服务机构还不健全。如我区法律人才资源较为缺少，仅有2个律师事务所、7名社会律师。</w:t>
            </w:r>
            <w:r>
              <w:rPr>
                <w:rFonts w:hint="eastAsia" w:ascii="仿宋_GB2312" w:hAnsi="仿宋_GB2312" w:eastAsia="仿宋_GB2312" w:cs="仿宋_GB2312"/>
                <w:b/>
                <w:bCs/>
                <w:szCs w:val="21"/>
              </w:rPr>
              <w:t>三是</w:t>
            </w:r>
            <w:r>
              <w:rPr>
                <w:rFonts w:hint="eastAsia" w:ascii="仿宋_GB2312" w:hAnsi="仿宋_GB2312" w:eastAsia="仿宋_GB2312" w:cs="仿宋_GB2312"/>
                <w:szCs w:val="21"/>
              </w:rPr>
              <w:t>依法治区考核力度不足。目前依法治区考核是放在全市党务目标进行的考核，分值较低，无单独的考核细则，也无加分项目，各部门干事激情不足。</w:t>
            </w:r>
          </w:p>
        </w:tc>
      </w:tr>
      <w:tr>
        <w:tblPrEx>
          <w:tblCellMar>
            <w:top w:w="0" w:type="dxa"/>
            <w:left w:w="0" w:type="dxa"/>
            <w:bottom w:w="0" w:type="dxa"/>
            <w:right w:w="0" w:type="dxa"/>
          </w:tblCellMar>
        </w:tblPrEx>
        <w:trPr>
          <w:trHeight w:val="633"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改进措施</w:t>
            </w:r>
          </w:p>
        </w:tc>
        <w:tc>
          <w:tcPr>
            <w:tcW w:w="7991"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仿宋_GB2312" w:hAnsi="仿宋_GB2312" w:eastAsia="仿宋_GB2312" w:cs="仿宋_GB2312"/>
                <w:i/>
                <w:color w:val="000000"/>
                <w:sz w:val="16"/>
                <w:szCs w:val="16"/>
              </w:rPr>
            </w:pPr>
            <w:r>
              <w:rPr>
                <w:rFonts w:hint="eastAsia" w:ascii="仿宋_GB2312" w:hAnsi="仿宋_GB2312" w:eastAsia="仿宋_GB2312" w:cs="仿宋_GB2312"/>
                <w:sz w:val="18"/>
                <w:szCs w:val="18"/>
              </w:rPr>
              <w:t>引进专业人员，充实队伍，面向社会公开招聘一批懂法律、懂政策，具有较高综合素质和道德修养的人员，充实司法行政队伍；根据工作的实际需要，逐年增加法治政府建设、行政审批、社区矫正、法律援助、普法宣传、人民调解的业务专项经费；追加全区依法治区专项工作经费预算，为我区实现高质量发展提供坚强法治保障；</w:t>
            </w:r>
            <w:r>
              <w:rPr>
                <w:rFonts w:hint="eastAsia" w:ascii="仿宋_GB2312" w:hAnsi="仿宋_GB2312" w:eastAsia="仿宋_GB2312" w:cs="仿宋_GB2312"/>
                <w:color w:val="000000"/>
                <w:sz w:val="18"/>
                <w:szCs w:val="18"/>
              </w:rPr>
              <w:t>继续推进公共法律服务体系建设。实现公共法律服务实体、热线、网络三大平台基本融合，汇聚形成公共法律服务大数据</w:t>
            </w:r>
            <w:r>
              <w:rPr>
                <w:rFonts w:hint="eastAsia" w:ascii="仿宋_GB2312" w:hAnsi="仿宋_GB2312" w:eastAsia="仿宋_GB2312" w:cs="仿宋_GB2312"/>
                <w:kern w:val="0"/>
                <w:sz w:val="18"/>
                <w:szCs w:val="18"/>
                <w:lang w:val="zh-CN"/>
              </w:rPr>
              <w:t>。</w:t>
            </w:r>
          </w:p>
        </w:tc>
      </w:tr>
      <w:tr>
        <w:tblPrEx>
          <w:tblCellMar>
            <w:top w:w="0" w:type="dxa"/>
            <w:left w:w="0" w:type="dxa"/>
            <w:bottom w:w="0" w:type="dxa"/>
            <w:right w:w="0" w:type="dxa"/>
          </w:tblCellMar>
        </w:tblPrEx>
        <w:trPr>
          <w:trHeight w:val="286" w:hRule="atLeast"/>
        </w:trPr>
        <w:tc>
          <w:tcPr>
            <w:tcW w:w="413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项目负责人：</w:t>
            </w:r>
          </w:p>
        </w:tc>
        <w:tc>
          <w:tcPr>
            <w:tcW w:w="4368"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财务负责人：</w:t>
            </w:r>
          </w:p>
        </w:tc>
      </w:tr>
    </w:tbl>
    <w:p>
      <w:pPr>
        <w:pStyle w:val="7"/>
        <w:spacing w:before="95"/>
      </w:pPr>
    </w:p>
    <w:p>
      <w:pPr>
        <w:pStyle w:val="7"/>
        <w:spacing w:before="95"/>
      </w:pPr>
    </w:p>
    <w:p>
      <w:pPr>
        <w:pStyle w:val="7"/>
        <w:spacing w:before="95"/>
        <w:rPr>
          <w:rFonts w:hint="eastAsia"/>
        </w:rPr>
      </w:pPr>
    </w:p>
    <w:p>
      <w:pPr>
        <w:widowControl/>
        <w:adjustRightInd w:val="0"/>
        <w:snapToGrid w:val="0"/>
        <w:spacing w:line="580" w:lineRule="exact"/>
        <w:contextualSpacing/>
        <w:jc w:val="center"/>
        <w:rPr>
          <w:rFonts w:hint="eastAsia" w:ascii="仿宋_GB2312" w:hAnsi="仿宋_GB2312" w:eastAsia="仿宋_GB2312" w:cs="仿宋_GB2312"/>
          <w:kern w:val="0"/>
          <w:sz w:val="32"/>
          <w:szCs w:val="32"/>
        </w:rPr>
      </w:pPr>
    </w:p>
    <w:p>
      <w:pPr>
        <w:widowControl/>
        <w:adjustRightInd w:val="0"/>
        <w:snapToGrid w:val="0"/>
        <w:spacing w:line="580" w:lineRule="exact"/>
        <w:contextualSpacing/>
        <w:jc w:val="center"/>
        <w:rPr>
          <w:rFonts w:hint="eastAsia" w:ascii="仿宋_GB2312" w:hAnsi="仿宋_GB2312" w:eastAsia="仿宋_GB2312" w:cs="仿宋_GB2312"/>
          <w:kern w:val="0"/>
          <w:sz w:val="32"/>
          <w:szCs w:val="32"/>
        </w:rPr>
      </w:pPr>
    </w:p>
    <w:p>
      <w:pPr>
        <w:widowControl/>
        <w:adjustRightInd w:val="0"/>
        <w:snapToGrid w:val="0"/>
        <w:spacing w:line="580" w:lineRule="exact"/>
        <w:contextualSpacing/>
        <w:jc w:val="center"/>
        <w:rPr>
          <w:rFonts w:hint="eastAsia" w:ascii="仿宋_GB2312" w:hAnsi="仿宋_GB2312" w:eastAsia="仿宋_GB2312" w:cs="仿宋_GB2312"/>
          <w:kern w:val="0"/>
          <w:sz w:val="32"/>
          <w:szCs w:val="32"/>
        </w:rPr>
      </w:pPr>
    </w:p>
    <w:p>
      <w:pPr>
        <w:widowControl/>
        <w:adjustRightInd w:val="0"/>
        <w:snapToGrid w:val="0"/>
        <w:spacing w:line="580" w:lineRule="exact"/>
        <w:contextualSpacing/>
        <w:jc w:val="center"/>
        <w:rPr>
          <w:rFonts w:hint="eastAsia" w:ascii="仿宋_GB2312" w:hAnsi="仿宋_GB2312" w:eastAsia="仿宋_GB2312" w:cs="仿宋_GB2312"/>
          <w:kern w:val="0"/>
          <w:sz w:val="32"/>
          <w:szCs w:val="32"/>
        </w:rPr>
      </w:pPr>
    </w:p>
    <w:p>
      <w:pPr>
        <w:widowControl/>
        <w:adjustRightInd w:val="0"/>
        <w:snapToGrid w:val="0"/>
        <w:spacing w:line="580" w:lineRule="exact"/>
        <w:contextualSpacing/>
        <w:jc w:val="center"/>
        <w:rPr>
          <w:rFonts w:hint="eastAsia" w:ascii="仿宋_GB2312" w:hAnsi="仿宋_GB2312" w:eastAsia="仿宋_GB2312" w:cs="仿宋_GB2312"/>
          <w:kern w:val="0"/>
          <w:sz w:val="32"/>
          <w:szCs w:val="32"/>
        </w:rPr>
      </w:pPr>
    </w:p>
    <w:p>
      <w:pPr>
        <w:widowControl/>
        <w:adjustRightInd w:val="0"/>
        <w:snapToGrid w:val="0"/>
        <w:spacing w:line="580" w:lineRule="exact"/>
        <w:contextualSpacing/>
        <w:jc w:val="center"/>
        <w:rPr>
          <w:rFonts w:hint="eastAsia" w:ascii="仿宋_GB2312" w:hAnsi="仿宋_GB2312" w:eastAsia="仿宋_GB2312" w:cs="仿宋_GB2312"/>
          <w:kern w:val="0"/>
          <w:sz w:val="32"/>
          <w:szCs w:val="32"/>
        </w:rPr>
      </w:pPr>
    </w:p>
    <w:p>
      <w:pPr>
        <w:widowControl/>
        <w:adjustRightInd w:val="0"/>
        <w:snapToGrid w:val="0"/>
        <w:spacing w:line="580" w:lineRule="exact"/>
        <w:contextualSpacing/>
        <w:jc w:val="center"/>
        <w:rPr>
          <w:rFonts w:hint="eastAsia" w:ascii="仿宋_GB2312" w:hAnsi="仿宋_GB2312" w:eastAsia="仿宋_GB2312" w:cs="仿宋_GB2312"/>
          <w:kern w:val="0"/>
          <w:sz w:val="32"/>
          <w:szCs w:val="32"/>
        </w:rPr>
      </w:pPr>
    </w:p>
    <w:p>
      <w:pPr>
        <w:pStyle w:val="2"/>
        <w:numPr>
          <w:ilvl w:val="0"/>
          <w:numId w:val="0"/>
        </w:numPr>
        <w:ind w:leftChars="0"/>
        <w:rPr>
          <w:rFonts w:hint="eastAsia"/>
        </w:rPr>
      </w:pPr>
    </w:p>
    <w:p>
      <w:pPr>
        <w:widowControl/>
        <w:adjustRightInd w:val="0"/>
        <w:snapToGrid w:val="0"/>
        <w:spacing w:line="580" w:lineRule="exact"/>
        <w:contextualSpacing/>
        <w:jc w:val="center"/>
        <w:rPr>
          <w:rFonts w:hint="eastAsia" w:ascii="黑体" w:hAnsi="黑体" w:eastAsia="黑体" w:cs="黑体"/>
          <w:kern w:val="0"/>
          <w:sz w:val="32"/>
          <w:szCs w:val="32"/>
        </w:rPr>
      </w:pPr>
      <w:r>
        <w:rPr>
          <w:rFonts w:hint="eastAsia" w:ascii="黑体" w:hAnsi="黑体" w:eastAsia="黑体" w:cs="黑体"/>
          <w:kern w:val="0"/>
          <w:sz w:val="32"/>
          <w:szCs w:val="32"/>
        </w:rPr>
        <w:t>4.</w:t>
      </w:r>
      <w:r>
        <w:rPr>
          <w:rFonts w:hint="eastAsia" w:ascii="黑体" w:hAnsi="黑体" w:eastAsia="黑体" w:cs="黑体"/>
          <w:color w:val="000000"/>
          <w:kern w:val="0"/>
          <w:sz w:val="32"/>
          <w:szCs w:val="32"/>
          <w:lang w:bidi="ar"/>
        </w:rPr>
        <w:t>案件代理</w:t>
      </w:r>
      <w:r>
        <w:rPr>
          <w:rFonts w:hint="eastAsia" w:ascii="黑体" w:hAnsi="黑体" w:eastAsia="黑体" w:cs="黑体"/>
          <w:kern w:val="0"/>
          <w:sz w:val="32"/>
          <w:szCs w:val="32"/>
        </w:rPr>
        <w:t>项目绩效目标自评表</w:t>
      </w:r>
    </w:p>
    <w:tbl>
      <w:tblPr>
        <w:tblStyle w:val="21"/>
        <w:tblW w:w="8504" w:type="dxa"/>
        <w:tblInd w:w="0" w:type="dxa"/>
        <w:tblLayout w:type="autofit"/>
        <w:tblCellMar>
          <w:top w:w="0" w:type="dxa"/>
          <w:left w:w="0" w:type="dxa"/>
          <w:bottom w:w="0" w:type="dxa"/>
          <w:right w:w="0" w:type="dxa"/>
        </w:tblCellMar>
      </w:tblPr>
      <w:tblGrid>
        <w:gridCol w:w="521"/>
        <w:gridCol w:w="1129"/>
        <w:gridCol w:w="1006"/>
        <w:gridCol w:w="1223"/>
        <w:gridCol w:w="348"/>
        <w:gridCol w:w="862"/>
        <w:gridCol w:w="348"/>
        <w:gridCol w:w="852"/>
        <w:gridCol w:w="391"/>
        <w:gridCol w:w="319"/>
        <w:gridCol w:w="1505"/>
      </w:tblGrid>
      <w:tr>
        <w:tblPrEx>
          <w:tblCellMar>
            <w:top w:w="0" w:type="dxa"/>
            <w:left w:w="0" w:type="dxa"/>
            <w:bottom w:w="0" w:type="dxa"/>
            <w:right w:w="0" w:type="dxa"/>
          </w:tblCellMar>
        </w:tblPrEx>
        <w:trPr>
          <w:trHeight w:val="901" w:hRule="atLeast"/>
        </w:trPr>
        <w:tc>
          <w:tcPr>
            <w:tcW w:w="14103"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s="黑体"/>
                <w:b/>
                <w:color w:val="000000"/>
                <w:sz w:val="30"/>
                <w:szCs w:val="30"/>
              </w:rPr>
            </w:pPr>
            <w:r>
              <w:rPr>
                <w:rFonts w:hint="eastAsia" w:ascii="黑体" w:hAnsi="宋体" w:eastAsia="黑体" w:cs="黑体"/>
                <w:b/>
                <w:color w:val="000000"/>
                <w:kern w:val="0"/>
                <w:sz w:val="30"/>
                <w:szCs w:val="30"/>
                <w:lang w:bidi="ar"/>
              </w:rPr>
              <w:t>部门预算项目支出绩效自评表（2022年度）</w:t>
            </w:r>
          </w:p>
        </w:tc>
      </w:tr>
      <w:tr>
        <w:tblPrEx>
          <w:tblCellMar>
            <w:top w:w="0" w:type="dxa"/>
            <w:left w:w="0" w:type="dxa"/>
            <w:bottom w:w="0" w:type="dxa"/>
            <w:right w:w="0" w:type="dxa"/>
          </w:tblCellMar>
        </w:tblPrEx>
        <w:trPr>
          <w:trHeight w:val="286" w:hRule="atLeast"/>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项目名称</w:t>
            </w:r>
          </w:p>
        </w:tc>
        <w:tc>
          <w:tcPr>
            <w:tcW w:w="11367"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51090422T000000280633-案件代理</w:t>
            </w:r>
          </w:p>
        </w:tc>
      </w:tr>
      <w:tr>
        <w:tblPrEx>
          <w:tblCellMar>
            <w:top w:w="0" w:type="dxa"/>
            <w:left w:w="0" w:type="dxa"/>
            <w:bottom w:w="0" w:type="dxa"/>
            <w:right w:w="0" w:type="dxa"/>
          </w:tblCellMar>
        </w:tblPrEx>
        <w:trPr>
          <w:trHeight w:val="512" w:hRule="atLeast"/>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主管部门</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遂宁市安居区司法局部门</w:t>
            </w:r>
          </w:p>
        </w:tc>
        <w:tc>
          <w:tcPr>
            <w:tcW w:w="1091" w:type="dxa"/>
            <w:tcBorders>
              <w:top w:val="nil"/>
              <w:left w:val="nil"/>
              <w:bottom w:val="nil"/>
              <w:right w:val="nil"/>
            </w:tcBorders>
            <w:shd w:val="clear" w:color="auto" w:fill="auto"/>
            <w:tcMar>
              <w:top w:w="15" w:type="dxa"/>
              <w:left w:w="15" w:type="dxa"/>
              <w:right w:w="15" w:type="dxa"/>
            </w:tcMar>
            <w:vAlign w:val="center"/>
          </w:tcPr>
          <w:p>
            <w:pPr>
              <w:widowControl/>
              <w:jc w:val="lef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实施单位 （盖章）</w:t>
            </w:r>
          </w:p>
        </w:tc>
        <w:tc>
          <w:tcPr>
            <w:tcW w:w="351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遂宁市安居区司法局</w:t>
            </w:r>
          </w:p>
        </w:tc>
      </w:tr>
      <w:tr>
        <w:tblPrEx>
          <w:tblCellMar>
            <w:top w:w="0" w:type="dxa"/>
            <w:left w:w="0" w:type="dxa"/>
            <w:bottom w:w="0" w:type="dxa"/>
            <w:right w:w="0"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项目基本情况</w:t>
            </w: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1.项目年度目标完成情况</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项目年度目标</w:t>
            </w:r>
          </w:p>
        </w:tc>
        <w:tc>
          <w:tcPr>
            <w:tcW w:w="460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年度目标完成情况</w:t>
            </w:r>
          </w:p>
        </w:tc>
      </w:tr>
      <w:tr>
        <w:tblPrEx>
          <w:tblCellMar>
            <w:top w:w="0" w:type="dxa"/>
            <w:left w:w="0" w:type="dxa"/>
            <w:bottom w:w="0" w:type="dxa"/>
            <w:right w:w="0" w:type="dxa"/>
          </w:tblCellMar>
        </w:tblPrEx>
        <w:trPr>
          <w:trHeight w:val="904"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color w:val="000000"/>
                <w:sz w:val="18"/>
                <w:szCs w:val="18"/>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color w:val="000000"/>
                <w:sz w:val="18"/>
                <w:szCs w:val="18"/>
              </w:rPr>
            </w:pP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根据中共中央、国务院印发《法治政府建设实施纲要（2021－2025年）》第三十四条：加强法律顾问和公职律师队伍建设，提升法律顾问和公职律师参与重大决策的能力水平，用于社会律师参与重大行政决策合法性审查、重大行政诉讼案件、民商事案件、仲裁案件等案件代理。</w:t>
            </w:r>
          </w:p>
        </w:tc>
        <w:tc>
          <w:tcPr>
            <w:tcW w:w="460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对照年度目标，说明相关任务目标的完成情况（100字以内）</w:t>
            </w:r>
          </w:p>
        </w:tc>
      </w:tr>
      <w:tr>
        <w:tblPrEx>
          <w:tblCellMar>
            <w:top w:w="0" w:type="dxa"/>
            <w:left w:w="0" w:type="dxa"/>
            <w:bottom w:w="0" w:type="dxa"/>
            <w:right w:w="0" w:type="dxa"/>
          </w:tblCellMar>
        </w:tblPrEx>
        <w:trPr>
          <w:trHeight w:val="693"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color w:val="000000"/>
                <w:sz w:val="18"/>
                <w:szCs w:val="18"/>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2.项目实施内容及过程概述</w:t>
            </w:r>
          </w:p>
        </w:tc>
        <w:tc>
          <w:tcPr>
            <w:tcW w:w="11367"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color w:val="000000"/>
                <w:sz w:val="18"/>
                <w:szCs w:val="18"/>
              </w:rPr>
            </w:pPr>
          </w:p>
        </w:tc>
      </w:tr>
      <w:tr>
        <w:tblPrEx>
          <w:tblCellMar>
            <w:top w:w="0" w:type="dxa"/>
            <w:left w:w="0" w:type="dxa"/>
            <w:bottom w:w="0" w:type="dxa"/>
            <w:right w:w="0"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预算执行情况（10分）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年初预算</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原因</w:t>
            </w:r>
          </w:p>
        </w:tc>
      </w:tr>
      <w:tr>
        <w:tblPrEx>
          <w:tblCellMar>
            <w:top w:w="0" w:type="dxa"/>
            <w:left w:w="0" w:type="dxa"/>
            <w:bottom w:w="0" w:type="dxa"/>
            <w:right w:w="0" w:type="dxa"/>
          </w:tblCellMar>
        </w:tblPrEx>
        <w:trPr>
          <w:trHeight w:val="38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color w:val="000000"/>
                <w:sz w:val="18"/>
                <w:szCs w:val="18"/>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3.00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2.40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2.40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color w:val="000000"/>
                <w:sz w:val="18"/>
                <w:szCs w:val="18"/>
              </w:rPr>
            </w:pPr>
          </w:p>
        </w:tc>
        <w:tc>
          <w:tcPr>
            <w:tcW w:w="25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仿宋_GB2312" w:hAnsi="仿宋_GB2312" w:eastAsia="仿宋_GB2312" w:cs="仿宋_GB2312"/>
                <w:i/>
                <w:color w:val="000000"/>
                <w:sz w:val="18"/>
                <w:szCs w:val="18"/>
              </w:rPr>
            </w:pPr>
            <w:r>
              <w:rPr>
                <w:rFonts w:hint="eastAsia" w:ascii="仿宋_GB2312" w:hAnsi="仿宋_GB2312" w:eastAsia="仿宋_GB2312" w:cs="仿宋_GB2312"/>
                <w:i/>
                <w:color w:val="000000"/>
                <w:kern w:val="0"/>
                <w:sz w:val="18"/>
                <w:szCs w:val="18"/>
                <w:lang w:bidi="ar"/>
              </w:rPr>
              <w:t>1.预算执行率=预算执行数/调整后预算数，预算执行率未达到90%的需说明原因（100字以内）;2.年中发生预算调整的（追加或调减）,应单独说明理由；3.其他资金包括：社会投入资金、银行贷款.</w:t>
            </w:r>
          </w:p>
        </w:tc>
      </w:tr>
      <w:tr>
        <w:tblPrEx>
          <w:tblCellMar>
            <w:top w:w="0" w:type="dxa"/>
            <w:left w:w="0" w:type="dxa"/>
            <w:bottom w:w="0" w:type="dxa"/>
            <w:right w:w="0" w:type="dxa"/>
          </w:tblCellMar>
        </w:tblPrEx>
        <w:trPr>
          <w:trHeight w:val="43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color w:val="000000"/>
                <w:sz w:val="18"/>
                <w:szCs w:val="18"/>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3.00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2.40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2.40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i/>
                <w:color w:val="000000"/>
                <w:sz w:val="18"/>
                <w:szCs w:val="18"/>
              </w:rPr>
            </w:pPr>
          </w:p>
        </w:tc>
      </w:tr>
      <w:tr>
        <w:tblPrEx>
          <w:tblCellMar>
            <w:top w:w="0" w:type="dxa"/>
            <w:left w:w="0" w:type="dxa"/>
            <w:bottom w:w="0" w:type="dxa"/>
            <w:right w:w="0" w:type="dxa"/>
          </w:tblCellMar>
        </w:tblPrEx>
        <w:trPr>
          <w:trHeight w:val="44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color w:val="000000"/>
                <w:sz w:val="18"/>
                <w:szCs w:val="18"/>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i/>
                <w:color w:val="000000"/>
                <w:sz w:val="18"/>
                <w:szCs w:val="18"/>
              </w:rPr>
            </w:pPr>
          </w:p>
        </w:tc>
      </w:tr>
      <w:tr>
        <w:tblPrEx>
          <w:tblCellMar>
            <w:top w:w="0" w:type="dxa"/>
            <w:left w:w="0" w:type="dxa"/>
            <w:bottom w:w="0" w:type="dxa"/>
            <w:right w:w="0" w:type="dxa"/>
          </w:tblCellMar>
        </w:tblPrEx>
        <w:trPr>
          <w:trHeight w:val="40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color w:val="000000"/>
                <w:sz w:val="18"/>
                <w:szCs w:val="18"/>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单位资金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i/>
                <w:color w:val="000000"/>
                <w:sz w:val="18"/>
                <w:szCs w:val="18"/>
              </w:rPr>
            </w:pPr>
          </w:p>
        </w:tc>
      </w:tr>
      <w:tr>
        <w:tblPrEx>
          <w:tblCellMar>
            <w:top w:w="0" w:type="dxa"/>
            <w:left w:w="0" w:type="dxa"/>
            <w:bottom w:w="0" w:type="dxa"/>
            <w:right w:w="0" w:type="dxa"/>
          </w:tblCellMar>
        </w:tblPrEx>
        <w:trPr>
          <w:trHeight w:val="37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color w:val="000000"/>
                <w:sz w:val="18"/>
                <w:szCs w:val="18"/>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color w:val="000000"/>
                <w:sz w:val="16"/>
                <w:szCs w:val="16"/>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color w:val="000000"/>
                <w:sz w:val="16"/>
                <w:szCs w:val="16"/>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color w:val="000000"/>
                <w:sz w:val="16"/>
                <w:szCs w:val="16"/>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color w:val="000000"/>
                <w:sz w:val="16"/>
                <w:szCs w:val="16"/>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i/>
                <w:color w:val="000000"/>
                <w:sz w:val="18"/>
                <w:szCs w:val="18"/>
              </w:rPr>
            </w:pPr>
          </w:p>
        </w:tc>
      </w:tr>
      <w:tr>
        <w:tblPrEx>
          <w:tblCellMar>
            <w:top w:w="0" w:type="dxa"/>
            <w:left w:w="0" w:type="dxa"/>
            <w:bottom w:w="0" w:type="dxa"/>
            <w:right w:w="0"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绩效指标（90分）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二级指标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指标性质</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未完成原因分析</w:t>
            </w:r>
          </w:p>
        </w:tc>
      </w:tr>
      <w:tr>
        <w:tblPrEx>
          <w:tblCellMar>
            <w:top w:w="0" w:type="dxa"/>
            <w:left w:w="0" w:type="dxa"/>
            <w:bottom w:w="0" w:type="dxa"/>
            <w:right w:w="0"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color w:val="000000"/>
                <w:sz w:val="18"/>
                <w:szCs w:val="18"/>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质量指标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诉讼案件质量最大程度维护区政府利益</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定性</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优良中低差</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其他</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color w:val="000000"/>
                <w:sz w:val="16"/>
                <w:szCs w:val="16"/>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30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color w:val="000000"/>
                <w:sz w:val="18"/>
                <w:szCs w:val="18"/>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color w:val="000000"/>
                <w:sz w:val="16"/>
                <w:szCs w:val="16"/>
              </w:rPr>
            </w:pPr>
          </w:p>
        </w:tc>
      </w:tr>
      <w:tr>
        <w:tblPrEx>
          <w:tblCellMar>
            <w:top w:w="0" w:type="dxa"/>
            <w:left w:w="0" w:type="dxa"/>
            <w:bottom w:w="0" w:type="dxa"/>
            <w:right w:w="0"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color w:val="000000"/>
                <w:sz w:val="18"/>
                <w:szCs w:val="18"/>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社会效益指标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提高法治政府公信力</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定性</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优良中低差</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其他</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color w:val="000000"/>
                <w:sz w:val="16"/>
                <w:szCs w:val="16"/>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30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color w:val="000000"/>
                <w:sz w:val="18"/>
                <w:szCs w:val="18"/>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color w:val="000000"/>
                <w:sz w:val="16"/>
                <w:szCs w:val="16"/>
              </w:rPr>
            </w:pPr>
          </w:p>
        </w:tc>
      </w:tr>
      <w:tr>
        <w:tblPrEx>
          <w:tblCellMar>
            <w:top w:w="0" w:type="dxa"/>
            <w:left w:w="0" w:type="dxa"/>
            <w:bottom w:w="0" w:type="dxa"/>
            <w:right w:w="0"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color w:val="000000"/>
                <w:sz w:val="18"/>
                <w:szCs w:val="18"/>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满意度指标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服务对象满意度指标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群众满意度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85</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color w:val="000000"/>
                <w:sz w:val="16"/>
                <w:szCs w:val="16"/>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30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color w:val="000000"/>
                <w:sz w:val="18"/>
                <w:szCs w:val="18"/>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color w:val="000000"/>
                <w:sz w:val="16"/>
                <w:szCs w:val="16"/>
              </w:rPr>
            </w:pPr>
          </w:p>
        </w:tc>
      </w:tr>
      <w:tr>
        <w:tblPrEx>
          <w:tblCellMar>
            <w:top w:w="0" w:type="dxa"/>
            <w:left w:w="0" w:type="dxa"/>
            <w:bottom w:w="0" w:type="dxa"/>
            <w:right w:w="0" w:type="dxa"/>
          </w:tblCellMar>
        </w:tblPrEx>
        <w:trPr>
          <w:trHeight w:val="286" w:hRule="atLeast"/>
        </w:trPr>
        <w:tc>
          <w:tcPr>
            <w:tcW w:w="10585"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color w:val="000000"/>
                <w:sz w:val="18"/>
                <w:szCs w:val="18"/>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color w:val="000000"/>
                <w:sz w:val="18"/>
                <w:szCs w:val="18"/>
              </w:rPr>
            </w:pPr>
          </w:p>
        </w:tc>
      </w:tr>
      <w:tr>
        <w:tblPrEx>
          <w:tblCellMar>
            <w:top w:w="0" w:type="dxa"/>
            <w:left w:w="0" w:type="dxa"/>
            <w:bottom w:w="0" w:type="dxa"/>
            <w:right w:w="0" w:type="dxa"/>
          </w:tblCellMar>
        </w:tblPrEx>
        <w:trPr>
          <w:trHeight w:val="60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评价结论</w:t>
            </w:r>
          </w:p>
        </w:tc>
        <w:tc>
          <w:tcPr>
            <w:tcW w:w="13419"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580" w:lineRule="exact"/>
              <w:ind w:firstLine="360" w:firstLineChars="200"/>
              <w:contextualSpacing/>
              <w:jc w:val="left"/>
              <w:rPr>
                <w:rFonts w:hint="eastAsia" w:ascii="仿宋_GB2312" w:hAnsi="仿宋_GB2312" w:eastAsia="仿宋_GB2312" w:cs="仿宋_GB2312"/>
                <w:color w:val="000000"/>
                <w:kern w:val="0"/>
                <w:sz w:val="18"/>
                <w:szCs w:val="18"/>
                <w:shd w:val="clear" w:color="auto" w:fill="FFFFFF"/>
                <w:lang w:val="zh-CN"/>
              </w:rPr>
            </w:pPr>
            <w:r>
              <w:rPr>
                <w:rFonts w:hint="eastAsia" w:ascii="仿宋_GB2312" w:hAnsi="仿宋_GB2312" w:eastAsia="仿宋_GB2312" w:cs="仿宋_GB2312"/>
                <w:color w:val="000000"/>
                <w:kern w:val="0"/>
                <w:sz w:val="18"/>
                <w:szCs w:val="18"/>
                <w:shd w:val="clear" w:color="auto" w:fill="FFFFFF"/>
                <w:lang w:val="zh-CN"/>
              </w:rPr>
              <w:t>经遂宁市安居区司法局认真自评，20</w:t>
            </w:r>
            <w:r>
              <w:rPr>
                <w:rFonts w:hint="eastAsia" w:ascii="仿宋_GB2312" w:hAnsi="仿宋_GB2312" w:eastAsia="仿宋_GB2312" w:cs="仿宋_GB2312"/>
                <w:color w:val="000000"/>
                <w:kern w:val="0"/>
                <w:sz w:val="18"/>
                <w:szCs w:val="18"/>
                <w:shd w:val="clear" w:color="auto" w:fill="FFFFFF"/>
              </w:rPr>
              <w:t>22</w:t>
            </w:r>
            <w:r>
              <w:rPr>
                <w:rFonts w:hint="eastAsia" w:ascii="仿宋_GB2312" w:hAnsi="仿宋_GB2312" w:eastAsia="仿宋_GB2312" w:cs="仿宋_GB2312"/>
                <w:color w:val="000000"/>
                <w:kern w:val="0"/>
                <w:sz w:val="18"/>
                <w:szCs w:val="18"/>
                <w:shd w:val="clear" w:color="auto" w:fill="FFFFFF"/>
                <w:lang w:val="zh-CN"/>
              </w:rPr>
              <w:t>年</w:t>
            </w:r>
            <w:r>
              <w:rPr>
                <w:rFonts w:hint="eastAsia" w:ascii="仿宋_GB2312" w:hAnsi="仿宋_GB2312" w:eastAsia="仿宋_GB2312" w:cs="仿宋_GB2312"/>
                <w:kern w:val="0"/>
                <w:sz w:val="18"/>
                <w:szCs w:val="18"/>
                <w:lang w:val="zh-CN"/>
              </w:rPr>
              <w:t>案件代理</w:t>
            </w:r>
            <w:r>
              <w:rPr>
                <w:rFonts w:hint="eastAsia" w:ascii="仿宋_GB2312" w:hAnsi="仿宋_GB2312" w:eastAsia="仿宋_GB2312" w:cs="仿宋_GB2312"/>
                <w:color w:val="000000"/>
                <w:kern w:val="0"/>
                <w:sz w:val="18"/>
                <w:szCs w:val="18"/>
                <w:shd w:val="clear" w:color="auto" w:fill="FFFFFF"/>
                <w:lang w:val="zh-CN"/>
              </w:rPr>
              <w:t>支出绩效评为“良好”。绩效目标明确，资金落实到位，管理体系完善，司法行政工作成效显现。</w:t>
            </w:r>
          </w:p>
          <w:p>
            <w:pPr>
              <w:widowControl/>
              <w:jc w:val="left"/>
              <w:textAlignment w:val="center"/>
              <w:rPr>
                <w:rFonts w:hint="eastAsia" w:ascii="仿宋_GB2312" w:hAnsi="仿宋_GB2312" w:eastAsia="仿宋_GB2312" w:cs="仿宋_GB2312"/>
                <w:i/>
                <w:color w:val="000000"/>
                <w:sz w:val="18"/>
                <w:szCs w:val="18"/>
              </w:rPr>
            </w:pPr>
          </w:p>
        </w:tc>
      </w:tr>
      <w:tr>
        <w:tblPrEx>
          <w:tblCellMar>
            <w:top w:w="0" w:type="dxa"/>
            <w:left w:w="0" w:type="dxa"/>
            <w:bottom w:w="0" w:type="dxa"/>
            <w:right w:w="0" w:type="dxa"/>
          </w:tblCellMar>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存在问题</w:t>
            </w:r>
          </w:p>
        </w:tc>
        <w:tc>
          <w:tcPr>
            <w:tcW w:w="13419"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仿宋_GB2312" w:hAnsi="仿宋_GB2312" w:eastAsia="仿宋_GB2312" w:cs="仿宋_GB2312"/>
                <w:i/>
                <w:color w:val="000000"/>
                <w:sz w:val="18"/>
                <w:szCs w:val="18"/>
              </w:rPr>
            </w:pPr>
            <w:r>
              <w:rPr>
                <w:rFonts w:hint="eastAsia" w:ascii="仿宋_GB2312" w:hAnsi="仿宋_GB2312" w:eastAsia="仿宋_GB2312" w:cs="仿宋_GB2312"/>
                <w:sz w:val="18"/>
                <w:szCs w:val="18"/>
              </w:rPr>
              <w:t>2022年，我们全面发挥职能优势，扎实开展各项工作，取得了一定的成效，但工作还存在着许多薄弱环节和短板：</w:t>
            </w:r>
            <w:r>
              <w:rPr>
                <w:rFonts w:hint="eastAsia" w:ascii="仿宋_GB2312" w:hAnsi="仿宋_GB2312" w:eastAsia="仿宋_GB2312" w:cs="仿宋_GB2312"/>
                <w:b/>
                <w:bCs/>
                <w:sz w:val="18"/>
                <w:szCs w:val="18"/>
              </w:rPr>
              <w:t>一是</w:t>
            </w:r>
            <w:r>
              <w:rPr>
                <w:rFonts w:hint="eastAsia" w:ascii="仿宋_GB2312" w:hAnsi="仿宋_GB2312" w:eastAsia="仿宋_GB2312" w:cs="仿宋_GB2312"/>
                <w:sz w:val="18"/>
                <w:szCs w:val="18"/>
              </w:rPr>
              <w:t>发展不够平衡，基层基础比较薄弱。如我局基层司法所办公阵地、业务能力等规范化建设基础薄弱。</w:t>
            </w:r>
            <w:r>
              <w:rPr>
                <w:rFonts w:hint="eastAsia" w:ascii="仿宋_GB2312" w:hAnsi="仿宋_GB2312" w:eastAsia="仿宋_GB2312" w:cs="仿宋_GB2312"/>
                <w:b/>
                <w:bCs/>
                <w:sz w:val="18"/>
                <w:szCs w:val="18"/>
              </w:rPr>
              <w:t>二是</w:t>
            </w:r>
            <w:r>
              <w:rPr>
                <w:rFonts w:hint="eastAsia" w:ascii="仿宋_GB2312" w:hAnsi="仿宋_GB2312" w:eastAsia="仿宋_GB2312" w:cs="仿宋_GB2312"/>
                <w:sz w:val="18"/>
                <w:szCs w:val="18"/>
              </w:rPr>
              <w:t>专业人才缺乏，法律服务机构还不健全。如我区法律人才资源较为缺少，仅有2个律师事务所、7名社会律师。</w:t>
            </w:r>
            <w:r>
              <w:rPr>
                <w:rFonts w:hint="eastAsia" w:ascii="仿宋_GB2312" w:hAnsi="仿宋_GB2312" w:eastAsia="仿宋_GB2312" w:cs="仿宋_GB2312"/>
                <w:b/>
                <w:bCs/>
                <w:sz w:val="18"/>
                <w:szCs w:val="18"/>
              </w:rPr>
              <w:t>三是</w:t>
            </w:r>
            <w:r>
              <w:rPr>
                <w:rFonts w:hint="eastAsia" w:ascii="仿宋_GB2312" w:hAnsi="仿宋_GB2312" w:eastAsia="仿宋_GB2312" w:cs="仿宋_GB2312"/>
                <w:sz w:val="18"/>
                <w:szCs w:val="18"/>
              </w:rPr>
              <w:t>依法治区考核力度不足。目前依法治区考核是放在全市党务目标进行的考核，分值较低，无单独的考核细则，也无加分项目，各部门干事激情不足</w:t>
            </w:r>
            <w:r>
              <w:rPr>
                <w:rFonts w:hint="eastAsia" w:ascii="仿宋_GB2312" w:hAnsi="仿宋_GB2312" w:eastAsia="仿宋_GB2312" w:cs="仿宋_GB2312"/>
                <w:kern w:val="0"/>
                <w:sz w:val="18"/>
                <w:szCs w:val="18"/>
                <w:lang w:val="zh-CN"/>
              </w:rPr>
              <w:t>。</w:t>
            </w:r>
            <w:r>
              <w:rPr>
                <w:rFonts w:hint="eastAsia" w:ascii="仿宋_GB2312" w:hAnsi="仿宋_GB2312" w:eastAsia="仿宋_GB2312" w:cs="仿宋_GB2312"/>
                <w:kern w:val="0"/>
                <w:sz w:val="18"/>
                <w:szCs w:val="18"/>
                <w:lang w:val="zh-CN"/>
              </w:rPr>
              <w:tab/>
            </w:r>
          </w:p>
        </w:tc>
      </w:tr>
      <w:tr>
        <w:tblPrEx>
          <w:tblCellMar>
            <w:top w:w="0" w:type="dxa"/>
            <w:left w:w="0" w:type="dxa"/>
            <w:bottom w:w="0" w:type="dxa"/>
            <w:right w:w="0" w:type="dxa"/>
          </w:tblCellMar>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改进措施</w:t>
            </w:r>
          </w:p>
        </w:tc>
        <w:tc>
          <w:tcPr>
            <w:tcW w:w="13419"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仿宋_GB2312" w:hAnsi="仿宋_GB2312" w:eastAsia="仿宋_GB2312" w:cs="仿宋_GB2312"/>
                <w:i/>
                <w:color w:val="000000"/>
                <w:sz w:val="16"/>
                <w:szCs w:val="16"/>
              </w:rPr>
            </w:pPr>
            <w:r>
              <w:rPr>
                <w:rFonts w:hint="eastAsia" w:ascii="仿宋_GB2312" w:hAnsi="仿宋_GB2312" w:eastAsia="仿宋_GB2312" w:cs="仿宋_GB2312"/>
                <w:sz w:val="18"/>
                <w:szCs w:val="18"/>
              </w:rPr>
              <w:t>引进专业人员，充实队伍，面向社会公开招聘一批懂法律、懂政策，具有较高综合素质和道德修养的人员，充实司法行政队伍；根据工作的实际需要，逐年增加法治政府建设、行政审批、社区矫正、法律援助、普法宣传、人民调解的业务专项经费；追加全区依法治区专项工作经费预算，为我区实现高质量发展提供坚强法治保障；</w:t>
            </w:r>
            <w:r>
              <w:rPr>
                <w:rFonts w:hint="eastAsia" w:ascii="仿宋_GB2312" w:hAnsi="仿宋_GB2312" w:eastAsia="仿宋_GB2312" w:cs="仿宋_GB2312"/>
                <w:color w:val="000000"/>
                <w:sz w:val="18"/>
                <w:szCs w:val="18"/>
              </w:rPr>
              <w:t>继续推进公共法律服务体系建设。实现公共法律服务实体、热线、网络三大平台基本融合，汇聚形成公共法律服务大数据</w:t>
            </w:r>
            <w:r>
              <w:rPr>
                <w:rFonts w:hint="eastAsia" w:ascii="仿宋_GB2312" w:hAnsi="仿宋_GB2312" w:eastAsia="仿宋_GB2312" w:cs="仿宋_GB2312"/>
                <w:kern w:val="0"/>
                <w:sz w:val="18"/>
                <w:szCs w:val="18"/>
                <w:lang w:val="zh-CN"/>
              </w:rPr>
              <w:t>。</w:t>
            </w:r>
          </w:p>
        </w:tc>
      </w:tr>
      <w:tr>
        <w:tblPrEx>
          <w:tblCellMar>
            <w:top w:w="0" w:type="dxa"/>
            <w:left w:w="0" w:type="dxa"/>
            <w:bottom w:w="0" w:type="dxa"/>
            <w:right w:w="0" w:type="dxa"/>
          </w:tblCellMar>
        </w:tblPrEx>
        <w:trPr>
          <w:trHeight w:val="286" w:hRule="atLeast"/>
        </w:trPr>
        <w:tc>
          <w:tcPr>
            <w:tcW w:w="729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项目负责人：</w:t>
            </w:r>
          </w:p>
        </w:tc>
        <w:tc>
          <w:tcPr>
            <w:tcW w:w="6807"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财务负责人：</w:t>
            </w:r>
          </w:p>
        </w:tc>
      </w:tr>
    </w:tbl>
    <w:p>
      <w:pPr>
        <w:pStyle w:val="20"/>
        <w:spacing w:line="560" w:lineRule="exact"/>
        <w:ind w:left="0" w:leftChars="0" w:firstLine="0" w:firstLineChars="0"/>
        <w:rPr>
          <w:sz w:val="32"/>
          <w:lang w:val="zh-CN"/>
        </w:rPr>
      </w:pPr>
    </w:p>
    <w:p>
      <w:pPr>
        <w:widowControl/>
        <w:adjustRightInd w:val="0"/>
        <w:snapToGrid w:val="0"/>
        <w:spacing w:line="580" w:lineRule="exact"/>
        <w:contextualSpacing/>
        <w:jc w:val="center"/>
        <w:rPr>
          <w:rFonts w:ascii="仿宋_GB2312" w:hAnsi="仿宋_GB2312" w:eastAsia="仿宋_GB2312" w:cs="仿宋_GB2312"/>
          <w:kern w:val="0"/>
          <w:sz w:val="32"/>
          <w:szCs w:val="32"/>
        </w:rPr>
      </w:pPr>
    </w:p>
    <w:p>
      <w:pPr>
        <w:widowControl/>
        <w:adjustRightInd w:val="0"/>
        <w:snapToGrid w:val="0"/>
        <w:spacing w:line="580" w:lineRule="exact"/>
        <w:contextualSpacing/>
        <w:jc w:val="center"/>
        <w:rPr>
          <w:rFonts w:ascii="仿宋_GB2312" w:hAnsi="仿宋_GB2312" w:eastAsia="仿宋_GB2312" w:cs="仿宋_GB2312"/>
          <w:kern w:val="0"/>
          <w:sz w:val="32"/>
          <w:szCs w:val="32"/>
        </w:rPr>
      </w:pPr>
    </w:p>
    <w:p>
      <w:pPr>
        <w:widowControl/>
        <w:adjustRightInd w:val="0"/>
        <w:snapToGrid w:val="0"/>
        <w:spacing w:line="580" w:lineRule="exact"/>
        <w:contextualSpacing/>
        <w:jc w:val="center"/>
        <w:rPr>
          <w:rFonts w:ascii="仿宋_GB2312" w:hAnsi="仿宋_GB2312" w:eastAsia="仿宋_GB2312" w:cs="仿宋_GB2312"/>
          <w:kern w:val="0"/>
          <w:sz w:val="32"/>
          <w:szCs w:val="32"/>
        </w:rPr>
      </w:pPr>
    </w:p>
    <w:p>
      <w:pPr>
        <w:widowControl/>
        <w:adjustRightInd w:val="0"/>
        <w:snapToGrid w:val="0"/>
        <w:spacing w:line="580" w:lineRule="exact"/>
        <w:contextualSpacing/>
        <w:jc w:val="center"/>
        <w:rPr>
          <w:rFonts w:ascii="仿宋_GB2312" w:hAnsi="仿宋_GB2312" w:eastAsia="仿宋_GB2312" w:cs="仿宋_GB2312"/>
          <w:kern w:val="0"/>
          <w:sz w:val="32"/>
          <w:szCs w:val="32"/>
        </w:rPr>
      </w:pPr>
    </w:p>
    <w:p>
      <w:pPr>
        <w:widowControl/>
        <w:adjustRightInd w:val="0"/>
        <w:snapToGrid w:val="0"/>
        <w:spacing w:line="580" w:lineRule="exact"/>
        <w:contextualSpacing/>
        <w:jc w:val="center"/>
        <w:rPr>
          <w:rFonts w:ascii="仿宋_GB2312" w:hAnsi="仿宋_GB2312" w:eastAsia="仿宋_GB2312" w:cs="仿宋_GB2312"/>
          <w:kern w:val="0"/>
          <w:sz w:val="32"/>
          <w:szCs w:val="32"/>
        </w:rPr>
      </w:pPr>
    </w:p>
    <w:p>
      <w:pPr>
        <w:widowControl/>
        <w:adjustRightInd w:val="0"/>
        <w:snapToGrid w:val="0"/>
        <w:spacing w:line="580" w:lineRule="exact"/>
        <w:contextualSpacing/>
        <w:jc w:val="center"/>
        <w:rPr>
          <w:rFonts w:ascii="仿宋_GB2312" w:hAnsi="仿宋_GB2312" w:eastAsia="仿宋_GB2312" w:cs="仿宋_GB2312"/>
          <w:kern w:val="0"/>
          <w:sz w:val="32"/>
          <w:szCs w:val="32"/>
        </w:rPr>
      </w:pPr>
    </w:p>
    <w:p>
      <w:pPr>
        <w:widowControl/>
        <w:adjustRightInd w:val="0"/>
        <w:snapToGrid w:val="0"/>
        <w:spacing w:line="580" w:lineRule="exact"/>
        <w:contextualSpacing/>
        <w:jc w:val="center"/>
        <w:rPr>
          <w:rFonts w:ascii="仿宋_GB2312" w:hAnsi="仿宋_GB2312" w:eastAsia="仿宋_GB2312" w:cs="仿宋_GB2312"/>
          <w:kern w:val="0"/>
          <w:sz w:val="32"/>
          <w:szCs w:val="32"/>
        </w:rPr>
      </w:pPr>
    </w:p>
    <w:p>
      <w:pPr>
        <w:widowControl/>
        <w:adjustRightInd w:val="0"/>
        <w:snapToGrid w:val="0"/>
        <w:spacing w:line="580" w:lineRule="exact"/>
        <w:contextualSpacing/>
        <w:jc w:val="center"/>
        <w:rPr>
          <w:rFonts w:ascii="仿宋_GB2312" w:hAnsi="仿宋_GB2312" w:eastAsia="仿宋_GB2312" w:cs="仿宋_GB2312"/>
          <w:kern w:val="0"/>
          <w:sz w:val="32"/>
          <w:szCs w:val="32"/>
        </w:rPr>
      </w:pPr>
    </w:p>
    <w:p>
      <w:pPr>
        <w:widowControl/>
        <w:adjustRightInd w:val="0"/>
        <w:snapToGrid w:val="0"/>
        <w:spacing w:line="580" w:lineRule="exact"/>
        <w:contextualSpacing/>
        <w:jc w:val="center"/>
        <w:rPr>
          <w:rFonts w:hint="eastAsia" w:ascii="仿宋_GB2312" w:hAnsi="仿宋_GB2312" w:eastAsia="仿宋_GB2312" w:cs="仿宋_GB2312"/>
          <w:kern w:val="0"/>
          <w:sz w:val="32"/>
          <w:szCs w:val="32"/>
        </w:rPr>
      </w:pPr>
    </w:p>
    <w:p>
      <w:pPr>
        <w:widowControl/>
        <w:adjustRightInd w:val="0"/>
        <w:snapToGrid w:val="0"/>
        <w:spacing w:line="580" w:lineRule="exact"/>
        <w:contextualSpacing/>
        <w:jc w:val="center"/>
        <w:rPr>
          <w:rFonts w:hint="eastAsia" w:ascii="仿宋_GB2312" w:hAnsi="仿宋_GB2312" w:eastAsia="仿宋_GB2312" w:cs="仿宋_GB2312"/>
          <w:kern w:val="0"/>
          <w:sz w:val="32"/>
          <w:szCs w:val="32"/>
        </w:rPr>
      </w:pPr>
    </w:p>
    <w:p>
      <w:pPr>
        <w:widowControl/>
        <w:adjustRightInd w:val="0"/>
        <w:snapToGrid w:val="0"/>
        <w:spacing w:line="580" w:lineRule="exact"/>
        <w:contextualSpacing/>
        <w:jc w:val="center"/>
        <w:rPr>
          <w:rFonts w:hint="eastAsia" w:ascii="仿宋_GB2312" w:hAnsi="仿宋_GB2312" w:eastAsia="仿宋_GB2312" w:cs="仿宋_GB2312"/>
          <w:kern w:val="0"/>
          <w:sz w:val="32"/>
          <w:szCs w:val="32"/>
        </w:rPr>
      </w:pPr>
    </w:p>
    <w:p>
      <w:pPr>
        <w:widowControl/>
        <w:adjustRightInd w:val="0"/>
        <w:snapToGrid w:val="0"/>
        <w:spacing w:line="580" w:lineRule="exact"/>
        <w:contextualSpacing/>
        <w:jc w:val="center"/>
        <w:rPr>
          <w:rFonts w:hint="eastAsia" w:ascii="仿宋_GB2312" w:hAnsi="仿宋_GB2312" w:eastAsia="仿宋_GB2312" w:cs="仿宋_GB2312"/>
          <w:kern w:val="0"/>
          <w:sz w:val="32"/>
          <w:szCs w:val="32"/>
        </w:rPr>
      </w:pPr>
    </w:p>
    <w:p>
      <w:pPr>
        <w:widowControl/>
        <w:adjustRightInd w:val="0"/>
        <w:snapToGrid w:val="0"/>
        <w:spacing w:line="580" w:lineRule="exact"/>
        <w:contextualSpacing/>
        <w:jc w:val="center"/>
        <w:rPr>
          <w:rFonts w:hint="eastAsia" w:ascii="仿宋_GB2312" w:hAnsi="仿宋_GB2312" w:eastAsia="仿宋_GB2312" w:cs="仿宋_GB2312"/>
          <w:kern w:val="0"/>
          <w:sz w:val="32"/>
          <w:szCs w:val="32"/>
        </w:rPr>
      </w:pPr>
    </w:p>
    <w:p>
      <w:pPr>
        <w:widowControl/>
        <w:adjustRightInd w:val="0"/>
        <w:snapToGrid w:val="0"/>
        <w:spacing w:line="580" w:lineRule="exact"/>
        <w:contextualSpacing/>
        <w:jc w:val="center"/>
        <w:rPr>
          <w:rFonts w:hint="eastAsia" w:ascii="仿宋_GB2312" w:hAnsi="仿宋_GB2312" w:eastAsia="仿宋_GB2312" w:cs="仿宋_GB2312"/>
          <w:kern w:val="0"/>
          <w:sz w:val="32"/>
          <w:szCs w:val="32"/>
        </w:rPr>
      </w:pPr>
    </w:p>
    <w:p>
      <w:pPr>
        <w:widowControl/>
        <w:adjustRightInd w:val="0"/>
        <w:snapToGrid w:val="0"/>
        <w:spacing w:line="580" w:lineRule="exact"/>
        <w:contextualSpacing/>
        <w:jc w:val="center"/>
        <w:rPr>
          <w:rFonts w:hint="eastAsia" w:ascii="黑体" w:hAnsi="黑体" w:eastAsia="黑体" w:cs="黑体"/>
          <w:kern w:val="0"/>
          <w:sz w:val="32"/>
          <w:szCs w:val="32"/>
        </w:rPr>
      </w:pPr>
      <w:r>
        <w:rPr>
          <w:rFonts w:hint="eastAsia" w:ascii="黑体" w:hAnsi="黑体" w:eastAsia="黑体" w:cs="黑体"/>
          <w:kern w:val="0"/>
          <w:sz w:val="32"/>
          <w:szCs w:val="32"/>
        </w:rPr>
        <w:t>5.</w:t>
      </w:r>
      <w:r>
        <w:rPr>
          <w:rFonts w:hint="eastAsia" w:ascii="黑体" w:hAnsi="黑体" w:eastAsia="黑体" w:cs="黑体"/>
          <w:color w:val="000000"/>
          <w:kern w:val="0"/>
          <w:sz w:val="32"/>
          <w:szCs w:val="32"/>
          <w:lang w:bidi="ar"/>
        </w:rPr>
        <w:t>公共法律服务运行维护费</w:t>
      </w:r>
      <w:r>
        <w:rPr>
          <w:rFonts w:hint="eastAsia" w:ascii="黑体" w:hAnsi="黑体" w:eastAsia="黑体" w:cs="黑体"/>
          <w:kern w:val="0"/>
          <w:sz w:val="32"/>
          <w:szCs w:val="32"/>
        </w:rPr>
        <w:t>项目绩效目标自评表</w:t>
      </w:r>
    </w:p>
    <w:tbl>
      <w:tblPr>
        <w:tblStyle w:val="21"/>
        <w:tblW w:w="8504" w:type="dxa"/>
        <w:tblInd w:w="0" w:type="dxa"/>
        <w:tblLayout w:type="autofit"/>
        <w:tblCellMar>
          <w:top w:w="0" w:type="dxa"/>
          <w:left w:w="0" w:type="dxa"/>
          <w:bottom w:w="0" w:type="dxa"/>
          <w:right w:w="0" w:type="dxa"/>
        </w:tblCellMar>
      </w:tblPr>
      <w:tblGrid>
        <w:gridCol w:w="519"/>
        <w:gridCol w:w="1121"/>
        <w:gridCol w:w="1049"/>
        <w:gridCol w:w="1214"/>
        <w:gridCol w:w="347"/>
        <w:gridCol w:w="855"/>
        <w:gridCol w:w="347"/>
        <w:gridCol w:w="850"/>
        <w:gridCol w:w="390"/>
        <w:gridCol w:w="318"/>
        <w:gridCol w:w="1494"/>
      </w:tblGrid>
      <w:tr>
        <w:tblPrEx>
          <w:tblCellMar>
            <w:top w:w="0" w:type="dxa"/>
            <w:left w:w="0" w:type="dxa"/>
            <w:bottom w:w="0" w:type="dxa"/>
            <w:right w:w="0" w:type="dxa"/>
          </w:tblCellMar>
        </w:tblPrEx>
        <w:trPr>
          <w:trHeight w:val="901" w:hRule="atLeast"/>
        </w:trPr>
        <w:tc>
          <w:tcPr>
            <w:tcW w:w="8504"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s="黑体"/>
                <w:b/>
                <w:color w:val="000000"/>
                <w:sz w:val="30"/>
                <w:szCs w:val="30"/>
              </w:rPr>
            </w:pPr>
            <w:r>
              <w:rPr>
                <w:rFonts w:hint="eastAsia" w:ascii="黑体" w:hAnsi="宋体" w:eastAsia="黑体" w:cs="黑体"/>
                <w:b/>
                <w:color w:val="000000"/>
                <w:kern w:val="0"/>
                <w:sz w:val="30"/>
                <w:szCs w:val="30"/>
                <w:lang w:bidi="ar"/>
              </w:rPr>
              <w:t>部门预算项目支出绩效自评表（2022年度）</w:t>
            </w:r>
          </w:p>
        </w:tc>
      </w:tr>
      <w:tr>
        <w:tblPrEx>
          <w:tblCellMar>
            <w:top w:w="0" w:type="dxa"/>
            <w:left w:w="0" w:type="dxa"/>
            <w:bottom w:w="0" w:type="dxa"/>
            <w:right w:w="0" w:type="dxa"/>
          </w:tblCellMar>
        </w:tblPrEx>
        <w:trPr>
          <w:trHeight w:val="286" w:hRule="atLeast"/>
        </w:trPr>
        <w:tc>
          <w:tcPr>
            <w:tcW w:w="16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项目名称</w:t>
            </w:r>
          </w:p>
        </w:tc>
        <w:tc>
          <w:tcPr>
            <w:tcW w:w="6864"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51090422T000000389624-公共法律服务运行维护费</w:t>
            </w:r>
          </w:p>
        </w:tc>
      </w:tr>
      <w:tr>
        <w:tblPrEx>
          <w:tblCellMar>
            <w:top w:w="0" w:type="dxa"/>
            <w:left w:w="0" w:type="dxa"/>
            <w:bottom w:w="0" w:type="dxa"/>
            <w:right w:w="0" w:type="dxa"/>
          </w:tblCellMar>
        </w:tblPrEx>
        <w:trPr>
          <w:trHeight w:val="512" w:hRule="atLeast"/>
        </w:trPr>
        <w:tc>
          <w:tcPr>
            <w:tcW w:w="16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主管部门</w:t>
            </w:r>
          </w:p>
        </w:tc>
        <w:tc>
          <w:tcPr>
            <w:tcW w:w="3812"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遂宁市安居区司法局部门</w:t>
            </w:r>
          </w:p>
        </w:tc>
        <w:tc>
          <w:tcPr>
            <w:tcW w:w="850" w:type="dxa"/>
            <w:tcBorders>
              <w:top w:val="nil"/>
              <w:left w:val="nil"/>
              <w:bottom w:val="nil"/>
              <w:right w:val="nil"/>
            </w:tcBorders>
            <w:shd w:val="clear" w:color="auto" w:fill="auto"/>
            <w:tcMar>
              <w:top w:w="15" w:type="dxa"/>
              <w:left w:w="15" w:type="dxa"/>
              <w:right w:w="15" w:type="dxa"/>
            </w:tcMar>
            <w:vAlign w:val="center"/>
          </w:tcPr>
          <w:p>
            <w:pPr>
              <w:widowControl/>
              <w:jc w:val="lef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实施单位 （盖章）</w:t>
            </w:r>
          </w:p>
        </w:tc>
        <w:tc>
          <w:tcPr>
            <w:tcW w:w="220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遂宁市安居区司法局</w:t>
            </w:r>
          </w:p>
        </w:tc>
      </w:tr>
      <w:tr>
        <w:tblPrEx>
          <w:tblCellMar>
            <w:top w:w="0" w:type="dxa"/>
            <w:left w:w="0" w:type="dxa"/>
            <w:bottom w:w="0" w:type="dxa"/>
            <w:right w:w="0" w:type="dxa"/>
          </w:tblCellMar>
        </w:tblPrEx>
        <w:trPr>
          <w:trHeight w:val="286" w:hRule="atLeast"/>
        </w:trPr>
        <w:tc>
          <w:tcPr>
            <w:tcW w:w="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项目基本情况</w:t>
            </w:r>
          </w:p>
        </w:tc>
        <w:tc>
          <w:tcPr>
            <w:tcW w:w="11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1.项目年度目标完成情况</w:t>
            </w:r>
          </w:p>
        </w:tc>
        <w:tc>
          <w:tcPr>
            <w:tcW w:w="3812"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项目年度目标</w:t>
            </w:r>
          </w:p>
        </w:tc>
        <w:tc>
          <w:tcPr>
            <w:tcW w:w="3052"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年度目标完成情况</w:t>
            </w:r>
          </w:p>
        </w:tc>
      </w:tr>
      <w:tr>
        <w:tblPrEx>
          <w:tblCellMar>
            <w:top w:w="0" w:type="dxa"/>
            <w:left w:w="0" w:type="dxa"/>
            <w:bottom w:w="0" w:type="dxa"/>
            <w:right w:w="0" w:type="dxa"/>
          </w:tblCellMar>
        </w:tblPrEx>
        <w:trPr>
          <w:trHeight w:val="2035" w:hRule="atLeast"/>
        </w:trPr>
        <w:tc>
          <w:tcPr>
            <w:tcW w:w="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color w:val="000000"/>
                <w:sz w:val="18"/>
                <w:szCs w:val="18"/>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color w:val="000000"/>
                <w:sz w:val="18"/>
                <w:szCs w:val="18"/>
              </w:rPr>
            </w:pPr>
          </w:p>
        </w:tc>
        <w:tc>
          <w:tcPr>
            <w:tcW w:w="3812"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公共法律服务是政府公共服务的重要组成部分，根据四川省司法厅《关于建设全省司法行政系统改革示范单位的通知》川司法办发﹝2016﹞136号，安居司法局作为司法系统改革示范单位，将发展法律服务业纳入改革示范单位重要改革事项。同时根据《中共四川省委办公厅 四川省人民政府办公厅关于印发&lt;关于推进公共法律服务体系建设的实施意见&gt;的通知》（川委办〔2018〕18号）和《中共遂宁市安居区委办公室 遂宁市安居区人民政府办公室关于印发&lt;关于推进公共法律服务体系建设的实施方案&gt;的通知》文件精神，我区将建成集区、镇、村三级公共法律服务实体、热线、网络三大平台于一体的公共法律服务中心。</w:t>
            </w:r>
          </w:p>
        </w:tc>
        <w:tc>
          <w:tcPr>
            <w:tcW w:w="3052"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对照年度目标，说明相关任务目标的完成情况（100字以内）</w:t>
            </w:r>
          </w:p>
        </w:tc>
      </w:tr>
      <w:tr>
        <w:tblPrEx>
          <w:tblCellMar>
            <w:top w:w="0" w:type="dxa"/>
            <w:left w:w="0" w:type="dxa"/>
            <w:bottom w:w="0" w:type="dxa"/>
            <w:right w:w="0" w:type="dxa"/>
          </w:tblCellMar>
        </w:tblPrEx>
        <w:trPr>
          <w:trHeight w:val="693" w:hRule="atLeast"/>
        </w:trPr>
        <w:tc>
          <w:tcPr>
            <w:tcW w:w="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color w:val="000000"/>
                <w:sz w:val="18"/>
                <w:szCs w:val="18"/>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2.项目实施内容及过程概述</w:t>
            </w:r>
          </w:p>
        </w:tc>
        <w:tc>
          <w:tcPr>
            <w:tcW w:w="6864"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color w:val="000000"/>
                <w:sz w:val="18"/>
                <w:szCs w:val="18"/>
              </w:rPr>
            </w:pPr>
          </w:p>
        </w:tc>
      </w:tr>
      <w:tr>
        <w:tblPrEx>
          <w:tblCellMar>
            <w:top w:w="0" w:type="dxa"/>
            <w:left w:w="0" w:type="dxa"/>
            <w:bottom w:w="0" w:type="dxa"/>
            <w:right w:w="0" w:type="dxa"/>
          </w:tblCellMar>
        </w:tblPrEx>
        <w:trPr>
          <w:trHeight w:val="361" w:hRule="atLeast"/>
        </w:trPr>
        <w:tc>
          <w:tcPr>
            <w:tcW w:w="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预算执行情况（10分）</w:t>
            </w:r>
          </w:p>
        </w:tc>
        <w:tc>
          <w:tcPr>
            <w:tcW w:w="11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年度预算数（万元）</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年初预算</w:t>
            </w: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调整后预算数</w:t>
            </w:r>
          </w:p>
        </w:tc>
        <w:tc>
          <w:tcPr>
            <w:tcW w:w="154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预算执行数</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预算执行率</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权重</w:t>
            </w:r>
          </w:p>
        </w:tc>
        <w:tc>
          <w:tcPr>
            <w:tcW w:w="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得分</w:t>
            </w:r>
          </w:p>
        </w:tc>
        <w:tc>
          <w:tcPr>
            <w:tcW w:w="1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原因</w:t>
            </w:r>
          </w:p>
        </w:tc>
      </w:tr>
      <w:tr>
        <w:tblPrEx>
          <w:tblCellMar>
            <w:top w:w="0" w:type="dxa"/>
            <w:left w:w="0" w:type="dxa"/>
            <w:bottom w:w="0" w:type="dxa"/>
            <w:right w:w="0" w:type="dxa"/>
          </w:tblCellMar>
        </w:tblPrEx>
        <w:trPr>
          <w:trHeight w:val="387" w:hRule="atLeast"/>
        </w:trPr>
        <w:tc>
          <w:tcPr>
            <w:tcW w:w="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color w:val="000000"/>
                <w:sz w:val="18"/>
                <w:szCs w:val="18"/>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总额</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10.00</w:t>
            </w: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8.22</w:t>
            </w:r>
          </w:p>
        </w:tc>
        <w:tc>
          <w:tcPr>
            <w:tcW w:w="154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8.22</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100.00%</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10</w:t>
            </w:r>
          </w:p>
        </w:tc>
        <w:tc>
          <w:tcPr>
            <w:tcW w:w="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color w:val="000000"/>
                <w:sz w:val="18"/>
                <w:szCs w:val="18"/>
              </w:rPr>
            </w:pPr>
          </w:p>
        </w:tc>
        <w:tc>
          <w:tcPr>
            <w:tcW w:w="14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仿宋_GB2312" w:hAnsi="仿宋_GB2312" w:eastAsia="仿宋_GB2312" w:cs="仿宋_GB2312"/>
                <w:i/>
                <w:color w:val="000000"/>
                <w:sz w:val="18"/>
                <w:szCs w:val="18"/>
              </w:rPr>
            </w:pPr>
            <w:r>
              <w:rPr>
                <w:rFonts w:hint="eastAsia" w:ascii="仿宋_GB2312" w:hAnsi="仿宋_GB2312" w:eastAsia="仿宋_GB2312" w:cs="仿宋_GB2312"/>
                <w:i/>
                <w:color w:val="000000"/>
                <w:kern w:val="0"/>
                <w:sz w:val="18"/>
                <w:szCs w:val="18"/>
                <w:lang w:bidi="ar"/>
              </w:rPr>
              <w:t>1.预算执行率=预算执行数/调整后预算数，预算执行率未达到90%的需说明原因（100字以内）;2.年中发生预算调整的（追加或调减）,应单独说明理由；3.其他资金包括：社会投入资金、银行贷款.</w:t>
            </w:r>
          </w:p>
        </w:tc>
      </w:tr>
      <w:tr>
        <w:tblPrEx>
          <w:tblCellMar>
            <w:top w:w="0" w:type="dxa"/>
            <w:left w:w="0" w:type="dxa"/>
            <w:bottom w:w="0" w:type="dxa"/>
            <w:right w:w="0" w:type="dxa"/>
          </w:tblCellMar>
        </w:tblPrEx>
        <w:trPr>
          <w:trHeight w:val="432" w:hRule="atLeast"/>
        </w:trPr>
        <w:tc>
          <w:tcPr>
            <w:tcW w:w="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color w:val="000000"/>
                <w:sz w:val="18"/>
                <w:szCs w:val="18"/>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其中：财政资金</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10.00</w:t>
            </w: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8.22</w:t>
            </w:r>
          </w:p>
        </w:tc>
        <w:tc>
          <w:tcPr>
            <w:tcW w:w="154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8.22</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100.00%</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w:t>
            </w:r>
          </w:p>
        </w:tc>
        <w:tc>
          <w:tcPr>
            <w:tcW w:w="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w:t>
            </w:r>
          </w:p>
        </w:tc>
        <w:tc>
          <w:tcPr>
            <w:tcW w:w="14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i/>
                <w:color w:val="000000"/>
                <w:sz w:val="18"/>
                <w:szCs w:val="18"/>
              </w:rPr>
            </w:pPr>
          </w:p>
        </w:tc>
      </w:tr>
      <w:tr>
        <w:tblPrEx>
          <w:tblCellMar>
            <w:top w:w="0" w:type="dxa"/>
            <w:left w:w="0" w:type="dxa"/>
            <w:bottom w:w="0" w:type="dxa"/>
            <w:right w:w="0" w:type="dxa"/>
          </w:tblCellMar>
        </w:tblPrEx>
        <w:trPr>
          <w:trHeight w:val="447" w:hRule="atLeast"/>
        </w:trPr>
        <w:tc>
          <w:tcPr>
            <w:tcW w:w="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color w:val="000000"/>
                <w:sz w:val="18"/>
                <w:szCs w:val="18"/>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财政专户管理资金</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0.00</w:t>
            </w: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0.00</w:t>
            </w:r>
          </w:p>
        </w:tc>
        <w:tc>
          <w:tcPr>
            <w:tcW w:w="154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0.00</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0.00%</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w:t>
            </w:r>
          </w:p>
        </w:tc>
        <w:tc>
          <w:tcPr>
            <w:tcW w:w="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w:t>
            </w:r>
          </w:p>
        </w:tc>
        <w:tc>
          <w:tcPr>
            <w:tcW w:w="14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i/>
                <w:color w:val="000000"/>
                <w:sz w:val="18"/>
                <w:szCs w:val="18"/>
              </w:rPr>
            </w:pPr>
          </w:p>
        </w:tc>
      </w:tr>
      <w:tr>
        <w:tblPrEx>
          <w:tblCellMar>
            <w:top w:w="0" w:type="dxa"/>
            <w:left w:w="0" w:type="dxa"/>
            <w:bottom w:w="0" w:type="dxa"/>
            <w:right w:w="0" w:type="dxa"/>
          </w:tblCellMar>
        </w:tblPrEx>
        <w:trPr>
          <w:trHeight w:val="402" w:hRule="atLeast"/>
        </w:trPr>
        <w:tc>
          <w:tcPr>
            <w:tcW w:w="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color w:val="000000"/>
                <w:sz w:val="18"/>
                <w:szCs w:val="18"/>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单位资金</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0.00</w:t>
            </w: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0.00</w:t>
            </w:r>
          </w:p>
        </w:tc>
        <w:tc>
          <w:tcPr>
            <w:tcW w:w="154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0.00</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0.00%</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w:t>
            </w:r>
          </w:p>
        </w:tc>
        <w:tc>
          <w:tcPr>
            <w:tcW w:w="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w:t>
            </w:r>
          </w:p>
        </w:tc>
        <w:tc>
          <w:tcPr>
            <w:tcW w:w="14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i/>
                <w:color w:val="000000"/>
                <w:sz w:val="18"/>
                <w:szCs w:val="18"/>
              </w:rPr>
            </w:pPr>
          </w:p>
        </w:tc>
      </w:tr>
      <w:tr>
        <w:tblPrEx>
          <w:tblCellMar>
            <w:top w:w="0" w:type="dxa"/>
            <w:left w:w="0" w:type="dxa"/>
            <w:bottom w:w="0" w:type="dxa"/>
            <w:right w:w="0" w:type="dxa"/>
          </w:tblCellMar>
        </w:tblPrEx>
        <w:trPr>
          <w:trHeight w:val="379" w:hRule="atLeast"/>
        </w:trPr>
        <w:tc>
          <w:tcPr>
            <w:tcW w:w="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color w:val="000000"/>
                <w:sz w:val="18"/>
                <w:szCs w:val="18"/>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其他资金</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color w:val="000000"/>
                <w:sz w:val="16"/>
                <w:szCs w:val="16"/>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color w:val="000000"/>
                <w:sz w:val="16"/>
                <w:szCs w:val="16"/>
              </w:rPr>
            </w:pPr>
          </w:p>
        </w:tc>
        <w:tc>
          <w:tcPr>
            <w:tcW w:w="154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color w:val="000000"/>
                <w:sz w:val="16"/>
                <w:szCs w:val="16"/>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color w:val="000000"/>
                <w:sz w:val="16"/>
                <w:szCs w:val="16"/>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w:t>
            </w:r>
          </w:p>
        </w:tc>
        <w:tc>
          <w:tcPr>
            <w:tcW w:w="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w:t>
            </w:r>
          </w:p>
        </w:tc>
        <w:tc>
          <w:tcPr>
            <w:tcW w:w="14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i/>
                <w:color w:val="000000"/>
                <w:sz w:val="18"/>
                <w:szCs w:val="18"/>
              </w:rPr>
            </w:pPr>
          </w:p>
        </w:tc>
      </w:tr>
      <w:tr>
        <w:tblPrEx>
          <w:tblCellMar>
            <w:top w:w="0" w:type="dxa"/>
            <w:left w:w="0" w:type="dxa"/>
            <w:bottom w:w="0" w:type="dxa"/>
            <w:right w:w="0" w:type="dxa"/>
          </w:tblCellMar>
        </w:tblPrEx>
        <w:trPr>
          <w:trHeight w:val="452" w:hRule="atLeast"/>
        </w:trPr>
        <w:tc>
          <w:tcPr>
            <w:tcW w:w="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绩效指标（90分）</w:t>
            </w:r>
          </w:p>
        </w:tc>
        <w:tc>
          <w:tcPr>
            <w:tcW w:w="11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一级指标</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二级指标</w:t>
            </w: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三级指标</w:t>
            </w:r>
          </w:p>
        </w:tc>
        <w:tc>
          <w:tcPr>
            <w:tcW w:w="3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指标性质</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指标值</w:t>
            </w:r>
          </w:p>
        </w:tc>
        <w:tc>
          <w:tcPr>
            <w:tcW w:w="3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度量单位</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完成值</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权重</w:t>
            </w:r>
          </w:p>
        </w:tc>
        <w:tc>
          <w:tcPr>
            <w:tcW w:w="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得分</w:t>
            </w:r>
          </w:p>
        </w:tc>
        <w:tc>
          <w:tcPr>
            <w:tcW w:w="1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未完成原因分析</w:t>
            </w:r>
          </w:p>
        </w:tc>
      </w:tr>
      <w:tr>
        <w:tblPrEx>
          <w:tblCellMar>
            <w:top w:w="0" w:type="dxa"/>
            <w:left w:w="0" w:type="dxa"/>
            <w:bottom w:w="0" w:type="dxa"/>
            <w:right w:w="0" w:type="dxa"/>
          </w:tblCellMar>
        </w:tblPrEx>
        <w:trPr>
          <w:trHeight w:val="339" w:hRule="atLeast"/>
        </w:trPr>
        <w:tc>
          <w:tcPr>
            <w:tcW w:w="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color w:val="000000"/>
                <w:sz w:val="18"/>
                <w:szCs w:val="18"/>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产出指标</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质量指标</w:t>
            </w: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解答群众困惑</w:t>
            </w:r>
          </w:p>
        </w:tc>
        <w:tc>
          <w:tcPr>
            <w:tcW w:w="3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定性</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优良中低差</w:t>
            </w:r>
          </w:p>
        </w:tc>
        <w:tc>
          <w:tcPr>
            <w:tcW w:w="3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其他</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color w:val="000000"/>
                <w:sz w:val="16"/>
                <w:szCs w:val="16"/>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30</w:t>
            </w:r>
          </w:p>
        </w:tc>
        <w:tc>
          <w:tcPr>
            <w:tcW w:w="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color w:val="000000"/>
                <w:sz w:val="18"/>
                <w:szCs w:val="18"/>
              </w:rPr>
            </w:pPr>
          </w:p>
        </w:tc>
        <w:tc>
          <w:tcPr>
            <w:tcW w:w="1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color w:val="000000"/>
                <w:sz w:val="16"/>
                <w:szCs w:val="16"/>
              </w:rPr>
            </w:pPr>
          </w:p>
        </w:tc>
      </w:tr>
      <w:tr>
        <w:tblPrEx>
          <w:tblCellMar>
            <w:top w:w="0" w:type="dxa"/>
            <w:left w:w="0" w:type="dxa"/>
            <w:bottom w:w="0" w:type="dxa"/>
            <w:right w:w="0" w:type="dxa"/>
          </w:tblCellMar>
        </w:tblPrEx>
        <w:trPr>
          <w:trHeight w:val="452" w:hRule="atLeast"/>
        </w:trPr>
        <w:tc>
          <w:tcPr>
            <w:tcW w:w="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color w:val="000000"/>
                <w:sz w:val="18"/>
                <w:szCs w:val="18"/>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效益指标</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社会效益指标</w:t>
            </w: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为群众提供更高效的法律服务</w:t>
            </w:r>
          </w:p>
        </w:tc>
        <w:tc>
          <w:tcPr>
            <w:tcW w:w="3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定性</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优良中低差</w:t>
            </w:r>
          </w:p>
        </w:tc>
        <w:tc>
          <w:tcPr>
            <w:tcW w:w="3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其他</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color w:val="000000"/>
                <w:sz w:val="16"/>
                <w:szCs w:val="16"/>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30</w:t>
            </w:r>
          </w:p>
        </w:tc>
        <w:tc>
          <w:tcPr>
            <w:tcW w:w="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color w:val="000000"/>
                <w:sz w:val="18"/>
                <w:szCs w:val="18"/>
              </w:rPr>
            </w:pPr>
          </w:p>
        </w:tc>
        <w:tc>
          <w:tcPr>
            <w:tcW w:w="1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color w:val="000000"/>
                <w:sz w:val="16"/>
                <w:szCs w:val="16"/>
              </w:rPr>
            </w:pPr>
          </w:p>
        </w:tc>
      </w:tr>
      <w:tr>
        <w:tblPrEx>
          <w:tblCellMar>
            <w:top w:w="0" w:type="dxa"/>
            <w:left w:w="0" w:type="dxa"/>
            <w:bottom w:w="0" w:type="dxa"/>
            <w:right w:w="0" w:type="dxa"/>
          </w:tblCellMar>
        </w:tblPrEx>
        <w:trPr>
          <w:trHeight w:val="452" w:hRule="atLeast"/>
        </w:trPr>
        <w:tc>
          <w:tcPr>
            <w:tcW w:w="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color w:val="000000"/>
                <w:sz w:val="18"/>
                <w:szCs w:val="18"/>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满意度指标</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服务对象满意度指标</w:t>
            </w: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群众满意度</w:t>
            </w:r>
          </w:p>
        </w:tc>
        <w:tc>
          <w:tcPr>
            <w:tcW w:w="3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90</w:t>
            </w:r>
          </w:p>
        </w:tc>
        <w:tc>
          <w:tcPr>
            <w:tcW w:w="3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color w:val="000000"/>
                <w:sz w:val="16"/>
                <w:szCs w:val="16"/>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30</w:t>
            </w:r>
          </w:p>
        </w:tc>
        <w:tc>
          <w:tcPr>
            <w:tcW w:w="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color w:val="000000"/>
                <w:sz w:val="18"/>
                <w:szCs w:val="18"/>
              </w:rPr>
            </w:pPr>
          </w:p>
        </w:tc>
        <w:tc>
          <w:tcPr>
            <w:tcW w:w="1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color w:val="000000"/>
                <w:sz w:val="16"/>
                <w:szCs w:val="16"/>
              </w:rPr>
            </w:pPr>
          </w:p>
        </w:tc>
      </w:tr>
      <w:tr>
        <w:tblPrEx>
          <w:tblCellMar>
            <w:top w:w="0" w:type="dxa"/>
            <w:left w:w="0" w:type="dxa"/>
            <w:bottom w:w="0" w:type="dxa"/>
            <w:right w:w="0" w:type="dxa"/>
          </w:tblCellMar>
        </w:tblPrEx>
        <w:trPr>
          <w:trHeight w:val="286" w:hRule="atLeast"/>
        </w:trPr>
        <w:tc>
          <w:tcPr>
            <w:tcW w:w="6302"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合计</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100</w:t>
            </w:r>
          </w:p>
        </w:tc>
        <w:tc>
          <w:tcPr>
            <w:tcW w:w="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color w:val="000000"/>
                <w:sz w:val="18"/>
                <w:szCs w:val="18"/>
              </w:rPr>
            </w:pPr>
          </w:p>
        </w:tc>
        <w:tc>
          <w:tcPr>
            <w:tcW w:w="1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color w:val="000000"/>
                <w:sz w:val="18"/>
                <w:szCs w:val="18"/>
              </w:rPr>
            </w:pPr>
          </w:p>
        </w:tc>
      </w:tr>
      <w:tr>
        <w:tblPrEx>
          <w:tblCellMar>
            <w:top w:w="0" w:type="dxa"/>
            <w:left w:w="0" w:type="dxa"/>
            <w:bottom w:w="0" w:type="dxa"/>
            <w:right w:w="0" w:type="dxa"/>
          </w:tblCellMar>
        </w:tblPrEx>
        <w:trPr>
          <w:trHeight w:val="603" w:hRule="atLeast"/>
        </w:trPr>
        <w:tc>
          <w:tcPr>
            <w:tcW w:w="5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评价结论</w:t>
            </w:r>
          </w:p>
        </w:tc>
        <w:tc>
          <w:tcPr>
            <w:tcW w:w="7985"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仿宋_GB2312" w:hAnsi="仿宋_GB2312" w:eastAsia="仿宋_GB2312" w:cs="仿宋_GB2312"/>
                <w:i/>
                <w:color w:val="000000"/>
                <w:sz w:val="18"/>
                <w:szCs w:val="18"/>
              </w:rPr>
            </w:pPr>
            <w:r>
              <w:rPr>
                <w:rFonts w:hint="eastAsia" w:ascii="仿宋_GB2312" w:hAnsi="仿宋_GB2312" w:eastAsia="仿宋_GB2312" w:cs="仿宋_GB2312"/>
                <w:color w:val="000000"/>
                <w:kern w:val="0"/>
                <w:sz w:val="18"/>
                <w:szCs w:val="18"/>
                <w:shd w:val="clear" w:color="auto" w:fill="FFFFFF"/>
                <w:lang w:val="zh-CN"/>
              </w:rPr>
              <w:t>经遂宁市安居区司法局认真自评，20</w:t>
            </w:r>
            <w:r>
              <w:rPr>
                <w:rFonts w:hint="eastAsia" w:ascii="仿宋_GB2312" w:hAnsi="仿宋_GB2312" w:eastAsia="仿宋_GB2312" w:cs="仿宋_GB2312"/>
                <w:color w:val="000000"/>
                <w:kern w:val="0"/>
                <w:sz w:val="18"/>
                <w:szCs w:val="18"/>
                <w:shd w:val="clear" w:color="auto" w:fill="FFFFFF"/>
              </w:rPr>
              <w:t>22</w:t>
            </w:r>
            <w:r>
              <w:rPr>
                <w:rFonts w:hint="eastAsia" w:ascii="仿宋_GB2312" w:hAnsi="仿宋_GB2312" w:eastAsia="仿宋_GB2312" w:cs="仿宋_GB2312"/>
                <w:color w:val="000000"/>
                <w:kern w:val="0"/>
                <w:sz w:val="18"/>
                <w:szCs w:val="18"/>
                <w:shd w:val="clear" w:color="auto" w:fill="FFFFFF"/>
                <w:lang w:val="zh-CN"/>
              </w:rPr>
              <w:t>年</w:t>
            </w:r>
            <w:r>
              <w:rPr>
                <w:rFonts w:hint="eastAsia" w:ascii="仿宋_GB2312" w:hAnsi="仿宋_GB2312" w:eastAsia="仿宋_GB2312" w:cs="仿宋_GB2312"/>
                <w:kern w:val="0"/>
                <w:sz w:val="18"/>
                <w:szCs w:val="18"/>
                <w:lang w:val="zh-CN"/>
              </w:rPr>
              <w:t>公共法律服务运行维护费</w:t>
            </w:r>
            <w:r>
              <w:rPr>
                <w:rFonts w:hint="eastAsia" w:ascii="仿宋_GB2312" w:hAnsi="仿宋_GB2312" w:eastAsia="仿宋_GB2312" w:cs="仿宋_GB2312"/>
                <w:color w:val="000000"/>
                <w:kern w:val="0"/>
                <w:sz w:val="18"/>
                <w:szCs w:val="18"/>
                <w:shd w:val="clear" w:color="auto" w:fill="FFFFFF"/>
                <w:lang w:val="zh-CN"/>
              </w:rPr>
              <w:t>支出绩效评为“良好”。绩效目标明确，资金落实到位，管理体系完善，司法行政工作成效显现。</w:t>
            </w:r>
          </w:p>
        </w:tc>
      </w:tr>
      <w:tr>
        <w:tblPrEx>
          <w:tblCellMar>
            <w:top w:w="0" w:type="dxa"/>
            <w:left w:w="0" w:type="dxa"/>
            <w:bottom w:w="0" w:type="dxa"/>
            <w:right w:w="0" w:type="dxa"/>
          </w:tblCellMar>
        </w:tblPrEx>
        <w:trPr>
          <w:trHeight w:val="572" w:hRule="atLeast"/>
        </w:trPr>
        <w:tc>
          <w:tcPr>
            <w:tcW w:w="5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存在问题</w:t>
            </w:r>
          </w:p>
        </w:tc>
        <w:tc>
          <w:tcPr>
            <w:tcW w:w="7985"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560" w:lineRule="exact"/>
              <w:ind w:firstLine="360" w:firstLineChars="20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2022年，我们全面发挥职能优势，扎实开展各项工作，取得了一定的成效，但工作还存在着许多薄弱环节和短板：</w:t>
            </w:r>
            <w:r>
              <w:rPr>
                <w:rFonts w:hint="eastAsia" w:ascii="仿宋_GB2312" w:hAnsi="仿宋_GB2312" w:eastAsia="仿宋_GB2312" w:cs="仿宋_GB2312"/>
                <w:b/>
                <w:bCs/>
                <w:sz w:val="18"/>
                <w:szCs w:val="18"/>
              </w:rPr>
              <w:t>一是</w:t>
            </w:r>
            <w:r>
              <w:rPr>
                <w:rFonts w:hint="eastAsia" w:ascii="仿宋_GB2312" w:hAnsi="仿宋_GB2312" w:eastAsia="仿宋_GB2312" w:cs="仿宋_GB2312"/>
                <w:sz w:val="18"/>
                <w:szCs w:val="18"/>
              </w:rPr>
              <w:t>发展不够平衡，基层基础比较薄弱。如我局基层司法所办公阵地、业务能力等规范化建设基础薄弱。</w:t>
            </w:r>
            <w:r>
              <w:rPr>
                <w:rFonts w:hint="eastAsia" w:ascii="仿宋_GB2312" w:hAnsi="仿宋_GB2312" w:eastAsia="仿宋_GB2312" w:cs="仿宋_GB2312"/>
                <w:b/>
                <w:bCs/>
                <w:sz w:val="18"/>
                <w:szCs w:val="18"/>
              </w:rPr>
              <w:t>二是</w:t>
            </w:r>
            <w:r>
              <w:rPr>
                <w:rFonts w:hint="eastAsia" w:ascii="仿宋_GB2312" w:hAnsi="仿宋_GB2312" w:eastAsia="仿宋_GB2312" w:cs="仿宋_GB2312"/>
                <w:sz w:val="18"/>
                <w:szCs w:val="18"/>
              </w:rPr>
              <w:t>专业人才缺乏，法律服务机构还不健全。如我区法律人才资源较为缺少，仅有2个律师事务所、7名社会律师。</w:t>
            </w:r>
            <w:r>
              <w:rPr>
                <w:rFonts w:hint="eastAsia" w:ascii="仿宋_GB2312" w:hAnsi="仿宋_GB2312" w:eastAsia="仿宋_GB2312" w:cs="仿宋_GB2312"/>
                <w:b/>
                <w:bCs/>
                <w:sz w:val="18"/>
                <w:szCs w:val="18"/>
              </w:rPr>
              <w:t>三是</w:t>
            </w:r>
            <w:r>
              <w:rPr>
                <w:rFonts w:hint="eastAsia" w:ascii="仿宋_GB2312" w:hAnsi="仿宋_GB2312" w:eastAsia="仿宋_GB2312" w:cs="仿宋_GB2312"/>
                <w:sz w:val="18"/>
                <w:szCs w:val="18"/>
              </w:rPr>
              <w:t>依法治区考核力度不足。目前依法治区考核是放在全市党务目标进行的考核，分值较低，无单独的考核细则，也无加分项目，各部门干事激情不足</w:t>
            </w:r>
            <w:r>
              <w:rPr>
                <w:rFonts w:hint="eastAsia" w:ascii="仿宋_GB2312" w:hAnsi="仿宋_GB2312" w:eastAsia="仿宋_GB2312" w:cs="仿宋_GB2312"/>
                <w:kern w:val="0"/>
                <w:sz w:val="18"/>
                <w:szCs w:val="18"/>
                <w:lang w:val="zh-CN"/>
              </w:rPr>
              <w:t>。</w:t>
            </w:r>
            <w:r>
              <w:rPr>
                <w:rFonts w:hint="eastAsia" w:ascii="仿宋_GB2312" w:hAnsi="仿宋_GB2312" w:eastAsia="仿宋_GB2312" w:cs="仿宋_GB2312"/>
                <w:kern w:val="0"/>
                <w:sz w:val="18"/>
                <w:szCs w:val="18"/>
                <w:lang w:val="zh-CN"/>
              </w:rPr>
              <w:tab/>
            </w:r>
          </w:p>
          <w:p>
            <w:pPr>
              <w:widowControl/>
              <w:jc w:val="left"/>
              <w:textAlignment w:val="center"/>
              <w:rPr>
                <w:rFonts w:hint="eastAsia" w:ascii="仿宋_GB2312" w:hAnsi="仿宋_GB2312" w:eastAsia="仿宋_GB2312" w:cs="仿宋_GB2312"/>
                <w:i/>
                <w:color w:val="000000"/>
                <w:sz w:val="16"/>
                <w:szCs w:val="16"/>
              </w:rPr>
            </w:pPr>
          </w:p>
        </w:tc>
      </w:tr>
      <w:tr>
        <w:tblPrEx>
          <w:tblCellMar>
            <w:top w:w="0" w:type="dxa"/>
            <w:left w:w="0" w:type="dxa"/>
            <w:bottom w:w="0" w:type="dxa"/>
            <w:right w:w="0" w:type="dxa"/>
          </w:tblCellMar>
        </w:tblPrEx>
        <w:trPr>
          <w:trHeight w:val="633" w:hRule="atLeast"/>
        </w:trPr>
        <w:tc>
          <w:tcPr>
            <w:tcW w:w="5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改进措施</w:t>
            </w:r>
          </w:p>
        </w:tc>
        <w:tc>
          <w:tcPr>
            <w:tcW w:w="7985"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580" w:lineRule="exact"/>
              <w:ind w:firstLine="540" w:firstLineChars="300"/>
              <w:contextualSpacing/>
              <w:jc w:val="left"/>
              <w:rPr>
                <w:rFonts w:hint="eastAsia" w:ascii="仿宋_GB2312" w:hAnsi="仿宋_GB2312" w:eastAsia="仿宋_GB2312" w:cs="仿宋_GB2312"/>
                <w:kern w:val="0"/>
                <w:sz w:val="18"/>
                <w:szCs w:val="18"/>
                <w:lang w:val="zh-CN"/>
              </w:rPr>
            </w:pPr>
            <w:r>
              <w:rPr>
                <w:rFonts w:hint="eastAsia" w:ascii="仿宋_GB2312" w:hAnsi="仿宋_GB2312" w:eastAsia="仿宋_GB2312" w:cs="仿宋_GB2312"/>
                <w:sz w:val="18"/>
                <w:szCs w:val="18"/>
              </w:rPr>
              <w:t>引进专业人员，充实队伍，面向社会公开招聘一批懂法律、懂政策，具有较高综合素质和道德修养的人员，充实司法行政队伍；根据工作的实际需要，逐年增加法治政府建设、行政审批、社区矫正、法律援助、普法宣传、人民调解的业务专项经费；追加全区依法治区专项工作经费预算，为我区实现高质量发展提供坚强法治保障；</w:t>
            </w:r>
            <w:r>
              <w:rPr>
                <w:rFonts w:hint="eastAsia" w:ascii="仿宋_GB2312" w:hAnsi="仿宋_GB2312" w:eastAsia="仿宋_GB2312" w:cs="仿宋_GB2312"/>
                <w:color w:val="000000"/>
                <w:sz w:val="18"/>
                <w:szCs w:val="18"/>
              </w:rPr>
              <w:t>继续推进公共法律服务体系建设。实现公共法律服务实体、热线、网络三大平台基本融合，汇聚形成公共法律服务大数据</w:t>
            </w:r>
            <w:r>
              <w:rPr>
                <w:rFonts w:hint="eastAsia" w:ascii="仿宋_GB2312" w:hAnsi="仿宋_GB2312" w:eastAsia="仿宋_GB2312" w:cs="仿宋_GB2312"/>
                <w:kern w:val="0"/>
                <w:sz w:val="18"/>
                <w:szCs w:val="18"/>
                <w:lang w:val="zh-CN"/>
              </w:rPr>
              <w:t>。</w:t>
            </w:r>
          </w:p>
          <w:p>
            <w:pPr>
              <w:widowControl/>
              <w:jc w:val="left"/>
              <w:textAlignment w:val="center"/>
              <w:rPr>
                <w:rFonts w:hint="eastAsia" w:ascii="仿宋_GB2312" w:hAnsi="仿宋_GB2312" w:eastAsia="仿宋_GB2312" w:cs="仿宋_GB2312"/>
                <w:i/>
                <w:color w:val="000000"/>
                <w:sz w:val="16"/>
                <w:szCs w:val="16"/>
              </w:rPr>
            </w:pPr>
          </w:p>
        </w:tc>
      </w:tr>
      <w:tr>
        <w:tblPrEx>
          <w:tblCellMar>
            <w:top w:w="0" w:type="dxa"/>
            <w:left w:w="0" w:type="dxa"/>
            <w:bottom w:w="0" w:type="dxa"/>
            <w:right w:w="0" w:type="dxa"/>
          </w:tblCellMar>
        </w:tblPrEx>
        <w:trPr>
          <w:trHeight w:val="286" w:hRule="atLeast"/>
        </w:trPr>
        <w:tc>
          <w:tcPr>
            <w:tcW w:w="425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项目负责人：</w:t>
            </w:r>
          </w:p>
        </w:tc>
        <w:tc>
          <w:tcPr>
            <w:tcW w:w="4254"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财务负责人：</w:t>
            </w:r>
          </w:p>
        </w:tc>
      </w:tr>
    </w:tbl>
    <w:p>
      <w:pPr>
        <w:widowControl/>
        <w:adjustRightInd w:val="0"/>
        <w:snapToGrid w:val="0"/>
        <w:spacing w:line="580" w:lineRule="exact"/>
        <w:contextualSpacing/>
        <w:rPr>
          <w:rFonts w:hint="eastAsia" w:ascii="仿宋_GB2312" w:hAnsi="仿宋_GB2312" w:eastAsia="仿宋_GB2312" w:cs="仿宋_GB2312"/>
          <w:kern w:val="0"/>
          <w:sz w:val="32"/>
          <w:szCs w:val="32"/>
        </w:rPr>
      </w:pPr>
    </w:p>
    <w:p>
      <w:pPr>
        <w:widowControl/>
        <w:adjustRightInd w:val="0"/>
        <w:snapToGrid w:val="0"/>
        <w:spacing w:line="580" w:lineRule="exact"/>
        <w:contextualSpacing/>
        <w:jc w:val="center"/>
        <w:rPr>
          <w:rFonts w:ascii="仿宋_GB2312" w:hAnsi="仿宋_GB2312" w:eastAsia="仿宋_GB2312" w:cs="仿宋_GB2312"/>
          <w:kern w:val="0"/>
          <w:sz w:val="32"/>
          <w:szCs w:val="32"/>
        </w:rPr>
      </w:pPr>
    </w:p>
    <w:p>
      <w:pPr>
        <w:widowControl/>
        <w:adjustRightInd w:val="0"/>
        <w:snapToGrid w:val="0"/>
        <w:spacing w:line="580" w:lineRule="exact"/>
        <w:contextualSpacing/>
        <w:jc w:val="center"/>
        <w:rPr>
          <w:rFonts w:hint="eastAsia" w:ascii="仿宋_GB2312" w:hAnsi="仿宋_GB2312" w:eastAsia="仿宋_GB2312" w:cs="仿宋_GB2312"/>
          <w:kern w:val="0"/>
          <w:sz w:val="32"/>
          <w:szCs w:val="32"/>
        </w:rPr>
      </w:pPr>
    </w:p>
    <w:p>
      <w:pPr>
        <w:widowControl/>
        <w:adjustRightInd w:val="0"/>
        <w:snapToGrid w:val="0"/>
        <w:spacing w:line="580" w:lineRule="exact"/>
        <w:contextualSpacing/>
        <w:jc w:val="center"/>
        <w:rPr>
          <w:rFonts w:hint="eastAsia" w:ascii="仿宋_GB2312" w:hAnsi="仿宋_GB2312" w:eastAsia="仿宋_GB2312" w:cs="仿宋_GB2312"/>
          <w:kern w:val="0"/>
          <w:sz w:val="32"/>
          <w:szCs w:val="32"/>
        </w:rPr>
      </w:pPr>
    </w:p>
    <w:p>
      <w:pPr>
        <w:widowControl/>
        <w:adjustRightInd w:val="0"/>
        <w:snapToGrid w:val="0"/>
        <w:spacing w:line="580" w:lineRule="exact"/>
        <w:contextualSpacing/>
        <w:jc w:val="center"/>
        <w:rPr>
          <w:rFonts w:hint="eastAsia" w:ascii="仿宋_GB2312" w:hAnsi="仿宋_GB2312" w:eastAsia="仿宋_GB2312" w:cs="仿宋_GB2312"/>
          <w:kern w:val="0"/>
          <w:sz w:val="32"/>
          <w:szCs w:val="32"/>
        </w:rPr>
      </w:pPr>
    </w:p>
    <w:p>
      <w:pPr>
        <w:widowControl/>
        <w:adjustRightInd w:val="0"/>
        <w:snapToGrid w:val="0"/>
        <w:spacing w:line="580" w:lineRule="exact"/>
        <w:contextualSpacing/>
        <w:jc w:val="center"/>
        <w:rPr>
          <w:rFonts w:hint="eastAsia" w:ascii="仿宋_GB2312" w:hAnsi="仿宋_GB2312" w:eastAsia="仿宋_GB2312" w:cs="仿宋_GB2312"/>
          <w:kern w:val="0"/>
          <w:sz w:val="32"/>
          <w:szCs w:val="32"/>
        </w:rPr>
      </w:pPr>
    </w:p>
    <w:p>
      <w:pPr>
        <w:pStyle w:val="2"/>
        <w:widowControl w:val="0"/>
        <w:numPr>
          <w:ilvl w:val="0"/>
          <w:numId w:val="0"/>
        </w:numPr>
        <w:jc w:val="both"/>
        <w:rPr>
          <w:rFonts w:hint="eastAsia" w:ascii="仿宋_GB2312" w:hAnsi="仿宋_GB2312" w:eastAsia="仿宋_GB2312" w:cs="仿宋_GB2312"/>
          <w:kern w:val="0"/>
          <w:sz w:val="32"/>
          <w:szCs w:val="32"/>
        </w:rPr>
      </w:pPr>
    </w:p>
    <w:p>
      <w:pPr>
        <w:widowControl/>
        <w:adjustRightInd w:val="0"/>
        <w:snapToGrid w:val="0"/>
        <w:spacing w:line="580" w:lineRule="exact"/>
        <w:contextualSpacing/>
        <w:jc w:val="center"/>
        <w:rPr>
          <w:rFonts w:hint="eastAsia" w:ascii="黑体" w:hAnsi="黑体" w:eastAsia="黑体" w:cs="黑体"/>
          <w:kern w:val="0"/>
          <w:sz w:val="32"/>
          <w:szCs w:val="32"/>
        </w:rPr>
      </w:pPr>
      <w:r>
        <w:rPr>
          <w:rFonts w:hint="eastAsia" w:ascii="黑体" w:hAnsi="黑体" w:eastAsia="黑体" w:cs="黑体"/>
          <w:kern w:val="0"/>
          <w:sz w:val="32"/>
          <w:szCs w:val="32"/>
        </w:rPr>
        <w:t>6.</w:t>
      </w:r>
      <w:r>
        <w:rPr>
          <w:rFonts w:hint="eastAsia" w:ascii="黑体" w:hAnsi="黑体" w:eastAsia="黑体" w:cs="黑体"/>
          <w:color w:val="000000"/>
          <w:kern w:val="0"/>
          <w:sz w:val="32"/>
          <w:szCs w:val="32"/>
          <w:lang w:bidi="ar"/>
        </w:rPr>
        <w:t>社区矫正办公经费</w:t>
      </w:r>
      <w:r>
        <w:rPr>
          <w:rFonts w:hint="eastAsia" w:ascii="黑体" w:hAnsi="黑体" w:eastAsia="黑体" w:cs="黑体"/>
          <w:kern w:val="0"/>
          <w:sz w:val="32"/>
          <w:szCs w:val="32"/>
        </w:rPr>
        <w:t>项目绩效目标自评表</w:t>
      </w:r>
    </w:p>
    <w:tbl>
      <w:tblPr>
        <w:tblStyle w:val="21"/>
        <w:tblW w:w="8504" w:type="dxa"/>
        <w:tblInd w:w="0" w:type="dxa"/>
        <w:tblLayout w:type="autofit"/>
        <w:tblCellMar>
          <w:top w:w="0" w:type="dxa"/>
          <w:left w:w="0" w:type="dxa"/>
          <w:bottom w:w="0" w:type="dxa"/>
          <w:right w:w="0" w:type="dxa"/>
        </w:tblCellMar>
      </w:tblPr>
      <w:tblGrid>
        <w:gridCol w:w="515"/>
        <w:gridCol w:w="1104"/>
        <w:gridCol w:w="1036"/>
        <w:gridCol w:w="1246"/>
        <w:gridCol w:w="344"/>
        <w:gridCol w:w="891"/>
        <w:gridCol w:w="344"/>
        <w:gridCol w:w="845"/>
        <w:gridCol w:w="388"/>
        <w:gridCol w:w="316"/>
        <w:gridCol w:w="1475"/>
      </w:tblGrid>
      <w:tr>
        <w:tblPrEx>
          <w:tblCellMar>
            <w:top w:w="0" w:type="dxa"/>
            <w:left w:w="0" w:type="dxa"/>
            <w:bottom w:w="0" w:type="dxa"/>
            <w:right w:w="0" w:type="dxa"/>
          </w:tblCellMar>
        </w:tblPrEx>
        <w:trPr>
          <w:trHeight w:val="904" w:hRule="atLeast"/>
        </w:trPr>
        <w:tc>
          <w:tcPr>
            <w:tcW w:w="14103"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s="黑体"/>
                <w:b/>
                <w:color w:val="000000"/>
                <w:sz w:val="30"/>
                <w:szCs w:val="30"/>
              </w:rPr>
            </w:pPr>
            <w:r>
              <w:rPr>
                <w:rFonts w:hint="eastAsia" w:ascii="黑体" w:hAnsi="宋体" w:eastAsia="黑体" w:cs="黑体"/>
                <w:b/>
                <w:color w:val="000000"/>
                <w:kern w:val="0"/>
                <w:sz w:val="30"/>
                <w:szCs w:val="30"/>
                <w:lang w:bidi="ar"/>
              </w:rPr>
              <w:t>部门预算项目支出绩效自评表（2022年度）</w:t>
            </w:r>
          </w:p>
        </w:tc>
      </w:tr>
      <w:tr>
        <w:tblPrEx>
          <w:tblCellMar>
            <w:top w:w="0" w:type="dxa"/>
            <w:left w:w="0" w:type="dxa"/>
            <w:bottom w:w="0" w:type="dxa"/>
            <w:right w:w="0" w:type="dxa"/>
          </w:tblCellMar>
        </w:tblPrEx>
        <w:trPr>
          <w:trHeight w:val="286" w:hRule="atLeast"/>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项目名称</w:t>
            </w:r>
          </w:p>
        </w:tc>
        <w:tc>
          <w:tcPr>
            <w:tcW w:w="11367"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51090422T000000389593-社区矫正办公经费</w:t>
            </w:r>
          </w:p>
        </w:tc>
      </w:tr>
      <w:tr>
        <w:tblPrEx>
          <w:tblCellMar>
            <w:top w:w="0" w:type="dxa"/>
            <w:left w:w="0" w:type="dxa"/>
            <w:bottom w:w="0" w:type="dxa"/>
            <w:right w:w="0" w:type="dxa"/>
          </w:tblCellMar>
        </w:tblPrEx>
        <w:trPr>
          <w:trHeight w:val="512" w:hRule="atLeast"/>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主管部门</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遂宁市安居区司法局部门</w:t>
            </w:r>
          </w:p>
        </w:tc>
        <w:tc>
          <w:tcPr>
            <w:tcW w:w="1091" w:type="dxa"/>
            <w:tcBorders>
              <w:top w:val="nil"/>
              <w:left w:val="nil"/>
              <w:bottom w:val="nil"/>
              <w:right w:val="nil"/>
            </w:tcBorders>
            <w:shd w:val="clear" w:color="auto" w:fill="auto"/>
            <w:tcMar>
              <w:top w:w="15" w:type="dxa"/>
              <w:left w:w="15" w:type="dxa"/>
              <w:right w:w="15" w:type="dxa"/>
            </w:tcMar>
            <w:vAlign w:val="center"/>
          </w:tcPr>
          <w:p>
            <w:pPr>
              <w:widowControl/>
              <w:jc w:val="lef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实施单位 （盖章）</w:t>
            </w:r>
          </w:p>
        </w:tc>
        <w:tc>
          <w:tcPr>
            <w:tcW w:w="351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遂宁市安居区司法局</w:t>
            </w:r>
          </w:p>
        </w:tc>
      </w:tr>
      <w:tr>
        <w:tblPrEx>
          <w:tblCellMar>
            <w:top w:w="0" w:type="dxa"/>
            <w:left w:w="0" w:type="dxa"/>
            <w:bottom w:w="0" w:type="dxa"/>
            <w:right w:w="0"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项目基本情况</w:t>
            </w: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1.项目年度目标完成情况</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项目年度目标</w:t>
            </w:r>
          </w:p>
        </w:tc>
        <w:tc>
          <w:tcPr>
            <w:tcW w:w="460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年度目标完成情况</w:t>
            </w:r>
          </w:p>
        </w:tc>
      </w:tr>
      <w:tr>
        <w:tblPrEx>
          <w:tblCellMar>
            <w:top w:w="0" w:type="dxa"/>
            <w:left w:w="0" w:type="dxa"/>
            <w:bottom w:w="0" w:type="dxa"/>
            <w:right w:w="0" w:type="dxa"/>
          </w:tblCellMar>
        </w:tblPrEx>
        <w:trPr>
          <w:trHeight w:val="70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color w:val="000000"/>
                <w:sz w:val="18"/>
                <w:szCs w:val="18"/>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color w:val="000000"/>
                <w:sz w:val="18"/>
                <w:szCs w:val="18"/>
              </w:rPr>
            </w:pP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根据《社区矫正法》第一章第六条、《四川省社区矫正实施细则》（川司法发〔2020〕133号）文件第一章第八条规定，各级人民政府应当将社区矫正经费列入本级政府预算。</w:t>
            </w:r>
          </w:p>
        </w:tc>
        <w:tc>
          <w:tcPr>
            <w:tcW w:w="460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对照年度目标，说明相关任务目标的完成情况（100字以内）</w:t>
            </w:r>
          </w:p>
        </w:tc>
      </w:tr>
      <w:tr>
        <w:tblPrEx>
          <w:tblCellMar>
            <w:top w:w="0" w:type="dxa"/>
            <w:left w:w="0" w:type="dxa"/>
            <w:bottom w:w="0" w:type="dxa"/>
            <w:right w:w="0" w:type="dxa"/>
          </w:tblCellMar>
        </w:tblPrEx>
        <w:trPr>
          <w:trHeight w:val="693"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color w:val="000000"/>
                <w:sz w:val="18"/>
                <w:szCs w:val="18"/>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2.项目实施内容及过程概述</w:t>
            </w:r>
          </w:p>
        </w:tc>
        <w:tc>
          <w:tcPr>
            <w:tcW w:w="11367"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color w:val="000000"/>
                <w:sz w:val="18"/>
                <w:szCs w:val="18"/>
              </w:rPr>
            </w:pPr>
          </w:p>
        </w:tc>
      </w:tr>
      <w:tr>
        <w:tblPrEx>
          <w:tblCellMar>
            <w:top w:w="0" w:type="dxa"/>
            <w:left w:w="0" w:type="dxa"/>
            <w:bottom w:w="0" w:type="dxa"/>
            <w:right w:w="0"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预算执行情况（10分）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年初预算</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原因</w:t>
            </w:r>
          </w:p>
        </w:tc>
      </w:tr>
      <w:tr>
        <w:tblPrEx>
          <w:tblCellMar>
            <w:top w:w="0" w:type="dxa"/>
            <w:left w:w="0" w:type="dxa"/>
            <w:bottom w:w="0" w:type="dxa"/>
            <w:right w:w="0" w:type="dxa"/>
          </w:tblCellMar>
        </w:tblPrEx>
        <w:trPr>
          <w:trHeight w:val="38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color w:val="000000"/>
                <w:sz w:val="18"/>
                <w:szCs w:val="18"/>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15.00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14.00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14.00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color w:val="000000"/>
                <w:sz w:val="18"/>
                <w:szCs w:val="18"/>
              </w:rPr>
            </w:pPr>
          </w:p>
        </w:tc>
        <w:tc>
          <w:tcPr>
            <w:tcW w:w="25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仿宋_GB2312" w:hAnsi="仿宋_GB2312" w:eastAsia="仿宋_GB2312" w:cs="仿宋_GB2312"/>
                <w:i/>
                <w:color w:val="000000"/>
                <w:sz w:val="18"/>
                <w:szCs w:val="18"/>
              </w:rPr>
            </w:pPr>
            <w:r>
              <w:rPr>
                <w:rFonts w:hint="eastAsia" w:ascii="仿宋_GB2312" w:hAnsi="仿宋_GB2312" w:eastAsia="仿宋_GB2312" w:cs="仿宋_GB2312"/>
                <w:i/>
                <w:color w:val="000000"/>
                <w:kern w:val="0"/>
                <w:sz w:val="18"/>
                <w:szCs w:val="18"/>
                <w:lang w:bidi="ar"/>
              </w:rPr>
              <w:t>1.预算执行率=预算执行数/调整后预算数，预算执行率未达到90%的需说明原因（100字以内）;2.年中发生预算调整的（追加或调减）,应单独说明理由；3.其他资金包括：社会投入资金、银行贷款.</w:t>
            </w:r>
          </w:p>
        </w:tc>
      </w:tr>
      <w:tr>
        <w:tblPrEx>
          <w:tblCellMar>
            <w:top w:w="0" w:type="dxa"/>
            <w:left w:w="0" w:type="dxa"/>
            <w:bottom w:w="0" w:type="dxa"/>
            <w:right w:w="0" w:type="dxa"/>
          </w:tblCellMar>
        </w:tblPrEx>
        <w:trPr>
          <w:trHeight w:val="43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color w:val="000000"/>
                <w:sz w:val="18"/>
                <w:szCs w:val="18"/>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15.00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14.00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14.00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i/>
                <w:color w:val="000000"/>
                <w:sz w:val="18"/>
                <w:szCs w:val="18"/>
              </w:rPr>
            </w:pPr>
          </w:p>
        </w:tc>
      </w:tr>
      <w:tr>
        <w:tblPrEx>
          <w:tblCellMar>
            <w:top w:w="0" w:type="dxa"/>
            <w:left w:w="0" w:type="dxa"/>
            <w:bottom w:w="0" w:type="dxa"/>
            <w:right w:w="0" w:type="dxa"/>
          </w:tblCellMar>
        </w:tblPrEx>
        <w:trPr>
          <w:trHeight w:val="44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color w:val="000000"/>
                <w:sz w:val="18"/>
                <w:szCs w:val="18"/>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i/>
                <w:color w:val="000000"/>
                <w:sz w:val="18"/>
                <w:szCs w:val="18"/>
              </w:rPr>
            </w:pPr>
          </w:p>
        </w:tc>
      </w:tr>
      <w:tr>
        <w:tblPrEx>
          <w:tblCellMar>
            <w:top w:w="0" w:type="dxa"/>
            <w:left w:w="0" w:type="dxa"/>
            <w:bottom w:w="0" w:type="dxa"/>
            <w:right w:w="0" w:type="dxa"/>
          </w:tblCellMar>
        </w:tblPrEx>
        <w:trPr>
          <w:trHeight w:val="40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color w:val="000000"/>
                <w:sz w:val="18"/>
                <w:szCs w:val="18"/>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单位资金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i/>
                <w:color w:val="000000"/>
                <w:sz w:val="18"/>
                <w:szCs w:val="18"/>
              </w:rPr>
            </w:pPr>
          </w:p>
        </w:tc>
      </w:tr>
      <w:tr>
        <w:tblPrEx>
          <w:tblCellMar>
            <w:top w:w="0" w:type="dxa"/>
            <w:left w:w="0" w:type="dxa"/>
            <w:bottom w:w="0" w:type="dxa"/>
            <w:right w:w="0" w:type="dxa"/>
          </w:tblCellMar>
        </w:tblPrEx>
        <w:trPr>
          <w:trHeight w:val="37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color w:val="000000"/>
                <w:sz w:val="18"/>
                <w:szCs w:val="18"/>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color w:val="000000"/>
                <w:sz w:val="16"/>
                <w:szCs w:val="16"/>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color w:val="000000"/>
                <w:sz w:val="16"/>
                <w:szCs w:val="16"/>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color w:val="000000"/>
                <w:sz w:val="16"/>
                <w:szCs w:val="16"/>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color w:val="000000"/>
                <w:sz w:val="16"/>
                <w:szCs w:val="16"/>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i/>
                <w:color w:val="000000"/>
                <w:sz w:val="18"/>
                <w:szCs w:val="18"/>
              </w:rPr>
            </w:pPr>
          </w:p>
        </w:tc>
      </w:tr>
      <w:tr>
        <w:tblPrEx>
          <w:tblCellMar>
            <w:top w:w="0" w:type="dxa"/>
            <w:left w:w="0" w:type="dxa"/>
            <w:bottom w:w="0" w:type="dxa"/>
            <w:right w:w="0"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绩效指标（90分）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二级指标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指标性质</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未完成原因分析</w:t>
            </w:r>
          </w:p>
        </w:tc>
      </w:tr>
      <w:tr>
        <w:tblPrEx>
          <w:tblCellMar>
            <w:top w:w="0" w:type="dxa"/>
            <w:left w:w="0" w:type="dxa"/>
            <w:bottom w:w="0" w:type="dxa"/>
            <w:right w:w="0"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color w:val="000000"/>
                <w:sz w:val="18"/>
                <w:szCs w:val="18"/>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质量指标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重新犯罪率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0.2</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color w:val="000000"/>
                <w:sz w:val="16"/>
                <w:szCs w:val="16"/>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30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color w:val="000000"/>
                <w:sz w:val="18"/>
                <w:szCs w:val="18"/>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color w:val="000000"/>
                <w:sz w:val="16"/>
                <w:szCs w:val="16"/>
              </w:rPr>
            </w:pPr>
          </w:p>
        </w:tc>
      </w:tr>
      <w:tr>
        <w:tblPrEx>
          <w:tblCellMar>
            <w:top w:w="0" w:type="dxa"/>
            <w:left w:w="0" w:type="dxa"/>
            <w:bottom w:w="0" w:type="dxa"/>
            <w:right w:w="0"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color w:val="000000"/>
                <w:sz w:val="18"/>
                <w:szCs w:val="18"/>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社会效益指标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促进社会稳定</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定性</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优良中低差</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其他</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color w:val="000000"/>
                <w:sz w:val="16"/>
                <w:szCs w:val="16"/>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30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color w:val="000000"/>
                <w:sz w:val="18"/>
                <w:szCs w:val="18"/>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color w:val="000000"/>
                <w:sz w:val="16"/>
                <w:szCs w:val="16"/>
              </w:rPr>
            </w:pPr>
          </w:p>
        </w:tc>
      </w:tr>
      <w:tr>
        <w:tblPrEx>
          <w:tblCellMar>
            <w:top w:w="0" w:type="dxa"/>
            <w:left w:w="0" w:type="dxa"/>
            <w:bottom w:w="0" w:type="dxa"/>
            <w:right w:w="0"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color w:val="000000"/>
                <w:sz w:val="18"/>
                <w:szCs w:val="18"/>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满意度指标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服务对象满意度指标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群众满意度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95</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color w:val="000000"/>
                <w:sz w:val="16"/>
                <w:szCs w:val="16"/>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30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color w:val="000000"/>
                <w:sz w:val="18"/>
                <w:szCs w:val="18"/>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color w:val="000000"/>
                <w:sz w:val="16"/>
                <w:szCs w:val="16"/>
              </w:rPr>
            </w:pPr>
          </w:p>
        </w:tc>
      </w:tr>
      <w:tr>
        <w:tblPrEx>
          <w:tblCellMar>
            <w:top w:w="0" w:type="dxa"/>
            <w:left w:w="0" w:type="dxa"/>
            <w:bottom w:w="0" w:type="dxa"/>
            <w:right w:w="0" w:type="dxa"/>
          </w:tblCellMar>
        </w:tblPrEx>
        <w:trPr>
          <w:trHeight w:val="286" w:hRule="atLeast"/>
        </w:trPr>
        <w:tc>
          <w:tcPr>
            <w:tcW w:w="10585"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color w:val="000000"/>
                <w:sz w:val="18"/>
                <w:szCs w:val="18"/>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color w:val="000000"/>
                <w:sz w:val="18"/>
                <w:szCs w:val="18"/>
              </w:rPr>
            </w:pPr>
          </w:p>
        </w:tc>
      </w:tr>
      <w:tr>
        <w:tblPrEx>
          <w:tblCellMar>
            <w:top w:w="0" w:type="dxa"/>
            <w:left w:w="0" w:type="dxa"/>
            <w:bottom w:w="0" w:type="dxa"/>
            <w:right w:w="0" w:type="dxa"/>
          </w:tblCellMar>
        </w:tblPrEx>
        <w:trPr>
          <w:trHeight w:val="60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评价结论</w:t>
            </w:r>
          </w:p>
        </w:tc>
        <w:tc>
          <w:tcPr>
            <w:tcW w:w="13419"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580" w:lineRule="exact"/>
              <w:ind w:firstLine="360" w:firstLineChars="200"/>
              <w:contextualSpacing/>
              <w:jc w:val="left"/>
              <w:rPr>
                <w:rFonts w:hint="eastAsia" w:ascii="仿宋_GB2312" w:hAnsi="仿宋_GB2312" w:eastAsia="仿宋_GB2312" w:cs="仿宋_GB2312"/>
                <w:color w:val="000000"/>
                <w:kern w:val="0"/>
                <w:sz w:val="18"/>
                <w:szCs w:val="18"/>
                <w:shd w:val="clear" w:color="auto" w:fill="FFFFFF"/>
                <w:lang w:val="zh-CN"/>
              </w:rPr>
            </w:pPr>
            <w:r>
              <w:rPr>
                <w:rFonts w:hint="eastAsia" w:ascii="仿宋_GB2312" w:hAnsi="仿宋_GB2312" w:eastAsia="仿宋_GB2312" w:cs="仿宋_GB2312"/>
                <w:color w:val="000000"/>
                <w:kern w:val="0"/>
                <w:sz w:val="18"/>
                <w:szCs w:val="18"/>
                <w:shd w:val="clear" w:color="auto" w:fill="FFFFFF"/>
                <w:lang w:val="zh-CN"/>
              </w:rPr>
              <w:t>经遂宁市安居区司法局认真自评，20</w:t>
            </w:r>
            <w:r>
              <w:rPr>
                <w:rFonts w:hint="eastAsia" w:ascii="仿宋_GB2312" w:hAnsi="仿宋_GB2312" w:eastAsia="仿宋_GB2312" w:cs="仿宋_GB2312"/>
                <w:color w:val="000000"/>
                <w:kern w:val="0"/>
                <w:sz w:val="18"/>
                <w:szCs w:val="18"/>
                <w:shd w:val="clear" w:color="auto" w:fill="FFFFFF"/>
              </w:rPr>
              <w:t>22</w:t>
            </w:r>
            <w:r>
              <w:rPr>
                <w:rFonts w:hint="eastAsia" w:ascii="仿宋_GB2312" w:hAnsi="仿宋_GB2312" w:eastAsia="仿宋_GB2312" w:cs="仿宋_GB2312"/>
                <w:color w:val="000000"/>
                <w:kern w:val="0"/>
                <w:sz w:val="18"/>
                <w:szCs w:val="18"/>
                <w:shd w:val="clear" w:color="auto" w:fill="FFFFFF"/>
                <w:lang w:val="zh-CN"/>
              </w:rPr>
              <w:t>年</w:t>
            </w:r>
            <w:r>
              <w:rPr>
                <w:rFonts w:hint="eastAsia" w:ascii="仿宋_GB2312" w:hAnsi="仿宋_GB2312" w:eastAsia="仿宋_GB2312" w:cs="仿宋_GB2312"/>
                <w:kern w:val="0"/>
                <w:sz w:val="18"/>
                <w:szCs w:val="18"/>
                <w:lang w:val="zh-CN"/>
              </w:rPr>
              <w:t>社区矫正办公经费</w:t>
            </w:r>
            <w:r>
              <w:rPr>
                <w:rFonts w:hint="eastAsia" w:ascii="仿宋_GB2312" w:hAnsi="仿宋_GB2312" w:eastAsia="仿宋_GB2312" w:cs="仿宋_GB2312"/>
                <w:color w:val="000000"/>
                <w:kern w:val="0"/>
                <w:sz w:val="18"/>
                <w:szCs w:val="18"/>
                <w:shd w:val="clear" w:color="auto" w:fill="FFFFFF"/>
                <w:lang w:val="zh-CN"/>
              </w:rPr>
              <w:t>支出绩效评为“良好”。绩效目标明确，资金落实到位，管理体系完善，司法行政工作成效显现。</w:t>
            </w:r>
          </w:p>
          <w:p>
            <w:pPr>
              <w:widowControl/>
              <w:jc w:val="left"/>
              <w:textAlignment w:val="center"/>
              <w:rPr>
                <w:rFonts w:hint="eastAsia" w:ascii="仿宋_GB2312" w:hAnsi="仿宋_GB2312" w:eastAsia="仿宋_GB2312" w:cs="仿宋_GB2312"/>
                <w:i/>
                <w:color w:val="000000"/>
                <w:sz w:val="16"/>
                <w:szCs w:val="16"/>
              </w:rPr>
            </w:pPr>
          </w:p>
        </w:tc>
      </w:tr>
      <w:tr>
        <w:tblPrEx>
          <w:tblCellMar>
            <w:top w:w="0" w:type="dxa"/>
            <w:left w:w="0" w:type="dxa"/>
            <w:bottom w:w="0" w:type="dxa"/>
            <w:right w:w="0" w:type="dxa"/>
          </w:tblCellMar>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存在问题</w:t>
            </w:r>
          </w:p>
        </w:tc>
        <w:tc>
          <w:tcPr>
            <w:tcW w:w="13419"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560" w:lineRule="exact"/>
              <w:ind w:firstLine="360" w:firstLineChars="20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工作多而人员少，辅助人员工资低，无法保证对工作开展的积极性。待遇不好，人才留不住。而社区矫正及法律援助是一项需要经验的工作，基层司法所负责的每位矫正对象的矫正工作在时间跨度上比较久，如果基层司法所的社区矫正辅助人员一直处变动的状态，时常换人，那么对于矫正工作百害而无一利。</w:t>
            </w:r>
          </w:p>
          <w:p>
            <w:pPr>
              <w:widowControl/>
              <w:ind w:firstLine="360" w:firstLineChars="200"/>
              <w:jc w:val="left"/>
              <w:textAlignment w:val="center"/>
              <w:rPr>
                <w:rFonts w:hint="eastAsia" w:ascii="仿宋_GB2312" w:hAnsi="仿宋_GB2312" w:eastAsia="仿宋_GB2312" w:cs="仿宋_GB2312"/>
                <w:i/>
                <w:color w:val="000000"/>
                <w:sz w:val="18"/>
                <w:szCs w:val="18"/>
              </w:rPr>
            </w:pPr>
            <w:r>
              <w:rPr>
                <w:rFonts w:hint="eastAsia" w:ascii="仿宋_GB2312" w:hAnsi="仿宋_GB2312" w:eastAsia="仿宋_GB2312" w:cs="仿宋_GB2312"/>
                <w:sz w:val="18"/>
                <w:szCs w:val="18"/>
              </w:rPr>
              <w:t>社区矫正经费不足。按规定要求，区、乡镇（街道）司法行政部门要安排专人对矫正对象进行管理，要开展审前社会调查，要开展目标考评，要建立专业档案，这些工作的开展需要交通补助，会务开支，办案开支，奖金激励等资金支持</w:t>
            </w:r>
          </w:p>
        </w:tc>
      </w:tr>
      <w:tr>
        <w:tblPrEx>
          <w:tblCellMar>
            <w:top w:w="0" w:type="dxa"/>
            <w:left w:w="0" w:type="dxa"/>
            <w:bottom w:w="0" w:type="dxa"/>
            <w:right w:w="0" w:type="dxa"/>
          </w:tblCellMar>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改进措施</w:t>
            </w:r>
          </w:p>
        </w:tc>
        <w:tc>
          <w:tcPr>
            <w:tcW w:w="13419"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360" w:firstLineChars="200"/>
              <w:jc w:val="left"/>
              <w:textAlignment w:val="center"/>
              <w:rPr>
                <w:rFonts w:hint="eastAsia" w:ascii="仿宋_GB2312" w:hAnsi="仿宋_GB2312" w:eastAsia="仿宋_GB2312" w:cs="仿宋_GB2312"/>
                <w:i/>
                <w:color w:val="000000"/>
                <w:sz w:val="18"/>
                <w:szCs w:val="18"/>
              </w:rPr>
            </w:pPr>
            <w:r>
              <w:rPr>
                <w:rFonts w:hint="eastAsia" w:ascii="仿宋_GB2312" w:hAnsi="仿宋_GB2312" w:eastAsia="仿宋_GB2312" w:cs="仿宋_GB2312"/>
                <w:sz w:val="18"/>
                <w:szCs w:val="18"/>
              </w:rPr>
              <w:t>引进专业人员，充实队伍，面向社会公开招录一批懂法律、懂政策，具有较高综合素质和道德修养的人员，打造一支政治清明、业务精通的政法队伍；增加采购辅助人员项目经费投入，提高人员稳定性，为工作有序开展提供坚实保障。</w:t>
            </w:r>
          </w:p>
        </w:tc>
      </w:tr>
      <w:tr>
        <w:tblPrEx>
          <w:tblCellMar>
            <w:top w:w="0" w:type="dxa"/>
            <w:left w:w="0" w:type="dxa"/>
            <w:bottom w:w="0" w:type="dxa"/>
            <w:right w:w="0" w:type="dxa"/>
          </w:tblCellMar>
        </w:tblPrEx>
        <w:trPr>
          <w:trHeight w:val="286" w:hRule="atLeast"/>
        </w:trPr>
        <w:tc>
          <w:tcPr>
            <w:tcW w:w="729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项目负责人：</w:t>
            </w:r>
          </w:p>
        </w:tc>
        <w:tc>
          <w:tcPr>
            <w:tcW w:w="6807"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财务负责人：</w:t>
            </w:r>
          </w:p>
        </w:tc>
      </w:tr>
    </w:tbl>
    <w:p>
      <w:pPr>
        <w:pStyle w:val="7"/>
        <w:spacing w:before="95"/>
        <w:rPr>
          <w:rFonts w:hint="eastAsia" w:hAnsi="宋体" w:cs="宋体"/>
          <w:sz w:val="32"/>
          <w:szCs w:val="32"/>
          <w:shd w:val="clear" w:color="auto" w:fill="FFFFFF"/>
          <w:lang w:val="zh-CN"/>
        </w:rPr>
      </w:pPr>
    </w:p>
    <w:p>
      <w:pPr>
        <w:pStyle w:val="7"/>
        <w:spacing w:before="95"/>
        <w:rPr>
          <w:rFonts w:hint="eastAsia" w:hAnsi="宋体" w:cs="宋体"/>
          <w:sz w:val="32"/>
          <w:szCs w:val="32"/>
          <w:shd w:val="clear" w:color="auto" w:fill="FFFFFF"/>
          <w:lang w:val="zh-CN"/>
        </w:rPr>
      </w:pPr>
    </w:p>
    <w:p>
      <w:pPr>
        <w:pStyle w:val="7"/>
        <w:spacing w:before="95"/>
        <w:rPr>
          <w:rFonts w:hint="eastAsia" w:hAnsi="宋体" w:cs="宋体"/>
          <w:sz w:val="32"/>
          <w:szCs w:val="32"/>
          <w:shd w:val="clear" w:color="auto" w:fill="FFFFFF"/>
          <w:lang w:val="zh-CN"/>
        </w:rPr>
      </w:pPr>
    </w:p>
    <w:p>
      <w:pPr>
        <w:pStyle w:val="7"/>
        <w:spacing w:before="95"/>
        <w:rPr>
          <w:rFonts w:hint="eastAsia" w:hAnsi="宋体" w:cs="宋体"/>
          <w:sz w:val="32"/>
          <w:szCs w:val="32"/>
          <w:shd w:val="clear" w:color="auto" w:fill="FFFFFF"/>
          <w:lang w:val="zh-CN"/>
        </w:rPr>
      </w:pPr>
    </w:p>
    <w:p>
      <w:pPr>
        <w:pStyle w:val="7"/>
        <w:spacing w:before="95"/>
        <w:rPr>
          <w:rFonts w:hint="eastAsia" w:hAnsi="宋体" w:cs="宋体"/>
          <w:sz w:val="32"/>
          <w:szCs w:val="32"/>
          <w:shd w:val="clear" w:color="auto" w:fill="FFFFFF"/>
          <w:lang w:val="zh-CN"/>
        </w:rPr>
      </w:pPr>
    </w:p>
    <w:p>
      <w:pPr>
        <w:pStyle w:val="7"/>
        <w:spacing w:before="95"/>
        <w:rPr>
          <w:rFonts w:hint="eastAsia" w:hAnsi="宋体" w:cs="宋体"/>
          <w:sz w:val="32"/>
          <w:szCs w:val="32"/>
          <w:shd w:val="clear" w:color="auto" w:fill="FFFFFF"/>
          <w:lang w:val="zh-CN"/>
        </w:rPr>
      </w:pPr>
    </w:p>
    <w:p>
      <w:pPr>
        <w:pStyle w:val="7"/>
        <w:spacing w:before="95"/>
        <w:rPr>
          <w:rFonts w:hint="eastAsia" w:hAnsi="宋体" w:cs="宋体"/>
          <w:sz w:val="32"/>
          <w:szCs w:val="32"/>
          <w:shd w:val="clear" w:color="auto" w:fill="FFFFFF"/>
          <w:lang w:val="zh-CN"/>
        </w:rPr>
      </w:pPr>
    </w:p>
    <w:p>
      <w:pPr>
        <w:pStyle w:val="7"/>
        <w:spacing w:before="95"/>
        <w:rPr>
          <w:rFonts w:hint="eastAsia" w:hAnsi="宋体" w:cs="宋体"/>
          <w:sz w:val="32"/>
          <w:szCs w:val="32"/>
          <w:shd w:val="clear" w:color="auto" w:fill="FFFFFF"/>
          <w:lang w:val="zh-CN"/>
        </w:rPr>
      </w:pPr>
    </w:p>
    <w:p>
      <w:pPr>
        <w:pStyle w:val="7"/>
        <w:spacing w:before="95"/>
        <w:rPr>
          <w:rFonts w:hint="eastAsia" w:hAnsi="宋体" w:cs="宋体"/>
          <w:sz w:val="32"/>
          <w:szCs w:val="32"/>
          <w:shd w:val="clear" w:color="auto" w:fill="FFFFFF"/>
          <w:lang w:val="zh-CN"/>
        </w:rPr>
      </w:pPr>
    </w:p>
    <w:p>
      <w:pPr>
        <w:pStyle w:val="7"/>
        <w:spacing w:before="95"/>
        <w:rPr>
          <w:rFonts w:hint="eastAsia" w:hAnsi="宋体" w:cs="宋体"/>
          <w:sz w:val="32"/>
          <w:szCs w:val="32"/>
          <w:shd w:val="clear" w:color="auto" w:fill="FFFFFF"/>
          <w:lang w:val="zh-CN"/>
        </w:rPr>
      </w:pPr>
    </w:p>
    <w:p>
      <w:pPr>
        <w:pStyle w:val="7"/>
        <w:spacing w:before="95"/>
        <w:rPr>
          <w:rFonts w:hint="eastAsia" w:hAnsi="宋体" w:cs="宋体"/>
          <w:sz w:val="32"/>
          <w:szCs w:val="32"/>
          <w:shd w:val="clear" w:color="auto" w:fill="FFFFFF"/>
          <w:lang w:val="zh-CN"/>
        </w:rPr>
      </w:pPr>
    </w:p>
    <w:p>
      <w:pPr>
        <w:pStyle w:val="7"/>
        <w:spacing w:before="95"/>
        <w:rPr>
          <w:rFonts w:hint="eastAsia" w:hAnsi="宋体" w:cs="宋体"/>
          <w:sz w:val="32"/>
          <w:szCs w:val="32"/>
          <w:shd w:val="clear" w:color="auto" w:fill="FFFFFF"/>
          <w:lang w:val="zh-CN"/>
        </w:rPr>
      </w:pPr>
    </w:p>
    <w:p>
      <w:pPr>
        <w:pStyle w:val="40"/>
        <w:spacing w:line="578" w:lineRule="exact"/>
        <w:jc w:val="left"/>
        <w:rPr>
          <w:rFonts w:hint="eastAsia" w:ascii="方正小标宋简体" w:hAnsi="方正小标宋简体" w:eastAsia="方正小标宋简体" w:cs="方正小标宋简体"/>
          <w:color w:val="auto"/>
          <w:kern w:val="2"/>
          <w:sz w:val="44"/>
          <w:szCs w:val="44"/>
          <w:lang w:val="en-US"/>
        </w:rPr>
      </w:pPr>
      <w:r>
        <w:rPr>
          <w:rFonts w:hint="eastAsia" w:ascii="黑体" w:hAnsi="黑体" w:eastAsia="黑体" w:cs="黑体"/>
          <w:sz w:val="32"/>
          <w:szCs w:val="32"/>
          <w:shd w:val="clear" w:color="auto" w:fill="FFFFFF"/>
          <w:lang w:val="zh-CN"/>
        </w:rPr>
        <w:t>附件</w:t>
      </w:r>
      <w:r>
        <w:rPr>
          <w:rFonts w:hint="eastAsia" w:ascii="黑体" w:hAnsi="黑体" w:eastAsia="黑体" w:cs="黑体"/>
          <w:sz w:val="32"/>
          <w:szCs w:val="32"/>
          <w:shd w:val="clear" w:color="auto" w:fill="FFFFFF"/>
        </w:rPr>
        <w:t>2</w:t>
      </w:r>
    </w:p>
    <w:p>
      <w:pPr>
        <w:pStyle w:val="40"/>
        <w:spacing w:line="578" w:lineRule="exact"/>
        <w:jc w:val="center"/>
        <w:rPr>
          <w:rFonts w:hint="eastAsia" w:ascii="方正小标宋简体" w:hAnsi="方正小标宋简体" w:eastAsia="方正小标宋简体" w:cs="方正小标宋简体"/>
          <w:color w:val="auto"/>
          <w:kern w:val="2"/>
          <w:sz w:val="44"/>
          <w:szCs w:val="44"/>
          <w:lang w:val="en-US"/>
        </w:rPr>
      </w:pPr>
      <w:r>
        <w:rPr>
          <w:rFonts w:hint="eastAsia" w:ascii="方正小标宋简体" w:hAnsi="方正小标宋简体" w:eastAsia="方正小标宋简体" w:cs="方正小标宋简体"/>
          <w:color w:val="auto"/>
          <w:kern w:val="2"/>
          <w:sz w:val="44"/>
          <w:szCs w:val="44"/>
          <w:lang w:val="en-US"/>
        </w:rPr>
        <w:t>2022年专项预算项目绩效自评报告</w:t>
      </w:r>
    </w:p>
    <w:p>
      <w:pPr>
        <w:pStyle w:val="4"/>
        <w:keepNext/>
        <w:keepLines/>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ascii="黑体" w:eastAsia="黑体"/>
          <w:b w:val="0"/>
          <w:lang w:val="zh-CN"/>
        </w:rPr>
      </w:pPr>
      <w:bookmarkStart w:id="110" w:name="_Toc143805846"/>
      <w:r>
        <w:rPr>
          <w:rFonts w:hint="eastAsia" w:ascii="黑体" w:eastAsia="黑体"/>
          <w:b w:val="0"/>
          <w:lang w:val="zh-CN"/>
        </w:rPr>
        <w:t>一、项目概况</w:t>
      </w:r>
      <w:bookmarkEnd w:id="110"/>
    </w:p>
    <w:p>
      <w:pPr>
        <w:keepNext w:val="0"/>
        <w:keepLines w:val="0"/>
        <w:pageBreakBefore w:val="0"/>
        <w:widowControl/>
        <w:kinsoku/>
        <w:wordWrap/>
        <w:overflowPunct/>
        <w:topLinePunct w:val="0"/>
        <w:autoSpaceDE/>
        <w:autoSpaceDN/>
        <w:bidi w:val="0"/>
        <w:adjustRightInd/>
        <w:snapToGrid/>
        <w:spacing w:line="560" w:lineRule="exact"/>
        <w:ind w:firstLine="643" w:firstLineChars="200"/>
        <w:contextualSpacing/>
        <w:jc w:val="both"/>
        <w:textAlignment w:val="auto"/>
        <w:rPr>
          <w:rFonts w:hint="eastAsia" w:ascii="楷体" w:hAnsi="楷体" w:eastAsia="楷体" w:cs="楷体"/>
          <w:b/>
          <w:bCs w:val="0"/>
          <w:kern w:val="0"/>
          <w:sz w:val="32"/>
          <w:szCs w:val="32"/>
          <w:lang w:val="zh-CN"/>
        </w:rPr>
      </w:pPr>
      <w:r>
        <w:rPr>
          <w:rFonts w:hint="eastAsia" w:ascii="楷体" w:hAnsi="楷体" w:eastAsia="楷体" w:cs="楷体"/>
          <w:b/>
          <w:bCs w:val="0"/>
          <w:sz w:val="32"/>
          <w:szCs w:val="32"/>
          <w:lang w:val="zh-CN"/>
        </w:rPr>
        <w:t>（一）项目基本情况。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jc w:val="both"/>
        <w:textAlignment w:val="auto"/>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1.法律援助主要用于</w:t>
      </w:r>
      <w:r>
        <w:rPr>
          <w:rFonts w:hint="eastAsia" w:ascii="仿宋_GB2312" w:hAnsi="仿宋_GB2312" w:eastAsia="仿宋_GB2312" w:cs="仿宋_GB2312"/>
          <w:sz w:val="32"/>
          <w:szCs w:val="32"/>
        </w:rPr>
        <w:t>由政府设立的法律援助机构组织法律援助的律师，为经济困难或特殊案件的人给予无偿提供法律服务方面的工作</w:t>
      </w:r>
      <w:r>
        <w:rPr>
          <w:rFonts w:hint="eastAsia" w:ascii="仿宋_GB2312" w:hAnsi="仿宋_GB2312" w:eastAsia="仿宋_GB2312" w:cs="仿宋_GB2312"/>
          <w:kern w:val="0"/>
          <w:sz w:val="32"/>
          <w:szCs w:val="32"/>
          <w:lang w:val="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jc w:val="both"/>
        <w:textAlignment w:val="auto"/>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2.项目立项、资金申报的依据。区相关文件。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jc w:val="both"/>
        <w:textAlignment w:val="auto"/>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3.资金管理办法制定情况，资金支持具体项目的条件、范围与支持方式概况。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jc w:val="both"/>
        <w:textAlignment w:val="auto"/>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该项目资金严格按照区司法局相关财务制度管理，资金主要用于法律援助方面的工作。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jc w:val="both"/>
        <w:textAlignment w:val="auto"/>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4.资金分配的原则及考虑因素。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jc w:val="both"/>
        <w:textAlignment w:val="auto"/>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该项目资金根据区司法局实际支出情况按需支取。</w:t>
      </w:r>
    </w:p>
    <w:p>
      <w:pPr>
        <w:keepNext w:val="0"/>
        <w:keepLines w:val="0"/>
        <w:pageBreakBefore w:val="0"/>
        <w:widowControl/>
        <w:kinsoku/>
        <w:wordWrap/>
        <w:overflowPunct/>
        <w:topLinePunct w:val="0"/>
        <w:autoSpaceDE/>
        <w:autoSpaceDN/>
        <w:bidi w:val="0"/>
        <w:adjustRightInd/>
        <w:snapToGrid/>
        <w:spacing w:line="560" w:lineRule="exact"/>
        <w:ind w:firstLine="643" w:firstLineChars="200"/>
        <w:contextualSpacing/>
        <w:jc w:val="both"/>
        <w:textAlignment w:val="auto"/>
        <w:rPr>
          <w:rFonts w:hint="eastAsia" w:ascii="楷体" w:hAnsi="楷体" w:eastAsia="楷体" w:cs="楷体"/>
          <w:b/>
          <w:bCs w:val="0"/>
          <w:sz w:val="32"/>
          <w:szCs w:val="32"/>
          <w:lang w:val="zh-CN"/>
        </w:rPr>
      </w:pPr>
      <w:r>
        <w:rPr>
          <w:rFonts w:hint="eastAsia" w:ascii="楷体" w:hAnsi="楷体" w:eastAsia="楷体" w:cs="楷体"/>
          <w:b/>
          <w:bCs w:val="0"/>
          <w:sz w:val="32"/>
          <w:szCs w:val="32"/>
          <w:lang w:val="zh-CN"/>
        </w:rPr>
        <w:t>（二）项目绩效目标。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jc w:val="both"/>
        <w:textAlignment w:val="auto"/>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积极推广“枫桥式司法所” 建设。根据《遂宁市2021年人民调解、司法所工作要点的通知》，要坚持重心下移、关口前置，以“枫桥式司法所”创建为契机，严格按照2020-2022年“枫桥式司法所”创建三年目标任务，结合本地实际创新开展各项业务工作，打造“一所一特色”工作品牌，各县(市、区)2021年力争创建1-2个省级“枫桥式司法所”，推动司法所提档升级，努力为群众提供“面对面”法律服务。进一步加强司法所基础建设。要以做好乡镇行政区划调整改革“后半篇文章”为契机，认真贯彻《关于推进乡镇行政区划调整改革进一步加强司法所建设的意见》,严格对照司法部《司法所外观标识规范》和全省司法所建设地方标准，进一步加强司法所基础建设，力争三年内实现司法所外观标识全面更换。分析评价申报内容与实际相符，申报目标合理可行。</w:t>
      </w:r>
    </w:p>
    <w:p>
      <w:pPr>
        <w:keepNext w:val="0"/>
        <w:keepLines w:val="0"/>
        <w:pageBreakBefore w:val="0"/>
        <w:widowControl/>
        <w:kinsoku/>
        <w:wordWrap/>
        <w:overflowPunct/>
        <w:topLinePunct w:val="0"/>
        <w:autoSpaceDE/>
        <w:autoSpaceDN/>
        <w:bidi w:val="0"/>
        <w:adjustRightInd/>
        <w:snapToGrid/>
        <w:spacing w:line="560" w:lineRule="exact"/>
        <w:ind w:firstLine="643" w:firstLineChars="200"/>
        <w:contextualSpacing/>
        <w:jc w:val="both"/>
        <w:textAlignment w:val="auto"/>
        <w:rPr>
          <w:rFonts w:hint="eastAsia" w:ascii="楷体" w:hAnsi="楷体" w:eastAsia="楷体" w:cs="楷体"/>
          <w:b/>
          <w:bCs w:val="0"/>
          <w:sz w:val="32"/>
          <w:szCs w:val="32"/>
          <w:lang w:val="zh-CN"/>
        </w:rPr>
      </w:pPr>
      <w:r>
        <w:rPr>
          <w:rFonts w:hint="eastAsia" w:ascii="楷体" w:hAnsi="楷体" w:eastAsia="楷体" w:cs="楷体"/>
          <w:b/>
          <w:bCs w:val="0"/>
          <w:sz w:val="32"/>
          <w:szCs w:val="32"/>
          <w:lang w:val="zh-CN"/>
        </w:rPr>
        <w:t>（三）项目自评步骤及方法。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jc w:val="both"/>
        <w:textAlignment w:val="auto"/>
        <w:rPr>
          <w:rFonts w:hint="eastAsia" w:ascii="仿宋_GB2312" w:hAnsi="仿宋_GB2312" w:eastAsia="仿宋_GB2312" w:cs="仿宋_GB2312"/>
          <w:kern w:val="0"/>
          <w:sz w:val="32"/>
          <w:szCs w:val="32"/>
          <w:lang w:val="zh-CN"/>
        </w:rPr>
      </w:pPr>
      <w:bookmarkStart w:id="111" w:name="_Toc12438"/>
      <w:r>
        <w:rPr>
          <w:rFonts w:hint="eastAsia" w:ascii="仿宋_GB2312" w:hAnsi="仿宋_GB2312" w:eastAsia="仿宋_GB2312" w:cs="仿宋_GB2312"/>
          <w:kern w:val="0"/>
          <w:sz w:val="32"/>
          <w:szCs w:val="32"/>
          <w:lang w:val="zh-CN"/>
        </w:rPr>
        <w:t>该项目绩效自评采用自评方式，成立项目自评小组，结合评价内容，做到有计划，有安排，扎实开展本次自评工作。按照上级下达的项目支出绩效评价指标体系，自评小组针对申报内容、实施情况、资金兑现、财务管理、社会效益等作出自我评价，做好自评工作</w:t>
      </w:r>
      <w:bookmarkEnd w:id="111"/>
      <w:r>
        <w:rPr>
          <w:rFonts w:hint="eastAsia" w:ascii="仿宋_GB2312" w:hAnsi="仿宋_GB2312" w:eastAsia="仿宋_GB2312" w:cs="仿宋_GB2312"/>
          <w:kern w:val="0"/>
          <w:sz w:val="32"/>
          <w:szCs w:val="32"/>
          <w:lang w:val="zh-CN"/>
        </w:rPr>
        <w:t>。</w:t>
      </w:r>
    </w:p>
    <w:p>
      <w:pPr>
        <w:pStyle w:val="4"/>
        <w:keepNext/>
        <w:keepLines/>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黑体" w:eastAsia="黑体"/>
          <w:b w:val="0"/>
          <w:lang w:val="zh-CN"/>
        </w:rPr>
      </w:pPr>
      <w:bookmarkStart w:id="112" w:name="_Toc143805847"/>
      <w:r>
        <w:rPr>
          <w:rFonts w:hint="eastAsia" w:ascii="黑体" w:eastAsia="黑体"/>
          <w:b w:val="0"/>
          <w:lang w:val="zh-CN"/>
        </w:rPr>
        <w:t>二、项目资金申报及使用情况</w:t>
      </w:r>
      <w:bookmarkEnd w:id="112"/>
    </w:p>
    <w:p>
      <w:pPr>
        <w:keepNext w:val="0"/>
        <w:keepLines w:val="0"/>
        <w:pageBreakBefore w:val="0"/>
        <w:widowControl/>
        <w:kinsoku/>
        <w:wordWrap/>
        <w:overflowPunct/>
        <w:topLinePunct w:val="0"/>
        <w:autoSpaceDE/>
        <w:autoSpaceDN/>
        <w:bidi w:val="0"/>
        <w:adjustRightInd/>
        <w:snapToGrid/>
        <w:spacing w:line="560" w:lineRule="exact"/>
        <w:ind w:firstLine="643" w:firstLineChars="200"/>
        <w:contextualSpacing/>
        <w:jc w:val="both"/>
        <w:textAlignment w:val="auto"/>
        <w:rPr>
          <w:rFonts w:hint="eastAsia" w:ascii="楷体" w:hAnsi="楷体" w:eastAsia="楷体" w:cs="楷体"/>
          <w:b/>
          <w:bCs w:val="0"/>
          <w:sz w:val="32"/>
          <w:szCs w:val="32"/>
          <w:lang w:val="zh-CN"/>
        </w:rPr>
      </w:pPr>
      <w:r>
        <w:rPr>
          <w:rFonts w:hint="eastAsia" w:ascii="楷体" w:hAnsi="楷体" w:eastAsia="楷体" w:cs="楷体"/>
          <w:b/>
          <w:bCs w:val="0"/>
          <w:sz w:val="32"/>
          <w:szCs w:val="32"/>
          <w:lang w:val="zh-CN"/>
        </w:rPr>
        <w:t>（一）项目资金申报及批复情况。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jc w:val="both"/>
        <w:textAlignment w:val="auto"/>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法律援助经费项目资金申报8万、批复8万。</w:t>
      </w:r>
    </w:p>
    <w:p>
      <w:pPr>
        <w:keepNext w:val="0"/>
        <w:keepLines w:val="0"/>
        <w:pageBreakBefore w:val="0"/>
        <w:widowControl/>
        <w:kinsoku/>
        <w:wordWrap/>
        <w:overflowPunct/>
        <w:topLinePunct w:val="0"/>
        <w:autoSpaceDE/>
        <w:autoSpaceDN/>
        <w:bidi w:val="0"/>
        <w:adjustRightInd/>
        <w:snapToGrid/>
        <w:spacing w:line="560" w:lineRule="exact"/>
        <w:ind w:firstLine="643" w:firstLineChars="200"/>
        <w:contextualSpacing/>
        <w:jc w:val="both"/>
        <w:textAlignment w:val="auto"/>
        <w:rPr>
          <w:rFonts w:hint="eastAsia" w:ascii="楷体" w:hAnsi="楷体" w:eastAsia="楷体" w:cs="楷体"/>
          <w:b/>
          <w:bCs w:val="0"/>
          <w:sz w:val="32"/>
          <w:szCs w:val="32"/>
          <w:lang w:val="zh-CN"/>
        </w:rPr>
      </w:pPr>
      <w:r>
        <w:rPr>
          <w:rFonts w:hint="eastAsia" w:ascii="楷体" w:hAnsi="楷体" w:eastAsia="楷体" w:cs="楷体"/>
          <w:b/>
          <w:bCs w:val="0"/>
          <w:sz w:val="32"/>
          <w:szCs w:val="32"/>
          <w:lang w:val="zh-CN"/>
        </w:rPr>
        <w:t>（二）资金计划、到位及使用情况（可用表格形式反映）。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jc w:val="both"/>
        <w:textAlignment w:val="auto"/>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1.资金计划。该项目资金计划8万元。。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jc w:val="both"/>
        <w:textAlignment w:val="auto"/>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2.资金到位该项目资金截止评价时点实际到位8万元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jc w:val="both"/>
        <w:textAlignment w:val="auto"/>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3.资金使用截止评价时点项目资金的实际支出6.97万元，主要是用于法律援助等方面，其中差旅费0.97万元、劳务费6万元。</w:t>
      </w:r>
    </w:p>
    <w:p>
      <w:pPr>
        <w:keepNext w:val="0"/>
        <w:keepLines w:val="0"/>
        <w:pageBreakBefore w:val="0"/>
        <w:widowControl/>
        <w:kinsoku/>
        <w:wordWrap/>
        <w:overflowPunct/>
        <w:topLinePunct w:val="0"/>
        <w:autoSpaceDE/>
        <w:autoSpaceDN/>
        <w:bidi w:val="0"/>
        <w:adjustRightInd/>
        <w:snapToGrid/>
        <w:spacing w:line="560" w:lineRule="exact"/>
        <w:ind w:firstLine="643" w:firstLineChars="200"/>
        <w:contextualSpacing/>
        <w:jc w:val="both"/>
        <w:textAlignment w:val="auto"/>
        <w:rPr>
          <w:rFonts w:hint="eastAsia" w:ascii="楷体" w:hAnsi="楷体" w:eastAsia="楷体" w:cs="楷体"/>
          <w:b/>
          <w:bCs w:val="0"/>
          <w:sz w:val="32"/>
          <w:szCs w:val="32"/>
          <w:lang w:val="zh-CN"/>
        </w:rPr>
      </w:pPr>
      <w:r>
        <w:rPr>
          <w:rFonts w:hint="eastAsia" w:ascii="楷体" w:hAnsi="楷体" w:eastAsia="楷体" w:cs="楷体"/>
          <w:b/>
          <w:bCs w:val="0"/>
          <w:sz w:val="32"/>
          <w:szCs w:val="32"/>
          <w:lang w:val="zh-CN"/>
        </w:rPr>
        <w:t>（三）项目财务管理情况。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jc w:val="both"/>
        <w:textAlignment w:val="auto"/>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该项目财务管理制度实行政府财务会计制度，建立了单位内控制度，严格按照相关的制度进行会计核算及账务处理，对照项目资金管理办法，该项目严格执行财务管理制度、财务处理较及时、会计核算规范。</w:t>
      </w:r>
    </w:p>
    <w:p>
      <w:pPr>
        <w:pStyle w:val="4"/>
        <w:keepNext/>
        <w:keepLines/>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黑体" w:eastAsia="黑体"/>
          <w:b w:val="0"/>
          <w:lang w:val="zh-CN"/>
        </w:rPr>
      </w:pPr>
      <w:bookmarkStart w:id="113" w:name="_Toc143805848"/>
      <w:r>
        <w:rPr>
          <w:rFonts w:hint="eastAsia" w:ascii="黑体" w:eastAsia="黑体"/>
          <w:b w:val="0"/>
          <w:lang w:val="zh-CN"/>
        </w:rPr>
        <w:t>三、项目实施及管理情况</w:t>
      </w:r>
      <w:bookmarkEnd w:id="113"/>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jc w:val="both"/>
        <w:textAlignment w:val="auto"/>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结合项目组织实施管理办法，重点围绕以下内容进行分析评价，并对自评中发现的问题分析说明。</w:t>
      </w:r>
    </w:p>
    <w:p>
      <w:pPr>
        <w:widowControl/>
        <w:numPr>
          <w:ilvl w:val="0"/>
          <w:numId w:val="5"/>
        </w:numPr>
        <w:adjustRightInd w:val="0"/>
        <w:snapToGrid w:val="0"/>
        <w:spacing w:line="580" w:lineRule="exact"/>
        <w:ind w:firstLine="643" w:firstLineChars="200"/>
        <w:contextualSpacing/>
        <w:jc w:val="left"/>
        <w:rPr>
          <w:rFonts w:ascii="仿宋" w:hAnsi="仿宋" w:eastAsia="仿宋"/>
          <w:b/>
          <w:sz w:val="32"/>
          <w:szCs w:val="32"/>
          <w:lang w:val="zh-CN"/>
        </w:rPr>
      </w:pPr>
      <w:r>
        <w:rPr>
          <w:rFonts w:hint="eastAsia" w:ascii="仿宋" w:hAnsi="仿宋" w:eastAsia="仿宋"/>
          <w:b/>
          <w:sz w:val="32"/>
          <w:szCs w:val="32"/>
          <w:lang w:val="zh-CN"/>
        </w:rPr>
        <w:t>项目组织架构及实施流程。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jc w:val="both"/>
        <w:textAlignment w:val="auto"/>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法律援助经费严格按照专款专用原则，及时通知有关单位提供合法票据，完善报账手续，严格票据审核，规范报账程序，确保资金使用的及时性、规范性，同时财政部门对资金支付严格审核，确保资金使用安全。</w:t>
      </w:r>
    </w:p>
    <w:p>
      <w:pPr>
        <w:widowControl/>
        <w:adjustRightInd w:val="0"/>
        <w:snapToGrid w:val="0"/>
        <w:spacing w:line="580" w:lineRule="exact"/>
        <w:ind w:firstLine="643" w:firstLineChars="200"/>
        <w:contextualSpacing/>
        <w:jc w:val="left"/>
        <w:rPr>
          <w:rFonts w:hint="eastAsia" w:ascii="仿宋_GB2312" w:hAnsi="仿宋_GB2312" w:eastAsia="仿宋_GB2312" w:cs="仿宋_GB2312"/>
          <w:kern w:val="0"/>
          <w:sz w:val="32"/>
          <w:szCs w:val="32"/>
          <w:lang w:val="zh-CN"/>
        </w:rPr>
      </w:pPr>
      <w:r>
        <w:rPr>
          <w:rFonts w:hint="eastAsia" w:ascii="仿宋" w:hAnsi="仿宋" w:eastAsia="仿宋"/>
          <w:b/>
          <w:sz w:val="32"/>
          <w:szCs w:val="32"/>
          <w:lang w:val="zh-CN"/>
        </w:rPr>
        <w:t>（二）项目管理情况。</w:t>
      </w:r>
      <w:r>
        <w:rPr>
          <w:rFonts w:hint="eastAsia" w:ascii="仿宋_GB2312" w:hAnsi="仿宋_GB2312" w:eastAsia="仿宋_GB2312" w:cs="仿宋_GB2312"/>
          <w:kern w:val="0"/>
          <w:sz w:val="32"/>
          <w:szCs w:val="32"/>
          <w:lang w:val="zh-CN"/>
        </w:rPr>
        <w:t>项目严格按照区级有关规定执行，严格用于法律援助等方面的工作支出，资金专款专用。</w:t>
      </w:r>
    </w:p>
    <w:p>
      <w:pPr>
        <w:widowControl/>
        <w:adjustRightInd w:val="0"/>
        <w:snapToGrid w:val="0"/>
        <w:spacing w:line="580" w:lineRule="exact"/>
        <w:ind w:firstLine="643" w:firstLineChars="200"/>
        <w:contextualSpacing/>
        <w:jc w:val="left"/>
        <w:rPr>
          <w:rFonts w:hint="eastAsia" w:ascii="仿宋_GB2312" w:hAnsi="仿宋_GB2312" w:eastAsia="仿宋_GB2312" w:cs="仿宋_GB2312"/>
          <w:kern w:val="0"/>
          <w:sz w:val="32"/>
          <w:szCs w:val="32"/>
          <w:lang w:val="zh-CN"/>
        </w:rPr>
      </w:pPr>
      <w:r>
        <w:rPr>
          <w:rFonts w:hint="eastAsia" w:ascii="仿宋" w:hAnsi="仿宋" w:eastAsia="仿宋"/>
          <w:b/>
          <w:sz w:val="32"/>
          <w:szCs w:val="32"/>
          <w:lang w:val="zh-CN"/>
        </w:rPr>
        <w:t>（三）项目监管情况。</w:t>
      </w:r>
      <w:r>
        <w:rPr>
          <w:rFonts w:hint="eastAsia" w:ascii="仿宋_GB2312" w:hAnsi="仿宋_GB2312" w:eastAsia="仿宋_GB2312" w:cs="仿宋_GB2312"/>
          <w:kern w:val="0"/>
          <w:sz w:val="32"/>
          <w:szCs w:val="32"/>
          <w:lang w:val="zh-CN"/>
        </w:rPr>
        <w:t>项目由区司法局监管，并严格按照相关财经纪律执行。</w:t>
      </w:r>
    </w:p>
    <w:p>
      <w:pPr>
        <w:pStyle w:val="4"/>
        <w:keepNext/>
        <w:keepLines/>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黑体" w:eastAsia="黑体"/>
          <w:b w:val="0"/>
          <w:lang w:val="zh-CN"/>
        </w:rPr>
      </w:pPr>
      <w:bookmarkStart w:id="114" w:name="_Toc143805849"/>
      <w:r>
        <w:rPr>
          <w:rFonts w:hint="eastAsia" w:ascii="黑体" w:eastAsia="黑体"/>
          <w:b w:val="0"/>
          <w:lang w:val="zh-CN"/>
        </w:rPr>
        <w:t>四、项目绩效情况</w:t>
      </w:r>
      <w:bookmarkEnd w:id="114"/>
      <w:r>
        <w:rPr>
          <w:rFonts w:hint="eastAsia" w:ascii="黑体" w:eastAsia="黑体"/>
          <w:b w:val="0"/>
          <w:lang w:val="zh-CN"/>
        </w:rPr>
        <w:tab/>
      </w:r>
    </w:p>
    <w:p>
      <w:pPr>
        <w:widowControl/>
        <w:adjustRightInd w:val="0"/>
        <w:snapToGrid w:val="0"/>
        <w:spacing w:line="580" w:lineRule="exact"/>
        <w:ind w:firstLine="643" w:firstLineChars="200"/>
        <w:contextualSpacing/>
        <w:jc w:val="left"/>
        <w:rPr>
          <w:rFonts w:ascii="仿宋" w:hAnsi="仿宋" w:eastAsia="仿宋"/>
          <w:b/>
          <w:sz w:val="32"/>
          <w:szCs w:val="32"/>
          <w:lang w:val="zh-CN"/>
        </w:rPr>
      </w:pPr>
      <w:r>
        <w:rPr>
          <w:rFonts w:hint="eastAsia" w:ascii="仿宋" w:hAnsi="仿宋" w:eastAsia="仿宋"/>
          <w:b/>
          <w:sz w:val="32"/>
          <w:szCs w:val="32"/>
          <w:lang w:val="zh-CN"/>
        </w:rPr>
        <w:t>（一）项目完成情况。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jc w:val="both"/>
        <w:textAlignment w:val="auto"/>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为群众挽回经济损失，援助案件质量投诉&lt;2%，群众满意度≥95%。</w:t>
      </w:r>
    </w:p>
    <w:p>
      <w:pPr>
        <w:widowControl/>
        <w:adjustRightInd w:val="0"/>
        <w:snapToGrid w:val="0"/>
        <w:spacing w:line="580" w:lineRule="exact"/>
        <w:ind w:firstLine="643" w:firstLineChars="200"/>
        <w:contextualSpacing/>
        <w:jc w:val="left"/>
        <w:rPr>
          <w:rFonts w:ascii="仿宋_GB2312" w:hAnsi="Calibri" w:eastAsia="仿宋_GB2312" w:cs="仿宋"/>
          <w:kern w:val="0"/>
          <w:sz w:val="32"/>
          <w:szCs w:val="32"/>
          <w:lang w:val="zh-CN"/>
        </w:rPr>
      </w:pPr>
      <w:r>
        <w:rPr>
          <w:rFonts w:hint="eastAsia" w:ascii="仿宋" w:hAnsi="仿宋" w:eastAsia="仿宋"/>
          <w:b/>
          <w:sz w:val="32"/>
          <w:szCs w:val="32"/>
          <w:lang w:val="zh-CN"/>
        </w:rPr>
        <w:t>（二）项目效益情况。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jc w:val="both"/>
        <w:textAlignment w:val="auto"/>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为群众挽回经济损失，援助案件质量投诉&lt;2%，群众满意度≥95%。</w:t>
      </w:r>
    </w:p>
    <w:p>
      <w:pPr>
        <w:pStyle w:val="4"/>
        <w:keepNext/>
        <w:keepLines/>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黑体" w:eastAsia="黑体"/>
          <w:b w:val="0"/>
          <w:lang w:val="zh-CN"/>
        </w:rPr>
      </w:pPr>
      <w:bookmarkStart w:id="115" w:name="_Toc143805850"/>
      <w:r>
        <w:rPr>
          <w:rFonts w:hint="eastAsia" w:ascii="黑体" w:eastAsia="黑体"/>
          <w:b w:val="0"/>
          <w:lang w:val="zh-CN"/>
        </w:rPr>
        <w:t>五、评价结论及建议</w:t>
      </w:r>
      <w:bookmarkEnd w:id="115"/>
    </w:p>
    <w:p>
      <w:pPr>
        <w:widowControl/>
        <w:adjustRightInd w:val="0"/>
        <w:snapToGrid w:val="0"/>
        <w:spacing w:line="580" w:lineRule="exact"/>
        <w:ind w:firstLine="643" w:firstLineChars="200"/>
        <w:contextualSpacing/>
        <w:jc w:val="left"/>
        <w:rPr>
          <w:rFonts w:ascii="仿宋" w:hAnsi="仿宋" w:eastAsia="仿宋"/>
          <w:b/>
          <w:sz w:val="32"/>
          <w:szCs w:val="32"/>
          <w:lang w:val="zh-CN"/>
        </w:rPr>
      </w:pPr>
      <w:r>
        <w:rPr>
          <w:rFonts w:hint="eastAsia" w:ascii="仿宋" w:hAnsi="仿宋" w:eastAsia="仿宋"/>
          <w:b/>
          <w:sz w:val="32"/>
          <w:szCs w:val="32"/>
          <w:lang w:val="zh-CN"/>
        </w:rPr>
        <w:t>（一）评价结论。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jc w:val="both"/>
        <w:textAlignment w:val="auto"/>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法律援助经费项目绩效总体评价良好。</w:t>
      </w:r>
    </w:p>
    <w:p>
      <w:pPr>
        <w:widowControl/>
        <w:adjustRightInd w:val="0"/>
        <w:snapToGrid w:val="0"/>
        <w:spacing w:line="580" w:lineRule="exact"/>
        <w:ind w:firstLine="643" w:firstLineChars="200"/>
        <w:contextualSpacing/>
        <w:jc w:val="left"/>
        <w:rPr>
          <w:rFonts w:ascii="仿宋" w:hAnsi="仿宋" w:eastAsia="仿宋"/>
          <w:b/>
          <w:sz w:val="32"/>
          <w:szCs w:val="32"/>
          <w:lang w:val="zh-CN"/>
        </w:rPr>
      </w:pPr>
      <w:r>
        <w:rPr>
          <w:rFonts w:hint="eastAsia" w:ascii="仿宋" w:hAnsi="仿宋" w:eastAsia="仿宋"/>
          <w:b/>
          <w:sz w:val="32"/>
          <w:szCs w:val="32"/>
          <w:lang w:val="zh-CN"/>
        </w:rPr>
        <w:t>（二）存在的问题。</w:t>
      </w:r>
    </w:p>
    <w:p>
      <w:pPr>
        <w:spacing w:line="560" w:lineRule="exact"/>
        <w:ind w:firstLine="640" w:firstLineChars="200"/>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2022年，我们全面发挥职能优势，扎实开展各项工作，取得了一定的成效，但工作还存在着许多薄弱环节和短板：</w:t>
      </w:r>
      <w:r>
        <w:rPr>
          <w:rFonts w:ascii="仿宋" w:hAnsi="仿宋" w:eastAsia="仿宋"/>
          <w:b/>
          <w:bCs/>
          <w:sz w:val="32"/>
          <w:szCs w:val="32"/>
        </w:rPr>
        <w:t>一是</w:t>
      </w:r>
      <w:r>
        <w:rPr>
          <w:rFonts w:hint="eastAsia" w:ascii="仿宋_GB2312" w:hAnsi="仿宋_GB2312" w:eastAsia="仿宋_GB2312" w:cs="仿宋_GB2312"/>
          <w:kern w:val="0"/>
          <w:sz w:val="32"/>
          <w:szCs w:val="32"/>
          <w:lang w:val="zh-CN"/>
        </w:rPr>
        <w:t>发展不够平衡，基层基础比较薄弱。如我局基层司法所办公阵地、业务能力等规范化建设基础薄弱。</w:t>
      </w:r>
      <w:r>
        <w:rPr>
          <w:rFonts w:ascii="仿宋" w:hAnsi="仿宋" w:eastAsia="仿宋"/>
          <w:b/>
          <w:bCs/>
          <w:sz w:val="32"/>
          <w:szCs w:val="32"/>
        </w:rPr>
        <w:t>二是</w:t>
      </w:r>
      <w:r>
        <w:rPr>
          <w:rFonts w:hint="eastAsia" w:ascii="仿宋_GB2312" w:hAnsi="仿宋_GB2312" w:eastAsia="仿宋_GB2312" w:cs="仿宋_GB2312"/>
          <w:kern w:val="0"/>
          <w:sz w:val="32"/>
          <w:szCs w:val="32"/>
          <w:lang w:val="zh-CN"/>
        </w:rPr>
        <w:t>专业人才缺乏，法律服务机构还不健全。如我区法律人才资源较为缺少，仅有2个律师事务所、7名社会律师。</w:t>
      </w:r>
      <w:r>
        <w:rPr>
          <w:rFonts w:hint="eastAsia" w:ascii="仿宋" w:hAnsi="仿宋" w:eastAsia="仿宋"/>
          <w:b/>
          <w:bCs/>
          <w:sz w:val="32"/>
          <w:szCs w:val="32"/>
        </w:rPr>
        <w:t>三是</w:t>
      </w:r>
      <w:r>
        <w:rPr>
          <w:rFonts w:hint="eastAsia" w:ascii="仿宋_GB2312" w:hAnsi="仿宋_GB2312" w:eastAsia="仿宋_GB2312" w:cs="仿宋_GB2312"/>
          <w:kern w:val="0"/>
          <w:sz w:val="32"/>
          <w:szCs w:val="32"/>
          <w:lang w:val="zh-CN"/>
        </w:rPr>
        <w:t>依法治区考核力度不足。目前依法治区考核是放在全市党务目标进行的考核，分值较低，无单独的考核细则，也无加分项目，各部门干事激情不足。</w:t>
      </w:r>
      <w:r>
        <w:rPr>
          <w:rFonts w:hint="eastAsia" w:ascii="仿宋_GB2312" w:hAnsi="仿宋_GB2312" w:eastAsia="仿宋_GB2312" w:cs="仿宋_GB2312"/>
          <w:kern w:val="0"/>
          <w:sz w:val="32"/>
          <w:szCs w:val="32"/>
          <w:lang w:val="zh-CN"/>
        </w:rPr>
        <w:tab/>
      </w:r>
    </w:p>
    <w:p>
      <w:pPr>
        <w:widowControl/>
        <w:adjustRightInd w:val="0"/>
        <w:snapToGrid w:val="0"/>
        <w:spacing w:line="580" w:lineRule="exact"/>
        <w:ind w:firstLine="643" w:firstLineChars="200"/>
        <w:contextualSpacing/>
        <w:jc w:val="left"/>
        <w:rPr>
          <w:rFonts w:ascii="仿宋" w:hAnsi="仿宋" w:eastAsia="仿宋"/>
          <w:b/>
          <w:sz w:val="32"/>
          <w:szCs w:val="32"/>
          <w:lang w:val="zh-CN"/>
        </w:rPr>
      </w:pPr>
      <w:r>
        <w:rPr>
          <w:rFonts w:hint="eastAsia" w:ascii="仿宋" w:hAnsi="仿宋" w:eastAsia="仿宋"/>
          <w:b/>
          <w:sz w:val="32"/>
          <w:szCs w:val="32"/>
          <w:lang w:val="zh-CN"/>
        </w:rPr>
        <w:t>（三）相关建议。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jc w:val="both"/>
        <w:textAlignment w:val="auto"/>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引进专业人员，充实队伍，面向社会公开招聘一批懂法律、懂政策，具有较高综合素质和道德修养的人员，充实司法行政队伍；根据工作的实际需要，逐年增加法治政府建设、行政审批、社区矫正、法律援助、普法宣传、人民调解的业务专项经费；追加全区依法治区专项工作经费预算，为我区实现高质量发展提供坚强法治保障；继续推进公共法律服务体系建设。实现公共法律服务实体、热线、网络三大平台基本融合，汇聚形成公共法律服务大数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jc w:val="both"/>
        <w:textAlignment w:val="auto"/>
        <w:rPr>
          <w:rFonts w:hint="eastAsia" w:ascii="仿宋_GB2312" w:hAnsi="仿宋_GB2312" w:eastAsia="仿宋_GB2312" w:cs="仿宋_GB2312"/>
          <w:kern w:val="0"/>
          <w:sz w:val="32"/>
          <w:szCs w:val="32"/>
          <w:lang w:val="en-US"/>
        </w:rPr>
      </w:pPr>
    </w:p>
    <w:p>
      <w:pPr>
        <w:pStyle w:val="40"/>
        <w:spacing w:line="578" w:lineRule="exact"/>
        <w:jc w:val="center"/>
        <w:rPr>
          <w:rFonts w:hint="eastAsia" w:ascii="方正小标宋简体" w:hAnsi="方正小标宋简体" w:eastAsia="方正小标宋简体" w:cs="方正小标宋简体"/>
          <w:color w:val="auto"/>
          <w:kern w:val="2"/>
          <w:sz w:val="32"/>
          <w:szCs w:val="32"/>
          <w:lang w:val="en-US"/>
        </w:rPr>
      </w:pPr>
    </w:p>
    <w:p>
      <w:pPr>
        <w:pStyle w:val="40"/>
        <w:spacing w:line="578" w:lineRule="exact"/>
        <w:jc w:val="center"/>
        <w:rPr>
          <w:rFonts w:hint="eastAsia" w:ascii="方正小标宋简体" w:hAnsi="方正小标宋简体" w:eastAsia="方正小标宋简体" w:cs="方正小标宋简体"/>
          <w:color w:val="auto"/>
          <w:kern w:val="2"/>
          <w:sz w:val="32"/>
          <w:szCs w:val="32"/>
          <w:lang w:val="en-US"/>
        </w:rPr>
      </w:pPr>
    </w:p>
    <w:p>
      <w:pPr>
        <w:pStyle w:val="40"/>
        <w:spacing w:line="578" w:lineRule="exact"/>
        <w:jc w:val="center"/>
        <w:rPr>
          <w:rFonts w:hint="eastAsia" w:ascii="方正小标宋简体" w:hAnsi="方正小标宋简体" w:eastAsia="方正小标宋简体" w:cs="方正小标宋简体"/>
          <w:color w:val="auto"/>
          <w:kern w:val="2"/>
          <w:sz w:val="32"/>
          <w:szCs w:val="32"/>
          <w:lang w:val="en-US"/>
        </w:rPr>
      </w:pPr>
    </w:p>
    <w:p>
      <w:pPr>
        <w:pStyle w:val="40"/>
        <w:spacing w:line="578" w:lineRule="exact"/>
        <w:jc w:val="center"/>
        <w:rPr>
          <w:rFonts w:hint="eastAsia" w:ascii="方正小标宋简体" w:hAnsi="方正小标宋简体" w:eastAsia="方正小标宋简体" w:cs="方正小标宋简体"/>
          <w:color w:val="auto"/>
          <w:kern w:val="2"/>
          <w:sz w:val="32"/>
          <w:szCs w:val="32"/>
          <w:lang w:val="en-US"/>
        </w:rPr>
      </w:pPr>
    </w:p>
    <w:p>
      <w:pPr>
        <w:pStyle w:val="40"/>
        <w:spacing w:line="578" w:lineRule="exact"/>
        <w:jc w:val="center"/>
        <w:rPr>
          <w:rFonts w:hint="eastAsia" w:ascii="方正小标宋简体" w:hAnsi="方正小标宋简体" w:eastAsia="方正小标宋简体" w:cs="方正小标宋简体"/>
          <w:color w:val="auto"/>
          <w:kern w:val="2"/>
          <w:sz w:val="32"/>
          <w:szCs w:val="32"/>
          <w:lang w:val="en-US"/>
        </w:rPr>
      </w:pPr>
    </w:p>
    <w:p>
      <w:pPr>
        <w:pStyle w:val="40"/>
        <w:spacing w:line="578" w:lineRule="exact"/>
        <w:jc w:val="center"/>
        <w:rPr>
          <w:rFonts w:hint="eastAsia" w:ascii="方正小标宋简体" w:hAnsi="方正小标宋简体" w:eastAsia="方正小标宋简体" w:cs="方正小标宋简体"/>
          <w:color w:val="auto"/>
          <w:kern w:val="2"/>
          <w:sz w:val="32"/>
          <w:szCs w:val="32"/>
          <w:lang w:val="en-US"/>
        </w:rPr>
      </w:pPr>
    </w:p>
    <w:p>
      <w:pPr>
        <w:pStyle w:val="40"/>
        <w:spacing w:line="578" w:lineRule="exact"/>
        <w:jc w:val="center"/>
        <w:rPr>
          <w:rFonts w:ascii="宋体" w:hAnsi="宋体"/>
          <w:color w:val="auto"/>
          <w:kern w:val="2"/>
          <w:sz w:val="44"/>
          <w:szCs w:val="44"/>
        </w:rPr>
      </w:pPr>
      <w:r>
        <w:rPr>
          <w:rFonts w:hint="eastAsia" w:ascii="方正小标宋简体" w:hAnsi="方正小标宋简体" w:eastAsia="方正小标宋简体" w:cs="方正小标宋简体"/>
          <w:color w:val="auto"/>
          <w:kern w:val="2"/>
          <w:sz w:val="44"/>
          <w:szCs w:val="44"/>
          <w:lang w:val="en-US"/>
        </w:rPr>
        <w:t>2022年专项预算项目绩效自评报告</w:t>
      </w:r>
    </w:p>
    <w:p>
      <w:pPr>
        <w:pStyle w:val="4"/>
        <w:keepNext/>
        <w:keepLines/>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ascii="黑体" w:eastAsia="黑体"/>
          <w:b w:val="0"/>
          <w:lang w:val="zh-CN"/>
        </w:rPr>
      </w:pPr>
      <w:bookmarkStart w:id="116" w:name="_Toc143805851"/>
      <w:r>
        <w:rPr>
          <w:rFonts w:hint="eastAsia" w:ascii="黑体" w:eastAsia="黑体"/>
          <w:b w:val="0"/>
          <w:lang w:val="zh-CN"/>
        </w:rPr>
        <w:t>一、项目概况</w:t>
      </w:r>
      <w:bookmarkEnd w:id="116"/>
    </w:p>
    <w:p>
      <w:pPr>
        <w:widowControl/>
        <w:adjustRightInd w:val="0"/>
        <w:snapToGrid w:val="0"/>
        <w:spacing w:line="580" w:lineRule="exact"/>
        <w:ind w:firstLine="643" w:firstLineChars="200"/>
        <w:contextualSpacing/>
        <w:jc w:val="left"/>
        <w:rPr>
          <w:rFonts w:ascii="仿宋_GB2312" w:hAnsi="Calibri" w:eastAsia="仿宋_GB2312" w:cs="仿宋"/>
          <w:kern w:val="0"/>
          <w:sz w:val="32"/>
          <w:szCs w:val="32"/>
          <w:lang w:val="zh-CN"/>
        </w:rPr>
      </w:pPr>
      <w:r>
        <w:rPr>
          <w:rFonts w:hint="eastAsia" w:ascii="仿宋" w:hAnsi="仿宋" w:eastAsia="仿宋"/>
          <w:b/>
          <w:sz w:val="32"/>
          <w:szCs w:val="32"/>
          <w:lang w:val="zh-CN"/>
        </w:rPr>
        <w:t>（一）项目基本情况。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jc w:val="both"/>
        <w:textAlignment w:val="auto"/>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1.普法宣传主要用于依法治区“七五”普法、法治宣传方面的工作。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jc w:val="both"/>
        <w:textAlignment w:val="auto"/>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2.项目立项、资金申报的依据。（遂安委〔2017〕10号文件规定。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jc w:val="both"/>
        <w:textAlignment w:val="auto"/>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3.资金管理办法制定情况，资金支持具体项目的条件、范围与支持方式概况。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jc w:val="both"/>
        <w:textAlignment w:val="auto"/>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该项目资金严格按照区司法局相关财务制度管理，资金主要用于依法治区“七五”普法、法治宣传方面的工作。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jc w:val="both"/>
        <w:textAlignment w:val="auto"/>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4.资金分配的原则及考虑因素。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jc w:val="both"/>
        <w:textAlignment w:val="auto"/>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该项目资金根据区司法局实际支出情况按需支取。</w:t>
      </w:r>
    </w:p>
    <w:p>
      <w:pPr>
        <w:widowControl/>
        <w:adjustRightInd w:val="0"/>
        <w:snapToGrid w:val="0"/>
        <w:spacing w:line="580" w:lineRule="exact"/>
        <w:ind w:firstLine="643" w:firstLineChars="200"/>
        <w:contextualSpacing/>
        <w:jc w:val="left"/>
        <w:rPr>
          <w:rFonts w:ascii="仿宋_GB2312" w:hAnsi="Calibri" w:eastAsia="仿宋_GB2312" w:cs="仿宋"/>
          <w:kern w:val="0"/>
          <w:sz w:val="32"/>
          <w:szCs w:val="32"/>
          <w:lang w:val="zh-CN"/>
        </w:rPr>
      </w:pPr>
      <w:r>
        <w:rPr>
          <w:rFonts w:hint="eastAsia" w:ascii="仿宋" w:hAnsi="仿宋" w:eastAsia="仿宋"/>
          <w:b/>
          <w:sz w:val="32"/>
          <w:szCs w:val="32"/>
          <w:lang w:val="zh-CN"/>
        </w:rPr>
        <w:t>（二）项目绩效目标。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jc w:val="both"/>
        <w:textAlignment w:val="auto"/>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根据中共遂宁市安居区委全面依法治市委员会办公室遂宁市安居区司法局关于印发《2021年遂宁市安居区普法依法治理工作要点》的通知（遂安司法〔2021〕24号）文件要求，启动“八五”普法规划。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jc w:val="both"/>
        <w:textAlignment w:val="auto"/>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根据“七五”普法（遂安委〔2017〕10号）文件规定。（依法治区“七五”普法、法治宣传经费。根据“七五”普法（遂安委〔2017〕10号文件规定，并结合市上研讨会意见，拟按每年人均不低于0.5-0.8元的标准列入区财政预算，专款专用。分析评价申报内容与实际相符，申报目标合理可行。</w:t>
      </w:r>
    </w:p>
    <w:p>
      <w:pPr>
        <w:widowControl/>
        <w:adjustRightInd w:val="0"/>
        <w:snapToGrid w:val="0"/>
        <w:spacing w:line="580" w:lineRule="exact"/>
        <w:ind w:firstLine="643" w:firstLineChars="200"/>
        <w:contextualSpacing/>
        <w:jc w:val="left"/>
        <w:rPr>
          <w:rFonts w:ascii="仿宋" w:hAnsi="仿宋" w:eastAsia="仿宋"/>
          <w:b/>
          <w:sz w:val="32"/>
          <w:szCs w:val="32"/>
          <w:lang w:val="zh-CN"/>
        </w:rPr>
      </w:pPr>
      <w:r>
        <w:rPr>
          <w:rFonts w:hint="eastAsia" w:ascii="仿宋" w:hAnsi="仿宋" w:eastAsia="仿宋"/>
          <w:b/>
          <w:sz w:val="32"/>
          <w:szCs w:val="32"/>
          <w:lang w:val="zh-CN"/>
        </w:rPr>
        <w:t>（三）项目自评步骤及方法。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jc w:val="both"/>
        <w:textAlignment w:val="auto"/>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该项目绩效自评采用自评方式，成立项目自评小组，结合评价内容，做到有计划，有安排，扎实开展本次自评工作。按照上级下达的项目支出绩效评价指标体系，自评小组针对申报内容、实施情况、资金兑现、财务管理、社会效益等作出自我评价，做好自评工作。</w:t>
      </w:r>
    </w:p>
    <w:p>
      <w:pPr>
        <w:pStyle w:val="4"/>
        <w:keepNext/>
        <w:keepLines/>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黑体" w:eastAsia="黑体"/>
          <w:b w:val="0"/>
          <w:lang w:val="zh-CN"/>
        </w:rPr>
      </w:pPr>
      <w:bookmarkStart w:id="117" w:name="_Toc143805852"/>
      <w:r>
        <w:rPr>
          <w:rFonts w:hint="eastAsia" w:ascii="黑体" w:eastAsia="黑体"/>
          <w:b w:val="0"/>
          <w:lang w:val="zh-CN"/>
        </w:rPr>
        <w:t>二、项目资金申报及使用情况</w:t>
      </w:r>
      <w:bookmarkEnd w:id="117"/>
    </w:p>
    <w:p>
      <w:pPr>
        <w:widowControl/>
        <w:adjustRightInd w:val="0"/>
        <w:snapToGrid w:val="0"/>
        <w:spacing w:line="580" w:lineRule="exact"/>
        <w:ind w:firstLine="643" w:firstLineChars="200"/>
        <w:contextualSpacing/>
        <w:jc w:val="left"/>
        <w:rPr>
          <w:rFonts w:ascii="仿宋_GB2312" w:hAnsi="Calibri" w:eastAsia="仿宋_GB2312" w:cs="仿宋"/>
          <w:kern w:val="0"/>
          <w:sz w:val="32"/>
          <w:szCs w:val="32"/>
          <w:lang w:val="zh-CN"/>
        </w:rPr>
      </w:pPr>
      <w:r>
        <w:rPr>
          <w:rFonts w:hint="eastAsia" w:ascii="仿宋" w:hAnsi="仿宋" w:eastAsia="仿宋"/>
          <w:b/>
          <w:sz w:val="32"/>
          <w:szCs w:val="32"/>
          <w:lang w:val="zh-CN"/>
        </w:rPr>
        <w:t>（一）项目资金申报及批复情况。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jc w:val="both"/>
        <w:textAlignment w:val="auto"/>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普法宣传经费项目资金申报10万、批复10万。</w:t>
      </w:r>
    </w:p>
    <w:p>
      <w:pPr>
        <w:widowControl/>
        <w:adjustRightInd w:val="0"/>
        <w:snapToGrid w:val="0"/>
        <w:spacing w:line="580" w:lineRule="exact"/>
        <w:ind w:firstLine="643" w:firstLineChars="200"/>
        <w:contextualSpacing/>
        <w:jc w:val="left"/>
        <w:rPr>
          <w:rFonts w:ascii="仿宋" w:hAnsi="仿宋" w:eastAsia="仿宋"/>
          <w:b/>
          <w:sz w:val="32"/>
          <w:szCs w:val="32"/>
          <w:lang w:val="zh-CN"/>
        </w:rPr>
      </w:pPr>
      <w:r>
        <w:rPr>
          <w:rFonts w:hint="eastAsia" w:ascii="仿宋" w:hAnsi="仿宋" w:eastAsia="仿宋"/>
          <w:b/>
          <w:sz w:val="32"/>
          <w:szCs w:val="32"/>
          <w:lang w:val="zh-CN"/>
        </w:rPr>
        <w:t>（二）资金计划、到位及使用情况（可用表格形式反映）。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jc w:val="both"/>
        <w:textAlignment w:val="auto"/>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1.资金计划。该项目资金计划10万元。。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jc w:val="both"/>
        <w:textAlignment w:val="auto"/>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2.资金到位该项目资金截止评价时点实际到位10万元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jc w:val="both"/>
        <w:textAlignment w:val="auto"/>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3.资金使用截止评价时点项目资金的实际支出5.29万元，主要是用于依法治区“七五”普法、法治宣传等方面，其中印刷费0.97万元、差旅费1.32万元。</w:t>
      </w:r>
    </w:p>
    <w:p>
      <w:pPr>
        <w:widowControl/>
        <w:adjustRightInd w:val="0"/>
        <w:snapToGrid w:val="0"/>
        <w:spacing w:line="580" w:lineRule="exact"/>
        <w:ind w:firstLine="643" w:firstLineChars="200"/>
        <w:contextualSpacing/>
        <w:jc w:val="left"/>
        <w:rPr>
          <w:rFonts w:ascii="仿宋" w:hAnsi="仿宋" w:eastAsia="仿宋"/>
          <w:b/>
          <w:sz w:val="32"/>
          <w:szCs w:val="32"/>
          <w:lang w:val="zh-CN"/>
        </w:rPr>
      </w:pPr>
      <w:r>
        <w:rPr>
          <w:rFonts w:hint="eastAsia" w:ascii="仿宋" w:hAnsi="仿宋" w:eastAsia="仿宋"/>
          <w:b/>
          <w:sz w:val="32"/>
          <w:szCs w:val="32"/>
          <w:lang w:val="zh-CN"/>
        </w:rPr>
        <w:t>（三）项目财务管理情况。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jc w:val="both"/>
        <w:textAlignment w:val="auto"/>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该项目财务管理制度实行政府财务会计制度，建立了单位内控制度，严格按照相关的制度进行会计核算及账务处理，对照项目资金管理办法，该项目严格执行财务管理制度、财务处理较及时、会计核算规范。</w:t>
      </w:r>
    </w:p>
    <w:p>
      <w:pPr>
        <w:pStyle w:val="4"/>
        <w:keepNext/>
        <w:keepLines/>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黑体" w:eastAsia="黑体"/>
          <w:b w:val="0"/>
          <w:lang w:val="zh-CN"/>
        </w:rPr>
      </w:pPr>
      <w:bookmarkStart w:id="118" w:name="_Toc143805853"/>
      <w:r>
        <w:rPr>
          <w:rFonts w:hint="eastAsia" w:ascii="黑体" w:eastAsia="黑体"/>
          <w:b w:val="0"/>
          <w:lang w:val="zh-CN"/>
        </w:rPr>
        <w:t>三、项目实施及管理情况</w:t>
      </w:r>
      <w:bookmarkEnd w:id="118"/>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jc w:val="both"/>
        <w:textAlignment w:val="auto"/>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结合项目组织实施管理办法，重点围绕以下内容进行分析评价，并对自评中发现的问题分析说明。</w:t>
      </w:r>
    </w:p>
    <w:p>
      <w:pPr>
        <w:widowControl/>
        <w:numPr>
          <w:ilvl w:val="0"/>
          <w:numId w:val="5"/>
        </w:numPr>
        <w:adjustRightInd w:val="0"/>
        <w:snapToGrid w:val="0"/>
        <w:spacing w:line="580" w:lineRule="exact"/>
        <w:ind w:firstLine="643" w:firstLineChars="200"/>
        <w:contextualSpacing/>
        <w:jc w:val="left"/>
        <w:rPr>
          <w:rFonts w:ascii="仿宋" w:hAnsi="仿宋" w:eastAsia="仿宋"/>
          <w:b/>
          <w:sz w:val="32"/>
          <w:szCs w:val="32"/>
          <w:lang w:val="zh-CN"/>
        </w:rPr>
      </w:pPr>
      <w:r>
        <w:rPr>
          <w:rFonts w:hint="eastAsia" w:ascii="仿宋" w:hAnsi="仿宋" w:eastAsia="仿宋"/>
          <w:b/>
          <w:sz w:val="32"/>
          <w:szCs w:val="32"/>
          <w:lang w:val="zh-CN"/>
        </w:rPr>
        <w:t>项目组织架构及实施流程。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jc w:val="both"/>
        <w:textAlignment w:val="auto"/>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普法宣传经费严格按照专款专用原则，及时通知有关单位提供合法票据，完善报账手续，严格票据审核，规范报账程序，确保资金使用的及时性、规范性，同时财政部门对资金支付严格审核，确保资金使用安全。</w:t>
      </w:r>
    </w:p>
    <w:p>
      <w:pPr>
        <w:widowControl/>
        <w:adjustRightInd w:val="0"/>
        <w:snapToGrid w:val="0"/>
        <w:spacing w:line="580" w:lineRule="exact"/>
        <w:ind w:firstLine="643" w:firstLineChars="200"/>
        <w:contextualSpacing/>
        <w:jc w:val="left"/>
        <w:rPr>
          <w:rFonts w:hint="eastAsia" w:ascii="仿宋_GB2312" w:hAnsi="仿宋_GB2312" w:eastAsia="仿宋_GB2312" w:cs="仿宋_GB2312"/>
          <w:kern w:val="0"/>
          <w:sz w:val="32"/>
          <w:szCs w:val="32"/>
          <w:lang w:val="zh-CN"/>
        </w:rPr>
      </w:pPr>
      <w:r>
        <w:rPr>
          <w:rFonts w:hint="eastAsia" w:ascii="仿宋" w:hAnsi="仿宋" w:eastAsia="仿宋"/>
          <w:b/>
          <w:sz w:val="32"/>
          <w:szCs w:val="32"/>
          <w:lang w:val="zh-CN"/>
        </w:rPr>
        <w:t>（二）项目管理情况。</w:t>
      </w:r>
      <w:r>
        <w:rPr>
          <w:rFonts w:hint="eastAsia" w:ascii="仿宋_GB2312" w:hAnsi="仿宋_GB2312" w:eastAsia="仿宋_GB2312" w:cs="仿宋_GB2312"/>
          <w:kern w:val="0"/>
          <w:sz w:val="32"/>
          <w:szCs w:val="32"/>
          <w:lang w:val="zh-CN"/>
        </w:rPr>
        <w:t>项目严格按照区级有关规定执行，严格用于依法治区“七五”普法、法治宣传等方面的工作支出，资金专款专用。</w:t>
      </w:r>
    </w:p>
    <w:p>
      <w:pPr>
        <w:widowControl/>
        <w:adjustRightInd w:val="0"/>
        <w:snapToGrid w:val="0"/>
        <w:spacing w:line="580" w:lineRule="exact"/>
        <w:ind w:firstLine="643" w:firstLineChars="200"/>
        <w:contextualSpacing/>
        <w:jc w:val="left"/>
        <w:rPr>
          <w:rFonts w:hint="eastAsia" w:ascii="仿宋_GB2312" w:hAnsi="仿宋_GB2312" w:eastAsia="仿宋_GB2312" w:cs="仿宋_GB2312"/>
          <w:kern w:val="0"/>
          <w:sz w:val="32"/>
          <w:szCs w:val="32"/>
          <w:lang w:val="zh-CN"/>
        </w:rPr>
      </w:pPr>
      <w:r>
        <w:rPr>
          <w:rFonts w:hint="eastAsia" w:ascii="仿宋" w:hAnsi="仿宋" w:eastAsia="仿宋"/>
          <w:b/>
          <w:sz w:val="32"/>
          <w:szCs w:val="32"/>
          <w:lang w:val="zh-CN"/>
        </w:rPr>
        <w:t>（三）项目监管情况。</w:t>
      </w:r>
      <w:r>
        <w:rPr>
          <w:rFonts w:hint="eastAsia" w:ascii="仿宋_GB2312" w:hAnsi="仿宋_GB2312" w:eastAsia="仿宋_GB2312" w:cs="仿宋_GB2312"/>
          <w:kern w:val="0"/>
          <w:sz w:val="32"/>
          <w:szCs w:val="32"/>
          <w:lang w:val="zh-CN"/>
        </w:rPr>
        <w:t>项目由区司法局监管，并严格按照相关财经纪律执行。</w:t>
      </w:r>
    </w:p>
    <w:p>
      <w:pPr>
        <w:pStyle w:val="4"/>
        <w:keepNext/>
        <w:keepLines/>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黑体" w:eastAsia="黑体"/>
          <w:b w:val="0"/>
          <w:lang w:val="zh-CN"/>
        </w:rPr>
      </w:pPr>
      <w:bookmarkStart w:id="119" w:name="_Toc143805854"/>
      <w:r>
        <w:rPr>
          <w:rFonts w:hint="eastAsia" w:ascii="黑体" w:eastAsia="黑体"/>
          <w:b w:val="0"/>
          <w:lang w:val="zh-CN"/>
        </w:rPr>
        <w:t>四、项目绩效情况</w:t>
      </w:r>
      <w:bookmarkEnd w:id="119"/>
      <w:r>
        <w:rPr>
          <w:rFonts w:hint="eastAsia" w:ascii="黑体" w:eastAsia="黑体"/>
          <w:b w:val="0"/>
          <w:lang w:val="zh-CN"/>
        </w:rPr>
        <w:tab/>
      </w:r>
    </w:p>
    <w:p>
      <w:pPr>
        <w:widowControl/>
        <w:adjustRightInd w:val="0"/>
        <w:snapToGrid w:val="0"/>
        <w:spacing w:line="580" w:lineRule="exact"/>
        <w:ind w:firstLine="643" w:firstLineChars="200"/>
        <w:contextualSpacing/>
        <w:jc w:val="left"/>
        <w:rPr>
          <w:rFonts w:ascii="仿宋" w:hAnsi="仿宋" w:eastAsia="仿宋"/>
          <w:b/>
          <w:sz w:val="32"/>
          <w:szCs w:val="32"/>
          <w:lang w:val="zh-CN"/>
        </w:rPr>
      </w:pPr>
      <w:r>
        <w:rPr>
          <w:rFonts w:hint="eastAsia" w:ascii="仿宋" w:hAnsi="仿宋" w:eastAsia="仿宋"/>
          <w:b/>
          <w:sz w:val="32"/>
          <w:szCs w:val="32"/>
          <w:lang w:val="zh-CN"/>
        </w:rPr>
        <w:t>（一）项目完成情况。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jc w:val="both"/>
        <w:textAlignment w:val="auto"/>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累计发放法律宣传资料≥150000册，群众满意度优良。</w:t>
      </w:r>
    </w:p>
    <w:p>
      <w:pPr>
        <w:widowControl/>
        <w:adjustRightInd w:val="0"/>
        <w:snapToGrid w:val="0"/>
        <w:spacing w:line="580" w:lineRule="exact"/>
        <w:ind w:firstLine="643" w:firstLineChars="200"/>
        <w:contextualSpacing/>
        <w:jc w:val="left"/>
        <w:rPr>
          <w:rFonts w:ascii="仿宋_GB2312" w:hAnsi="Calibri" w:eastAsia="仿宋_GB2312" w:cs="仿宋"/>
          <w:kern w:val="0"/>
          <w:sz w:val="32"/>
          <w:szCs w:val="32"/>
          <w:lang w:val="zh-CN"/>
        </w:rPr>
      </w:pPr>
      <w:r>
        <w:rPr>
          <w:rFonts w:hint="eastAsia" w:ascii="仿宋" w:hAnsi="仿宋" w:eastAsia="仿宋"/>
          <w:b/>
          <w:sz w:val="32"/>
          <w:szCs w:val="32"/>
          <w:lang w:val="zh-CN"/>
        </w:rPr>
        <w:t>（二）项目效益情况。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jc w:val="both"/>
        <w:textAlignment w:val="auto"/>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开展法律七进、12.4宣传，进一步增强了广大人民群众的法治意识。</w:t>
      </w:r>
    </w:p>
    <w:p>
      <w:pPr>
        <w:pStyle w:val="4"/>
        <w:keepNext/>
        <w:keepLines/>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黑体" w:eastAsia="黑体"/>
          <w:b w:val="0"/>
          <w:lang w:val="zh-CN"/>
        </w:rPr>
      </w:pPr>
      <w:bookmarkStart w:id="120" w:name="_Toc143805855"/>
      <w:r>
        <w:rPr>
          <w:rFonts w:hint="eastAsia" w:ascii="黑体" w:eastAsia="黑体"/>
          <w:b w:val="0"/>
          <w:lang w:val="zh-CN"/>
        </w:rPr>
        <w:t>五、评价结论及建议</w:t>
      </w:r>
      <w:bookmarkEnd w:id="120"/>
    </w:p>
    <w:p>
      <w:pPr>
        <w:widowControl/>
        <w:adjustRightInd w:val="0"/>
        <w:snapToGrid w:val="0"/>
        <w:spacing w:line="580" w:lineRule="exact"/>
        <w:ind w:firstLine="643" w:firstLineChars="200"/>
        <w:contextualSpacing/>
        <w:jc w:val="left"/>
        <w:rPr>
          <w:rFonts w:ascii="仿宋" w:hAnsi="仿宋" w:eastAsia="仿宋"/>
          <w:b/>
          <w:sz w:val="32"/>
          <w:szCs w:val="32"/>
          <w:lang w:val="zh-CN"/>
        </w:rPr>
      </w:pPr>
      <w:r>
        <w:rPr>
          <w:rFonts w:hint="eastAsia" w:ascii="仿宋" w:hAnsi="仿宋" w:eastAsia="仿宋"/>
          <w:b/>
          <w:sz w:val="32"/>
          <w:szCs w:val="32"/>
          <w:lang w:val="zh-CN"/>
        </w:rPr>
        <w:t>（一）评价结论。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jc w:val="both"/>
        <w:textAlignment w:val="auto"/>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经遂宁市安居区司法局认真自评，2022年普法宣传支出绩效评为“良好”。绩效目标明确，资金落实到位，管理体系完善，司法行政工作成效显现。</w:t>
      </w:r>
    </w:p>
    <w:p>
      <w:pPr>
        <w:widowControl/>
        <w:adjustRightInd w:val="0"/>
        <w:snapToGrid w:val="0"/>
        <w:spacing w:line="580" w:lineRule="exact"/>
        <w:ind w:firstLine="643" w:firstLineChars="200"/>
        <w:contextualSpacing/>
        <w:jc w:val="left"/>
        <w:rPr>
          <w:rFonts w:ascii="仿宋" w:hAnsi="仿宋" w:eastAsia="仿宋"/>
          <w:b/>
          <w:sz w:val="32"/>
          <w:szCs w:val="32"/>
          <w:lang w:val="zh-CN"/>
        </w:rPr>
      </w:pPr>
      <w:r>
        <w:rPr>
          <w:rFonts w:hint="eastAsia" w:ascii="仿宋" w:hAnsi="仿宋" w:eastAsia="仿宋"/>
          <w:b/>
          <w:sz w:val="32"/>
          <w:szCs w:val="32"/>
          <w:lang w:val="zh-CN"/>
        </w:rPr>
        <w:t>（二）存在的问题。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jc w:val="both"/>
        <w:textAlignment w:val="auto"/>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2022年，我们全面发挥职能优势，扎实开展各项工作，取得了一定的成效，但工作还存在着许多薄弱环节和短板：</w:t>
      </w:r>
      <w:r>
        <w:rPr>
          <w:rFonts w:ascii="仿宋" w:hAnsi="仿宋" w:eastAsia="仿宋"/>
          <w:b/>
          <w:bCs/>
          <w:sz w:val="32"/>
          <w:szCs w:val="32"/>
        </w:rPr>
        <w:t>一是</w:t>
      </w:r>
      <w:r>
        <w:rPr>
          <w:rFonts w:hint="eastAsia" w:ascii="仿宋_GB2312" w:hAnsi="仿宋_GB2312" w:eastAsia="仿宋_GB2312" w:cs="仿宋_GB2312"/>
          <w:kern w:val="0"/>
          <w:sz w:val="32"/>
          <w:szCs w:val="32"/>
          <w:lang w:val="zh-CN"/>
        </w:rPr>
        <w:t>发展不够平衡，基层基础比较薄弱。如我局基层司法所办公阵地、业务能力等规范化建设基础薄弱。</w:t>
      </w:r>
      <w:r>
        <w:rPr>
          <w:rFonts w:ascii="仿宋" w:hAnsi="仿宋" w:eastAsia="仿宋"/>
          <w:b/>
          <w:bCs/>
          <w:sz w:val="32"/>
          <w:szCs w:val="32"/>
        </w:rPr>
        <w:t>二是</w:t>
      </w:r>
      <w:r>
        <w:rPr>
          <w:rFonts w:hint="eastAsia" w:ascii="仿宋" w:hAnsi="仿宋" w:eastAsia="仿宋" w:cs="仿宋"/>
          <w:kern w:val="0"/>
          <w:sz w:val="32"/>
          <w:szCs w:val="32"/>
          <w:lang w:val="zh-CN"/>
        </w:rPr>
        <w:t>专</w:t>
      </w:r>
      <w:r>
        <w:rPr>
          <w:rFonts w:hint="eastAsia" w:ascii="仿宋_GB2312" w:hAnsi="仿宋_GB2312" w:eastAsia="仿宋_GB2312" w:cs="仿宋_GB2312"/>
          <w:kern w:val="0"/>
          <w:sz w:val="32"/>
          <w:szCs w:val="32"/>
          <w:lang w:val="zh-CN"/>
        </w:rPr>
        <w:t>业人才缺乏，法律服务机构还不健全。如我区法律人才资源较为缺少，仅有2个律师事务所、7名社会律师。</w:t>
      </w:r>
      <w:r>
        <w:rPr>
          <w:rFonts w:hint="eastAsia" w:ascii="仿宋" w:hAnsi="仿宋" w:eastAsia="仿宋"/>
          <w:b/>
          <w:bCs/>
          <w:sz w:val="32"/>
          <w:szCs w:val="32"/>
        </w:rPr>
        <w:t>三是</w:t>
      </w:r>
      <w:r>
        <w:rPr>
          <w:rFonts w:hint="eastAsia" w:ascii="仿宋_GB2312" w:hAnsi="仿宋_GB2312" w:eastAsia="仿宋_GB2312" w:cs="仿宋_GB2312"/>
          <w:kern w:val="0"/>
          <w:sz w:val="32"/>
          <w:szCs w:val="32"/>
          <w:lang w:val="zh-CN"/>
        </w:rPr>
        <w:t>依法治区考核力度不足。目前依法治区考核是放在全市党务目标进行的考核，分值较低，无单独的考核细则，也无加分项目，各部门干事激情不足。</w:t>
      </w:r>
    </w:p>
    <w:p>
      <w:pPr>
        <w:widowControl/>
        <w:adjustRightInd w:val="0"/>
        <w:snapToGrid w:val="0"/>
        <w:spacing w:line="580" w:lineRule="exact"/>
        <w:ind w:firstLine="643" w:firstLineChars="200"/>
        <w:contextualSpacing/>
        <w:jc w:val="left"/>
        <w:rPr>
          <w:rFonts w:ascii="仿宋" w:hAnsi="仿宋" w:eastAsia="仿宋"/>
          <w:b/>
          <w:sz w:val="32"/>
          <w:szCs w:val="32"/>
          <w:lang w:val="zh-CN"/>
        </w:rPr>
      </w:pPr>
      <w:r>
        <w:rPr>
          <w:rFonts w:hint="eastAsia" w:ascii="仿宋" w:hAnsi="仿宋" w:eastAsia="仿宋"/>
          <w:b/>
          <w:sz w:val="32"/>
          <w:szCs w:val="32"/>
          <w:lang w:val="zh-CN"/>
        </w:rPr>
        <w:t>（三）相关建议。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jc w:val="both"/>
        <w:textAlignment w:val="auto"/>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引进专业人员，充实队伍，面向社会公开招聘一批懂法律、懂政策，具有较高综合素质和道德修养的人员，充实司法行政队伍；根据工作的实际需要，逐年增加法治政府建设、行政审批、社区矫正、法律援助、普法宣传、人民调解的业务专项经费；追加全区依法治区专项工作经费预算，为我区实现高质量发展提供坚强法治保障；继续推进公共法律服务体系建设。实现公共法律服务实体、热线、网络三大平台基本融合，汇聚形成公共法律服务大数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jc w:val="both"/>
        <w:textAlignment w:val="auto"/>
        <w:rPr>
          <w:rFonts w:hint="eastAsia" w:ascii="仿宋" w:hAnsi="仿宋" w:eastAsia="仿宋" w:cs="仿宋"/>
          <w:kern w:val="0"/>
          <w:sz w:val="32"/>
          <w:szCs w:val="32"/>
          <w:lang w:val="zh-CN"/>
        </w:rPr>
      </w:pPr>
    </w:p>
    <w:p>
      <w:pPr>
        <w:widowControl/>
        <w:jc w:val="left"/>
        <w:rPr>
          <w:rStyle w:val="34"/>
          <w:rFonts w:ascii="黑体" w:hAnsi="黑体" w:eastAsia="黑体"/>
          <w:b w:val="0"/>
        </w:rPr>
      </w:pPr>
    </w:p>
    <w:p>
      <w:pPr>
        <w:widowControl/>
        <w:jc w:val="left"/>
        <w:rPr>
          <w:rStyle w:val="34"/>
          <w:rFonts w:ascii="黑体" w:hAnsi="黑体" w:eastAsia="黑体"/>
          <w:b w:val="0"/>
        </w:rPr>
      </w:pPr>
    </w:p>
    <w:p>
      <w:pPr>
        <w:widowControl/>
        <w:jc w:val="left"/>
        <w:rPr>
          <w:rStyle w:val="34"/>
          <w:rFonts w:ascii="黑体" w:hAnsi="黑体" w:eastAsia="黑体"/>
          <w:b w:val="0"/>
        </w:rPr>
      </w:pPr>
    </w:p>
    <w:p>
      <w:pPr>
        <w:pStyle w:val="40"/>
        <w:spacing w:line="578" w:lineRule="exact"/>
        <w:jc w:val="center"/>
        <w:rPr>
          <w:rFonts w:hint="eastAsia" w:ascii="方正小标宋简体" w:hAnsi="方正小标宋简体" w:eastAsia="方正小标宋简体" w:cs="方正小标宋简体"/>
          <w:color w:val="auto"/>
          <w:kern w:val="2"/>
          <w:sz w:val="32"/>
          <w:szCs w:val="32"/>
          <w:lang w:val="en-US"/>
        </w:rPr>
      </w:pPr>
    </w:p>
    <w:p>
      <w:pPr>
        <w:pStyle w:val="40"/>
        <w:spacing w:line="578" w:lineRule="exact"/>
        <w:jc w:val="center"/>
        <w:rPr>
          <w:rFonts w:hint="eastAsia" w:ascii="方正小标宋简体" w:hAnsi="方正小标宋简体" w:eastAsia="方正小标宋简体" w:cs="方正小标宋简体"/>
          <w:color w:val="auto"/>
          <w:kern w:val="2"/>
          <w:sz w:val="32"/>
          <w:szCs w:val="32"/>
          <w:lang w:val="en-US"/>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jc w:val="both"/>
        <w:textAlignment w:val="auto"/>
        <w:rPr>
          <w:rFonts w:hint="eastAsia" w:ascii="方正小标宋简体" w:hAnsi="方正小标宋简体" w:eastAsia="方正小标宋简体" w:cs="方正小标宋简体"/>
          <w:color w:val="auto"/>
          <w:kern w:val="2"/>
          <w:sz w:val="32"/>
          <w:szCs w:val="32"/>
          <w:lang w:val="en-US"/>
        </w:rPr>
      </w:pPr>
    </w:p>
    <w:p>
      <w:pPr>
        <w:pStyle w:val="2"/>
        <w:numPr>
          <w:ilvl w:val="0"/>
          <w:numId w:val="0"/>
        </w:numPr>
        <w:ind w:leftChars="0"/>
        <w:rPr>
          <w:rFonts w:hint="eastAsia"/>
          <w:lang w:val="en-US"/>
        </w:rPr>
      </w:pPr>
    </w:p>
    <w:p>
      <w:pPr>
        <w:pStyle w:val="40"/>
        <w:spacing w:line="578" w:lineRule="exact"/>
        <w:jc w:val="center"/>
        <w:rPr>
          <w:rFonts w:hint="eastAsia" w:ascii="方正小标宋简体" w:hAnsi="方正小标宋简体" w:eastAsia="方正小标宋简体" w:cs="方正小标宋简体"/>
          <w:color w:val="auto"/>
          <w:kern w:val="2"/>
          <w:sz w:val="32"/>
          <w:szCs w:val="32"/>
          <w:lang w:val="en-US"/>
        </w:rPr>
      </w:pPr>
    </w:p>
    <w:p>
      <w:pPr>
        <w:pStyle w:val="40"/>
        <w:spacing w:line="578" w:lineRule="exact"/>
        <w:jc w:val="center"/>
        <w:rPr>
          <w:rFonts w:ascii="宋体" w:hAnsi="宋体"/>
          <w:color w:val="auto"/>
          <w:kern w:val="2"/>
          <w:sz w:val="44"/>
          <w:szCs w:val="44"/>
        </w:rPr>
      </w:pPr>
      <w:r>
        <w:rPr>
          <w:rFonts w:hint="eastAsia" w:ascii="方正小标宋简体" w:hAnsi="方正小标宋简体" w:eastAsia="方正小标宋简体" w:cs="方正小标宋简体"/>
          <w:color w:val="auto"/>
          <w:kern w:val="2"/>
          <w:sz w:val="44"/>
          <w:szCs w:val="44"/>
          <w:lang w:val="en-US"/>
        </w:rPr>
        <w:t>2022年专项预算项目绩效自评报告</w:t>
      </w:r>
    </w:p>
    <w:p>
      <w:pPr>
        <w:pStyle w:val="4"/>
        <w:keepNext/>
        <w:keepLines/>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ascii="黑体" w:eastAsia="黑体"/>
          <w:b w:val="0"/>
          <w:lang w:val="zh-CN"/>
        </w:rPr>
      </w:pPr>
      <w:bookmarkStart w:id="121" w:name="_Toc143805856"/>
      <w:r>
        <w:rPr>
          <w:rFonts w:hint="eastAsia" w:ascii="黑体" w:eastAsia="黑体"/>
          <w:b w:val="0"/>
          <w:lang w:val="zh-CN"/>
        </w:rPr>
        <w:t>一、项目概况</w:t>
      </w:r>
      <w:bookmarkEnd w:id="121"/>
    </w:p>
    <w:p>
      <w:pPr>
        <w:widowControl/>
        <w:adjustRightInd w:val="0"/>
        <w:snapToGrid w:val="0"/>
        <w:spacing w:line="580" w:lineRule="exact"/>
        <w:ind w:firstLine="643" w:firstLineChars="200"/>
        <w:contextualSpacing/>
        <w:jc w:val="left"/>
        <w:rPr>
          <w:rFonts w:ascii="仿宋_GB2312" w:hAnsi="Calibri" w:eastAsia="仿宋_GB2312" w:cs="仿宋"/>
          <w:kern w:val="0"/>
          <w:sz w:val="32"/>
          <w:szCs w:val="32"/>
          <w:lang w:val="zh-CN"/>
        </w:rPr>
      </w:pPr>
      <w:r>
        <w:rPr>
          <w:rFonts w:hint="eastAsia" w:ascii="仿宋" w:hAnsi="仿宋" w:eastAsia="仿宋"/>
          <w:b/>
          <w:sz w:val="32"/>
          <w:szCs w:val="32"/>
          <w:lang w:val="zh-CN"/>
        </w:rPr>
        <w:t>（一）项目基本情况。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jc w:val="both"/>
        <w:textAlignment w:val="auto"/>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1.案件代理主要用于社会律师参与重大行政决策合法性审查、重大行政诉讼案件、民商事案件、仲裁案件等案件代理方面的工作。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jc w:val="both"/>
        <w:textAlignment w:val="auto"/>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2.项目立项、资金申报的依据。《法治政府建设实施纲要（2021－2025年）》。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jc w:val="both"/>
        <w:textAlignment w:val="auto"/>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3.资金管理办法制定情况，资金支持具体项目的条件、范围与支持方式概况。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jc w:val="both"/>
        <w:textAlignment w:val="auto"/>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该项目资金严格按照区司法局相关财务制度管理，资金主要用于社会律师参与重大行政决策合法性审查、重大行政诉讼案件、民商事案件、仲裁案件等案件代理方面的工作。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jc w:val="both"/>
        <w:textAlignment w:val="auto"/>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4.资金分配的原则及考虑因素。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jc w:val="both"/>
        <w:textAlignment w:val="auto"/>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该项目资金根据区司法局实际支出情况按需支取。</w:t>
      </w:r>
    </w:p>
    <w:p>
      <w:pPr>
        <w:widowControl/>
        <w:adjustRightInd w:val="0"/>
        <w:snapToGrid w:val="0"/>
        <w:spacing w:line="580" w:lineRule="exact"/>
        <w:ind w:firstLine="643" w:firstLineChars="200"/>
        <w:contextualSpacing/>
        <w:jc w:val="left"/>
        <w:rPr>
          <w:rFonts w:ascii="仿宋_GB2312" w:hAnsi="Calibri" w:eastAsia="仿宋_GB2312" w:cs="仿宋"/>
          <w:kern w:val="0"/>
          <w:sz w:val="32"/>
          <w:szCs w:val="32"/>
          <w:lang w:val="zh-CN"/>
        </w:rPr>
      </w:pPr>
      <w:r>
        <w:rPr>
          <w:rFonts w:hint="eastAsia" w:ascii="仿宋" w:hAnsi="仿宋" w:eastAsia="仿宋"/>
          <w:b/>
          <w:sz w:val="32"/>
          <w:szCs w:val="32"/>
          <w:lang w:val="zh-CN"/>
        </w:rPr>
        <w:t>（二）项目绩效目标。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jc w:val="both"/>
        <w:textAlignment w:val="auto"/>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加强法律顾问和公职律师队伍建设，提升法律顾问和公职律师参与重大决策的能力水平，用于社会律师参与重大行政决策合法性审查、重大行政诉讼案件、民商事案件、仲裁案件等案件代理。分析评价申报内容与实际相符，申报目标合理可行。</w:t>
      </w:r>
    </w:p>
    <w:p>
      <w:pPr>
        <w:widowControl/>
        <w:adjustRightInd w:val="0"/>
        <w:snapToGrid w:val="0"/>
        <w:spacing w:line="580" w:lineRule="exact"/>
        <w:ind w:firstLine="643" w:firstLineChars="200"/>
        <w:contextualSpacing/>
        <w:jc w:val="left"/>
        <w:rPr>
          <w:rFonts w:ascii="仿宋" w:hAnsi="仿宋" w:eastAsia="仿宋"/>
          <w:b/>
          <w:sz w:val="32"/>
          <w:szCs w:val="32"/>
          <w:lang w:val="zh-CN"/>
        </w:rPr>
      </w:pPr>
      <w:r>
        <w:rPr>
          <w:rFonts w:hint="eastAsia" w:ascii="仿宋" w:hAnsi="仿宋" w:eastAsia="仿宋"/>
          <w:b/>
          <w:sz w:val="32"/>
          <w:szCs w:val="32"/>
          <w:lang w:val="zh-CN"/>
        </w:rPr>
        <w:t>（三）项目自评步骤及方法。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jc w:val="both"/>
        <w:textAlignment w:val="auto"/>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该项目绩效自评采用自评方式，成立项目自评小组，结合评价内容，做到有计划，有安排，扎实开展本次自评工作。按照上级下达的项目支出绩效评价指标体系，自评小组针对申报内容、实施情况、资金兑现、财务管理、社会效益等作出自我评价，做好自评工作。</w:t>
      </w:r>
    </w:p>
    <w:p>
      <w:pPr>
        <w:pStyle w:val="4"/>
        <w:keepNext/>
        <w:keepLines/>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黑体" w:eastAsia="黑体"/>
          <w:b w:val="0"/>
          <w:lang w:val="zh-CN"/>
        </w:rPr>
      </w:pPr>
      <w:bookmarkStart w:id="122" w:name="_Toc143805857"/>
      <w:r>
        <w:rPr>
          <w:rFonts w:hint="eastAsia" w:ascii="黑体" w:eastAsia="黑体"/>
          <w:b w:val="0"/>
          <w:lang w:val="zh-CN"/>
        </w:rPr>
        <w:t>二、项目资金申报及使用情况</w:t>
      </w:r>
      <w:bookmarkEnd w:id="122"/>
    </w:p>
    <w:p>
      <w:pPr>
        <w:widowControl/>
        <w:adjustRightInd w:val="0"/>
        <w:snapToGrid w:val="0"/>
        <w:spacing w:line="580" w:lineRule="exact"/>
        <w:ind w:firstLine="643" w:firstLineChars="200"/>
        <w:contextualSpacing/>
        <w:jc w:val="left"/>
        <w:rPr>
          <w:rFonts w:ascii="仿宋" w:hAnsi="仿宋" w:eastAsia="仿宋" w:cs="仿宋"/>
          <w:kern w:val="0"/>
          <w:sz w:val="32"/>
          <w:szCs w:val="32"/>
          <w:lang w:val="zh-CN"/>
        </w:rPr>
      </w:pPr>
      <w:r>
        <w:rPr>
          <w:rFonts w:hint="eastAsia" w:ascii="仿宋" w:hAnsi="仿宋" w:eastAsia="仿宋"/>
          <w:b/>
          <w:sz w:val="32"/>
          <w:szCs w:val="32"/>
          <w:lang w:val="zh-CN"/>
        </w:rPr>
        <w:t>（一）项目资金申报及批复情况。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jc w:val="both"/>
        <w:textAlignment w:val="auto"/>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案件代理经费项目资金申报3万、批复3万。</w:t>
      </w:r>
    </w:p>
    <w:p>
      <w:pPr>
        <w:widowControl/>
        <w:adjustRightInd w:val="0"/>
        <w:snapToGrid w:val="0"/>
        <w:spacing w:line="580" w:lineRule="exact"/>
        <w:ind w:firstLine="643" w:firstLineChars="200"/>
        <w:contextualSpacing/>
        <w:jc w:val="left"/>
        <w:rPr>
          <w:rFonts w:ascii="仿宋" w:hAnsi="仿宋" w:eastAsia="仿宋"/>
          <w:b/>
          <w:sz w:val="32"/>
          <w:szCs w:val="32"/>
          <w:lang w:val="zh-CN"/>
        </w:rPr>
      </w:pPr>
      <w:r>
        <w:rPr>
          <w:rFonts w:hint="eastAsia" w:ascii="仿宋" w:hAnsi="仿宋" w:eastAsia="仿宋"/>
          <w:b/>
          <w:sz w:val="32"/>
          <w:szCs w:val="32"/>
          <w:lang w:val="zh-CN"/>
        </w:rPr>
        <w:t>（二）资金计划、到位及使用情况（可用表格形式反映）。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jc w:val="both"/>
        <w:textAlignment w:val="auto"/>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1.资金计划。该项目资金计划3万元。。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jc w:val="both"/>
        <w:textAlignment w:val="auto"/>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2.资金到位该项目资金截止评价时点实际到位3万元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jc w:val="both"/>
        <w:textAlignment w:val="auto"/>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3.资金使用截止评价时点项目资金的实际支出2.4万元，主要是用于社会律师参与重大行政决策合法性审查、重大行政诉讼案件、民商事案件、仲裁案件等案件代理等方面，其中劳务费2.4万元。</w:t>
      </w:r>
    </w:p>
    <w:p>
      <w:pPr>
        <w:widowControl/>
        <w:adjustRightInd w:val="0"/>
        <w:snapToGrid w:val="0"/>
        <w:spacing w:line="580" w:lineRule="exact"/>
        <w:ind w:firstLine="643" w:firstLineChars="200"/>
        <w:contextualSpacing/>
        <w:jc w:val="left"/>
        <w:rPr>
          <w:rFonts w:ascii="仿宋" w:hAnsi="仿宋" w:eastAsia="仿宋"/>
          <w:b/>
          <w:sz w:val="32"/>
          <w:szCs w:val="32"/>
          <w:lang w:val="zh-CN"/>
        </w:rPr>
      </w:pPr>
      <w:r>
        <w:rPr>
          <w:rFonts w:hint="eastAsia" w:ascii="仿宋" w:hAnsi="仿宋" w:eastAsia="仿宋"/>
          <w:b/>
          <w:sz w:val="32"/>
          <w:szCs w:val="32"/>
          <w:lang w:val="zh-CN"/>
        </w:rPr>
        <w:t>（三）项目财务管理情况。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jc w:val="both"/>
        <w:textAlignment w:val="auto"/>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该项目财务管理制度实行政府财务会计制度，建立了单位内控制度，严格按照相关的制度进行会计核算及账务处理，对照项目资金管理办法，该项目严格执行财务管理制度、财务处理较及时、会计核算规范。</w:t>
      </w:r>
    </w:p>
    <w:p>
      <w:pPr>
        <w:pStyle w:val="4"/>
        <w:keepNext/>
        <w:keepLines/>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黑体" w:eastAsia="黑体"/>
          <w:b w:val="0"/>
          <w:lang w:val="zh-CN"/>
        </w:rPr>
      </w:pPr>
      <w:bookmarkStart w:id="123" w:name="_Toc143805858"/>
      <w:r>
        <w:rPr>
          <w:rFonts w:hint="eastAsia" w:ascii="黑体" w:eastAsia="黑体"/>
          <w:b w:val="0"/>
          <w:lang w:val="zh-CN"/>
        </w:rPr>
        <w:t>三、项目实施及管理情况</w:t>
      </w:r>
      <w:bookmarkEnd w:id="123"/>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jc w:val="both"/>
        <w:textAlignment w:val="auto"/>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结合项目组织实施管理办法，重点围绕以下内容进行分析评价，并对自评中发现的问题分析说明。</w:t>
      </w:r>
    </w:p>
    <w:p>
      <w:pPr>
        <w:widowControl/>
        <w:numPr>
          <w:ilvl w:val="0"/>
          <w:numId w:val="6"/>
        </w:numPr>
        <w:adjustRightInd w:val="0"/>
        <w:snapToGrid w:val="0"/>
        <w:spacing w:line="580" w:lineRule="exact"/>
        <w:ind w:firstLine="643"/>
        <w:contextualSpacing/>
        <w:jc w:val="left"/>
        <w:rPr>
          <w:rFonts w:ascii="仿宋" w:hAnsi="仿宋" w:eastAsia="仿宋"/>
          <w:b/>
          <w:sz w:val="32"/>
          <w:szCs w:val="32"/>
          <w:lang w:val="zh-CN"/>
        </w:rPr>
      </w:pPr>
      <w:r>
        <w:rPr>
          <w:rFonts w:hint="eastAsia" w:ascii="仿宋" w:hAnsi="仿宋" w:eastAsia="仿宋"/>
          <w:b/>
          <w:sz w:val="32"/>
          <w:szCs w:val="32"/>
          <w:lang w:val="zh-CN"/>
        </w:rPr>
        <w:t>项目组织架构及实施流程。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jc w:val="both"/>
        <w:textAlignment w:val="auto"/>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案件代理经费严格按照专款专用原则，及时通知有关单位提供合法票据，完善报账手续，严格票据审核，规范报账程序，确保资金使用的及时性、规范性，同时财政部门对资金支付严格审核，确保资金使用安全。</w:t>
      </w:r>
    </w:p>
    <w:p>
      <w:pPr>
        <w:widowControl/>
        <w:adjustRightInd w:val="0"/>
        <w:snapToGrid w:val="0"/>
        <w:spacing w:line="580" w:lineRule="exact"/>
        <w:ind w:firstLine="643" w:firstLineChars="200"/>
        <w:contextualSpacing/>
        <w:jc w:val="left"/>
        <w:rPr>
          <w:rFonts w:hint="eastAsia" w:ascii="仿宋_GB2312" w:hAnsi="仿宋_GB2312" w:eastAsia="仿宋_GB2312" w:cs="仿宋_GB2312"/>
          <w:kern w:val="0"/>
          <w:sz w:val="32"/>
          <w:szCs w:val="32"/>
          <w:lang w:val="zh-CN"/>
        </w:rPr>
      </w:pPr>
      <w:r>
        <w:rPr>
          <w:rFonts w:hint="eastAsia" w:ascii="仿宋" w:hAnsi="仿宋" w:eastAsia="仿宋"/>
          <w:b/>
          <w:sz w:val="32"/>
          <w:szCs w:val="32"/>
          <w:lang w:val="zh-CN"/>
        </w:rPr>
        <w:t>（二）项目管理情况。</w:t>
      </w:r>
      <w:r>
        <w:rPr>
          <w:rFonts w:hint="eastAsia" w:ascii="仿宋_GB2312" w:hAnsi="仿宋_GB2312" w:eastAsia="仿宋_GB2312" w:cs="仿宋_GB2312"/>
          <w:kern w:val="0"/>
          <w:sz w:val="32"/>
          <w:szCs w:val="32"/>
          <w:lang w:val="zh-CN"/>
        </w:rPr>
        <w:t>项目严格按照区级有关规定执行，严格用于社会律师参与重大行政决策合法性审查、重大行政诉讼案件、民商事案件、仲裁案件等案件代理等方面的工作支出，资金专款专用。</w:t>
      </w:r>
    </w:p>
    <w:p>
      <w:pPr>
        <w:widowControl/>
        <w:adjustRightInd w:val="0"/>
        <w:snapToGrid w:val="0"/>
        <w:spacing w:line="580" w:lineRule="exact"/>
        <w:ind w:firstLine="643" w:firstLineChars="200"/>
        <w:contextualSpacing/>
        <w:jc w:val="left"/>
        <w:rPr>
          <w:rFonts w:hint="eastAsia" w:ascii="仿宋_GB2312" w:hAnsi="仿宋_GB2312" w:eastAsia="仿宋_GB2312" w:cs="仿宋_GB2312"/>
          <w:kern w:val="0"/>
          <w:sz w:val="32"/>
          <w:szCs w:val="32"/>
          <w:lang w:val="zh-CN"/>
        </w:rPr>
      </w:pPr>
      <w:r>
        <w:rPr>
          <w:rFonts w:hint="eastAsia" w:ascii="仿宋" w:hAnsi="仿宋" w:eastAsia="仿宋"/>
          <w:b/>
          <w:sz w:val="32"/>
          <w:szCs w:val="32"/>
          <w:lang w:val="zh-CN"/>
        </w:rPr>
        <w:t>（三）项目监管情况。</w:t>
      </w:r>
      <w:r>
        <w:rPr>
          <w:rFonts w:hint="eastAsia" w:ascii="仿宋_GB2312" w:hAnsi="仿宋_GB2312" w:eastAsia="仿宋_GB2312" w:cs="仿宋_GB2312"/>
          <w:kern w:val="0"/>
          <w:sz w:val="32"/>
          <w:szCs w:val="32"/>
          <w:lang w:val="zh-CN"/>
        </w:rPr>
        <w:t>项目由区司法局监管，并严格按照相关财经纪律执行。</w:t>
      </w:r>
    </w:p>
    <w:p>
      <w:pPr>
        <w:pStyle w:val="4"/>
        <w:keepNext/>
        <w:keepLines/>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黑体" w:eastAsia="黑体"/>
          <w:b w:val="0"/>
          <w:lang w:val="zh-CN"/>
        </w:rPr>
      </w:pPr>
      <w:bookmarkStart w:id="124" w:name="_Toc143805859"/>
      <w:r>
        <w:rPr>
          <w:rFonts w:hint="eastAsia" w:ascii="黑体" w:eastAsia="黑体"/>
          <w:b w:val="0"/>
          <w:lang w:val="zh-CN"/>
        </w:rPr>
        <w:t>四、项目绩效情况</w:t>
      </w:r>
      <w:bookmarkEnd w:id="124"/>
      <w:r>
        <w:rPr>
          <w:rFonts w:hint="eastAsia" w:ascii="黑体" w:eastAsia="黑体"/>
          <w:b w:val="0"/>
          <w:lang w:val="zh-CN"/>
        </w:rPr>
        <w:tab/>
      </w:r>
    </w:p>
    <w:p>
      <w:pPr>
        <w:widowControl/>
        <w:adjustRightInd w:val="0"/>
        <w:snapToGrid w:val="0"/>
        <w:spacing w:line="580" w:lineRule="exact"/>
        <w:ind w:firstLine="643" w:firstLineChars="200"/>
        <w:contextualSpacing/>
        <w:jc w:val="left"/>
        <w:rPr>
          <w:rFonts w:ascii="仿宋" w:hAnsi="仿宋" w:eastAsia="仿宋"/>
          <w:b/>
          <w:sz w:val="32"/>
          <w:szCs w:val="32"/>
          <w:lang w:val="zh-CN"/>
        </w:rPr>
      </w:pPr>
      <w:r>
        <w:rPr>
          <w:rFonts w:hint="eastAsia" w:ascii="仿宋" w:hAnsi="仿宋" w:eastAsia="仿宋"/>
          <w:b/>
          <w:sz w:val="32"/>
          <w:szCs w:val="32"/>
          <w:lang w:val="zh-CN"/>
        </w:rPr>
        <w:t>（一）项目完成情况。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jc w:val="both"/>
        <w:textAlignment w:val="auto"/>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诉讼案件质量最大程度维护区政府利益，群众满意度≥85%。</w:t>
      </w:r>
    </w:p>
    <w:p>
      <w:pPr>
        <w:widowControl/>
        <w:adjustRightInd w:val="0"/>
        <w:snapToGrid w:val="0"/>
        <w:spacing w:line="580" w:lineRule="exact"/>
        <w:ind w:firstLine="643" w:firstLineChars="200"/>
        <w:contextualSpacing/>
        <w:jc w:val="left"/>
        <w:rPr>
          <w:rFonts w:ascii="仿宋" w:hAnsi="仿宋" w:eastAsia="仿宋" w:cs="仿宋"/>
          <w:kern w:val="0"/>
          <w:sz w:val="32"/>
          <w:szCs w:val="32"/>
          <w:lang w:val="zh-CN"/>
        </w:rPr>
      </w:pPr>
      <w:r>
        <w:rPr>
          <w:rFonts w:hint="eastAsia" w:ascii="仿宋" w:hAnsi="仿宋" w:eastAsia="仿宋"/>
          <w:b/>
          <w:sz w:val="32"/>
          <w:szCs w:val="32"/>
          <w:lang w:val="zh-CN"/>
        </w:rPr>
        <w:t>（二）项目效益情况。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jc w:val="both"/>
        <w:textAlignment w:val="auto"/>
        <w:rPr>
          <w:rFonts w:hint="eastAsia" w:ascii="仿宋_GB2312" w:hAnsi="仿宋_GB2312" w:eastAsia="仿宋_GB2312" w:cs="仿宋_GB2312"/>
          <w:kern w:val="0"/>
          <w:sz w:val="32"/>
          <w:szCs w:val="32"/>
          <w:lang w:val="zh-CN"/>
        </w:rPr>
      </w:pPr>
      <w:bookmarkStart w:id="125" w:name="_Toc143805860"/>
      <w:r>
        <w:rPr>
          <w:rFonts w:hint="eastAsia" w:ascii="仿宋_GB2312" w:hAnsi="仿宋_GB2312" w:eastAsia="仿宋_GB2312" w:cs="仿宋_GB2312"/>
          <w:kern w:val="0"/>
          <w:sz w:val="32"/>
          <w:szCs w:val="32"/>
          <w:lang w:val="zh-CN"/>
        </w:rPr>
        <w:t>提高法治政府公信力，群众满意度≥85%。</w:t>
      </w:r>
      <w:bookmarkEnd w:id="125"/>
    </w:p>
    <w:p>
      <w:pPr>
        <w:pStyle w:val="4"/>
        <w:keepNext/>
        <w:keepLines/>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黑体" w:eastAsia="黑体"/>
          <w:b w:val="0"/>
          <w:lang w:val="zh-CN"/>
        </w:rPr>
      </w:pPr>
      <w:bookmarkStart w:id="126" w:name="_Toc143805861"/>
      <w:r>
        <w:rPr>
          <w:rFonts w:hint="eastAsia" w:ascii="黑体" w:eastAsia="黑体"/>
          <w:b w:val="0"/>
          <w:lang w:val="zh-CN"/>
        </w:rPr>
        <w:t>五、评价结论及建议</w:t>
      </w:r>
      <w:bookmarkEnd w:id="126"/>
    </w:p>
    <w:p>
      <w:pPr>
        <w:widowControl/>
        <w:adjustRightInd w:val="0"/>
        <w:snapToGrid w:val="0"/>
        <w:spacing w:line="580" w:lineRule="exact"/>
        <w:ind w:firstLine="643" w:firstLineChars="200"/>
        <w:contextualSpacing/>
        <w:jc w:val="left"/>
        <w:rPr>
          <w:rFonts w:ascii="仿宋" w:hAnsi="仿宋" w:eastAsia="仿宋"/>
          <w:b/>
          <w:sz w:val="32"/>
          <w:szCs w:val="32"/>
          <w:lang w:val="zh-CN"/>
        </w:rPr>
      </w:pPr>
      <w:r>
        <w:rPr>
          <w:rFonts w:hint="eastAsia" w:ascii="仿宋" w:hAnsi="仿宋" w:eastAsia="仿宋"/>
          <w:b/>
          <w:sz w:val="32"/>
          <w:szCs w:val="32"/>
          <w:lang w:val="zh-CN"/>
        </w:rPr>
        <w:t>（一）评价结论。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jc w:val="both"/>
        <w:textAlignment w:val="auto"/>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经遂宁市安居区司法局认真自评，2022年案件代理支出绩效评为“良好”。绩效目标明确，资金落实到位，管理体系完善，司法行政工作成效显现。</w:t>
      </w:r>
    </w:p>
    <w:p>
      <w:pPr>
        <w:widowControl/>
        <w:adjustRightInd w:val="0"/>
        <w:snapToGrid w:val="0"/>
        <w:spacing w:line="580" w:lineRule="exact"/>
        <w:ind w:firstLine="643" w:firstLineChars="200"/>
        <w:contextualSpacing/>
        <w:jc w:val="left"/>
        <w:rPr>
          <w:rFonts w:ascii="仿宋" w:hAnsi="仿宋" w:eastAsia="仿宋"/>
          <w:b/>
          <w:sz w:val="32"/>
          <w:szCs w:val="32"/>
          <w:lang w:val="zh-CN"/>
        </w:rPr>
      </w:pPr>
      <w:r>
        <w:rPr>
          <w:rFonts w:hint="eastAsia" w:ascii="仿宋" w:hAnsi="仿宋" w:eastAsia="仿宋"/>
          <w:b/>
          <w:sz w:val="32"/>
          <w:szCs w:val="32"/>
          <w:lang w:val="zh-CN"/>
        </w:rPr>
        <w:t>（二）存在的问题。</w:t>
      </w:r>
    </w:p>
    <w:p>
      <w:pPr>
        <w:spacing w:line="560" w:lineRule="exact"/>
        <w:ind w:firstLine="640" w:firstLineChars="200"/>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2022年，我们全面发挥职能优势，扎实开展各项工作，取得了一定的成效，但工作还存在着许多薄弱环节和短板：</w:t>
      </w:r>
      <w:r>
        <w:rPr>
          <w:rFonts w:ascii="仿宋" w:hAnsi="仿宋" w:eastAsia="仿宋"/>
          <w:b/>
          <w:bCs/>
          <w:sz w:val="32"/>
          <w:szCs w:val="32"/>
        </w:rPr>
        <w:t>一是</w:t>
      </w:r>
      <w:r>
        <w:rPr>
          <w:rFonts w:hint="eastAsia" w:ascii="仿宋" w:hAnsi="仿宋" w:eastAsia="仿宋" w:cs="仿宋"/>
          <w:kern w:val="0"/>
          <w:sz w:val="32"/>
          <w:szCs w:val="32"/>
          <w:lang w:val="zh-CN"/>
        </w:rPr>
        <w:t>发</w:t>
      </w:r>
      <w:r>
        <w:rPr>
          <w:rFonts w:hint="eastAsia" w:ascii="仿宋_GB2312" w:hAnsi="仿宋_GB2312" w:eastAsia="仿宋_GB2312" w:cs="仿宋_GB2312"/>
          <w:kern w:val="0"/>
          <w:sz w:val="32"/>
          <w:szCs w:val="32"/>
          <w:lang w:val="zh-CN"/>
        </w:rPr>
        <w:t>展不够平衡，基层基础比较薄弱。如我局基层司法所办公阵地、业务能力等规范化建设基础薄弱。</w:t>
      </w:r>
      <w:r>
        <w:rPr>
          <w:rFonts w:ascii="仿宋" w:hAnsi="仿宋" w:eastAsia="仿宋"/>
          <w:b/>
          <w:bCs/>
          <w:sz w:val="32"/>
          <w:szCs w:val="32"/>
        </w:rPr>
        <w:t>二是</w:t>
      </w:r>
      <w:r>
        <w:rPr>
          <w:rFonts w:hint="eastAsia" w:ascii="仿宋_GB2312" w:hAnsi="仿宋_GB2312" w:eastAsia="仿宋_GB2312" w:cs="仿宋_GB2312"/>
          <w:kern w:val="0"/>
          <w:sz w:val="32"/>
          <w:szCs w:val="32"/>
          <w:lang w:val="zh-CN"/>
        </w:rPr>
        <w:t>专业人才缺乏，法律服务机构还不健全。如我区法律人才资源较为缺少，仅有2个律师事务所、7名社会律师。</w:t>
      </w:r>
      <w:r>
        <w:rPr>
          <w:rFonts w:hint="eastAsia" w:ascii="仿宋" w:hAnsi="仿宋" w:eastAsia="仿宋"/>
          <w:b/>
          <w:bCs/>
          <w:sz w:val="32"/>
          <w:szCs w:val="32"/>
        </w:rPr>
        <w:t>三是</w:t>
      </w:r>
      <w:r>
        <w:rPr>
          <w:rFonts w:hint="eastAsia" w:ascii="仿宋_GB2312" w:hAnsi="仿宋_GB2312" w:eastAsia="仿宋_GB2312" w:cs="仿宋_GB2312"/>
          <w:kern w:val="0"/>
          <w:sz w:val="32"/>
          <w:szCs w:val="32"/>
          <w:lang w:val="zh-CN"/>
        </w:rPr>
        <w:t>依法治区考核力度不足。目前依法治区考核是放在全市党务目标进行的考核，分值较低，无单独的考核细则，也无加分项目，各部门干事激情不足。</w:t>
      </w:r>
      <w:r>
        <w:rPr>
          <w:rFonts w:hint="eastAsia" w:ascii="仿宋_GB2312" w:hAnsi="仿宋_GB2312" w:eastAsia="仿宋_GB2312" w:cs="仿宋_GB2312"/>
          <w:kern w:val="0"/>
          <w:sz w:val="32"/>
          <w:szCs w:val="32"/>
          <w:lang w:val="zh-CN"/>
        </w:rPr>
        <w:tab/>
      </w:r>
    </w:p>
    <w:p>
      <w:pPr>
        <w:widowControl/>
        <w:adjustRightInd w:val="0"/>
        <w:snapToGrid w:val="0"/>
        <w:spacing w:line="580" w:lineRule="exact"/>
        <w:ind w:firstLine="643" w:firstLineChars="200"/>
        <w:contextualSpacing/>
        <w:jc w:val="left"/>
        <w:rPr>
          <w:rFonts w:ascii="仿宋" w:hAnsi="仿宋" w:eastAsia="仿宋"/>
          <w:b/>
          <w:sz w:val="32"/>
          <w:szCs w:val="32"/>
          <w:lang w:val="zh-CN"/>
        </w:rPr>
      </w:pPr>
      <w:r>
        <w:rPr>
          <w:rFonts w:hint="eastAsia" w:ascii="仿宋" w:hAnsi="仿宋" w:eastAsia="仿宋"/>
          <w:b/>
          <w:sz w:val="32"/>
          <w:szCs w:val="32"/>
          <w:lang w:val="zh-CN"/>
        </w:rPr>
        <w:t>（三）相关建议。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jc w:val="both"/>
        <w:textAlignment w:val="auto"/>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引进专业人员，充实队伍，面向社会公开招聘一批懂法律、懂政策，具有较高综合素质和道德修养的人员，充实司法行政队伍；根据工作的实际需要，逐年增加法治政府建设、行政审批、社区矫正、法律援助、普法宣传、人民调解的业务专项经费；追加全区依法治区专项工作经费预算，为我区实现高质量发展提供坚强法治保障；继续推进公共法律服务体系建设。实现公共法律服务实体、热线、网络三大平台基本融合，汇聚形成公共法律服务大数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jc w:val="both"/>
        <w:textAlignment w:val="auto"/>
        <w:rPr>
          <w:rFonts w:hint="eastAsia" w:ascii="仿宋_GB2312" w:hAnsi="仿宋_GB2312" w:eastAsia="仿宋_GB2312" w:cs="仿宋_GB2312"/>
          <w:kern w:val="0"/>
          <w:sz w:val="32"/>
          <w:szCs w:val="32"/>
          <w:lang w:val="zh-CN"/>
        </w:rPr>
      </w:pPr>
    </w:p>
    <w:p>
      <w:pPr>
        <w:widowControl/>
        <w:jc w:val="left"/>
        <w:rPr>
          <w:rStyle w:val="34"/>
          <w:rFonts w:ascii="仿宋" w:hAnsi="仿宋" w:eastAsia="仿宋"/>
          <w:b w:val="0"/>
        </w:rPr>
      </w:pPr>
    </w:p>
    <w:p>
      <w:pPr>
        <w:widowControl/>
        <w:jc w:val="left"/>
        <w:rPr>
          <w:rStyle w:val="34"/>
          <w:rFonts w:ascii="仿宋" w:hAnsi="仿宋" w:eastAsia="仿宋"/>
          <w:b w:val="0"/>
        </w:rPr>
      </w:pPr>
    </w:p>
    <w:p>
      <w:pPr>
        <w:widowControl/>
        <w:jc w:val="left"/>
        <w:rPr>
          <w:rStyle w:val="34"/>
          <w:rFonts w:ascii="仿宋" w:hAnsi="仿宋" w:eastAsia="仿宋"/>
          <w:b w:val="0"/>
        </w:rPr>
      </w:pPr>
    </w:p>
    <w:p>
      <w:pPr>
        <w:pStyle w:val="40"/>
        <w:spacing w:line="578" w:lineRule="exact"/>
        <w:jc w:val="center"/>
        <w:rPr>
          <w:rFonts w:hint="eastAsia" w:ascii="仿宋" w:hAnsi="仿宋" w:eastAsia="仿宋" w:cs="方正小标宋简体"/>
          <w:color w:val="auto"/>
          <w:kern w:val="2"/>
          <w:sz w:val="32"/>
          <w:szCs w:val="32"/>
          <w:lang w:val="en-US"/>
        </w:rPr>
      </w:pPr>
    </w:p>
    <w:p>
      <w:pPr>
        <w:pStyle w:val="40"/>
        <w:spacing w:line="578" w:lineRule="exact"/>
        <w:jc w:val="center"/>
        <w:rPr>
          <w:rFonts w:hint="eastAsia" w:ascii="仿宋" w:hAnsi="仿宋" w:eastAsia="仿宋" w:cs="方正小标宋简体"/>
          <w:color w:val="auto"/>
          <w:kern w:val="2"/>
          <w:sz w:val="32"/>
          <w:szCs w:val="32"/>
          <w:lang w:val="en-US"/>
        </w:rPr>
      </w:pPr>
    </w:p>
    <w:p>
      <w:pPr>
        <w:pStyle w:val="40"/>
        <w:spacing w:line="578" w:lineRule="exact"/>
        <w:jc w:val="center"/>
        <w:rPr>
          <w:rFonts w:hint="eastAsia" w:ascii="仿宋" w:hAnsi="仿宋" w:eastAsia="仿宋" w:cs="方正小标宋简体"/>
          <w:color w:val="auto"/>
          <w:kern w:val="2"/>
          <w:sz w:val="32"/>
          <w:szCs w:val="32"/>
          <w:lang w:val="en-US"/>
        </w:rPr>
      </w:pPr>
    </w:p>
    <w:p>
      <w:pPr>
        <w:pStyle w:val="40"/>
        <w:spacing w:line="578" w:lineRule="exact"/>
        <w:jc w:val="center"/>
        <w:rPr>
          <w:rFonts w:hint="eastAsia" w:ascii="仿宋" w:hAnsi="仿宋" w:eastAsia="仿宋" w:cs="方正小标宋简体"/>
          <w:color w:val="auto"/>
          <w:kern w:val="2"/>
          <w:sz w:val="32"/>
          <w:szCs w:val="32"/>
          <w:lang w:val="en-US"/>
        </w:rPr>
      </w:pPr>
    </w:p>
    <w:p>
      <w:pPr>
        <w:pStyle w:val="40"/>
        <w:spacing w:line="578" w:lineRule="exact"/>
        <w:jc w:val="center"/>
        <w:rPr>
          <w:rFonts w:hint="eastAsia" w:ascii="仿宋" w:hAnsi="仿宋" w:eastAsia="仿宋" w:cs="方正小标宋简体"/>
          <w:color w:val="auto"/>
          <w:kern w:val="2"/>
          <w:sz w:val="32"/>
          <w:szCs w:val="32"/>
          <w:lang w:val="en-US"/>
        </w:rPr>
      </w:pPr>
    </w:p>
    <w:p>
      <w:pPr>
        <w:pStyle w:val="40"/>
        <w:spacing w:line="578" w:lineRule="exact"/>
        <w:jc w:val="center"/>
        <w:rPr>
          <w:rFonts w:hint="eastAsia" w:ascii="仿宋" w:hAnsi="仿宋" w:eastAsia="仿宋" w:cs="方正小标宋简体"/>
          <w:color w:val="auto"/>
          <w:kern w:val="2"/>
          <w:sz w:val="32"/>
          <w:szCs w:val="32"/>
          <w:lang w:val="en-US"/>
        </w:rPr>
      </w:pPr>
    </w:p>
    <w:p>
      <w:pPr>
        <w:pStyle w:val="40"/>
        <w:spacing w:line="578" w:lineRule="exact"/>
        <w:jc w:val="center"/>
        <w:rPr>
          <w:rFonts w:hint="eastAsia" w:ascii="仿宋" w:hAnsi="仿宋" w:eastAsia="仿宋" w:cs="方正小标宋简体"/>
          <w:color w:val="auto"/>
          <w:kern w:val="2"/>
          <w:sz w:val="32"/>
          <w:szCs w:val="32"/>
          <w:lang w:val="en-US"/>
        </w:rPr>
      </w:pPr>
    </w:p>
    <w:p>
      <w:pPr>
        <w:pStyle w:val="40"/>
        <w:spacing w:line="578" w:lineRule="exact"/>
        <w:jc w:val="center"/>
        <w:rPr>
          <w:rFonts w:hint="eastAsia" w:ascii="方正小标宋简体" w:hAnsi="方正小标宋简体" w:eastAsia="方正小标宋简体" w:cs="方正小标宋简体"/>
          <w:color w:val="auto"/>
          <w:kern w:val="2"/>
          <w:sz w:val="44"/>
          <w:szCs w:val="44"/>
          <w:lang w:val="en-US"/>
        </w:rPr>
      </w:pPr>
      <w:r>
        <w:rPr>
          <w:rFonts w:hint="eastAsia" w:ascii="方正小标宋简体" w:hAnsi="方正小标宋简体" w:eastAsia="方正小标宋简体" w:cs="方正小标宋简体"/>
          <w:color w:val="auto"/>
          <w:kern w:val="2"/>
          <w:sz w:val="44"/>
          <w:szCs w:val="44"/>
          <w:lang w:val="en-US"/>
        </w:rPr>
        <w:t>2022年专项预算项目绩效自评报告</w:t>
      </w:r>
    </w:p>
    <w:p>
      <w:pPr>
        <w:pStyle w:val="4"/>
        <w:keepNext/>
        <w:keepLines/>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黑体" w:eastAsia="黑体"/>
          <w:b w:val="0"/>
          <w:lang w:val="zh-CN"/>
        </w:rPr>
      </w:pPr>
      <w:bookmarkStart w:id="127" w:name="_Toc143805862"/>
      <w:r>
        <w:rPr>
          <w:rFonts w:hint="eastAsia" w:ascii="黑体" w:eastAsia="黑体"/>
          <w:b w:val="0"/>
          <w:lang w:val="zh-CN"/>
        </w:rPr>
        <w:t>一、项目概况</w:t>
      </w:r>
      <w:bookmarkEnd w:id="127"/>
    </w:p>
    <w:p>
      <w:pPr>
        <w:widowControl/>
        <w:adjustRightInd w:val="0"/>
        <w:snapToGrid w:val="0"/>
        <w:spacing w:line="580" w:lineRule="exact"/>
        <w:ind w:firstLine="643" w:firstLineChars="200"/>
        <w:contextualSpacing/>
        <w:jc w:val="left"/>
        <w:rPr>
          <w:rFonts w:ascii="仿宋" w:hAnsi="仿宋" w:eastAsia="仿宋" w:cs="仿宋"/>
          <w:kern w:val="0"/>
          <w:sz w:val="32"/>
          <w:szCs w:val="32"/>
          <w:lang w:val="zh-CN"/>
        </w:rPr>
      </w:pPr>
      <w:r>
        <w:rPr>
          <w:rFonts w:hint="eastAsia" w:ascii="仿宋" w:hAnsi="仿宋" w:eastAsia="仿宋"/>
          <w:b/>
          <w:sz w:val="32"/>
          <w:szCs w:val="32"/>
          <w:lang w:val="zh-CN"/>
        </w:rPr>
        <w:t>（一）项目基本情况。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jc w:val="both"/>
        <w:textAlignment w:val="auto"/>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1.公共法律服务运行维护费主要用于建立集区、镇、村三级公共法律服务实体、热线、网络三大平台于一体的公共法律服务中心方面的工作。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jc w:val="both"/>
        <w:textAlignment w:val="auto"/>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2.项目立项、资金申报的依据。《中共四川省委办公厅 四川省人民政府办公厅关于印发&lt;关于推进公共法律服务体系建设的实施意见&gt;的通知》（川委办〔2018〕18号）和《中共遂宁市安居区委办公室 遂宁市安居区人民政府办公室关于印发&lt;关于推进公共法律服务体系建设的实施方案&gt;的通知》文件精神。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jc w:val="both"/>
        <w:textAlignment w:val="auto"/>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3.资金管理办法制定情况，资金支持具体项目的条件、范围与支持方式概况。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jc w:val="both"/>
        <w:textAlignment w:val="auto"/>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该项目资金严格按照区司法局相关财务制度管理，资金主要用于建立集区、镇、村三级公共法律服务实体、热线、网络三大平台于一体的公共法律服务中心方面的工作。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jc w:val="both"/>
        <w:textAlignment w:val="auto"/>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4.资金分配的原则及考虑因素。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jc w:val="both"/>
        <w:textAlignment w:val="auto"/>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该项目资金根据区司法局实际支出情况按需支取。</w:t>
      </w:r>
    </w:p>
    <w:p>
      <w:pPr>
        <w:pStyle w:val="4"/>
        <w:keepNext/>
        <w:keepLines/>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ascii="仿宋" w:hAnsi="仿宋" w:eastAsia="仿宋" w:cs="仿宋"/>
          <w:kern w:val="0"/>
          <w:sz w:val="32"/>
          <w:szCs w:val="32"/>
          <w:lang w:val="zh-CN"/>
        </w:rPr>
      </w:pPr>
      <w:r>
        <w:rPr>
          <w:rFonts w:hint="eastAsia" w:ascii="仿宋" w:hAnsi="仿宋" w:eastAsia="仿宋"/>
          <w:b/>
          <w:sz w:val="32"/>
          <w:szCs w:val="32"/>
          <w:lang w:val="zh-CN"/>
        </w:rPr>
        <w:t>（二）项目绩效目标。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jc w:val="both"/>
        <w:textAlignment w:val="auto"/>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律服务业纳入改革示范单位重要改革事项。同时根据《中共四川省委办公厅 四川省人民政府办公厅关于印发&lt;关于推进公共法律服务体系建设的实施意见&gt;的通知》（川委办〔2018〕18号）和《中共遂宁市安居区委办公室 遂宁市安居区人民政府办公室关于印发&lt;关于推进公共法律服务体系建设的实施方案&gt;的通知》文件精神，我区将建成集区、镇、村三级公共法律服务实体、热线、网络三大平台于一体的公共法律服务中心。分析评价申报内容与实际相符，申报目标合理可行。</w:t>
      </w:r>
    </w:p>
    <w:p>
      <w:pPr>
        <w:widowControl/>
        <w:adjustRightInd w:val="0"/>
        <w:snapToGrid w:val="0"/>
        <w:spacing w:line="580" w:lineRule="exact"/>
        <w:ind w:firstLine="643" w:firstLineChars="200"/>
        <w:contextualSpacing/>
        <w:jc w:val="left"/>
        <w:rPr>
          <w:rFonts w:ascii="仿宋" w:hAnsi="仿宋" w:eastAsia="仿宋"/>
          <w:b/>
          <w:sz w:val="32"/>
          <w:szCs w:val="32"/>
          <w:lang w:val="zh-CN"/>
        </w:rPr>
      </w:pPr>
      <w:r>
        <w:rPr>
          <w:rFonts w:hint="eastAsia" w:ascii="仿宋" w:hAnsi="仿宋" w:eastAsia="仿宋"/>
          <w:b/>
          <w:sz w:val="32"/>
          <w:szCs w:val="32"/>
          <w:lang w:val="zh-CN"/>
        </w:rPr>
        <w:t>（三）项目自评步骤及方法。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jc w:val="both"/>
        <w:textAlignment w:val="auto"/>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该项目绩效自评采用自评方式，成立项目自评小组，结合评价内容，做到有计划，有安排，扎实开展本次自评工作。按照上级下达的项目支出绩效评价指标体系，自评小组针对申报内容、实施情况、资金兑现、财务管理、社会效益等作出自我评价，做好自评工作。</w:t>
      </w:r>
    </w:p>
    <w:p>
      <w:pPr>
        <w:pStyle w:val="4"/>
        <w:keepNext/>
        <w:keepLines/>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黑体" w:eastAsia="黑体"/>
          <w:b w:val="0"/>
          <w:lang w:val="zh-CN"/>
        </w:rPr>
      </w:pPr>
      <w:bookmarkStart w:id="128" w:name="_Toc143805863"/>
      <w:r>
        <w:rPr>
          <w:rFonts w:hint="eastAsia" w:ascii="黑体" w:eastAsia="黑体"/>
          <w:b w:val="0"/>
          <w:lang w:val="zh-CN"/>
        </w:rPr>
        <w:t>二、项目资金申报及使用情况</w:t>
      </w:r>
      <w:bookmarkEnd w:id="128"/>
    </w:p>
    <w:p>
      <w:pPr>
        <w:widowControl/>
        <w:adjustRightInd w:val="0"/>
        <w:snapToGrid w:val="0"/>
        <w:spacing w:line="580" w:lineRule="exact"/>
        <w:ind w:firstLine="643" w:firstLineChars="200"/>
        <w:contextualSpacing/>
        <w:jc w:val="left"/>
        <w:rPr>
          <w:rFonts w:ascii="仿宋" w:hAnsi="仿宋" w:eastAsia="仿宋" w:cs="仿宋"/>
          <w:kern w:val="0"/>
          <w:sz w:val="32"/>
          <w:szCs w:val="32"/>
          <w:lang w:val="zh-CN"/>
        </w:rPr>
      </w:pPr>
      <w:r>
        <w:rPr>
          <w:rFonts w:hint="eastAsia" w:ascii="仿宋" w:hAnsi="仿宋" w:eastAsia="仿宋"/>
          <w:b/>
          <w:sz w:val="32"/>
          <w:szCs w:val="32"/>
          <w:lang w:val="zh-CN"/>
        </w:rPr>
        <w:t>（一）项目资金申报及批复情况。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jc w:val="both"/>
        <w:textAlignment w:val="auto"/>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公共法律服务运行维护费项目资金申报10万、批复10万。</w:t>
      </w:r>
    </w:p>
    <w:p>
      <w:pPr>
        <w:widowControl/>
        <w:adjustRightInd w:val="0"/>
        <w:snapToGrid w:val="0"/>
        <w:spacing w:line="580" w:lineRule="exact"/>
        <w:ind w:firstLine="643" w:firstLineChars="200"/>
        <w:contextualSpacing/>
        <w:jc w:val="left"/>
        <w:rPr>
          <w:rFonts w:ascii="仿宋" w:hAnsi="仿宋" w:eastAsia="仿宋"/>
          <w:b/>
          <w:sz w:val="32"/>
          <w:szCs w:val="32"/>
          <w:lang w:val="zh-CN"/>
        </w:rPr>
      </w:pPr>
      <w:r>
        <w:rPr>
          <w:rFonts w:hint="eastAsia" w:ascii="仿宋" w:hAnsi="仿宋" w:eastAsia="仿宋"/>
          <w:b/>
          <w:sz w:val="32"/>
          <w:szCs w:val="32"/>
          <w:lang w:val="zh-CN"/>
        </w:rPr>
        <w:t>（二）资金计划、到位及使用情况（可用表格形式反映）。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jc w:val="both"/>
        <w:textAlignment w:val="auto"/>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1.资金计划。该项目资金计划10万元。。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jc w:val="both"/>
        <w:textAlignment w:val="auto"/>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2.资金到位该项目资金截止评价时点实际到位10万元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jc w:val="both"/>
        <w:textAlignment w:val="auto"/>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3.资金使用截止评价时点项目资金的实际支出8.22万元，主要是用于建立集区、镇、村三级公共法律服务实体、热线、网络三大平台于一体的公共法律服务中心方面的工作。其中办公费1.76万元、差旅费4.96万元。</w:t>
      </w:r>
    </w:p>
    <w:p>
      <w:pPr>
        <w:widowControl/>
        <w:adjustRightInd w:val="0"/>
        <w:snapToGrid w:val="0"/>
        <w:spacing w:line="580" w:lineRule="exact"/>
        <w:ind w:firstLine="643" w:firstLineChars="200"/>
        <w:contextualSpacing/>
        <w:jc w:val="left"/>
        <w:rPr>
          <w:rFonts w:ascii="仿宋" w:hAnsi="仿宋" w:eastAsia="仿宋"/>
          <w:b/>
          <w:sz w:val="32"/>
          <w:szCs w:val="32"/>
          <w:lang w:val="zh-CN"/>
        </w:rPr>
      </w:pPr>
      <w:r>
        <w:rPr>
          <w:rFonts w:hint="eastAsia" w:ascii="仿宋" w:hAnsi="仿宋" w:eastAsia="仿宋"/>
          <w:b/>
          <w:sz w:val="32"/>
          <w:szCs w:val="32"/>
          <w:lang w:val="zh-CN"/>
        </w:rPr>
        <w:t>（三）项目财务管理情况。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jc w:val="both"/>
        <w:textAlignment w:val="auto"/>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该项目财务管理制度实行政府财务会计制度，建立了单位内控制度，严格按照相关的制度进行会计核算及账务处理，对照项目资金管理办法，该项目严格执行财务管理制度、财务处理较及时、会计核算规范。</w:t>
      </w:r>
    </w:p>
    <w:p>
      <w:pPr>
        <w:pStyle w:val="4"/>
        <w:keepNext/>
        <w:keepLines/>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黑体" w:eastAsia="黑体"/>
          <w:b w:val="0"/>
          <w:lang w:val="zh-CN"/>
        </w:rPr>
      </w:pPr>
      <w:bookmarkStart w:id="129" w:name="_Toc143805864"/>
      <w:r>
        <w:rPr>
          <w:rFonts w:hint="eastAsia" w:ascii="黑体" w:eastAsia="黑体"/>
          <w:b w:val="0"/>
          <w:lang w:val="zh-CN"/>
        </w:rPr>
        <w:t>三、项目实施及管理情况</w:t>
      </w:r>
      <w:bookmarkEnd w:id="129"/>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jc w:val="both"/>
        <w:textAlignment w:val="auto"/>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结合项目组织实施管理办法，重点围绕以下内容进行分析评价，并对自评中发现的问题分析说明。</w:t>
      </w:r>
    </w:p>
    <w:p>
      <w:pPr>
        <w:widowControl/>
        <w:numPr>
          <w:ilvl w:val="0"/>
          <w:numId w:val="7"/>
        </w:numPr>
        <w:adjustRightInd w:val="0"/>
        <w:snapToGrid w:val="0"/>
        <w:spacing w:line="580" w:lineRule="exact"/>
        <w:ind w:firstLine="643"/>
        <w:contextualSpacing/>
        <w:jc w:val="left"/>
        <w:rPr>
          <w:rFonts w:ascii="仿宋" w:hAnsi="仿宋" w:eastAsia="仿宋"/>
          <w:b/>
          <w:sz w:val="32"/>
          <w:szCs w:val="32"/>
          <w:lang w:val="zh-CN"/>
        </w:rPr>
      </w:pPr>
      <w:r>
        <w:rPr>
          <w:rFonts w:hint="eastAsia" w:ascii="仿宋" w:hAnsi="仿宋" w:eastAsia="仿宋"/>
          <w:b/>
          <w:sz w:val="32"/>
          <w:szCs w:val="32"/>
          <w:lang w:val="zh-CN"/>
        </w:rPr>
        <w:t>项目组织架构及实施流程。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jc w:val="both"/>
        <w:textAlignment w:val="auto"/>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公共法律服务运行维护费严格按照专款专用原则，及时通知有关单位提供合法票据，完善报账手续，严格票据审核，规范报账程序，确保资金使用的及时性、规范性，同时财政部门对资金支付严格审核，确保资金使用安全。</w:t>
      </w:r>
    </w:p>
    <w:p>
      <w:pPr>
        <w:widowControl/>
        <w:adjustRightInd w:val="0"/>
        <w:snapToGrid w:val="0"/>
        <w:spacing w:line="580" w:lineRule="exact"/>
        <w:ind w:firstLine="643" w:firstLineChars="200"/>
        <w:contextualSpacing/>
        <w:jc w:val="left"/>
        <w:rPr>
          <w:rFonts w:hint="eastAsia" w:ascii="仿宋_GB2312" w:hAnsi="仿宋_GB2312" w:eastAsia="仿宋_GB2312" w:cs="仿宋_GB2312"/>
          <w:kern w:val="0"/>
          <w:sz w:val="32"/>
          <w:szCs w:val="32"/>
          <w:lang w:val="zh-CN"/>
        </w:rPr>
      </w:pPr>
      <w:r>
        <w:rPr>
          <w:rFonts w:hint="eastAsia" w:ascii="仿宋" w:hAnsi="仿宋" w:eastAsia="仿宋"/>
          <w:b/>
          <w:sz w:val="32"/>
          <w:szCs w:val="32"/>
          <w:lang w:val="zh-CN"/>
        </w:rPr>
        <w:t>（二）项目管理情况。</w:t>
      </w:r>
      <w:r>
        <w:rPr>
          <w:rFonts w:hint="eastAsia" w:ascii="仿宋_GB2312" w:hAnsi="仿宋_GB2312" w:eastAsia="仿宋_GB2312" w:cs="仿宋_GB2312"/>
          <w:kern w:val="0"/>
          <w:sz w:val="32"/>
          <w:szCs w:val="32"/>
          <w:lang w:val="zh-CN"/>
        </w:rPr>
        <w:t>项目严格按照区级有关规定执行，严格用于建立集区、镇、村三级公共法律服务实体、热线、网络三大平台于一体的公共法律服务中心等方面的工作支出，资金专款专用。</w:t>
      </w:r>
    </w:p>
    <w:p>
      <w:pPr>
        <w:widowControl/>
        <w:adjustRightInd w:val="0"/>
        <w:snapToGrid w:val="0"/>
        <w:spacing w:line="580" w:lineRule="exact"/>
        <w:ind w:firstLine="643" w:firstLineChars="200"/>
        <w:contextualSpacing/>
        <w:jc w:val="left"/>
        <w:rPr>
          <w:rFonts w:hint="eastAsia" w:ascii="仿宋_GB2312" w:hAnsi="仿宋_GB2312" w:eastAsia="仿宋_GB2312" w:cs="仿宋_GB2312"/>
          <w:kern w:val="0"/>
          <w:sz w:val="32"/>
          <w:szCs w:val="32"/>
          <w:lang w:val="zh-CN"/>
        </w:rPr>
      </w:pPr>
      <w:r>
        <w:rPr>
          <w:rFonts w:hint="eastAsia" w:ascii="仿宋" w:hAnsi="仿宋" w:eastAsia="仿宋"/>
          <w:b/>
          <w:sz w:val="32"/>
          <w:szCs w:val="32"/>
          <w:lang w:val="zh-CN"/>
        </w:rPr>
        <w:t>（三）项目监管情况。</w:t>
      </w:r>
      <w:r>
        <w:rPr>
          <w:rFonts w:hint="eastAsia" w:ascii="仿宋_GB2312" w:hAnsi="仿宋_GB2312" w:eastAsia="仿宋_GB2312" w:cs="仿宋_GB2312"/>
          <w:kern w:val="0"/>
          <w:sz w:val="32"/>
          <w:szCs w:val="32"/>
          <w:lang w:val="zh-CN"/>
        </w:rPr>
        <w:t>项目由区司法局监管，并严格按照相关财经纪律执行。</w:t>
      </w:r>
    </w:p>
    <w:p>
      <w:pPr>
        <w:pStyle w:val="4"/>
        <w:keepNext/>
        <w:keepLines/>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黑体" w:eastAsia="黑体"/>
          <w:b w:val="0"/>
          <w:lang w:val="zh-CN"/>
        </w:rPr>
      </w:pPr>
      <w:bookmarkStart w:id="130" w:name="_Toc143805865"/>
      <w:r>
        <w:rPr>
          <w:rFonts w:hint="eastAsia" w:ascii="黑体" w:eastAsia="黑体"/>
          <w:b w:val="0"/>
          <w:lang w:val="zh-CN"/>
        </w:rPr>
        <w:t>四、项目绩效情况</w:t>
      </w:r>
      <w:bookmarkEnd w:id="130"/>
      <w:r>
        <w:rPr>
          <w:rFonts w:hint="eastAsia" w:ascii="黑体" w:eastAsia="黑体"/>
          <w:b w:val="0"/>
          <w:lang w:val="zh-CN"/>
        </w:rPr>
        <w:tab/>
      </w:r>
    </w:p>
    <w:p>
      <w:pPr>
        <w:widowControl/>
        <w:adjustRightInd w:val="0"/>
        <w:snapToGrid w:val="0"/>
        <w:spacing w:line="580" w:lineRule="exact"/>
        <w:ind w:firstLine="643" w:firstLineChars="200"/>
        <w:contextualSpacing/>
        <w:jc w:val="left"/>
        <w:rPr>
          <w:rFonts w:ascii="仿宋" w:hAnsi="仿宋" w:eastAsia="仿宋"/>
          <w:b/>
          <w:sz w:val="32"/>
          <w:szCs w:val="32"/>
          <w:lang w:val="zh-CN"/>
        </w:rPr>
      </w:pPr>
      <w:r>
        <w:rPr>
          <w:rFonts w:hint="eastAsia" w:ascii="仿宋" w:hAnsi="仿宋" w:eastAsia="仿宋"/>
          <w:b/>
          <w:sz w:val="32"/>
          <w:szCs w:val="32"/>
          <w:lang w:val="zh-CN"/>
        </w:rPr>
        <w:t>（一）项目完成情况。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jc w:val="both"/>
        <w:textAlignment w:val="auto"/>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解答群众困惑，为群众提供更高效的法律服务，群众满意度≥90%。</w:t>
      </w:r>
    </w:p>
    <w:p>
      <w:pPr>
        <w:widowControl/>
        <w:adjustRightInd w:val="0"/>
        <w:snapToGrid w:val="0"/>
        <w:spacing w:line="580" w:lineRule="exact"/>
        <w:ind w:firstLine="643" w:firstLineChars="200"/>
        <w:contextualSpacing/>
        <w:jc w:val="left"/>
        <w:rPr>
          <w:rFonts w:ascii="仿宋" w:hAnsi="仿宋" w:eastAsia="仿宋" w:cs="仿宋"/>
          <w:kern w:val="0"/>
          <w:sz w:val="32"/>
          <w:szCs w:val="32"/>
          <w:lang w:val="zh-CN"/>
        </w:rPr>
      </w:pPr>
      <w:r>
        <w:rPr>
          <w:rFonts w:hint="eastAsia" w:ascii="仿宋" w:hAnsi="仿宋" w:eastAsia="仿宋"/>
          <w:b/>
          <w:sz w:val="32"/>
          <w:szCs w:val="32"/>
          <w:lang w:val="zh-CN"/>
        </w:rPr>
        <w:t>（二）项目效益情况。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jc w:val="both"/>
        <w:textAlignment w:val="auto"/>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解答群众困惑，为群众提供更高效的法律服务，群众满意度≥90%。</w:t>
      </w:r>
    </w:p>
    <w:p>
      <w:pPr>
        <w:pStyle w:val="4"/>
        <w:keepNext/>
        <w:keepLines/>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黑体" w:eastAsia="黑体"/>
          <w:b w:val="0"/>
          <w:lang w:val="zh-CN"/>
        </w:rPr>
      </w:pPr>
      <w:bookmarkStart w:id="131" w:name="_Toc143805866"/>
      <w:r>
        <w:rPr>
          <w:rFonts w:hint="eastAsia" w:ascii="黑体" w:eastAsia="黑体"/>
          <w:b w:val="0"/>
          <w:lang w:val="zh-CN"/>
        </w:rPr>
        <w:t>五、评价结论及建议</w:t>
      </w:r>
      <w:bookmarkEnd w:id="131"/>
    </w:p>
    <w:p>
      <w:pPr>
        <w:widowControl/>
        <w:adjustRightInd w:val="0"/>
        <w:snapToGrid w:val="0"/>
        <w:spacing w:line="580" w:lineRule="exact"/>
        <w:ind w:firstLine="643" w:firstLineChars="200"/>
        <w:contextualSpacing/>
        <w:jc w:val="left"/>
        <w:rPr>
          <w:rFonts w:ascii="仿宋" w:hAnsi="仿宋" w:eastAsia="仿宋"/>
          <w:b/>
          <w:sz w:val="32"/>
          <w:szCs w:val="32"/>
          <w:lang w:val="zh-CN"/>
        </w:rPr>
      </w:pPr>
      <w:r>
        <w:rPr>
          <w:rFonts w:hint="eastAsia" w:ascii="仿宋" w:hAnsi="仿宋" w:eastAsia="仿宋"/>
          <w:b/>
          <w:sz w:val="32"/>
          <w:szCs w:val="32"/>
          <w:lang w:val="zh-CN"/>
        </w:rPr>
        <w:t>（一）评价结论。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jc w:val="both"/>
        <w:textAlignment w:val="auto"/>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经遂宁市安居区司法局认真自评，2022年公共法律服务运行维护费支出绩效评为“良好”。绩效目标明确，资金落实到位，管理体系完善，司法行政工作成效显现。</w:t>
      </w:r>
    </w:p>
    <w:p>
      <w:pPr>
        <w:widowControl/>
        <w:adjustRightInd w:val="0"/>
        <w:snapToGrid w:val="0"/>
        <w:spacing w:line="580" w:lineRule="exact"/>
        <w:ind w:firstLine="643" w:firstLineChars="200"/>
        <w:contextualSpacing/>
        <w:jc w:val="left"/>
        <w:rPr>
          <w:rFonts w:ascii="仿宋" w:hAnsi="仿宋" w:eastAsia="仿宋"/>
          <w:b/>
          <w:sz w:val="32"/>
          <w:szCs w:val="32"/>
          <w:lang w:val="zh-CN"/>
        </w:rPr>
      </w:pPr>
      <w:r>
        <w:rPr>
          <w:rFonts w:hint="eastAsia" w:ascii="仿宋" w:hAnsi="仿宋" w:eastAsia="仿宋"/>
          <w:b/>
          <w:sz w:val="32"/>
          <w:szCs w:val="32"/>
          <w:lang w:val="zh-CN"/>
        </w:rPr>
        <w:t>（二）存在的问题。</w:t>
      </w:r>
    </w:p>
    <w:p>
      <w:pPr>
        <w:spacing w:line="560" w:lineRule="exact"/>
        <w:ind w:firstLine="640" w:firstLineChars="200"/>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2022年，我们全面发挥职能优势，扎实开展各项工作，取得了一定的成效，但工作还存在着许多薄弱环节和短板：</w:t>
      </w:r>
      <w:r>
        <w:rPr>
          <w:rFonts w:ascii="仿宋" w:hAnsi="仿宋" w:eastAsia="仿宋"/>
          <w:b/>
          <w:bCs/>
          <w:sz w:val="32"/>
          <w:szCs w:val="32"/>
        </w:rPr>
        <w:t>一是</w:t>
      </w:r>
      <w:r>
        <w:rPr>
          <w:rFonts w:hint="eastAsia" w:ascii="仿宋_GB2312" w:hAnsi="仿宋_GB2312" w:eastAsia="仿宋_GB2312" w:cs="仿宋_GB2312"/>
          <w:kern w:val="0"/>
          <w:sz w:val="32"/>
          <w:szCs w:val="32"/>
          <w:lang w:val="zh-CN"/>
        </w:rPr>
        <w:t>发展不够平衡，基层基础比较薄弱。如我局基层司法所办公阵地、业务能力等规范化建设基础薄弱。</w:t>
      </w:r>
      <w:r>
        <w:rPr>
          <w:rFonts w:ascii="仿宋" w:hAnsi="仿宋" w:eastAsia="仿宋"/>
          <w:b/>
          <w:bCs/>
          <w:sz w:val="32"/>
          <w:szCs w:val="32"/>
        </w:rPr>
        <w:t>二是</w:t>
      </w:r>
      <w:r>
        <w:rPr>
          <w:rFonts w:hint="eastAsia" w:ascii="仿宋_GB2312" w:hAnsi="仿宋_GB2312" w:eastAsia="仿宋_GB2312" w:cs="仿宋_GB2312"/>
          <w:kern w:val="0"/>
          <w:sz w:val="32"/>
          <w:szCs w:val="32"/>
          <w:lang w:val="zh-CN"/>
        </w:rPr>
        <w:t>专业人才缺乏，法律服务机构还不健全。如我区法律人才资源较为缺少，仅有2个律师事务所、7名社会律师。</w:t>
      </w:r>
      <w:r>
        <w:rPr>
          <w:rFonts w:hint="eastAsia" w:ascii="仿宋" w:hAnsi="仿宋" w:eastAsia="仿宋"/>
          <w:b/>
          <w:bCs/>
          <w:sz w:val="32"/>
          <w:szCs w:val="32"/>
        </w:rPr>
        <w:t>三是</w:t>
      </w:r>
      <w:r>
        <w:rPr>
          <w:rFonts w:hint="eastAsia" w:ascii="仿宋_GB2312" w:hAnsi="仿宋_GB2312" w:eastAsia="仿宋_GB2312" w:cs="仿宋_GB2312"/>
          <w:kern w:val="0"/>
          <w:sz w:val="32"/>
          <w:szCs w:val="32"/>
          <w:lang w:val="zh-CN"/>
        </w:rPr>
        <w:t>依法治区考核力度不足。目前依法治区考核是放在全市党务目标进行的考核，分值较低，无单独的考核细则，也无加分项目，各部门干事激情不足。</w:t>
      </w:r>
      <w:r>
        <w:rPr>
          <w:rFonts w:hint="eastAsia" w:ascii="仿宋_GB2312" w:hAnsi="仿宋_GB2312" w:eastAsia="仿宋_GB2312" w:cs="仿宋_GB2312"/>
          <w:kern w:val="0"/>
          <w:sz w:val="32"/>
          <w:szCs w:val="32"/>
          <w:lang w:val="zh-CN"/>
        </w:rPr>
        <w:tab/>
      </w:r>
    </w:p>
    <w:p>
      <w:pPr>
        <w:widowControl/>
        <w:adjustRightInd w:val="0"/>
        <w:snapToGrid w:val="0"/>
        <w:spacing w:line="580" w:lineRule="exact"/>
        <w:ind w:firstLine="643" w:firstLineChars="200"/>
        <w:contextualSpacing/>
        <w:jc w:val="left"/>
        <w:rPr>
          <w:rFonts w:ascii="仿宋" w:hAnsi="仿宋" w:eastAsia="仿宋"/>
          <w:b/>
          <w:sz w:val="32"/>
          <w:szCs w:val="32"/>
          <w:lang w:val="zh-CN"/>
        </w:rPr>
      </w:pPr>
      <w:r>
        <w:rPr>
          <w:rFonts w:hint="eastAsia" w:ascii="仿宋" w:hAnsi="仿宋" w:eastAsia="仿宋"/>
          <w:b/>
          <w:sz w:val="32"/>
          <w:szCs w:val="32"/>
          <w:lang w:val="zh-CN"/>
        </w:rPr>
        <w:t>（三）相关建议。</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contextualSpacing/>
        <w:jc w:val="both"/>
        <w:textAlignment w:val="auto"/>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引进专业人员，充实队伍，面向社会公开招聘一批懂法律、懂政策，具有较高综合素质和道德修养的人员，充实司法行政队伍；根据工作的实际需要，逐年增加法治政府建设、行政审批、社区矫正、法律援助、普法宣传、人民调解的业务专项经费；追加全区依法治区专项工作经费预算，为我区实现高质量发展提供坚强法治保障；继续推进公共法律服务体系建设。实现公共法律服务实体、热线、网络三大平台基本融合，汇聚形成公共法律服务大数据。</w:t>
      </w:r>
    </w:p>
    <w:p>
      <w:pPr>
        <w:pStyle w:val="40"/>
        <w:spacing w:line="578" w:lineRule="exact"/>
        <w:jc w:val="center"/>
        <w:rPr>
          <w:rFonts w:hint="eastAsia" w:ascii="方正小标宋简体" w:hAnsi="方正小标宋简体" w:eastAsia="方正小标宋简体" w:cs="方正小标宋简体"/>
          <w:color w:val="auto"/>
          <w:kern w:val="2"/>
          <w:sz w:val="44"/>
          <w:szCs w:val="44"/>
          <w:lang w:val="en-US"/>
        </w:rPr>
      </w:pPr>
      <w:r>
        <w:rPr>
          <w:rFonts w:hint="eastAsia" w:ascii="方正小标宋简体" w:hAnsi="方正小标宋简体" w:eastAsia="方正小标宋简体" w:cs="方正小标宋简体"/>
          <w:color w:val="auto"/>
          <w:kern w:val="2"/>
          <w:sz w:val="44"/>
          <w:szCs w:val="44"/>
          <w:lang w:val="en-US"/>
        </w:rPr>
        <w:t>2022年专项预算项目绩效自评报告</w:t>
      </w:r>
    </w:p>
    <w:p>
      <w:pPr>
        <w:pStyle w:val="4"/>
        <w:keepNext/>
        <w:keepLines/>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黑体" w:eastAsia="黑体"/>
          <w:b w:val="0"/>
          <w:lang w:val="zh-CN"/>
        </w:rPr>
      </w:pPr>
      <w:bookmarkStart w:id="132" w:name="_Toc143805867"/>
      <w:r>
        <w:rPr>
          <w:rFonts w:hint="eastAsia" w:ascii="黑体" w:eastAsia="黑体"/>
          <w:b w:val="0"/>
          <w:lang w:val="zh-CN"/>
        </w:rPr>
        <w:t>一、项目概况</w:t>
      </w:r>
      <w:bookmarkEnd w:id="132"/>
    </w:p>
    <w:p>
      <w:pPr>
        <w:widowControl/>
        <w:adjustRightInd w:val="0"/>
        <w:snapToGrid w:val="0"/>
        <w:spacing w:line="580" w:lineRule="exact"/>
        <w:ind w:firstLine="643" w:firstLineChars="200"/>
        <w:contextualSpacing/>
        <w:jc w:val="left"/>
        <w:rPr>
          <w:rFonts w:ascii="仿宋" w:hAnsi="仿宋" w:eastAsia="仿宋" w:cs="仿宋"/>
          <w:kern w:val="0"/>
          <w:sz w:val="32"/>
          <w:szCs w:val="32"/>
          <w:lang w:val="zh-CN"/>
        </w:rPr>
      </w:pPr>
      <w:r>
        <w:rPr>
          <w:rFonts w:hint="eastAsia" w:ascii="仿宋" w:hAnsi="仿宋" w:eastAsia="仿宋"/>
          <w:b/>
          <w:sz w:val="32"/>
          <w:szCs w:val="32"/>
          <w:lang w:val="zh-CN"/>
        </w:rPr>
        <w:t>（一）项目基本情况。</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contextualSpacing/>
        <w:jc w:val="both"/>
        <w:textAlignment w:val="auto"/>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1.社区矫正办公经费主要用于对被判处管制、宣告缓刑、裁定假释、暂予监外执行这四类犯罪行为较轻的对象所实施的非监禁性矫正刑罚，其目的是为通过政府、社会以及爱心人士的帮助，使矫正对象改正恶习，并帮助他们重新回归社会方面的工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contextualSpacing/>
        <w:jc w:val="both"/>
        <w:textAlignment w:val="auto"/>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2.项目立项、资金申报的依据。《社区矫正法》第一章第六条、《四川省社区矫正实施细则》（川司法发〔2020〕133号）文件第一章第八条规定。</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contextualSpacing/>
        <w:jc w:val="both"/>
        <w:textAlignment w:val="auto"/>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3.资金管理办法制定情况，资金支持具体项目的条件、范围与支持方式概况。</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contextualSpacing/>
        <w:jc w:val="both"/>
        <w:textAlignment w:val="auto"/>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该项目资金严格按照区司法局相关财务制度管理，资金主要用于对被判处管制、宣告缓刑、裁定假释、暂予监外执行这四类犯罪行为较轻的对象所实施的非监禁性矫正刑罚，其目的是为通过政府、社会以及爱心人士的帮助，使矫正对象改正恶习，并帮助他们重新回归社会方面的工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contextualSpacing/>
        <w:jc w:val="both"/>
        <w:textAlignment w:val="auto"/>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4.资金分配的原则及考虑因素。</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contextualSpacing/>
        <w:jc w:val="both"/>
        <w:textAlignment w:val="auto"/>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该项目资金根据区司法局实际支出情况按需支取。</w:t>
      </w:r>
    </w:p>
    <w:p>
      <w:pPr>
        <w:widowControl/>
        <w:adjustRightInd w:val="0"/>
        <w:snapToGrid w:val="0"/>
        <w:spacing w:line="580" w:lineRule="exact"/>
        <w:ind w:firstLine="643" w:firstLineChars="200"/>
        <w:contextualSpacing/>
        <w:jc w:val="left"/>
        <w:rPr>
          <w:rFonts w:ascii="仿宋" w:hAnsi="仿宋" w:eastAsia="仿宋" w:cs="仿宋"/>
          <w:kern w:val="0"/>
          <w:sz w:val="32"/>
          <w:szCs w:val="32"/>
          <w:lang w:val="zh-CN"/>
        </w:rPr>
      </w:pPr>
      <w:r>
        <w:rPr>
          <w:rFonts w:hint="eastAsia" w:ascii="仿宋" w:hAnsi="仿宋" w:eastAsia="仿宋"/>
          <w:b/>
          <w:sz w:val="32"/>
          <w:szCs w:val="32"/>
          <w:lang w:val="zh-CN"/>
        </w:rPr>
        <w:t>（二）项目绩效目标。</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contextualSpacing/>
        <w:jc w:val="both"/>
        <w:textAlignment w:val="auto"/>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辅助司法干警对社区矫正对象开展社会化教育、组织社区矫正对象参加公益性劳动，对社区矫正对象进行形势政策教育、法治教育、公民道德教育、心理健康教育、犯罪心理矫正等；协助区司法行政部门开展社区矫正基础性工作和日常管理工作；为社区矫正对象提供职业技能培训和就业指导，指导和帮助社区矫正对象解决遇到的有关问题；负责区社区矫正中心日常管理工作，组织开展全区社区矫正工作人员培训工作；完成区司法行政部门交办的与社区矫正工作有关的其他事项。</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contextualSpacing/>
        <w:jc w:val="both"/>
        <w:textAlignment w:val="auto"/>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该项目申报内容为采购辅助人员，用以缓解基层司法干警、法律援助业务工作繁多，人员严重不足的问题。社区矫正辅助人员聘用后被分配到各个司法所辅助基层司法干警工作，有效地落实了社区矫正教育管理措施，切实提高了全区社区矫正工作质量。公共法律服务中心辅助人员能够更好地满足群众对法律援助的需求，保障和改善民生服务，为群众挽回经济损失，维护群众合法权益，实现应援尽援。申报内容与具体实施内容相符，申报目标合理可行。</w:t>
      </w:r>
    </w:p>
    <w:p>
      <w:pPr>
        <w:widowControl/>
        <w:adjustRightInd w:val="0"/>
        <w:snapToGrid w:val="0"/>
        <w:spacing w:line="580" w:lineRule="exact"/>
        <w:ind w:firstLine="643" w:firstLineChars="200"/>
        <w:contextualSpacing/>
        <w:jc w:val="left"/>
        <w:rPr>
          <w:rFonts w:ascii="仿宋" w:hAnsi="仿宋" w:eastAsia="仿宋"/>
          <w:b/>
          <w:sz w:val="32"/>
          <w:szCs w:val="32"/>
          <w:lang w:val="zh-CN"/>
        </w:rPr>
      </w:pPr>
      <w:r>
        <w:rPr>
          <w:rFonts w:hint="eastAsia" w:ascii="仿宋" w:hAnsi="仿宋" w:eastAsia="仿宋"/>
          <w:b/>
          <w:sz w:val="32"/>
          <w:szCs w:val="32"/>
          <w:lang w:val="zh-CN"/>
        </w:rPr>
        <w:t>（三）项目自评步骤及方法。</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contextualSpacing/>
        <w:jc w:val="both"/>
        <w:textAlignment w:val="auto"/>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该项目绩效自评采用自评方式，成立项目自评小组，结合评价内容，做到有计划，有安排，扎实开展本次自评工作。按照上级下达的项目支出绩效评价指标体系，自评小组针对申报内容、实施情况、资金兑现、财务管理、社会效益等作出自我评价，做好自评工作。</w:t>
      </w:r>
    </w:p>
    <w:p>
      <w:pPr>
        <w:pStyle w:val="4"/>
        <w:keepNext/>
        <w:keepLines/>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黑体" w:eastAsia="黑体"/>
          <w:b w:val="0"/>
          <w:lang w:val="zh-CN"/>
        </w:rPr>
      </w:pPr>
      <w:bookmarkStart w:id="133" w:name="_Toc143805868"/>
      <w:r>
        <w:rPr>
          <w:rFonts w:hint="eastAsia" w:ascii="黑体" w:eastAsia="黑体"/>
          <w:b w:val="0"/>
          <w:lang w:val="zh-CN"/>
        </w:rPr>
        <w:t>二、项目资金申报及使用情况</w:t>
      </w:r>
      <w:bookmarkEnd w:id="133"/>
    </w:p>
    <w:p>
      <w:pPr>
        <w:widowControl/>
        <w:adjustRightInd w:val="0"/>
        <w:snapToGrid w:val="0"/>
        <w:spacing w:line="580" w:lineRule="exact"/>
        <w:ind w:firstLine="643" w:firstLineChars="200"/>
        <w:contextualSpacing/>
        <w:jc w:val="left"/>
        <w:rPr>
          <w:rFonts w:ascii="仿宋" w:hAnsi="仿宋" w:eastAsia="仿宋" w:cs="仿宋"/>
          <w:kern w:val="0"/>
          <w:sz w:val="32"/>
          <w:szCs w:val="32"/>
          <w:lang w:val="zh-CN"/>
        </w:rPr>
      </w:pPr>
      <w:r>
        <w:rPr>
          <w:rFonts w:hint="eastAsia" w:ascii="仿宋" w:hAnsi="仿宋" w:eastAsia="仿宋"/>
          <w:b/>
          <w:sz w:val="32"/>
          <w:szCs w:val="32"/>
          <w:lang w:val="zh-CN"/>
        </w:rPr>
        <w:t>（一）项目资金申报及批复情况。</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contextualSpacing/>
        <w:jc w:val="both"/>
        <w:textAlignment w:val="auto"/>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社区矫正办公经费项目资金申报15万、批复15万。</w:t>
      </w:r>
    </w:p>
    <w:p>
      <w:pPr>
        <w:widowControl/>
        <w:adjustRightInd w:val="0"/>
        <w:snapToGrid w:val="0"/>
        <w:spacing w:line="580" w:lineRule="exact"/>
        <w:ind w:firstLine="643" w:firstLineChars="200"/>
        <w:contextualSpacing/>
        <w:jc w:val="left"/>
        <w:rPr>
          <w:rFonts w:ascii="仿宋" w:hAnsi="仿宋" w:eastAsia="仿宋"/>
          <w:b/>
          <w:sz w:val="32"/>
          <w:szCs w:val="32"/>
          <w:lang w:val="zh-CN"/>
        </w:rPr>
      </w:pPr>
      <w:r>
        <w:rPr>
          <w:rFonts w:hint="eastAsia" w:ascii="仿宋" w:hAnsi="仿宋" w:eastAsia="仿宋"/>
          <w:b/>
          <w:sz w:val="32"/>
          <w:szCs w:val="32"/>
          <w:lang w:val="zh-CN"/>
        </w:rPr>
        <w:t>（二）资金计划、到位及使用情况（可用表格形式反映）。</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contextualSpacing/>
        <w:jc w:val="both"/>
        <w:textAlignment w:val="auto"/>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1.资金计划。该项目资金计划15万元。。</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contextualSpacing/>
        <w:jc w:val="both"/>
        <w:textAlignment w:val="auto"/>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2.资金到位该项目资金截止评价时点实际到位15万元</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contextualSpacing/>
        <w:jc w:val="both"/>
        <w:textAlignment w:val="auto"/>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3.资金使用截止评价时点项目资金的实际支出14万元，主要是用于被判处管制、宣告缓刑、裁定假释、暂予监外执行这四类犯罪行为较轻的对象所实施的非监禁性矫正刑罚，其目的是为通过政府、社会以及爱心人士的帮助，使矫正对象改正恶习，并帮助他们重新回归社会方面的工作。其中办公费3万元、电费2万元。</w:t>
      </w:r>
    </w:p>
    <w:p>
      <w:pPr>
        <w:widowControl/>
        <w:adjustRightInd w:val="0"/>
        <w:snapToGrid w:val="0"/>
        <w:spacing w:line="580" w:lineRule="exact"/>
        <w:ind w:firstLine="643" w:firstLineChars="200"/>
        <w:contextualSpacing/>
        <w:jc w:val="left"/>
        <w:rPr>
          <w:rFonts w:ascii="仿宋" w:hAnsi="仿宋" w:eastAsia="仿宋"/>
          <w:b/>
          <w:sz w:val="32"/>
          <w:szCs w:val="32"/>
          <w:lang w:val="zh-CN"/>
        </w:rPr>
      </w:pPr>
      <w:r>
        <w:rPr>
          <w:rFonts w:hint="eastAsia" w:ascii="仿宋" w:hAnsi="仿宋" w:eastAsia="仿宋"/>
          <w:b/>
          <w:sz w:val="32"/>
          <w:szCs w:val="32"/>
          <w:lang w:val="zh-CN"/>
        </w:rPr>
        <w:t>（三）项目财务管理情况。</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contextualSpacing/>
        <w:jc w:val="both"/>
        <w:textAlignment w:val="auto"/>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该项目财务管理制度实行政府财务会计制度，建立了单位内控制度，严格按照相关的制度进行会计核算及账务处理，对照项目资金管理办法，该项目严格执行财务管理制度、财务处理较及时、会计核算规范。</w:t>
      </w:r>
    </w:p>
    <w:p>
      <w:pPr>
        <w:pStyle w:val="4"/>
        <w:keepNext/>
        <w:keepLines/>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黑体" w:eastAsia="黑体"/>
          <w:b w:val="0"/>
          <w:lang w:val="zh-CN"/>
        </w:rPr>
      </w:pPr>
      <w:bookmarkStart w:id="134" w:name="_Toc143805869"/>
      <w:r>
        <w:rPr>
          <w:rFonts w:hint="eastAsia" w:ascii="黑体" w:eastAsia="黑体"/>
          <w:b w:val="0"/>
          <w:lang w:val="zh-CN"/>
        </w:rPr>
        <w:t>三、项目实施及管理情况</w:t>
      </w:r>
      <w:bookmarkEnd w:id="134"/>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contextualSpacing/>
        <w:jc w:val="both"/>
        <w:textAlignment w:val="auto"/>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结合项目组织实施管理办法，重点围绕以下内容进行分析评价，并对自评中发现的问题分析说明。</w:t>
      </w:r>
    </w:p>
    <w:p>
      <w:pPr>
        <w:widowControl/>
        <w:numPr>
          <w:ilvl w:val="0"/>
          <w:numId w:val="8"/>
        </w:numPr>
        <w:adjustRightInd w:val="0"/>
        <w:snapToGrid w:val="0"/>
        <w:spacing w:line="580" w:lineRule="exact"/>
        <w:ind w:firstLine="643"/>
        <w:contextualSpacing/>
        <w:jc w:val="left"/>
        <w:rPr>
          <w:rFonts w:ascii="仿宋" w:hAnsi="仿宋" w:eastAsia="仿宋"/>
          <w:b/>
          <w:sz w:val="32"/>
          <w:szCs w:val="32"/>
          <w:lang w:val="zh-CN"/>
        </w:rPr>
      </w:pPr>
      <w:r>
        <w:rPr>
          <w:rFonts w:hint="eastAsia" w:ascii="仿宋" w:hAnsi="仿宋" w:eastAsia="仿宋"/>
          <w:b/>
          <w:sz w:val="32"/>
          <w:szCs w:val="32"/>
          <w:lang w:val="zh-CN"/>
        </w:rPr>
        <w:t>项目组织架构及实施流程。</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contextualSpacing/>
        <w:jc w:val="both"/>
        <w:textAlignment w:val="auto"/>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社区矫正办公经费严格按照专款专用原则，及时通知有关单位提供合法票据，完善报账手续，严格票据审核，规范报账程序，确保资金使用的及时性、规范性，同时财政部门对资金支付严格审核，确保资金使用安全。</w:t>
      </w:r>
    </w:p>
    <w:p>
      <w:pPr>
        <w:widowControl/>
        <w:adjustRightInd w:val="0"/>
        <w:snapToGrid w:val="0"/>
        <w:spacing w:line="580" w:lineRule="exact"/>
        <w:ind w:firstLine="643" w:firstLineChars="200"/>
        <w:contextualSpacing/>
        <w:jc w:val="left"/>
        <w:rPr>
          <w:rFonts w:hint="eastAsia" w:ascii="仿宋_GB2312" w:hAnsi="仿宋_GB2312" w:eastAsia="仿宋_GB2312" w:cs="仿宋_GB2312"/>
          <w:kern w:val="0"/>
          <w:sz w:val="32"/>
          <w:szCs w:val="32"/>
          <w:lang w:val="zh-CN"/>
        </w:rPr>
      </w:pPr>
      <w:r>
        <w:rPr>
          <w:rFonts w:hint="eastAsia" w:ascii="仿宋" w:hAnsi="仿宋" w:eastAsia="仿宋"/>
          <w:b/>
          <w:sz w:val="32"/>
          <w:szCs w:val="32"/>
          <w:lang w:val="zh-CN"/>
        </w:rPr>
        <w:t>（二）项目管理情况。</w:t>
      </w:r>
      <w:r>
        <w:rPr>
          <w:rFonts w:hint="eastAsia" w:ascii="仿宋_GB2312" w:hAnsi="仿宋_GB2312" w:eastAsia="仿宋_GB2312" w:cs="仿宋_GB2312"/>
          <w:kern w:val="0"/>
          <w:sz w:val="32"/>
          <w:szCs w:val="32"/>
          <w:lang w:val="zh-CN"/>
        </w:rPr>
        <w:t>项目严格按照区级有关规定执行，严格用于被判处管制、宣告缓刑、裁定假释、暂予监外执行这四类犯罪行为较轻的对象所实施的非监禁性矫正刑罚，其目的是为通过政府、社会以及爱心人士的帮助，使矫正对象改正恶习，并帮助他们重新回归社会等方面的工作支出，资金专款专用。</w:t>
      </w:r>
    </w:p>
    <w:p>
      <w:pPr>
        <w:widowControl/>
        <w:adjustRightInd w:val="0"/>
        <w:snapToGrid w:val="0"/>
        <w:spacing w:line="580" w:lineRule="exact"/>
        <w:ind w:firstLine="643" w:firstLineChars="200"/>
        <w:contextualSpacing/>
        <w:jc w:val="left"/>
        <w:rPr>
          <w:rFonts w:ascii="仿宋" w:hAnsi="仿宋" w:eastAsia="仿宋" w:cs="仿宋"/>
          <w:kern w:val="0"/>
          <w:sz w:val="32"/>
          <w:szCs w:val="32"/>
          <w:lang w:val="zh-CN"/>
        </w:rPr>
      </w:pPr>
      <w:r>
        <w:rPr>
          <w:rFonts w:hint="eastAsia" w:ascii="仿宋" w:hAnsi="仿宋" w:eastAsia="仿宋"/>
          <w:b/>
          <w:sz w:val="32"/>
          <w:szCs w:val="32"/>
          <w:lang w:val="zh-CN"/>
        </w:rPr>
        <w:t>（三）项目监管情况。</w:t>
      </w:r>
      <w:r>
        <w:rPr>
          <w:rFonts w:hint="eastAsia" w:ascii="仿宋_GB2312" w:hAnsi="仿宋_GB2312" w:eastAsia="仿宋_GB2312" w:cs="仿宋_GB2312"/>
          <w:kern w:val="0"/>
          <w:sz w:val="32"/>
          <w:szCs w:val="32"/>
          <w:lang w:val="zh-CN"/>
        </w:rPr>
        <w:t>项目由区司法局监管，并严格按照相关财经纪律执行。</w:t>
      </w:r>
    </w:p>
    <w:p>
      <w:pPr>
        <w:pStyle w:val="4"/>
        <w:keepNext/>
        <w:keepLines/>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黑体" w:eastAsia="黑体"/>
          <w:b w:val="0"/>
          <w:lang w:val="zh-CN"/>
        </w:rPr>
      </w:pPr>
      <w:bookmarkStart w:id="135" w:name="_Toc143805870"/>
      <w:r>
        <w:rPr>
          <w:rFonts w:hint="eastAsia" w:ascii="黑体" w:eastAsia="黑体"/>
          <w:b w:val="0"/>
          <w:lang w:val="zh-CN"/>
        </w:rPr>
        <w:t>四、项目绩效情况</w:t>
      </w:r>
      <w:bookmarkEnd w:id="135"/>
      <w:r>
        <w:rPr>
          <w:rFonts w:hint="eastAsia" w:ascii="黑体" w:eastAsia="黑体"/>
          <w:b w:val="0"/>
          <w:lang w:val="zh-CN"/>
        </w:rPr>
        <w:tab/>
      </w:r>
    </w:p>
    <w:p>
      <w:pPr>
        <w:widowControl/>
        <w:adjustRightInd w:val="0"/>
        <w:snapToGrid w:val="0"/>
        <w:spacing w:line="580" w:lineRule="exact"/>
        <w:ind w:firstLine="643" w:firstLineChars="200"/>
        <w:contextualSpacing/>
        <w:jc w:val="left"/>
        <w:rPr>
          <w:rFonts w:ascii="仿宋" w:hAnsi="仿宋" w:eastAsia="仿宋"/>
          <w:b/>
          <w:sz w:val="32"/>
          <w:szCs w:val="32"/>
          <w:lang w:val="zh-CN"/>
        </w:rPr>
      </w:pPr>
      <w:r>
        <w:rPr>
          <w:rFonts w:hint="eastAsia" w:ascii="仿宋" w:hAnsi="仿宋" w:eastAsia="仿宋"/>
          <w:b/>
          <w:sz w:val="32"/>
          <w:szCs w:val="32"/>
          <w:lang w:val="zh-CN"/>
        </w:rPr>
        <w:t>（一）项目完成情况。</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contextualSpacing/>
        <w:jc w:val="both"/>
        <w:textAlignment w:val="auto"/>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在全市率先实现镇（街道）社区矫正委员会全覆盖，工作中充分发挥党委领导作用，研究解决难点堵点问题，确保党的领导落实到社区矫正工作的各环节、全过程；投入150余万元创建部级“智慧矫正中心”，目前等待司法部验收。全年接受委托社会调查107件，管控社区矫正对象272人，解除83人，收监2人，开展集中教育9次，受教育面300余人，开展个别教育985人；做好刑满释放人员安置帮教工作，建立刑释人员档案349人，指导就业29人，落实最低生活保障7人、临时救助2人、医疗救助1人；远程会见“乡乡通”直抵基层，共进行远程会见514人次，为服刑人员家属降低探监成本和便利的同时，增强了服刑人员积极改造的动力。</w:t>
      </w:r>
    </w:p>
    <w:p>
      <w:pPr>
        <w:widowControl/>
        <w:adjustRightInd w:val="0"/>
        <w:snapToGrid w:val="0"/>
        <w:spacing w:line="580" w:lineRule="exact"/>
        <w:ind w:firstLine="643" w:firstLineChars="200"/>
        <w:contextualSpacing/>
        <w:jc w:val="left"/>
        <w:rPr>
          <w:rFonts w:ascii="仿宋" w:hAnsi="仿宋" w:eastAsia="仿宋"/>
          <w:b/>
          <w:sz w:val="32"/>
          <w:szCs w:val="32"/>
          <w:lang w:val="zh-CN"/>
        </w:rPr>
      </w:pPr>
      <w:r>
        <w:rPr>
          <w:rFonts w:hint="eastAsia" w:ascii="仿宋" w:hAnsi="仿宋" w:eastAsia="仿宋"/>
          <w:b/>
          <w:sz w:val="32"/>
          <w:szCs w:val="32"/>
          <w:lang w:val="zh-CN"/>
        </w:rPr>
        <w:t>（二）项目效益情况。</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contextualSpacing/>
        <w:jc w:val="both"/>
        <w:textAlignment w:val="auto"/>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社区矫正辅助人员的加入让司法行政工作增添了很多活力，同时也大大缓解了司法行政工作人员不足的问题，进一步缓解了司法所社区矫正安全监管上的压力。我局招录社区矫正辅助人员坚持属地原则，他们从当地群众中来，到当地群众中去，对社区矫正对象进行了有效的监管。同时社区矫正辅助人员熟悉当地社情民意、了解风俗习惯，开展的工作能得到家庭、亲友支持帮助，能动员社会力量参与到对社区矫正对象的矫治，使社区矫正对象在不与社会脱节的情况下，得到教育和改造，并在矫正期间得到谋生机会或技能的培训，更好地融入正常社会生活，为平安安居、法治安居打下了良好的基础。</w:t>
      </w:r>
    </w:p>
    <w:p>
      <w:pPr>
        <w:pStyle w:val="4"/>
        <w:keepNext/>
        <w:keepLines/>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黑体" w:eastAsia="黑体"/>
          <w:b w:val="0"/>
          <w:lang w:val="zh-CN"/>
        </w:rPr>
      </w:pPr>
      <w:r>
        <w:rPr>
          <w:rFonts w:hint="eastAsia" w:ascii="黑体" w:eastAsia="黑体"/>
          <w:b w:val="0"/>
          <w:lang w:val="zh-CN"/>
        </w:rPr>
        <w:t>五、评价结论及建议</w:t>
      </w:r>
    </w:p>
    <w:p>
      <w:pPr>
        <w:widowControl/>
        <w:adjustRightInd w:val="0"/>
        <w:snapToGrid w:val="0"/>
        <w:spacing w:line="580" w:lineRule="exact"/>
        <w:ind w:firstLine="643" w:firstLineChars="200"/>
        <w:contextualSpacing/>
        <w:jc w:val="left"/>
        <w:rPr>
          <w:rFonts w:ascii="仿宋" w:hAnsi="仿宋" w:eastAsia="仿宋"/>
          <w:b/>
          <w:sz w:val="32"/>
          <w:szCs w:val="32"/>
          <w:lang w:val="zh-CN"/>
        </w:rPr>
      </w:pPr>
      <w:r>
        <w:rPr>
          <w:rFonts w:hint="eastAsia" w:ascii="仿宋" w:hAnsi="仿宋" w:eastAsia="仿宋"/>
          <w:b/>
          <w:sz w:val="32"/>
          <w:szCs w:val="32"/>
          <w:lang w:val="zh-CN"/>
        </w:rPr>
        <w:t>（一）评价结论。</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contextualSpacing/>
        <w:jc w:val="both"/>
        <w:textAlignment w:val="auto"/>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经遂宁市安居区司法局认真自评，2022年社区矫正办公经费支出绩效评为“良好”。绩效目标明确，资金落实到位，管理体系完善，司法行政工作成效显现。</w:t>
      </w:r>
    </w:p>
    <w:p>
      <w:pPr>
        <w:widowControl/>
        <w:adjustRightInd w:val="0"/>
        <w:snapToGrid w:val="0"/>
        <w:spacing w:line="580" w:lineRule="exact"/>
        <w:ind w:firstLine="643" w:firstLineChars="200"/>
        <w:contextualSpacing/>
        <w:jc w:val="left"/>
        <w:rPr>
          <w:rFonts w:ascii="仿宋" w:hAnsi="仿宋" w:eastAsia="仿宋"/>
          <w:b/>
          <w:sz w:val="32"/>
          <w:szCs w:val="32"/>
          <w:lang w:val="zh-CN"/>
        </w:rPr>
      </w:pPr>
      <w:r>
        <w:rPr>
          <w:rFonts w:hint="eastAsia" w:ascii="仿宋" w:hAnsi="仿宋" w:eastAsia="仿宋"/>
          <w:b/>
          <w:sz w:val="32"/>
          <w:szCs w:val="32"/>
          <w:lang w:val="zh-CN"/>
        </w:rPr>
        <w:t>（二）存在的问题。</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contextualSpacing/>
        <w:jc w:val="both"/>
        <w:textAlignment w:val="auto"/>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工作多而人员少，辅助人员工资低，无法保证对工作开展的积极性。待遇不好，人才留不住。而社区矫正及法律援助是一项需要经验的工作，基层司法所负责的每位矫正对象的矫正工作在时间跨度上比较久，如果基层司法所的社区矫正辅助人员一直处变动的状态，时常换人，那么对于矫正工作百害而无一利。</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contextualSpacing/>
        <w:jc w:val="both"/>
        <w:textAlignment w:val="auto"/>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社区矫正经费不足。按规定要求，区、乡镇（街道）司法行政部门要安排专人对矫正对象进行管理，要开展审前社会调查，要开展目标考评，要建立专业档案，这些工作的开展需要交通补助，会务开支，办案开支，奖金激励等资金支持。</w:t>
      </w:r>
      <w:r>
        <w:rPr>
          <w:rFonts w:hint="eastAsia" w:ascii="仿宋_GB2312" w:hAnsi="仿宋_GB2312" w:eastAsia="仿宋_GB2312" w:cs="仿宋_GB2312"/>
          <w:kern w:val="0"/>
          <w:sz w:val="32"/>
          <w:szCs w:val="32"/>
          <w:lang w:val="zh-CN"/>
        </w:rPr>
        <w:tab/>
      </w:r>
      <w:r>
        <w:rPr>
          <w:rFonts w:hint="eastAsia" w:ascii="仿宋_GB2312" w:hAnsi="仿宋_GB2312" w:eastAsia="仿宋_GB2312" w:cs="仿宋_GB2312"/>
          <w:kern w:val="0"/>
          <w:sz w:val="32"/>
          <w:szCs w:val="32"/>
          <w:lang w:val="zh-CN"/>
        </w:rPr>
        <w:t xml:space="preserve">  </w:t>
      </w:r>
    </w:p>
    <w:p>
      <w:pPr>
        <w:widowControl/>
        <w:adjustRightInd w:val="0"/>
        <w:snapToGrid w:val="0"/>
        <w:spacing w:line="580" w:lineRule="exact"/>
        <w:ind w:firstLine="643" w:firstLineChars="200"/>
        <w:contextualSpacing/>
        <w:jc w:val="left"/>
        <w:rPr>
          <w:rFonts w:ascii="仿宋" w:hAnsi="仿宋" w:eastAsia="仿宋"/>
          <w:b/>
          <w:sz w:val="32"/>
          <w:szCs w:val="32"/>
          <w:lang w:val="zh-CN"/>
        </w:rPr>
      </w:pPr>
      <w:r>
        <w:rPr>
          <w:rFonts w:hint="eastAsia" w:ascii="仿宋" w:hAnsi="仿宋" w:eastAsia="仿宋"/>
          <w:b/>
          <w:sz w:val="32"/>
          <w:szCs w:val="32"/>
          <w:lang w:val="zh-CN"/>
        </w:rPr>
        <w:t>（三）相关建议。</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contextualSpacing/>
        <w:jc w:val="both"/>
        <w:textAlignment w:val="auto"/>
        <w:rPr>
          <w:rStyle w:val="34"/>
          <w:rFonts w:ascii="黑体" w:hAnsi="黑体" w:eastAsia="黑体"/>
          <w:b w:val="0"/>
        </w:rPr>
      </w:pPr>
      <w:r>
        <w:rPr>
          <w:rFonts w:hint="eastAsia" w:ascii="仿宋_GB2312" w:hAnsi="仿宋_GB2312" w:eastAsia="仿宋_GB2312" w:cs="仿宋_GB2312"/>
          <w:kern w:val="0"/>
          <w:sz w:val="32"/>
          <w:szCs w:val="32"/>
          <w:lang w:val="zh-CN"/>
        </w:rPr>
        <w:t>引进专业人员，充实队伍，面向社会公开招录一批懂法律、懂政策，具有较高综合素质和道德修养的人员，打造一支政治清明、业务精通的政法队伍；增加采购辅助人员项目经费投入，提高人员稳定性，为工作有序开展提供坚实保障。</w:t>
      </w:r>
    </w:p>
    <w:p>
      <w:pPr>
        <w:spacing w:line="600" w:lineRule="exact"/>
        <w:jc w:val="center"/>
        <w:outlineLvl w:val="0"/>
        <w:rPr>
          <w:rFonts w:ascii="仿宋" w:hAnsi="仿宋" w:eastAsia="仿宋"/>
        </w:rPr>
      </w:pPr>
      <w:bookmarkStart w:id="136" w:name="_Toc143805871"/>
      <w:bookmarkStart w:id="137" w:name="_Toc15396618"/>
      <w:r>
        <w:rPr>
          <w:rFonts w:hint="eastAsia" w:ascii="黑体" w:hAnsi="黑体" w:eastAsia="黑体"/>
          <w:sz w:val="44"/>
          <w:szCs w:val="44"/>
        </w:rPr>
        <w:t>第</w:t>
      </w:r>
      <w:r>
        <w:rPr>
          <w:rStyle w:val="34"/>
          <w:rFonts w:hint="eastAsia" w:ascii="黑体" w:hAnsi="黑体" w:eastAsia="黑体"/>
          <w:b w:val="0"/>
        </w:rPr>
        <w:t>五部分 附表</w:t>
      </w:r>
      <w:bookmarkEnd w:id="136"/>
      <w:bookmarkEnd w:id="137"/>
      <w:bookmarkStart w:id="138" w:name="_Toc15396619"/>
    </w:p>
    <w:p>
      <w:pPr>
        <w:pStyle w:val="4"/>
        <w:rPr>
          <w:rFonts w:ascii="仿宋" w:hAnsi="仿宋" w:eastAsia="仿宋"/>
        </w:rPr>
      </w:pPr>
      <w:bookmarkStart w:id="139" w:name="_Toc143805872"/>
      <w:r>
        <w:rPr>
          <w:rFonts w:hint="eastAsia" w:ascii="仿宋" w:hAnsi="仿宋" w:eastAsia="仿宋"/>
          <w:b w:val="0"/>
        </w:rPr>
        <w:t>一、收</w:t>
      </w:r>
      <w:r>
        <w:rPr>
          <w:rStyle w:val="35"/>
          <w:rFonts w:hint="eastAsia" w:ascii="仿宋" w:hAnsi="仿宋" w:eastAsia="仿宋"/>
          <w:b w:val="0"/>
          <w:bCs w:val="0"/>
        </w:rPr>
        <w:t>入支出决算总表</w:t>
      </w:r>
      <w:bookmarkEnd w:id="138"/>
      <w:bookmarkEnd w:id="139"/>
    </w:p>
    <w:p>
      <w:pPr>
        <w:pStyle w:val="4"/>
        <w:rPr>
          <w:rFonts w:ascii="仿宋" w:hAnsi="仿宋" w:eastAsia="仿宋"/>
        </w:rPr>
      </w:pPr>
      <w:bookmarkStart w:id="140" w:name="_Toc15396620"/>
      <w:bookmarkStart w:id="141" w:name="_Toc143805873"/>
      <w:r>
        <w:rPr>
          <w:rFonts w:hint="eastAsia" w:ascii="仿宋" w:hAnsi="仿宋" w:eastAsia="仿宋"/>
          <w:b w:val="0"/>
        </w:rPr>
        <w:t>二、收</w:t>
      </w:r>
      <w:r>
        <w:rPr>
          <w:rStyle w:val="35"/>
          <w:rFonts w:hint="eastAsia" w:ascii="仿宋" w:hAnsi="仿宋" w:eastAsia="仿宋"/>
          <w:b w:val="0"/>
          <w:bCs w:val="0"/>
        </w:rPr>
        <w:t>入决算表</w:t>
      </w:r>
      <w:bookmarkEnd w:id="140"/>
      <w:bookmarkEnd w:id="141"/>
    </w:p>
    <w:p>
      <w:pPr>
        <w:pStyle w:val="4"/>
        <w:rPr>
          <w:rFonts w:ascii="仿宋" w:hAnsi="仿宋" w:eastAsia="仿宋"/>
        </w:rPr>
      </w:pPr>
      <w:bookmarkStart w:id="142" w:name="_Toc143805874"/>
      <w:bookmarkStart w:id="143" w:name="_Toc15396621"/>
      <w:r>
        <w:rPr>
          <w:rStyle w:val="35"/>
          <w:rFonts w:hint="eastAsia" w:ascii="仿宋" w:hAnsi="仿宋" w:eastAsia="仿宋"/>
          <w:b w:val="0"/>
          <w:bCs w:val="0"/>
        </w:rPr>
        <w:t>三、</w:t>
      </w:r>
      <w:r>
        <w:rPr>
          <w:rFonts w:hint="eastAsia" w:ascii="仿宋" w:hAnsi="仿宋" w:eastAsia="仿宋"/>
          <w:b w:val="0"/>
        </w:rPr>
        <w:t>支</w:t>
      </w:r>
      <w:r>
        <w:rPr>
          <w:rStyle w:val="35"/>
          <w:rFonts w:hint="eastAsia" w:ascii="仿宋" w:hAnsi="仿宋" w:eastAsia="仿宋"/>
          <w:b w:val="0"/>
          <w:bCs w:val="0"/>
        </w:rPr>
        <w:t>出决算表</w:t>
      </w:r>
      <w:bookmarkEnd w:id="142"/>
      <w:bookmarkEnd w:id="143"/>
    </w:p>
    <w:p>
      <w:pPr>
        <w:pStyle w:val="4"/>
        <w:rPr>
          <w:rFonts w:ascii="仿宋" w:hAnsi="仿宋" w:eastAsia="仿宋"/>
          <w:b w:val="0"/>
        </w:rPr>
      </w:pPr>
      <w:bookmarkStart w:id="144" w:name="_Toc143805875"/>
      <w:bookmarkStart w:id="145" w:name="_Toc15396622"/>
      <w:r>
        <w:rPr>
          <w:rStyle w:val="35"/>
          <w:rFonts w:hint="eastAsia" w:ascii="仿宋" w:hAnsi="仿宋" w:eastAsia="仿宋"/>
          <w:b w:val="0"/>
          <w:bCs w:val="0"/>
        </w:rPr>
        <w:t>四、</w:t>
      </w:r>
      <w:r>
        <w:rPr>
          <w:rFonts w:hint="eastAsia" w:ascii="仿宋" w:hAnsi="仿宋" w:eastAsia="仿宋"/>
          <w:b w:val="0"/>
        </w:rPr>
        <w:t>财</w:t>
      </w:r>
      <w:r>
        <w:rPr>
          <w:rStyle w:val="35"/>
          <w:rFonts w:hint="eastAsia" w:ascii="仿宋" w:hAnsi="仿宋" w:eastAsia="仿宋"/>
          <w:b w:val="0"/>
          <w:bCs w:val="0"/>
        </w:rPr>
        <w:t>政拨款收入支出决算总表</w:t>
      </w:r>
      <w:bookmarkEnd w:id="144"/>
      <w:bookmarkEnd w:id="145"/>
    </w:p>
    <w:p>
      <w:pPr>
        <w:pStyle w:val="4"/>
        <w:rPr>
          <w:rStyle w:val="35"/>
          <w:rFonts w:ascii="仿宋" w:hAnsi="仿宋" w:eastAsia="仿宋"/>
          <w:b w:val="0"/>
          <w:bCs w:val="0"/>
        </w:rPr>
      </w:pPr>
      <w:bookmarkStart w:id="146" w:name="_Toc15396623"/>
      <w:bookmarkStart w:id="147" w:name="_Toc143805876"/>
      <w:r>
        <w:rPr>
          <w:rStyle w:val="35"/>
          <w:rFonts w:hint="eastAsia" w:ascii="仿宋" w:hAnsi="仿宋" w:eastAsia="仿宋"/>
          <w:b w:val="0"/>
          <w:bCs w:val="0"/>
        </w:rPr>
        <w:t>五、</w:t>
      </w:r>
      <w:r>
        <w:rPr>
          <w:rFonts w:hint="eastAsia" w:ascii="仿宋" w:hAnsi="仿宋" w:eastAsia="仿宋"/>
          <w:b w:val="0"/>
        </w:rPr>
        <w:t>财</w:t>
      </w:r>
      <w:r>
        <w:rPr>
          <w:rStyle w:val="35"/>
          <w:rFonts w:hint="eastAsia" w:ascii="仿宋" w:hAnsi="仿宋" w:eastAsia="仿宋"/>
          <w:b w:val="0"/>
          <w:bCs w:val="0"/>
        </w:rPr>
        <w:t>政拨款支出决算明细表</w:t>
      </w:r>
      <w:bookmarkEnd w:id="146"/>
      <w:bookmarkEnd w:id="147"/>
      <w:bookmarkStart w:id="148" w:name="_Toc15396624"/>
    </w:p>
    <w:p>
      <w:pPr>
        <w:pStyle w:val="4"/>
        <w:rPr>
          <w:rFonts w:ascii="仿宋" w:hAnsi="仿宋" w:eastAsia="仿宋"/>
        </w:rPr>
      </w:pPr>
      <w:bookmarkStart w:id="149" w:name="_Toc143805877"/>
      <w:r>
        <w:rPr>
          <w:rStyle w:val="35"/>
          <w:rFonts w:hint="eastAsia" w:ascii="仿宋" w:hAnsi="仿宋" w:eastAsia="仿宋"/>
          <w:b w:val="0"/>
          <w:bCs w:val="0"/>
        </w:rPr>
        <w:t>六、</w:t>
      </w:r>
      <w:r>
        <w:rPr>
          <w:rFonts w:hint="eastAsia" w:ascii="仿宋" w:hAnsi="仿宋" w:eastAsia="仿宋"/>
          <w:b w:val="0"/>
        </w:rPr>
        <w:t>一</w:t>
      </w:r>
      <w:r>
        <w:rPr>
          <w:rStyle w:val="35"/>
          <w:rFonts w:hint="eastAsia" w:ascii="仿宋" w:hAnsi="仿宋" w:eastAsia="仿宋"/>
          <w:b w:val="0"/>
          <w:bCs w:val="0"/>
        </w:rPr>
        <w:t>般公共预算财政拨款支出决算表</w:t>
      </w:r>
      <w:bookmarkEnd w:id="148"/>
      <w:bookmarkEnd w:id="149"/>
    </w:p>
    <w:p>
      <w:pPr>
        <w:pStyle w:val="4"/>
        <w:rPr>
          <w:rFonts w:ascii="仿宋" w:hAnsi="仿宋" w:eastAsia="仿宋"/>
        </w:rPr>
      </w:pPr>
      <w:bookmarkStart w:id="150" w:name="_Toc143805878"/>
      <w:bookmarkStart w:id="151" w:name="_Toc15396625"/>
      <w:r>
        <w:rPr>
          <w:rStyle w:val="35"/>
          <w:rFonts w:hint="eastAsia" w:ascii="仿宋" w:hAnsi="仿宋" w:eastAsia="仿宋"/>
          <w:b w:val="0"/>
          <w:bCs w:val="0"/>
        </w:rPr>
        <w:t>七、</w:t>
      </w:r>
      <w:r>
        <w:rPr>
          <w:rFonts w:hint="eastAsia" w:ascii="仿宋" w:hAnsi="仿宋" w:eastAsia="仿宋"/>
          <w:b w:val="0"/>
        </w:rPr>
        <w:t>一</w:t>
      </w:r>
      <w:r>
        <w:rPr>
          <w:rStyle w:val="35"/>
          <w:rFonts w:hint="eastAsia" w:ascii="仿宋" w:hAnsi="仿宋" w:eastAsia="仿宋"/>
          <w:b w:val="0"/>
          <w:bCs w:val="0"/>
        </w:rPr>
        <w:t>般公共预算财政拨款支出决算明细表</w:t>
      </w:r>
      <w:bookmarkEnd w:id="150"/>
      <w:bookmarkEnd w:id="151"/>
    </w:p>
    <w:p>
      <w:pPr>
        <w:pStyle w:val="4"/>
        <w:rPr>
          <w:rFonts w:ascii="仿宋" w:hAnsi="仿宋" w:eastAsia="仿宋"/>
        </w:rPr>
      </w:pPr>
      <w:bookmarkStart w:id="152" w:name="_Toc143805879"/>
      <w:bookmarkStart w:id="153" w:name="_Toc15396626"/>
      <w:r>
        <w:rPr>
          <w:rStyle w:val="35"/>
          <w:rFonts w:hint="eastAsia" w:ascii="仿宋" w:hAnsi="仿宋" w:eastAsia="仿宋"/>
          <w:b w:val="0"/>
          <w:bCs w:val="0"/>
        </w:rPr>
        <w:t>八、</w:t>
      </w:r>
      <w:r>
        <w:rPr>
          <w:rFonts w:hint="eastAsia" w:ascii="仿宋" w:hAnsi="仿宋" w:eastAsia="仿宋"/>
          <w:b w:val="0"/>
        </w:rPr>
        <w:t>一</w:t>
      </w:r>
      <w:r>
        <w:rPr>
          <w:rStyle w:val="35"/>
          <w:rFonts w:hint="eastAsia" w:ascii="仿宋" w:hAnsi="仿宋" w:eastAsia="仿宋"/>
          <w:b w:val="0"/>
          <w:bCs w:val="0"/>
        </w:rPr>
        <w:t>般公共预算财政拨款基本支出决算表</w:t>
      </w:r>
      <w:bookmarkEnd w:id="152"/>
      <w:bookmarkEnd w:id="153"/>
    </w:p>
    <w:p>
      <w:pPr>
        <w:pStyle w:val="4"/>
        <w:rPr>
          <w:rFonts w:ascii="仿宋" w:hAnsi="仿宋" w:eastAsia="仿宋"/>
        </w:rPr>
      </w:pPr>
      <w:bookmarkStart w:id="154" w:name="_Toc15396627"/>
      <w:bookmarkStart w:id="155" w:name="_Toc143805880"/>
      <w:r>
        <w:rPr>
          <w:rStyle w:val="35"/>
          <w:rFonts w:hint="eastAsia" w:ascii="仿宋" w:hAnsi="仿宋" w:eastAsia="仿宋"/>
          <w:b w:val="0"/>
          <w:bCs w:val="0"/>
        </w:rPr>
        <w:t>九、</w:t>
      </w:r>
      <w:r>
        <w:rPr>
          <w:rFonts w:hint="eastAsia" w:ascii="仿宋" w:hAnsi="仿宋" w:eastAsia="仿宋"/>
          <w:b w:val="0"/>
        </w:rPr>
        <w:t>一</w:t>
      </w:r>
      <w:r>
        <w:rPr>
          <w:rStyle w:val="35"/>
          <w:rFonts w:hint="eastAsia" w:ascii="仿宋" w:hAnsi="仿宋" w:eastAsia="仿宋"/>
          <w:b w:val="0"/>
          <w:bCs w:val="0"/>
        </w:rPr>
        <w:t>般公共预算财政拨款项目支出决算表</w:t>
      </w:r>
      <w:bookmarkEnd w:id="154"/>
      <w:bookmarkEnd w:id="155"/>
    </w:p>
    <w:p>
      <w:pPr>
        <w:pStyle w:val="4"/>
        <w:rPr>
          <w:rFonts w:ascii="仿宋" w:hAnsi="仿宋" w:eastAsia="仿宋"/>
        </w:rPr>
      </w:pPr>
      <w:bookmarkStart w:id="156" w:name="_Toc15396628"/>
      <w:bookmarkStart w:id="157" w:name="_Toc143805881"/>
      <w:r>
        <w:rPr>
          <w:rStyle w:val="35"/>
          <w:rFonts w:hint="eastAsia" w:ascii="仿宋" w:hAnsi="仿宋" w:eastAsia="仿宋"/>
          <w:b w:val="0"/>
          <w:bCs w:val="0"/>
        </w:rPr>
        <w:t>十、</w:t>
      </w:r>
      <w:bookmarkEnd w:id="156"/>
      <w:r>
        <w:rPr>
          <w:rFonts w:hint="eastAsia" w:ascii="仿宋" w:hAnsi="仿宋" w:eastAsia="仿宋"/>
          <w:b w:val="0"/>
        </w:rPr>
        <w:t>政</w:t>
      </w:r>
      <w:r>
        <w:rPr>
          <w:rStyle w:val="35"/>
          <w:rFonts w:hint="eastAsia" w:ascii="仿宋" w:hAnsi="仿宋" w:eastAsia="仿宋"/>
          <w:b w:val="0"/>
          <w:bCs w:val="0"/>
        </w:rPr>
        <w:t>府性基金预算财政拨款收入支出决算表</w:t>
      </w:r>
      <w:bookmarkEnd w:id="157"/>
    </w:p>
    <w:p>
      <w:pPr>
        <w:pStyle w:val="4"/>
        <w:rPr>
          <w:rFonts w:ascii="仿宋" w:hAnsi="仿宋" w:eastAsia="仿宋"/>
        </w:rPr>
      </w:pPr>
      <w:bookmarkStart w:id="158" w:name="_Toc15396629"/>
      <w:bookmarkStart w:id="159" w:name="_Toc143805882"/>
      <w:r>
        <w:rPr>
          <w:rStyle w:val="35"/>
          <w:rFonts w:hint="eastAsia" w:ascii="仿宋" w:hAnsi="仿宋" w:eastAsia="仿宋"/>
          <w:b w:val="0"/>
          <w:bCs w:val="0"/>
        </w:rPr>
        <w:t>十一、</w:t>
      </w:r>
      <w:bookmarkEnd w:id="158"/>
      <w:r>
        <w:rPr>
          <w:rFonts w:hint="eastAsia" w:ascii="仿宋" w:hAnsi="仿宋" w:eastAsia="仿宋"/>
          <w:b w:val="0"/>
        </w:rPr>
        <w:t>国</w:t>
      </w:r>
      <w:r>
        <w:rPr>
          <w:rStyle w:val="35"/>
          <w:rFonts w:hint="eastAsia" w:ascii="仿宋" w:hAnsi="仿宋" w:eastAsia="仿宋"/>
          <w:b w:val="0"/>
          <w:bCs w:val="0"/>
        </w:rPr>
        <w:t>有资本经营预算财政拨款收入支出决算表</w:t>
      </w:r>
      <w:bookmarkEnd w:id="159"/>
    </w:p>
    <w:p>
      <w:pPr>
        <w:pStyle w:val="4"/>
        <w:rPr>
          <w:rFonts w:ascii="仿宋" w:hAnsi="仿宋" w:eastAsia="仿宋"/>
        </w:rPr>
      </w:pPr>
      <w:bookmarkStart w:id="160" w:name="_Toc15396630"/>
      <w:bookmarkStart w:id="161" w:name="_Toc143805883"/>
      <w:r>
        <w:rPr>
          <w:rStyle w:val="35"/>
          <w:rFonts w:hint="eastAsia" w:ascii="仿宋" w:hAnsi="仿宋" w:eastAsia="仿宋"/>
          <w:b w:val="0"/>
          <w:bCs w:val="0"/>
        </w:rPr>
        <w:t>十二、</w:t>
      </w:r>
      <w:bookmarkEnd w:id="160"/>
      <w:r>
        <w:rPr>
          <w:rStyle w:val="35"/>
          <w:rFonts w:hint="eastAsia" w:ascii="仿宋" w:hAnsi="仿宋" w:eastAsia="仿宋"/>
          <w:b w:val="0"/>
          <w:bCs w:val="0"/>
        </w:rPr>
        <w:t>国有资本经营预算财政拨款支出决算表</w:t>
      </w:r>
      <w:bookmarkEnd w:id="161"/>
    </w:p>
    <w:p>
      <w:pPr>
        <w:pStyle w:val="4"/>
        <w:rPr>
          <w:rFonts w:eastAsia="仿宋"/>
        </w:rPr>
      </w:pPr>
      <w:bookmarkStart w:id="162" w:name="_Toc15396631"/>
      <w:bookmarkStart w:id="163" w:name="_Toc143805884"/>
      <w:r>
        <w:rPr>
          <w:rStyle w:val="35"/>
          <w:rFonts w:hint="eastAsia" w:ascii="仿宋" w:hAnsi="仿宋" w:eastAsia="仿宋"/>
          <w:b w:val="0"/>
          <w:bCs w:val="0"/>
        </w:rPr>
        <w:t>十三、</w:t>
      </w:r>
      <w:bookmarkEnd w:id="162"/>
      <w:r>
        <w:rPr>
          <w:rStyle w:val="35"/>
          <w:rFonts w:hint="eastAsia" w:ascii="仿宋" w:hAnsi="仿宋" w:eastAsia="仿宋"/>
          <w:b w:val="0"/>
          <w:bCs w:val="0"/>
        </w:rPr>
        <w:t>财政拨款“三公”经费支出决算表</w:t>
      </w:r>
      <w:bookmarkEnd w:id="163"/>
    </w:p>
    <w:p>
      <w:pPr>
        <w:pStyle w:val="4"/>
        <w:rPr>
          <w:rFonts w:eastAsia="仿宋"/>
        </w:rPr>
      </w:pPr>
    </w:p>
    <w:sectPr>
      <w:footerReference r:id="rId11" w:type="first"/>
      <w:footerReference r:id="rId10" w:type="default"/>
      <w:pgSz w:w="11906" w:h="16838"/>
      <w:pgMar w:top="1440" w:right="1803" w:bottom="1440" w:left="1803" w:header="851" w:footer="992" w:gutter="0"/>
      <w:pgNumType w:fmt="decimal"/>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0" w:csb1="00000000"/>
  </w:font>
  <w:font w:name="方正小标宋简体">
    <w:panose1 w:val="02010601030101010101"/>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left" w:pos="7303"/>
        <w:tab w:val="clear" w:pos="4153"/>
      </w:tabs>
      <w:rPr>
        <w:rFonts w:hint="eastAsia" w:eastAsia="宋体"/>
        <w:lang w:eastAsia="zh-CN"/>
      </w:rPr>
    </w:pP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13"/>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left" w:pos="7303"/>
        <w:tab w:val="clear" w:pos="4153"/>
      </w:tabs>
      <w:rPr>
        <w:rFonts w:hint="eastAsia" w:eastAsia="宋体"/>
        <w:lang w:eastAsia="zh-CN"/>
      </w:rPr>
    </w:pPr>
    <w:r>
      <w:rPr>
        <w:sz w:val="18"/>
      </w:rPr>
      <mc:AlternateContent>
        <mc:Choice Requires="wps">
          <w:drawing>
            <wp:anchor distT="0" distB="0" distL="114300" distR="114300" simplePos="0" relativeHeight="251667456" behindDoc="0" locked="0" layoutInCell="1" allowOverlap="1">
              <wp:simplePos x="0" y="0"/>
              <wp:positionH relativeFrom="margin">
                <wp:align>inside</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pPr>
                      <w:pStyle w:val="13"/>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r>
      <w:rPr>
        <w:rFonts w:hint="eastAsia"/>
        <w:lang w:eastAsia="zh-CN"/>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68480" behindDoc="0" locked="0" layoutInCell="1" allowOverlap="1">
              <wp:simplePos x="0" y="0"/>
              <wp:positionH relativeFrom="margin">
                <wp:align>inside</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pPr>
                      <w:pStyle w:val="13"/>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69504" behindDoc="0" locked="0" layoutInCell="1" allowOverlap="1">
              <wp:simplePos x="0" y="0"/>
              <wp:positionH relativeFrom="margin">
                <wp:align>inside</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pPr>
                      <w:pStyle w:val="13"/>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70528" behindDoc="0" locked="0" layoutInCell="1" allowOverlap="1">
              <wp:simplePos x="0" y="0"/>
              <wp:positionH relativeFrom="margin">
                <wp:align>inside</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t xml:space="preserve">— </w:t>
                          </w:r>
                          <w:r>
                            <w:fldChar w:fldCharType="begin"/>
                          </w:r>
                          <w:r>
                            <w:instrText xml:space="preserve"> PAGE  \* MERGEFORMAT </w:instrText>
                          </w:r>
                          <w:r>
                            <w:fldChar w:fldCharType="separate"/>
                          </w:r>
                          <w:r>
                            <w:t>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pPr>
                      <w:pStyle w:val="13"/>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13"/>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jc w:val="both"/>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jc w:val="both"/>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2A3320"/>
    <w:multiLevelType w:val="singleLevel"/>
    <w:tmpl w:val="C02A3320"/>
    <w:lvl w:ilvl="0" w:tentative="0">
      <w:start w:val="2"/>
      <w:numFmt w:val="chineseCounting"/>
      <w:suff w:val="nothing"/>
      <w:lvlText w:val="（%1）"/>
      <w:lvlJc w:val="left"/>
      <w:rPr>
        <w:rFonts w:hint="eastAsia"/>
      </w:r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EBEE1335"/>
    <w:multiLevelType w:val="singleLevel"/>
    <w:tmpl w:val="EBEE1335"/>
    <w:lvl w:ilvl="0" w:tentative="0">
      <w:start w:val="1"/>
      <w:numFmt w:val="decimal"/>
      <w:pStyle w:val="2"/>
      <w:lvlText w:val="%1."/>
      <w:lvlJc w:val="left"/>
      <w:pPr>
        <w:tabs>
          <w:tab w:val="left" w:pos="360"/>
        </w:tabs>
        <w:ind w:left="360" w:hanging="360"/>
      </w:pPr>
    </w:lvl>
  </w:abstractNum>
  <w:abstractNum w:abstractNumId="3">
    <w:nsid w:val="0104727B"/>
    <w:multiLevelType w:val="singleLevel"/>
    <w:tmpl w:val="0104727B"/>
    <w:lvl w:ilvl="0" w:tentative="0">
      <w:start w:val="1"/>
      <w:numFmt w:val="chineseCounting"/>
      <w:suff w:val="space"/>
      <w:lvlText w:val="第%1部分"/>
      <w:lvlJc w:val="left"/>
      <w:rPr>
        <w:rFonts w:hint="eastAsia"/>
      </w:rPr>
    </w:lvl>
  </w:abstractNum>
  <w:abstractNum w:abstractNumId="4">
    <w:nsid w:val="07447C97"/>
    <w:multiLevelType w:val="singleLevel"/>
    <w:tmpl w:val="07447C97"/>
    <w:lvl w:ilvl="0" w:tentative="0">
      <w:start w:val="1"/>
      <w:numFmt w:val="chineseCounting"/>
      <w:suff w:val="nothing"/>
      <w:lvlText w:val="（%1）"/>
      <w:lvlJc w:val="left"/>
      <w:rPr>
        <w:rFonts w:hint="eastAsia"/>
      </w:rPr>
    </w:lvl>
  </w:abstractNum>
  <w:abstractNum w:abstractNumId="5">
    <w:nsid w:val="0E1900F0"/>
    <w:multiLevelType w:val="singleLevel"/>
    <w:tmpl w:val="0E1900F0"/>
    <w:lvl w:ilvl="0" w:tentative="0">
      <w:start w:val="1"/>
      <w:numFmt w:val="chineseCounting"/>
      <w:suff w:val="nothing"/>
      <w:lvlText w:val="（%1）"/>
      <w:lvlJc w:val="left"/>
      <w:rPr>
        <w:rFonts w:hint="eastAsia"/>
      </w:rPr>
    </w:lvl>
  </w:abstractNum>
  <w:abstractNum w:abstractNumId="6">
    <w:nsid w:val="49D11391"/>
    <w:multiLevelType w:val="singleLevel"/>
    <w:tmpl w:val="49D11391"/>
    <w:lvl w:ilvl="0" w:tentative="0">
      <w:start w:val="1"/>
      <w:numFmt w:val="chineseCounting"/>
      <w:suff w:val="nothing"/>
      <w:lvlText w:val="（%1）"/>
      <w:lvlJc w:val="left"/>
      <w:rPr>
        <w:rFonts w:hint="eastAsia"/>
      </w:rPr>
    </w:lvl>
  </w:abstractNum>
  <w:abstractNum w:abstractNumId="7">
    <w:nsid w:val="6A9E7695"/>
    <w:multiLevelType w:val="singleLevel"/>
    <w:tmpl w:val="6A9E7695"/>
    <w:lvl w:ilvl="0" w:tentative="0">
      <w:start w:val="1"/>
      <w:numFmt w:val="chineseCounting"/>
      <w:suff w:val="nothing"/>
      <w:lvlText w:val="（%1）"/>
      <w:lvlJc w:val="left"/>
      <w:rPr>
        <w:rFonts w:hint="eastAsia"/>
      </w:rPr>
    </w:lvl>
  </w:abstractNum>
  <w:num w:numId="1">
    <w:abstractNumId w:val="2"/>
  </w:num>
  <w:num w:numId="2">
    <w:abstractNumId w:val="3"/>
  </w:num>
  <w:num w:numId="3">
    <w:abstractNumId w:val="1"/>
  </w:num>
  <w:num w:numId="4">
    <w:abstractNumId w:val="0"/>
  </w:num>
  <w:num w:numId="5">
    <w:abstractNumId w:val="6"/>
  </w:num>
  <w:num w:numId="6">
    <w:abstractNumId w:val="5"/>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drawingGridHorizontalSpacing w:val="105"/>
  <w:drawingGridVerticalSpacing w:val="159"/>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ViMDE5MDYzMDRjNTJmNmJlYzc3MzIxMzc1MjJhNmY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0F23A5"/>
    <w:rsid w:val="00102898"/>
    <w:rsid w:val="00114E9B"/>
    <w:rsid w:val="0012384E"/>
    <w:rsid w:val="00142216"/>
    <w:rsid w:val="00144D6A"/>
    <w:rsid w:val="0014729F"/>
    <w:rsid w:val="00157BAB"/>
    <w:rsid w:val="00163425"/>
    <w:rsid w:val="001654D1"/>
    <w:rsid w:val="00174518"/>
    <w:rsid w:val="00175C7D"/>
    <w:rsid w:val="0018106D"/>
    <w:rsid w:val="001877A7"/>
    <w:rsid w:val="00191536"/>
    <w:rsid w:val="00196687"/>
    <w:rsid w:val="001A6E4F"/>
    <w:rsid w:val="001C0962"/>
    <w:rsid w:val="001D7531"/>
    <w:rsid w:val="001E737D"/>
    <w:rsid w:val="001F0592"/>
    <w:rsid w:val="001F5B88"/>
    <w:rsid w:val="001F7506"/>
    <w:rsid w:val="002006CD"/>
    <w:rsid w:val="00202B36"/>
    <w:rsid w:val="00204B7A"/>
    <w:rsid w:val="00204CDE"/>
    <w:rsid w:val="0021101A"/>
    <w:rsid w:val="00220536"/>
    <w:rsid w:val="00222592"/>
    <w:rsid w:val="00235629"/>
    <w:rsid w:val="00260C38"/>
    <w:rsid w:val="002616C0"/>
    <w:rsid w:val="00265372"/>
    <w:rsid w:val="002662AA"/>
    <w:rsid w:val="00280496"/>
    <w:rsid w:val="00294DC9"/>
    <w:rsid w:val="00295495"/>
    <w:rsid w:val="002A31DE"/>
    <w:rsid w:val="002B2613"/>
    <w:rsid w:val="002D6D05"/>
    <w:rsid w:val="002F1818"/>
    <w:rsid w:val="002F567B"/>
    <w:rsid w:val="003037D4"/>
    <w:rsid w:val="003216A9"/>
    <w:rsid w:val="00334CCC"/>
    <w:rsid w:val="00335A74"/>
    <w:rsid w:val="0036561B"/>
    <w:rsid w:val="0037013F"/>
    <w:rsid w:val="0037227C"/>
    <w:rsid w:val="00380C92"/>
    <w:rsid w:val="00382F07"/>
    <w:rsid w:val="00383A07"/>
    <w:rsid w:val="003A3027"/>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13FBD"/>
    <w:rsid w:val="00416E61"/>
    <w:rsid w:val="004223DE"/>
    <w:rsid w:val="00434489"/>
    <w:rsid w:val="00437085"/>
    <w:rsid w:val="00443880"/>
    <w:rsid w:val="004464F4"/>
    <w:rsid w:val="00471401"/>
    <w:rsid w:val="00471785"/>
    <w:rsid w:val="00473F31"/>
    <w:rsid w:val="0048263A"/>
    <w:rsid w:val="00487E5D"/>
    <w:rsid w:val="004A711F"/>
    <w:rsid w:val="004B199D"/>
    <w:rsid w:val="004B4690"/>
    <w:rsid w:val="004E0A2D"/>
    <w:rsid w:val="004E206B"/>
    <w:rsid w:val="004E6DF7"/>
    <w:rsid w:val="004F0FBD"/>
    <w:rsid w:val="004F40CE"/>
    <w:rsid w:val="004F48B4"/>
    <w:rsid w:val="00505A47"/>
    <w:rsid w:val="00512FDA"/>
    <w:rsid w:val="00520DA0"/>
    <w:rsid w:val="005664BB"/>
    <w:rsid w:val="00566FFA"/>
    <w:rsid w:val="0057481D"/>
    <w:rsid w:val="0058486E"/>
    <w:rsid w:val="00585B33"/>
    <w:rsid w:val="0059014D"/>
    <w:rsid w:val="005A52B3"/>
    <w:rsid w:val="005B5C64"/>
    <w:rsid w:val="005C5337"/>
    <w:rsid w:val="005C6BD0"/>
    <w:rsid w:val="005D1C8B"/>
    <w:rsid w:val="005D468D"/>
    <w:rsid w:val="005D5CED"/>
    <w:rsid w:val="005F1A4C"/>
    <w:rsid w:val="005F75A7"/>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E1B25"/>
    <w:rsid w:val="006F020C"/>
    <w:rsid w:val="007127B7"/>
    <w:rsid w:val="0071798E"/>
    <w:rsid w:val="007416B6"/>
    <w:rsid w:val="00746F48"/>
    <w:rsid w:val="0075404D"/>
    <w:rsid w:val="0076182A"/>
    <w:rsid w:val="00764851"/>
    <w:rsid w:val="00767B7E"/>
    <w:rsid w:val="007770C3"/>
    <w:rsid w:val="00784D24"/>
    <w:rsid w:val="00785FBA"/>
    <w:rsid w:val="00786E4A"/>
    <w:rsid w:val="007875EB"/>
    <w:rsid w:val="0079426B"/>
    <w:rsid w:val="007D1682"/>
    <w:rsid w:val="007D312A"/>
    <w:rsid w:val="007D3F19"/>
    <w:rsid w:val="007D421F"/>
    <w:rsid w:val="007E23B0"/>
    <w:rsid w:val="007E23E5"/>
    <w:rsid w:val="007F1991"/>
    <w:rsid w:val="007F2C2F"/>
    <w:rsid w:val="007F55FC"/>
    <w:rsid w:val="007F5665"/>
    <w:rsid w:val="00800112"/>
    <w:rsid w:val="00813348"/>
    <w:rsid w:val="008165A2"/>
    <w:rsid w:val="008253BB"/>
    <w:rsid w:val="00827E97"/>
    <w:rsid w:val="00830BE2"/>
    <w:rsid w:val="0083706E"/>
    <w:rsid w:val="008408F6"/>
    <w:rsid w:val="008423A5"/>
    <w:rsid w:val="00850625"/>
    <w:rsid w:val="00853718"/>
    <w:rsid w:val="00855221"/>
    <w:rsid w:val="00860645"/>
    <w:rsid w:val="00871F71"/>
    <w:rsid w:val="00872FD8"/>
    <w:rsid w:val="00885AF4"/>
    <w:rsid w:val="008939CD"/>
    <w:rsid w:val="008B768C"/>
    <w:rsid w:val="008C2EA7"/>
    <w:rsid w:val="008C4DB1"/>
    <w:rsid w:val="008C4EAF"/>
    <w:rsid w:val="008C5176"/>
    <w:rsid w:val="008C7FD0"/>
    <w:rsid w:val="008D738E"/>
    <w:rsid w:val="008E1DE7"/>
    <w:rsid w:val="008E707C"/>
    <w:rsid w:val="00900B08"/>
    <w:rsid w:val="009010A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1629"/>
    <w:rsid w:val="00A422EB"/>
    <w:rsid w:val="00A45BB7"/>
    <w:rsid w:val="00A56DF2"/>
    <w:rsid w:val="00A56E6E"/>
    <w:rsid w:val="00A647E6"/>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27CF0"/>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1111"/>
    <w:rsid w:val="00C33E72"/>
    <w:rsid w:val="00C354B2"/>
    <w:rsid w:val="00C35554"/>
    <w:rsid w:val="00C407F3"/>
    <w:rsid w:val="00C42709"/>
    <w:rsid w:val="00C533CC"/>
    <w:rsid w:val="00C5751C"/>
    <w:rsid w:val="00C61BFC"/>
    <w:rsid w:val="00C62B85"/>
    <w:rsid w:val="00C65438"/>
    <w:rsid w:val="00C87FD8"/>
    <w:rsid w:val="00C91381"/>
    <w:rsid w:val="00C91CBB"/>
    <w:rsid w:val="00CB18E5"/>
    <w:rsid w:val="00CB4E70"/>
    <w:rsid w:val="00CB6B53"/>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611E2"/>
    <w:rsid w:val="00D7035F"/>
    <w:rsid w:val="00D839E7"/>
    <w:rsid w:val="00DA634F"/>
    <w:rsid w:val="00DA65AC"/>
    <w:rsid w:val="00DB1913"/>
    <w:rsid w:val="00DC410D"/>
    <w:rsid w:val="00DC5A81"/>
    <w:rsid w:val="00DC68CA"/>
    <w:rsid w:val="00DC7CBA"/>
    <w:rsid w:val="00DD35FC"/>
    <w:rsid w:val="00DD73B7"/>
    <w:rsid w:val="00DF28BC"/>
    <w:rsid w:val="00DF34B9"/>
    <w:rsid w:val="00E01053"/>
    <w:rsid w:val="00E07ACF"/>
    <w:rsid w:val="00E11537"/>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4A3F"/>
    <w:rsid w:val="00F156F0"/>
    <w:rsid w:val="00F160C7"/>
    <w:rsid w:val="00F2408F"/>
    <w:rsid w:val="00F240E9"/>
    <w:rsid w:val="00F36D8F"/>
    <w:rsid w:val="00F37A66"/>
    <w:rsid w:val="00F417B1"/>
    <w:rsid w:val="00F45853"/>
    <w:rsid w:val="00F54E78"/>
    <w:rsid w:val="00F602DF"/>
    <w:rsid w:val="00F754A1"/>
    <w:rsid w:val="00F81FD9"/>
    <w:rsid w:val="00F841AA"/>
    <w:rsid w:val="00F84A94"/>
    <w:rsid w:val="00F87E96"/>
    <w:rsid w:val="00FA23E8"/>
    <w:rsid w:val="00FD3CC1"/>
    <w:rsid w:val="00FE1F2B"/>
    <w:rsid w:val="00FF1E02"/>
    <w:rsid w:val="00FF30B4"/>
    <w:rsid w:val="015975B8"/>
    <w:rsid w:val="02143E91"/>
    <w:rsid w:val="059A5AD4"/>
    <w:rsid w:val="066E0107"/>
    <w:rsid w:val="069A65B0"/>
    <w:rsid w:val="07996F6E"/>
    <w:rsid w:val="0A2032A3"/>
    <w:rsid w:val="0AAC240E"/>
    <w:rsid w:val="0B782CA7"/>
    <w:rsid w:val="0B852C60"/>
    <w:rsid w:val="0F98263C"/>
    <w:rsid w:val="101860EC"/>
    <w:rsid w:val="10593D63"/>
    <w:rsid w:val="10BF041C"/>
    <w:rsid w:val="10C055FF"/>
    <w:rsid w:val="10FB40F0"/>
    <w:rsid w:val="118107EC"/>
    <w:rsid w:val="121427C3"/>
    <w:rsid w:val="13D50BC4"/>
    <w:rsid w:val="14922675"/>
    <w:rsid w:val="16BB723D"/>
    <w:rsid w:val="16F72C63"/>
    <w:rsid w:val="1A330456"/>
    <w:rsid w:val="1BE8440E"/>
    <w:rsid w:val="1C4C3A51"/>
    <w:rsid w:val="1D155CEE"/>
    <w:rsid w:val="1FF35744"/>
    <w:rsid w:val="20BD316F"/>
    <w:rsid w:val="22FF7A6F"/>
    <w:rsid w:val="234A13D0"/>
    <w:rsid w:val="23860B96"/>
    <w:rsid w:val="240371BF"/>
    <w:rsid w:val="258B383C"/>
    <w:rsid w:val="288822B5"/>
    <w:rsid w:val="29FD04D3"/>
    <w:rsid w:val="2A094D30"/>
    <w:rsid w:val="2C155C0E"/>
    <w:rsid w:val="2C815051"/>
    <w:rsid w:val="2C8A61B5"/>
    <w:rsid w:val="2DF04E50"/>
    <w:rsid w:val="2E114AFB"/>
    <w:rsid w:val="2F040D46"/>
    <w:rsid w:val="31745184"/>
    <w:rsid w:val="317D38E9"/>
    <w:rsid w:val="319F7F4E"/>
    <w:rsid w:val="32FC1040"/>
    <w:rsid w:val="3304709D"/>
    <w:rsid w:val="34F67788"/>
    <w:rsid w:val="36AA5135"/>
    <w:rsid w:val="376D39B2"/>
    <w:rsid w:val="37E16F03"/>
    <w:rsid w:val="38044D88"/>
    <w:rsid w:val="386A68D5"/>
    <w:rsid w:val="38D469F0"/>
    <w:rsid w:val="391E1E7A"/>
    <w:rsid w:val="3D98207C"/>
    <w:rsid w:val="3E2919ED"/>
    <w:rsid w:val="3E78745D"/>
    <w:rsid w:val="40FA4E7B"/>
    <w:rsid w:val="4226071D"/>
    <w:rsid w:val="44A678F3"/>
    <w:rsid w:val="44E268DA"/>
    <w:rsid w:val="45834682"/>
    <w:rsid w:val="45EE128D"/>
    <w:rsid w:val="48D24C1A"/>
    <w:rsid w:val="49917B44"/>
    <w:rsid w:val="4A627F82"/>
    <w:rsid w:val="4B0E749A"/>
    <w:rsid w:val="4B4F25DA"/>
    <w:rsid w:val="4BE068DB"/>
    <w:rsid w:val="4D196FC1"/>
    <w:rsid w:val="4D577224"/>
    <w:rsid w:val="4EAB630A"/>
    <w:rsid w:val="4ECE2238"/>
    <w:rsid w:val="507C775A"/>
    <w:rsid w:val="51EE6435"/>
    <w:rsid w:val="5285323E"/>
    <w:rsid w:val="537E6D0A"/>
    <w:rsid w:val="552A3C28"/>
    <w:rsid w:val="556F5ADF"/>
    <w:rsid w:val="55A41C2D"/>
    <w:rsid w:val="56A17F1A"/>
    <w:rsid w:val="573214BA"/>
    <w:rsid w:val="57A15BDA"/>
    <w:rsid w:val="5AF92295"/>
    <w:rsid w:val="5CD71FC4"/>
    <w:rsid w:val="5CE40C70"/>
    <w:rsid w:val="6094289E"/>
    <w:rsid w:val="61C80A51"/>
    <w:rsid w:val="644D0310"/>
    <w:rsid w:val="65982E30"/>
    <w:rsid w:val="660109D5"/>
    <w:rsid w:val="6C4A05C8"/>
    <w:rsid w:val="6D323B6A"/>
    <w:rsid w:val="6E7E3605"/>
    <w:rsid w:val="6EE113A4"/>
    <w:rsid w:val="6FF5CC65"/>
    <w:rsid w:val="715C0E4B"/>
    <w:rsid w:val="72734D90"/>
    <w:rsid w:val="73243F55"/>
    <w:rsid w:val="73AD73D5"/>
    <w:rsid w:val="73B6EB34"/>
    <w:rsid w:val="744731E5"/>
    <w:rsid w:val="76E3355F"/>
    <w:rsid w:val="778769C8"/>
    <w:rsid w:val="79EE5BA4"/>
    <w:rsid w:val="7A3D4FEE"/>
    <w:rsid w:val="7A6168AB"/>
    <w:rsid w:val="7A894339"/>
    <w:rsid w:val="7A97325F"/>
    <w:rsid w:val="7CB4634A"/>
    <w:rsid w:val="7EEF11D3"/>
    <w:rsid w:val="7FA30C79"/>
    <w:rsid w:val="7FB14DC3"/>
    <w:rsid w:val="7FB7269E"/>
    <w:rsid w:val="7FC96657"/>
    <w:rsid w:val="D8D6DB89"/>
    <w:rsid w:val="DB6F4CAB"/>
    <w:rsid w:val="DF6F978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4"/>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8"/>
    <w:autoRedefine/>
    <w:unhideWhenUsed/>
    <w:qFormat/>
    <w:uiPriority w:val="9"/>
    <w:pPr>
      <w:keepNext/>
      <w:keepLines/>
      <w:spacing w:before="260" w:after="260" w:line="416" w:lineRule="auto"/>
      <w:outlineLvl w:val="2"/>
    </w:pPr>
    <w:rPr>
      <w:b/>
      <w:bCs/>
      <w:sz w:val="32"/>
      <w:szCs w:val="32"/>
    </w:rPr>
  </w:style>
  <w:style w:type="character" w:default="1" w:styleId="22">
    <w:name w:val="Default Paragraph Font"/>
    <w:semiHidden/>
    <w:unhideWhenUsed/>
    <w:qFormat/>
    <w:uiPriority w:val="1"/>
  </w:style>
  <w:style w:type="table" w:default="1" w:styleId="21">
    <w:name w:val="Normal Table"/>
    <w:autoRedefine/>
    <w:semiHidden/>
    <w:unhideWhenUsed/>
    <w:qFormat/>
    <w:uiPriority w:val="99"/>
    <w:tblPr>
      <w:tblCellMar>
        <w:top w:w="0" w:type="dxa"/>
        <w:left w:w="108" w:type="dxa"/>
        <w:bottom w:w="0" w:type="dxa"/>
        <w:right w:w="108" w:type="dxa"/>
      </w:tblCellMar>
    </w:tblPr>
  </w:style>
  <w:style w:type="paragraph" w:styleId="2">
    <w:name w:val="List Number"/>
    <w:basedOn w:val="1"/>
    <w:autoRedefine/>
    <w:semiHidden/>
    <w:unhideWhenUsed/>
    <w:qFormat/>
    <w:uiPriority w:val="99"/>
    <w:pPr>
      <w:numPr>
        <w:ilvl w:val="0"/>
        <w:numId w:val="1"/>
      </w:numPr>
    </w:pPr>
  </w:style>
  <w:style w:type="paragraph" w:styleId="6">
    <w:name w:val="toc 7"/>
    <w:basedOn w:val="1"/>
    <w:next w:val="1"/>
    <w:autoRedefine/>
    <w:unhideWhenUsed/>
    <w:qFormat/>
    <w:uiPriority w:val="39"/>
    <w:pPr>
      <w:ind w:left="2520" w:leftChars="1200"/>
    </w:pPr>
    <w:rPr>
      <w:rFonts w:asciiTheme="minorHAnsi" w:hAnsiTheme="minorHAnsi" w:eastAsiaTheme="minorEastAsia" w:cstheme="minorBidi"/>
      <w:szCs w:val="22"/>
      <w14:ligatures w14:val="standardContextual"/>
    </w:rPr>
  </w:style>
  <w:style w:type="paragraph" w:styleId="7">
    <w:name w:val="Body Text"/>
    <w:basedOn w:val="1"/>
    <w:link w:val="32"/>
    <w:qFormat/>
    <w:uiPriority w:val="99"/>
    <w:pPr>
      <w:spacing w:beforeLines="30"/>
    </w:pPr>
    <w:rPr>
      <w:rFonts w:ascii="仿宋_GB2312" w:eastAsia="仿宋_GB2312"/>
      <w:kern w:val="0"/>
      <w:sz w:val="30"/>
    </w:rPr>
  </w:style>
  <w:style w:type="paragraph" w:styleId="8">
    <w:name w:val="Body Text Indent"/>
    <w:basedOn w:val="1"/>
    <w:autoRedefine/>
    <w:qFormat/>
    <w:uiPriority w:val="0"/>
    <w:pPr>
      <w:spacing w:after="120"/>
      <w:ind w:left="200" w:leftChars="200"/>
    </w:pPr>
    <w:rPr>
      <w:rFonts w:ascii="仿宋_GB2312"/>
      <w:szCs w:val="32"/>
    </w:rPr>
  </w:style>
  <w:style w:type="paragraph" w:styleId="9">
    <w:name w:val="toc 5"/>
    <w:basedOn w:val="1"/>
    <w:next w:val="1"/>
    <w:autoRedefine/>
    <w:unhideWhenUsed/>
    <w:qFormat/>
    <w:uiPriority w:val="39"/>
    <w:pPr>
      <w:ind w:left="1680" w:leftChars="800"/>
    </w:pPr>
    <w:rPr>
      <w:rFonts w:asciiTheme="minorHAnsi" w:hAnsiTheme="minorHAnsi" w:eastAsiaTheme="minorEastAsia" w:cstheme="minorBidi"/>
      <w:szCs w:val="22"/>
      <w14:ligatures w14:val="standardContextual"/>
    </w:rPr>
  </w:style>
  <w:style w:type="paragraph" w:styleId="10">
    <w:name w:val="toc 3"/>
    <w:basedOn w:val="1"/>
    <w:next w:val="1"/>
    <w:autoRedefine/>
    <w:unhideWhenUsed/>
    <w:qFormat/>
    <w:uiPriority w:val="39"/>
    <w:pPr>
      <w:tabs>
        <w:tab w:val="right" w:leader="dot" w:pos="8296"/>
      </w:tabs>
      <w:ind w:left="840" w:leftChars="400"/>
    </w:pPr>
  </w:style>
  <w:style w:type="paragraph" w:styleId="11">
    <w:name w:val="toc 8"/>
    <w:basedOn w:val="1"/>
    <w:next w:val="1"/>
    <w:autoRedefine/>
    <w:unhideWhenUsed/>
    <w:qFormat/>
    <w:uiPriority w:val="39"/>
    <w:pPr>
      <w:ind w:left="2940" w:leftChars="1400"/>
    </w:pPr>
    <w:rPr>
      <w:rFonts w:asciiTheme="minorHAnsi" w:hAnsiTheme="minorHAnsi" w:eastAsiaTheme="minorEastAsia" w:cstheme="minorBidi"/>
      <w:szCs w:val="22"/>
      <w14:ligatures w14:val="standardContextual"/>
    </w:rPr>
  </w:style>
  <w:style w:type="paragraph" w:styleId="12">
    <w:name w:val="Balloon Text"/>
    <w:basedOn w:val="1"/>
    <w:link w:val="37"/>
    <w:semiHidden/>
    <w:unhideWhenUsed/>
    <w:qFormat/>
    <w:uiPriority w:val="99"/>
    <w:rPr>
      <w:sz w:val="18"/>
      <w:szCs w:val="18"/>
    </w:rPr>
  </w:style>
  <w:style w:type="paragraph" w:styleId="13">
    <w:name w:val="footer"/>
    <w:basedOn w:val="1"/>
    <w:link w:val="30"/>
    <w:autoRedefine/>
    <w:qFormat/>
    <w:uiPriority w:val="99"/>
    <w:pPr>
      <w:tabs>
        <w:tab w:val="center" w:pos="4153"/>
        <w:tab w:val="right" w:pos="8306"/>
      </w:tabs>
      <w:snapToGrid w:val="0"/>
      <w:jc w:val="left"/>
    </w:pPr>
    <w:rPr>
      <w:rFonts w:ascii="Calibri" w:hAnsi="Calibri"/>
      <w:kern w:val="0"/>
      <w:sz w:val="18"/>
      <w:szCs w:val="18"/>
    </w:rPr>
  </w:style>
  <w:style w:type="paragraph" w:styleId="14">
    <w:name w:val="header"/>
    <w:basedOn w:val="1"/>
    <w:link w:val="28"/>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5">
    <w:name w:val="toc 1"/>
    <w:basedOn w:val="1"/>
    <w:next w:val="1"/>
    <w:autoRedefine/>
    <w:unhideWhenUsed/>
    <w:qFormat/>
    <w:uiPriority w:val="39"/>
    <w:pPr>
      <w:tabs>
        <w:tab w:val="right" w:leader="dot" w:pos="8296"/>
      </w:tabs>
      <w:spacing w:before="93"/>
      <w:jc w:val="center"/>
    </w:pPr>
    <w:rPr>
      <w:rFonts w:ascii="仿宋" w:hAnsi="仿宋" w:eastAsia="仿宋"/>
      <w:sz w:val="28"/>
      <w:szCs w:val="28"/>
    </w:rPr>
  </w:style>
  <w:style w:type="paragraph" w:styleId="16">
    <w:name w:val="toc 4"/>
    <w:basedOn w:val="1"/>
    <w:next w:val="1"/>
    <w:autoRedefine/>
    <w:unhideWhenUsed/>
    <w:qFormat/>
    <w:uiPriority w:val="39"/>
    <w:pPr>
      <w:ind w:left="1260" w:leftChars="600"/>
    </w:pPr>
    <w:rPr>
      <w:rFonts w:asciiTheme="minorHAnsi" w:hAnsiTheme="minorHAnsi" w:eastAsiaTheme="minorEastAsia" w:cstheme="minorBidi"/>
      <w:szCs w:val="22"/>
      <w14:ligatures w14:val="standardContextual"/>
    </w:rPr>
  </w:style>
  <w:style w:type="paragraph" w:styleId="17">
    <w:name w:val="toc 6"/>
    <w:basedOn w:val="1"/>
    <w:next w:val="1"/>
    <w:unhideWhenUsed/>
    <w:qFormat/>
    <w:uiPriority w:val="39"/>
    <w:pPr>
      <w:ind w:left="2100" w:leftChars="1000"/>
    </w:pPr>
    <w:rPr>
      <w:rFonts w:asciiTheme="minorHAnsi" w:hAnsiTheme="minorHAnsi" w:eastAsiaTheme="minorEastAsia" w:cstheme="minorBidi"/>
      <w:szCs w:val="22"/>
      <w14:ligatures w14:val="standardContextual"/>
    </w:rPr>
  </w:style>
  <w:style w:type="paragraph" w:styleId="18">
    <w:name w:val="toc 2"/>
    <w:basedOn w:val="1"/>
    <w:next w:val="1"/>
    <w:autoRedefine/>
    <w:unhideWhenUsed/>
    <w:qFormat/>
    <w:uiPriority w:val="39"/>
    <w:pPr>
      <w:tabs>
        <w:tab w:val="right" w:leader="dot" w:pos="8296"/>
      </w:tabs>
      <w:ind w:left="420" w:leftChars="200"/>
    </w:pPr>
  </w:style>
  <w:style w:type="paragraph" w:styleId="19">
    <w:name w:val="toc 9"/>
    <w:basedOn w:val="1"/>
    <w:next w:val="1"/>
    <w:autoRedefine/>
    <w:unhideWhenUsed/>
    <w:qFormat/>
    <w:uiPriority w:val="39"/>
    <w:pPr>
      <w:ind w:left="3360" w:leftChars="1600"/>
    </w:pPr>
    <w:rPr>
      <w:rFonts w:asciiTheme="minorHAnsi" w:hAnsiTheme="minorHAnsi" w:eastAsiaTheme="minorEastAsia" w:cstheme="minorBidi"/>
      <w:szCs w:val="22"/>
      <w14:ligatures w14:val="standardContextual"/>
    </w:rPr>
  </w:style>
  <w:style w:type="paragraph" w:styleId="20">
    <w:name w:val="Body Text First Indent 2"/>
    <w:basedOn w:val="8"/>
    <w:unhideWhenUsed/>
    <w:qFormat/>
    <w:uiPriority w:val="99"/>
    <w:pPr>
      <w:ind w:firstLine="420" w:firstLineChars="200"/>
    </w:pPr>
  </w:style>
  <w:style w:type="character" w:styleId="23">
    <w:name w:val="Strong"/>
    <w:basedOn w:val="22"/>
    <w:autoRedefine/>
    <w:qFormat/>
    <w:uiPriority w:val="99"/>
    <w:rPr>
      <w:b/>
    </w:rPr>
  </w:style>
  <w:style w:type="character" w:styleId="24">
    <w:name w:val="Hyperlink"/>
    <w:basedOn w:val="22"/>
    <w:autoRedefine/>
    <w:unhideWhenUsed/>
    <w:qFormat/>
    <w:uiPriority w:val="99"/>
    <w:rPr>
      <w:color w:val="0000FF" w:themeColor="hyperlink"/>
      <w:u w:val="single"/>
      <w14:textFill>
        <w14:solidFill>
          <w14:schemeClr w14:val="hlink"/>
        </w14:solidFill>
      </w14:textFill>
    </w:rPr>
  </w:style>
  <w:style w:type="paragraph" w:customStyle="1" w:styleId="25">
    <w:name w:val="Default"/>
    <w:next w:val="14"/>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26">
    <w:name w:val="标题 5（有编号）（绿盟科技）"/>
    <w:next w:val="1"/>
    <w:autoRedefine/>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7">
    <w:name w:val="Header Char"/>
    <w:basedOn w:val="22"/>
    <w:autoRedefine/>
    <w:semiHidden/>
    <w:qFormat/>
    <w:uiPriority w:val="99"/>
    <w:rPr>
      <w:rFonts w:ascii="Times New Roman" w:hAnsi="Times New Roman"/>
      <w:sz w:val="18"/>
      <w:szCs w:val="18"/>
    </w:rPr>
  </w:style>
  <w:style w:type="character" w:customStyle="1" w:styleId="28">
    <w:name w:val="页眉 字符"/>
    <w:link w:val="14"/>
    <w:semiHidden/>
    <w:qFormat/>
    <w:locked/>
    <w:uiPriority w:val="99"/>
    <w:rPr>
      <w:sz w:val="18"/>
    </w:rPr>
  </w:style>
  <w:style w:type="character" w:customStyle="1" w:styleId="29">
    <w:name w:val="Footer Char"/>
    <w:basedOn w:val="22"/>
    <w:autoRedefine/>
    <w:semiHidden/>
    <w:qFormat/>
    <w:uiPriority w:val="99"/>
    <w:rPr>
      <w:rFonts w:ascii="Times New Roman" w:hAnsi="Times New Roman"/>
      <w:sz w:val="18"/>
      <w:szCs w:val="18"/>
    </w:rPr>
  </w:style>
  <w:style w:type="character" w:customStyle="1" w:styleId="30">
    <w:name w:val="页脚 字符"/>
    <w:link w:val="13"/>
    <w:autoRedefine/>
    <w:qFormat/>
    <w:locked/>
    <w:uiPriority w:val="99"/>
    <w:rPr>
      <w:sz w:val="18"/>
    </w:rPr>
  </w:style>
  <w:style w:type="character" w:customStyle="1" w:styleId="31">
    <w:name w:val="Body Text Char"/>
    <w:basedOn w:val="22"/>
    <w:semiHidden/>
    <w:qFormat/>
    <w:uiPriority w:val="99"/>
    <w:rPr>
      <w:rFonts w:ascii="Times New Roman" w:hAnsi="Times New Roman"/>
      <w:szCs w:val="24"/>
    </w:rPr>
  </w:style>
  <w:style w:type="character" w:customStyle="1" w:styleId="32">
    <w:name w:val="正文文本 字符"/>
    <w:link w:val="7"/>
    <w:autoRedefine/>
    <w:qFormat/>
    <w:locked/>
    <w:uiPriority w:val="99"/>
    <w:rPr>
      <w:rFonts w:ascii="仿宋_GB2312" w:hAnsi="Times New Roman" w:eastAsia="仿宋_GB2312"/>
      <w:sz w:val="24"/>
    </w:rPr>
  </w:style>
  <w:style w:type="paragraph" w:styleId="33">
    <w:name w:val="List Paragraph"/>
    <w:basedOn w:val="1"/>
    <w:autoRedefine/>
    <w:qFormat/>
    <w:uiPriority w:val="34"/>
    <w:pPr>
      <w:ind w:firstLine="420" w:firstLineChars="200"/>
    </w:pPr>
  </w:style>
  <w:style w:type="character" w:customStyle="1" w:styleId="34">
    <w:name w:val="标题 1 字符"/>
    <w:basedOn w:val="22"/>
    <w:link w:val="3"/>
    <w:qFormat/>
    <w:uiPriority w:val="9"/>
    <w:rPr>
      <w:rFonts w:ascii="Times New Roman" w:hAnsi="Times New Roman"/>
      <w:b/>
      <w:bCs/>
      <w:kern w:val="44"/>
      <w:sz w:val="44"/>
      <w:szCs w:val="44"/>
    </w:rPr>
  </w:style>
  <w:style w:type="character" w:customStyle="1" w:styleId="35">
    <w:name w:val="标题 2 字符"/>
    <w:basedOn w:val="22"/>
    <w:link w:val="4"/>
    <w:autoRedefine/>
    <w:qFormat/>
    <w:uiPriority w:val="9"/>
    <w:rPr>
      <w:rFonts w:asciiTheme="majorHAnsi" w:hAnsiTheme="majorHAnsi" w:eastAsiaTheme="majorEastAsia" w:cstheme="majorBidi"/>
      <w:b/>
      <w:bCs/>
      <w:kern w:val="2"/>
      <w:sz w:val="32"/>
      <w:szCs w:val="32"/>
    </w:rPr>
  </w:style>
  <w:style w:type="paragraph" w:customStyle="1" w:styleId="36">
    <w:name w:val="TOC 标题1"/>
    <w:basedOn w:val="3"/>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7">
    <w:name w:val="批注框文本 字符"/>
    <w:basedOn w:val="22"/>
    <w:link w:val="12"/>
    <w:semiHidden/>
    <w:qFormat/>
    <w:uiPriority w:val="99"/>
    <w:rPr>
      <w:rFonts w:ascii="Times New Roman" w:hAnsi="Times New Roman"/>
      <w:kern w:val="2"/>
      <w:sz w:val="18"/>
      <w:szCs w:val="18"/>
    </w:rPr>
  </w:style>
  <w:style w:type="character" w:customStyle="1" w:styleId="38">
    <w:name w:val="标题 3 字符"/>
    <w:basedOn w:val="22"/>
    <w:link w:val="5"/>
    <w:autoRedefine/>
    <w:qFormat/>
    <w:uiPriority w:val="9"/>
    <w:rPr>
      <w:rFonts w:ascii="Times New Roman" w:hAnsi="Times New Roman"/>
      <w:b/>
      <w:bCs/>
      <w:kern w:val="2"/>
      <w:sz w:val="32"/>
      <w:szCs w:val="32"/>
    </w:rPr>
  </w:style>
  <w:style w:type="paragraph" w:customStyle="1" w:styleId="39">
    <w:name w:val="TOC 标题2"/>
    <w:basedOn w:val="3"/>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40">
    <w:name w:val="四号正文"/>
    <w:basedOn w:val="1"/>
    <w:qFormat/>
    <w:uiPriority w:val="0"/>
    <w:pPr>
      <w:spacing w:line="360" w:lineRule="auto"/>
    </w:pPr>
    <w:rPr>
      <w:rFonts w:ascii="??" w:hAnsi="??"/>
      <w:color w:val="000000"/>
      <w:kern w:val="0"/>
      <w:sz w:val="28"/>
      <w:szCs w:val="21"/>
      <w:lang w:val="zh-CN"/>
    </w:rPr>
  </w:style>
  <w:style w:type="paragraph" w:customStyle="1" w:styleId="41">
    <w:name w:val="TOC Heading"/>
    <w:basedOn w:val="3"/>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character" w:customStyle="1" w:styleId="42">
    <w:name w:val="Unresolved Mention"/>
    <w:basedOn w:val="22"/>
    <w:autoRedefine/>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customXml" Target="../customXml/item2.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chart" Target="charts/chart7.xml"/><Relationship Id="rId18" Type="http://schemas.openxmlformats.org/officeDocument/2006/relationships/chart" Target="charts/chart6.xml"/><Relationship Id="rId17" Type="http://schemas.openxmlformats.org/officeDocument/2006/relationships/chart" Target="charts/chart5.xml"/><Relationship Id="rId16" Type="http://schemas.openxmlformats.org/officeDocument/2006/relationships/chart" Target="charts/chart4.xml"/><Relationship Id="rId15" Type="http://schemas.openxmlformats.org/officeDocument/2006/relationships/chart" Target="charts/chart3.xml"/><Relationship Id="rId14" Type="http://schemas.openxmlformats.org/officeDocument/2006/relationships/chart" Target="charts/chart2.xml"/><Relationship Id="rId13" Type="http://schemas.openxmlformats.org/officeDocument/2006/relationships/chart" Target="charts/chart1.xml"/><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4" Type="http://schemas.microsoft.com/office/2011/relationships/chartColorStyle" Target="colors1.xml"/><Relationship Id="rId3" Type="http://schemas.microsoft.com/office/2011/relationships/chartStyle" Target="style1.xml"/><Relationship Id="rId2" Type="http://schemas.openxmlformats.org/officeDocument/2006/relationships/themeOverride" Target="../theme/themeOverrid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4.xlsx"/></Relationships>
</file>

<file path=word/charts/_rels/chart4.xml.rels><?xml version="1.0" encoding="UTF-8" standalone="yes"?>
<Relationships xmlns="http://schemas.openxmlformats.org/package/2006/relationships"><Relationship Id="rId4" Type="http://schemas.microsoft.com/office/2011/relationships/chartColorStyle" Target="colors4.xml"/><Relationship Id="rId3" Type="http://schemas.microsoft.com/office/2011/relationships/chartStyle" Target="style4.xml"/><Relationship Id="rId2" Type="http://schemas.openxmlformats.org/officeDocument/2006/relationships/themeOverride" Target="../theme/themeOverride2.xml"/><Relationship Id="rId1" Type="http://schemas.openxmlformats.org/officeDocument/2006/relationships/package" Target="../embeddings/Workbook5.xlsx"/></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6.xlsx"/></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7.xlsx"/></Relationships>
</file>

<file path=word/charts/_rels/chart7.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18"/>
          <c:y val="0.144592679484794"/>
          <c:w val="0.8582"/>
          <c:h val="0.672880127554718"/>
        </c:manualLayout>
      </c:layout>
      <c:barChart>
        <c:barDir val="col"/>
        <c:grouping val="clustered"/>
        <c:varyColors val="0"/>
        <c:ser>
          <c:idx val="0"/>
          <c:order val="0"/>
          <c:tx>
            <c:strRef>
              <c:f>Sheet1!$A$2</c:f>
              <c:strCache>
                <c:ptCount val="1"/>
                <c:pt idx="0">
                  <c:v>收入（万元）</c:v>
                </c:pt>
              </c:strCache>
            </c:strRef>
          </c:tx>
          <c:spPr>
            <a:solidFill>
              <a:srgbClr val="4F81BD"/>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lumMod val="75000"/>
                        <a:lumOff val="25000"/>
                      </a:sys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ysClr val="windowText" lastClr="000000">
                          <a:lumMod val="35000"/>
                          <a:lumOff val="65000"/>
                        </a:sysClr>
                      </a:solidFill>
                      <a:round/>
                    </a:ln>
                    <a:effectLst/>
                  </c:spPr>
                </c15:leaderLines>
              </c:ext>
            </c:extLst>
          </c:dLbls>
          <c:cat>
            <c:strRef>
              <c:f>Sheet1!$B$1:$C$1</c:f>
              <c:strCache>
                <c:ptCount val="2"/>
                <c:pt idx="0">
                  <c:v>2021年度</c:v>
                </c:pt>
                <c:pt idx="1">
                  <c:v>2022年度</c:v>
                </c:pt>
              </c:strCache>
            </c:strRef>
          </c:cat>
          <c:val>
            <c:numRef>
              <c:f>Sheet1!$B$2:$C$2</c:f>
              <c:numCache>
                <c:formatCode>General</c:formatCode>
                <c:ptCount val="2"/>
                <c:pt idx="0">
                  <c:v>1175.01</c:v>
                </c:pt>
                <c:pt idx="1">
                  <c:v>1168.92</c:v>
                </c:pt>
              </c:numCache>
            </c:numRef>
          </c:val>
        </c:ser>
        <c:ser>
          <c:idx val="1"/>
          <c:order val="1"/>
          <c:tx>
            <c:strRef>
              <c:f>Sheet1!$A$3</c:f>
              <c:strCache>
                <c:ptCount val="1"/>
                <c:pt idx="0">
                  <c:v>支出（万元）</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lumMod val="75000"/>
                        <a:lumOff val="25000"/>
                      </a:sys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ysClr val="windowText" lastClr="000000">
                          <a:lumMod val="35000"/>
                          <a:lumOff val="65000"/>
                        </a:sysClr>
                      </a:solidFill>
                      <a:round/>
                    </a:ln>
                    <a:effectLst/>
                  </c:spPr>
                </c15:leaderLines>
              </c:ext>
            </c:extLst>
          </c:dLbls>
          <c:cat>
            <c:strRef>
              <c:f>Sheet1!$B$1:$C$1</c:f>
              <c:strCache>
                <c:ptCount val="2"/>
                <c:pt idx="0">
                  <c:v>2021年度</c:v>
                </c:pt>
                <c:pt idx="1">
                  <c:v>2022年度</c:v>
                </c:pt>
              </c:strCache>
            </c:strRef>
          </c:cat>
          <c:val>
            <c:numRef>
              <c:f>Sheet1!$B$3:$C$3</c:f>
              <c:numCache>
                <c:formatCode>General</c:formatCode>
                <c:ptCount val="2"/>
                <c:pt idx="0">
                  <c:v>1175.01</c:v>
                </c:pt>
                <c:pt idx="1">
                  <c:v>1168.92</c:v>
                </c:pt>
              </c:numCache>
            </c:numRef>
          </c:val>
        </c:ser>
        <c:dLbls>
          <c:showLegendKey val="0"/>
          <c:showVal val="1"/>
          <c:showCatName val="0"/>
          <c:showSerName val="0"/>
          <c:showPercent val="0"/>
          <c:showBubbleSize val="0"/>
        </c:dLbls>
        <c:gapWidth val="219"/>
        <c:overlap val="-27"/>
        <c:axId val="69389881"/>
        <c:axId val="545547544"/>
      </c:barChart>
      <c:catAx>
        <c:axId val="69389881"/>
        <c:scaling>
          <c:orientation val="minMax"/>
        </c:scaling>
        <c:delete val="0"/>
        <c:axPos val="b"/>
        <c:numFmt formatCode="General" sourceLinked="0"/>
        <c:majorTickMark val="none"/>
        <c:minorTickMark val="none"/>
        <c:tickLblPos val="nextTo"/>
        <c:spPr>
          <a:noFill/>
          <a:ln w="9525" cap="flat" cmpd="sng" algn="ctr">
            <a:solidFill>
              <a:sysClr val="windowText" lastClr="000000">
                <a:lumMod val="15000"/>
                <a:lumOff val="85000"/>
              </a:sysClr>
            </a:solidFill>
            <a:round/>
          </a:ln>
          <a:effectLst/>
        </c:spPr>
        <c:txPr>
          <a:bodyPr rot="-60000000" spcFirstLastPara="0" vertOverflow="ellipsis" vert="horz" wrap="square" anchor="ctr" anchorCtr="1"/>
          <a:lstStyle/>
          <a:p>
            <a:pPr>
              <a:defRPr lang="zh-CN" sz="900" b="0" i="0" u="none" strike="noStrike" kern="1200" baseline="0">
                <a:solidFill>
                  <a:sysClr val="windowText" lastClr="000000">
                    <a:lumMod val="65000"/>
                    <a:lumOff val="35000"/>
                  </a:sysClr>
                </a:solidFill>
                <a:latin typeface="+mn-lt"/>
                <a:ea typeface="+mn-ea"/>
                <a:cs typeface="+mn-cs"/>
              </a:defRPr>
            </a:pPr>
          </a:p>
        </c:txPr>
        <c:crossAx val="545547544"/>
        <c:crosses val="autoZero"/>
        <c:auto val="1"/>
        <c:lblAlgn val="ctr"/>
        <c:lblOffset val="100"/>
        <c:noMultiLvlLbl val="0"/>
      </c:catAx>
      <c:valAx>
        <c:axId val="545547544"/>
        <c:scaling>
          <c:orientation val="minMax"/>
        </c:scaling>
        <c:delete val="0"/>
        <c:axPos val="l"/>
        <c:majorGridlines>
          <c:spPr>
            <a:ln w="9525" cap="flat" cmpd="sng" algn="ctr">
              <a:solidFill>
                <a:sysClr val="windowText" lastClr="000000">
                  <a:lumMod val="15000"/>
                  <a:lumOff val="85000"/>
                </a:sysClr>
              </a:solidFill>
              <a:round/>
            </a:ln>
            <a:effectLst/>
          </c:spPr>
        </c:majorGridlines>
        <c:numFmt formatCode="#,##0;&quot;万&quot;&quot;元&quot;" sourceLinked="0"/>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ysClr val="windowText" lastClr="000000">
                    <a:lumMod val="65000"/>
                    <a:lumOff val="35000"/>
                  </a:sysClr>
                </a:solidFill>
                <a:latin typeface="+mn-lt"/>
                <a:ea typeface="+mn-ea"/>
                <a:cs typeface="+mn-cs"/>
              </a:defRPr>
            </a:pPr>
          </a:p>
        </c:txPr>
        <c:crossAx val="69389881"/>
        <c:crosses val="autoZero"/>
        <c:crossBetween val="between"/>
      </c:valAx>
      <c:spPr>
        <a:noFill/>
        <a:ln>
          <a:noFill/>
        </a:ln>
        <a:effectLst/>
      </c:spPr>
    </c:plotArea>
    <c:legend>
      <c:legendPos val="b"/>
      <c:layout>
        <c:manualLayout>
          <c:xMode val="edge"/>
          <c:yMode val="edge"/>
          <c:x val="0.3855625"/>
          <c:y val="0.850770744506396"/>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ysClr val="windowText" lastClr="000000">
                  <a:lumMod val="65000"/>
                  <a:lumOff val="35000"/>
                </a:sysClr>
              </a:solidFill>
              <a:latin typeface="+mn-lt"/>
              <a:ea typeface="+mn-ea"/>
              <a:cs typeface="+mn-cs"/>
            </a:defRPr>
          </a:pPr>
        </a:p>
      </c:txPr>
    </c:legend>
    <c:plotVisOnly val="1"/>
    <c:dispBlanksAs val="gap"/>
    <c:showDLblsOverMax val="0"/>
  </c:chart>
  <c:spPr>
    <a:solidFill>
      <a:sysClr val="window" lastClr="FFFFFF"/>
    </a:solidFill>
    <a:ln w="9525" cap="flat" cmpd="sng" algn="ctr">
      <a:solidFill>
        <a:sysClr val="windowText" lastClr="000000">
          <a:lumMod val="15000"/>
          <a:lumOff val="85000"/>
        </a:sys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manualLayout>
          <c:layoutTarget val="inner"/>
          <c:xMode val="edge"/>
          <c:yMode val="edge"/>
          <c:x val="0.2185"/>
          <c:y val="0.106483309826046"/>
          <c:w val="0.695"/>
          <c:h val="0.926666666666667"/>
        </c:manualLayout>
      </c:layout>
      <c:pieChart>
        <c:varyColors val="1"/>
        <c:ser>
          <c:idx val="0"/>
          <c:order val="0"/>
          <c:tx>
            <c:strRef>
              <c:f>Sheet1!$B$1</c:f>
              <c:strCache>
                <c:ptCount val="1"/>
                <c:pt idx="0">
                  <c:v>收入决算结构图</c:v>
                </c:pt>
              </c:strCache>
            </c:strRef>
          </c:tx>
          <c:explosion val="0"/>
          <c:dPt>
            <c:idx val="0"/>
            <c:bubble3D val="0"/>
          </c:dPt>
          <c:dPt>
            <c:idx val="1"/>
            <c:bubble3D val="0"/>
          </c:dPt>
          <c:dPt>
            <c:idx val="2"/>
            <c:bubble3D val="0"/>
          </c:dPt>
          <c:dPt>
            <c:idx val="3"/>
            <c:bubble3D val="0"/>
          </c:dPt>
          <c:dPt>
            <c:idx val="4"/>
            <c:bubble3D val="0"/>
          </c:dPt>
          <c:dPt>
            <c:idx val="5"/>
            <c:bubble3D val="0"/>
          </c:dPt>
          <c:dPt>
            <c:idx val="6"/>
            <c:bubble3D val="0"/>
          </c:dPt>
          <c:dLbls>
            <c:dLbl>
              <c:idx val="0"/>
              <c:layout>
                <c:manualLayout>
                  <c:x val="-0.0187506772044428"/>
                  <c:y val="-0.387338975083642"/>
                </c:manualLayout>
              </c:layout>
              <c:numFmt formatCode="#,###%"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1"/>
              <c:showSerName val="0"/>
              <c:showPercent val="1"/>
              <c:showBubbleSize val="0"/>
              <c:extLst>
                <c:ext xmlns:c15="http://schemas.microsoft.com/office/drawing/2012/chart" uri="{CE6537A1-D6FC-4f65-9D91-7224C49458BB}">
                  <c15:layout/>
                </c:ext>
              </c:extLst>
            </c:dLbl>
            <c:dLbl>
              <c:idx val="1"/>
              <c:layout>
                <c:manualLayout>
                  <c:x val="-0.420376594816353"/>
                  <c:y val="0.809635401974612"/>
                </c:manualLayout>
              </c:layout>
              <c:dLblPos val="bestFit"/>
              <c:showLegendKey val="0"/>
              <c:showVal val="1"/>
              <c:showCatName val="1"/>
              <c:showSerName val="0"/>
              <c:showPercent val="1"/>
              <c:showBubbleSize val="0"/>
              <c:separator>
</c:separator>
              <c:extLst>
                <c:ext xmlns:c15="http://schemas.microsoft.com/office/drawing/2012/chart" uri="{CE6537A1-D6FC-4f65-9D91-7224C49458BB}">
                  <c15:layout/>
                </c:ext>
              </c:extLst>
            </c:dLbl>
            <c:dLbl>
              <c:idx val="2"/>
              <c:layout>
                <c:manualLayout>
                  <c:x val="-0.395376603826615"/>
                  <c:y val="0.0165021156558534"/>
                </c:manualLayout>
              </c:layout>
              <c:dLblPos val="bestFit"/>
              <c:showLegendKey val="0"/>
              <c:showVal val="1"/>
              <c:showCatName val="1"/>
              <c:showSerName val="0"/>
              <c:showPercent val="1"/>
              <c:showBubbleSize val="0"/>
              <c:separator>
</c:separator>
              <c:extLst>
                <c:ext xmlns:c15="http://schemas.microsoft.com/office/drawing/2012/chart" uri="{CE6537A1-D6FC-4f65-9D91-7224C49458BB}">
                  <c15:layout/>
                </c:ext>
              </c:extLst>
            </c:dLbl>
            <c:dLbl>
              <c:idx val="3"/>
              <c:layout>
                <c:manualLayout>
                  <c:x val="-0.496875511954499"/>
                  <c:y val="0.486558533144403"/>
                </c:manualLayout>
              </c:layout>
              <c:dLblPos val="bestFit"/>
              <c:showLegendKey val="0"/>
              <c:showVal val="1"/>
              <c:showCatName val="1"/>
              <c:showSerName val="0"/>
              <c:showPercent val="1"/>
              <c:showBubbleSize val="0"/>
              <c:separator>
</c:separator>
              <c:extLst>
                <c:ext xmlns:c15="http://schemas.microsoft.com/office/drawing/2012/chart" uri="{CE6537A1-D6FC-4f65-9D91-7224C49458BB}">
                  <c15:layout/>
                </c:ext>
              </c:extLst>
            </c:dLbl>
            <c:dLbl>
              <c:idx val="4"/>
              <c:layout>
                <c:manualLayout>
                  <c:x val="-0.4325"/>
                  <c:y val="0.184475195184523"/>
                </c:manualLayout>
              </c:layout>
              <c:dLblPos val="bestFit"/>
              <c:showLegendKey val="0"/>
              <c:showVal val="1"/>
              <c:showCatName val="1"/>
              <c:showSerName val="0"/>
              <c:showPercent val="1"/>
              <c:showBubbleSize val="0"/>
              <c:separator>
</c:separator>
              <c:extLst>
                <c:ext xmlns:c15="http://schemas.microsoft.com/office/drawing/2012/chart" uri="{CE6537A1-D6FC-4f65-9D91-7224C49458BB}">
                  <c15:layout/>
                </c:ext>
              </c:extLst>
            </c:dLbl>
            <c:dLbl>
              <c:idx val="5"/>
              <c:layout>
                <c:manualLayout>
                  <c:x val="-0.455625"/>
                  <c:y val="0.357253756538542"/>
                </c:manualLayout>
              </c:layout>
              <c:dLblPos val="bestFit"/>
              <c:showLegendKey val="0"/>
              <c:showVal val="1"/>
              <c:showCatName val="1"/>
              <c:showSerName val="0"/>
              <c:showPercent val="1"/>
              <c:showBubbleSize val="0"/>
              <c:separator>
</c:separator>
              <c:extLst>
                <c:ext xmlns:c15="http://schemas.microsoft.com/office/drawing/2012/chart" uri="{CE6537A1-D6FC-4f65-9D91-7224C49458BB}">
                  <c15:layout/>
                </c:ext>
              </c:extLst>
            </c:dLbl>
            <c:dLbl>
              <c:idx val="6"/>
              <c:layout>
                <c:manualLayout>
                  <c:x val="-0.49625"/>
                  <c:y val="0.625236831291716"/>
                </c:manualLayout>
              </c:layout>
              <c:dLblPos val="bestFit"/>
              <c:showLegendKey val="0"/>
              <c:showVal val="1"/>
              <c:showCatName val="1"/>
              <c:showSerName val="0"/>
              <c:showPercent val="1"/>
              <c:showBubbleSize val="0"/>
              <c:separator>
</c:separator>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inEnd"/>
            <c:showLegendKey val="0"/>
            <c:showVal val="1"/>
            <c:showCatName val="1"/>
            <c:showSerName val="0"/>
            <c:showPercent val="1"/>
            <c:showBubbleSize val="0"/>
            <c:separator>
</c:separator>
            <c:showLeaderLines val="0"/>
            <c:extLst>
              <c:ext xmlns:c15="http://schemas.microsoft.com/office/drawing/2012/chart" uri="{CE6537A1-D6FC-4f65-9D91-7224C49458BB}">
                <c15:layout/>
                <c15:showLeaderLines val="0"/>
                <c15:leaderLines/>
              </c:ext>
            </c:extLst>
          </c:dLbls>
          <c:cat>
            <c:strRef>
              <c:f>Sheet1!$A$2:$A$8</c:f>
              <c:strCache>
                <c:ptCount val="7"/>
                <c:pt idx="0">
                  <c:v>一般公共预算财政拨款收入（万元）</c:v>
                </c:pt>
                <c:pt idx="1">
                  <c:v>政府性基金预算财政拨款收入</c:v>
                </c:pt>
                <c:pt idx="2">
                  <c:v>上级补助收入</c:v>
                </c:pt>
                <c:pt idx="3">
                  <c:v>事业收入</c:v>
                </c:pt>
                <c:pt idx="4">
                  <c:v>国有资本经营预算财政拨款收入</c:v>
                </c:pt>
                <c:pt idx="5">
                  <c:v>附属单位上缴收</c:v>
                </c:pt>
                <c:pt idx="6">
                  <c:v>其他收入</c:v>
                </c:pt>
              </c:strCache>
            </c:strRef>
          </c:cat>
          <c:val>
            <c:numRef>
              <c:f>Sheet1!$B$2:$B$8</c:f>
              <c:numCache>
                <c:formatCode>#,##0.00_ </c:formatCode>
                <c:ptCount val="7"/>
                <c:pt idx="0">
                  <c:v>1168.92</c:v>
                </c:pt>
                <c:pt idx="1">
                  <c:v>0</c:v>
                </c:pt>
                <c:pt idx="2" c:formatCode="General">
                  <c:v>0</c:v>
                </c:pt>
                <c:pt idx="3" c:formatCode="General">
                  <c:v>0</c:v>
                </c:pt>
                <c:pt idx="4" c:formatCode="General">
                  <c:v>0</c:v>
                </c:pt>
                <c:pt idx="5" c:formatCode="General">
                  <c:v>0</c:v>
                </c:pt>
                <c:pt idx="6" c:formatCode="General">
                  <c:v>0</c:v>
                </c:pt>
              </c:numCache>
            </c:numRef>
          </c:val>
        </c:ser>
        <c:dLbls>
          <c:showLegendKey val="0"/>
          <c:showVal val="0"/>
          <c:showCatName val="0"/>
          <c:showSerName val="0"/>
          <c:showPercent val="1"/>
          <c:showBubbleSize val="0"/>
          <c:showLeaderLines val="0"/>
        </c:dLbls>
        <c:firstSliceAng val="0"/>
      </c:pieChart>
    </c:plotArea>
    <c:plotVisOnly val="1"/>
    <c:dispBlanksAs val="gap"/>
    <c:showDLblsOverMax val="0"/>
  </c:chart>
  <c:txPr>
    <a:bodyPr wrap="square"/>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支出决算结构图</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Lbls>
            <c:numFmt formatCode="#,##0.00_ %"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基本支出</c:v>
                </c:pt>
                <c:pt idx="1">
                  <c:v>项目支出</c:v>
                </c:pt>
                <c:pt idx="2">
                  <c:v>上缴上级支出</c:v>
                </c:pt>
                <c:pt idx="3">
                  <c:v>经营支出</c:v>
                </c:pt>
                <c:pt idx="4">
                  <c:v>对附属单位补助支出</c:v>
                </c:pt>
              </c:strCache>
            </c:strRef>
          </c:cat>
          <c:val>
            <c:numRef>
              <c:f>Sheet1!$B$2:$B$6</c:f>
              <c:numCache>
                <c:formatCode>General</c:formatCode>
                <c:ptCount val="5"/>
                <c:pt idx="0">
                  <c:v>868.9</c:v>
                </c:pt>
                <c:pt idx="1" c:formatCode="0.00_ ">
                  <c:v>300.02</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wrap="square"/>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18"/>
          <c:y val="0.144592679484794"/>
          <c:w val="0.8582"/>
          <c:h val="0.672880127554718"/>
        </c:manualLayout>
      </c:layout>
      <c:barChart>
        <c:barDir val="col"/>
        <c:grouping val="clustered"/>
        <c:varyColors val="0"/>
        <c:ser>
          <c:idx val="0"/>
          <c:order val="0"/>
          <c:tx>
            <c:strRef>
              <c:f>Sheet1!$A$2</c:f>
              <c:strCache>
                <c:ptCount val="1"/>
                <c:pt idx="0">
                  <c:v>收入（万元）</c:v>
                </c:pt>
              </c:strCache>
            </c:strRef>
          </c:tx>
          <c:spPr>
            <a:solidFill>
              <a:srgbClr val="4F81BD"/>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lumMod val="75000"/>
                        <a:lumOff val="25000"/>
                      </a:sys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ysClr val="windowText" lastClr="000000">
                          <a:lumMod val="35000"/>
                          <a:lumOff val="65000"/>
                        </a:sysClr>
                      </a:solidFill>
                      <a:round/>
                    </a:ln>
                    <a:effectLst/>
                  </c:spPr>
                </c15:leaderLines>
              </c:ext>
            </c:extLst>
          </c:dLbls>
          <c:cat>
            <c:strRef>
              <c:f>Sheet1!$B$1:$C$1</c:f>
              <c:strCache>
                <c:ptCount val="2"/>
                <c:pt idx="0">
                  <c:v>2022年度</c:v>
                </c:pt>
                <c:pt idx="1">
                  <c:v>2021年度</c:v>
                </c:pt>
              </c:strCache>
            </c:strRef>
          </c:cat>
          <c:val>
            <c:numRef>
              <c:f>Sheet1!$B$2:$C$2</c:f>
              <c:numCache>
                <c:formatCode>General</c:formatCode>
                <c:ptCount val="2"/>
                <c:pt idx="0">
                  <c:v>1168.92</c:v>
                </c:pt>
                <c:pt idx="1">
                  <c:v>1049.17</c:v>
                </c:pt>
              </c:numCache>
            </c:numRef>
          </c:val>
        </c:ser>
        <c:ser>
          <c:idx val="1"/>
          <c:order val="1"/>
          <c:tx>
            <c:strRef>
              <c:f>Sheet1!$A$3</c:f>
              <c:strCache>
                <c:ptCount val="1"/>
                <c:pt idx="0">
                  <c:v>支出（万元）</c:v>
                </c:pt>
              </c:strCache>
            </c:strRef>
          </c:tx>
          <c:spPr>
            <a:solidFill>
              <a:srgbClr val="C0504D"/>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lumMod val="75000"/>
                        <a:lumOff val="25000"/>
                      </a:sys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ysClr val="windowText" lastClr="000000">
                          <a:lumMod val="35000"/>
                          <a:lumOff val="65000"/>
                        </a:sysClr>
                      </a:solidFill>
                      <a:round/>
                    </a:ln>
                    <a:effectLst/>
                  </c:spPr>
                </c15:leaderLines>
              </c:ext>
            </c:extLst>
          </c:dLbls>
          <c:cat>
            <c:strRef>
              <c:f>Sheet1!$B$1:$C$1</c:f>
              <c:strCache>
                <c:ptCount val="2"/>
                <c:pt idx="0">
                  <c:v>2022年度</c:v>
                </c:pt>
                <c:pt idx="1">
                  <c:v>2021年度</c:v>
                </c:pt>
              </c:strCache>
            </c:strRef>
          </c:cat>
          <c:val>
            <c:numRef>
              <c:f>Sheet1!$B$3:$C$3</c:f>
              <c:numCache>
                <c:formatCode>General</c:formatCode>
                <c:ptCount val="2"/>
                <c:pt idx="0">
                  <c:v>1168.92</c:v>
                </c:pt>
                <c:pt idx="1">
                  <c:v>1049.17</c:v>
                </c:pt>
              </c:numCache>
            </c:numRef>
          </c:val>
        </c:ser>
        <c:dLbls>
          <c:showLegendKey val="0"/>
          <c:showVal val="1"/>
          <c:showCatName val="0"/>
          <c:showSerName val="0"/>
          <c:showPercent val="0"/>
          <c:showBubbleSize val="0"/>
        </c:dLbls>
        <c:gapWidth val="219"/>
        <c:overlap val="-27"/>
        <c:axId val="69389881"/>
        <c:axId val="545547544"/>
      </c:barChart>
      <c:catAx>
        <c:axId val="69389881"/>
        <c:scaling>
          <c:orientation val="minMax"/>
        </c:scaling>
        <c:delete val="0"/>
        <c:axPos val="b"/>
        <c:numFmt formatCode="General" sourceLinked="0"/>
        <c:majorTickMark val="none"/>
        <c:minorTickMark val="none"/>
        <c:tickLblPos val="nextTo"/>
        <c:spPr>
          <a:noFill/>
          <a:ln w="9525" cap="flat" cmpd="sng" algn="ctr">
            <a:solidFill>
              <a:sysClr val="windowText" lastClr="000000">
                <a:lumMod val="15000"/>
                <a:lumOff val="85000"/>
              </a:sysClr>
            </a:solidFill>
            <a:round/>
          </a:ln>
          <a:effectLst/>
        </c:spPr>
        <c:txPr>
          <a:bodyPr rot="-60000000" spcFirstLastPara="0" vertOverflow="ellipsis" vert="horz" wrap="square" anchor="ctr" anchorCtr="1"/>
          <a:lstStyle/>
          <a:p>
            <a:pPr>
              <a:defRPr lang="zh-CN" sz="900" b="0" i="0" u="none" strike="noStrike" kern="1200" baseline="0">
                <a:solidFill>
                  <a:sysClr val="windowText" lastClr="000000">
                    <a:lumMod val="65000"/>
                    <a:lumOff val="35000"/>
                  </a:sysClr>
                </a:solidFill>
                <a:latin typeface="+mn-lt"/>
                <a:ea typeface="+mn-ea"/>
                <a:cs typeface="+mn-cs"/>
              </a:defRPr>
            </a:pPr>
          </a:p>
        </c:txPr>
        <c:crossAx val="545547544"/>
        <c:crosses val="autoZero"/>
        <c:auto val="1"/>
        <c:lblAlgn val="ctr"/>
        <c:lblOffset val="100"/>
        <c:noMultiLvlLbl val="0"/>
      </c:catAx>
      <c:valAx>
        <c:axId val="545547544"/>
        <c:scaling>
          <c:orientation val="minMax"/>
        </c:scaling>
        <c:delete val="0"/>
        <c:axPos val="l"/>
        <c:majorGridlines>
          <c:spPr>
            <a:ln w="9525" cap="flat" cmpd="sng" algn="ctr">
              <a:solidFill>
                <a:sysClr val="windowText" lastClr="000000">
                  <a:lumMod val="15000"/>
                  <a:lumOff val="85000"/>
                </a:sys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ysClr val="windowText" lastClr="000000">
                    <a:lumMod val="65000"/>
                    <a:lumOff val="35000"/>
                  </a:sysClr>
                </a:solidFill>
                <a:latin typeface="+mn-lt"/>
                <a:ea typeface="+mn-ea"/>
                <a:cs typeface="+mn-cs"/>
              </a:defRPr>
            </a:pPr>
          </a:p>
        </c:txPr>
        <c:crossAx val="69389881"/>
        <c:crosses val="autoZero"/>
        <c:crossBetween val="between"/>
      </c:valAx>
      <c:spPr>
        <a:noFill/>
        <a:ln>
          <a:noFill/>
        </a:ln>
        <a:effectLst/>
      </c:spPr>
    </c:plotArea>
    <c:legend>
      <c:legendPos val="b"/>
      <c:layout>
        <c:manualLayout>
          <c:xMode val="edge"/>
          <c:yMode val="edge"/>
          <c:x val="0.3855625"/>
          <c:y val="0.850770744506396"/>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ysClr val="windowText" lastClr="000000">
                  <a:lumMod val="65000"/>
                  <a:lumOff val="35000"/>
                </a:sysClr>
              </a:solidFill>
              <a:latin typeface="+mn-lt"/>
              <a:ea typeface="+mn-ea"/>
              <a:cs typeface="+mn-cs"/>
            </a:defRPr>
          </a:pPr>
        </a:p>
      </c:txPr>
    </c:legend>
    <c:plotVisOnly val="1"/>
    <c:dispBlanksAs val="gap"/>
    <c:showDLblsOverMax val="0"/>
  </c:chart>
  <c:spPr>
    <a:solidFill>
      <a:sysClr val="window" lastClr="FFFFFF"/>
    </a:solidFill>
    <a:ln w="9525" cap="flat" cmpd="sng" algn="ctr">
      <a:solidFill>
        <a:sysClr val="windowText" lastClr="000000">
          <a:lumMod val="15000"/>
          <a:lumOff val="85000"/>
        </a:sys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15175"/>
          <c:y val="0.06"/>
        </c:manualLayout>
      </c:layout>
      <c:overlay val="0"/>
      <c:spPr>
        <a:noFill/>
        <a:ln>
          <a:noFill/>
        </a:ln>
        <a:effectLst/>
      </c:spPr>
      <c:txPr>
        <a:bodyPr rot="0" spcFirstLastPara="0" vertOverflow="ellipsis" horzOverflow="overflow"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manualLayout>
          <c:layoutTarget val="inner"/>
          <c:xMode val="edge"/>
          <c:yMode val="edge"/>
          <c:x val="0.06995"/>
          <c:y val="0.210666666666667"/>
          <c:w val="0.905175"/>
          <c:h val="0.7169"/>
        </c:manualLayout>
      </c:layout>
      <c:barChart>
        <c:barDir val="col"/>
        <c:grouping val="clustered"/>
        <c:varyColors val="0"/>
        <c:ser>
          <c:idx val="0"/>
          <c:order val="0"/>
          <c:tx>
            <c:strRef>
              <c:f>Sheet1!$B$1</c:f>
              <c:strCache>
                <c:ptCount val="1"/>
                <c:pt idx="0">
                  <c:v>一般公共预算财政拨款支出决算变动情况</c:v>
                </c:pt>
              </c:strCache>
            </c:strRef>
          </c:tx>
          <c:spPr>
            <a:solidFill>
              <a:schemeClr val="accent1"/>
            </a:solidFill>
            <a:ln>
              <a:noFill/>
            </a:ln>
            <a:effectLst/>
          </c:spPr>
          <c:invertIfNegative val="0"/>
          <c:dLbls>
            <c:dLbl>
              <c:idx val="0"/>
              <c:layout/>
              <c:dLblPos val="outEnd"/>
              <c:showLegendKey val="0"/>
              <c:showVal val="1"/>
              <c:showCatName val="0"/>
              <c:showSerName val="0"/>
              <c:showPercent val="0"/>
              <c:showBubbleSize val="0"/>
              <c:extLst>
                <c:ext xmlns:c15="http://schemas.microsoft.com/office/drawing/2012/chart" uri="{CE6537A1-D6FC-4f65-9D91-7224C49458BB}"/>
              </c:extLst>
            </c:dLbl>
            <c:dLbl>
              <c:idx val="1"/>
              <c:layout/>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0"/>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Sheet1!$A$2:$A$3</c:f>
              <c:numCache>
                <c:formatCode>General</c:formatCode>
                <c:ptCount val="2"/>
                <c:pt idx="0">
                  <c:v>2022</c:v>
                </c:pt>
                <c:pt idx="1">
                  <c:v>2021</c:v>
                </c:pt>
              </c:numCache>
            </c:numRef>
          </c:cat>
          <c:val>
            <c:numRef>
              <c:f>Sheet1!$B$2:$B$3</c:f>
              <c:numCache>
                <c:formatCode>General</c:formatCode>
                <c:ptCount val="2"/>
                <c:pt idx="0">
                  <c:v>1168.92</c:v>
                </c:pt>
                <c:pt idx="1">
                  <c:v>1175.01</c:v>
                </c:pt>
              </c:numCache>
            </c:numRef>
          </c:val>
        </c:ser>
        <c:dLbls>
          <c:showLegendKey val="0"/>
          <c:showVal val="0"/>
          <c:showCatName val="0"/>
          <c:showSerName val="0"/>
          <c:showPercent val="0"/>
          <c:showBubbleSize val="0"/>
        </c:dLbls>
        <c:gapWidth val="219"/>
        <c:overlap val="-27"/>
        <c:axId val="361801296"/>
        <c:axId val="321196904"/>
      </c:barChart>
      <c:catAx>
        <c:axId val="3618012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horzOverflow="overflow"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21196904"/>
        <c:crosses val="autoZero"/>
        <c:auto val="1"/>
        <c:lblAlgn val="ctr"/>
        <c:lblOffset val="100"/>
        <c:noMultiLvlLbl val="0"/>
      </c:catAx>
      <c:valAx>
        <c:axId val="321196904"/>
        <c:scaling>
          <c:orientation val="minMax"/>
        </c:scaling>
        <c:delete val="0"/>
        <c:axPos val="l"/>
        <c:majorGridlines>
          <c:spPr>
            <a:ln w="9525" cap="flat" cmpd="sng" algn="ctr">
              <a:solidFill>
                <a:schemeClr val="tx1">
                  <a:lumMod val="15000"/>
                  <a:lumOff val="85000"/>
                </a:schemeClr>
              </a:solidFill>
              <a:round/>
            </a:ln>
            <a:effectLst/>
          </c:spPr>
        </c:majorGridlines>
        <c:numFmt formatCode="#,###&quot;万&quot;&quot;元&quot;" sourceLinked="0"/>
        <c:majorTickMark val="none"/>
        <c:minorTickMark val="none"/>
        <c:tickLblPos val="nextTo"/>
        <c:spPr>
          <a:noFill/>
          <a:ln>
            <a:noFill/>
          </a:ln>
          <a:effectLst/>
        </c:spPr>
        <c:txPr>
          <a:bodyPr rot="-60000000" spcFirstLastPara="0" vertOverflow="ellipsis" horzOverflow="overflow"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61801296"/>
        <c:crosses val="autoZero"/>
        <c:crossBetween val="between"/>
      </c:valAx>
      <c:spPr>
        <a:noFill/>
        <a:ln>
          <a:noFill/>
        </a:ln>
        <a:effectLst/>
      </c:spPr>
    </c:plotArea>
    <c:legend>
      <c:legendPos val="b"/>
      <c:layout>
        <c:manualLayout>
          <c:xMode val="edge"/>
          <c:yMode val="edge"/>
          <c:x val="0.296"/>
          <c:y val="0.142"/>
        </c:manualLayout>
      </c:layout>
      <c:overlay val="0"/>
      <c:spPr>
        <a:noFill/>
        <a:ln>
          <a:noFill/>
        </a:ln>
        <a:effectLst/>
      </c:spPr>
      <c:txPr>
        <a:bodyPr rot="0" spcFirstLastPara="0" vertOverflow="ellipsis" horzOverflow="overflow"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rot="0" spcFirstLastPara="0" vertOverflow="ellipsis" horzOverflow="overflow" vert="horz" wrap="square" anchor="ctr" anchorCtr="1"/>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008125"/>
          <c:y val="0.118259252331787"/>
          <c:w val="0.638375"/>
          <c:h val="0.851166666666667"/>
        </c:manualLayout>
      </c:layout>
      <c:pieChart>
        <c:varyColors val="1"/>
        <c:ser>
          <c:idx val="0"/>
          <c:order val="0"/>
          <c:tx>
            <c:strRef>
              <c:f>Sheet1!$B$1</c:f>
              <c:strCache>
                <c:ptCount val="1"/>
                <c:pt idx="0">
                  <c:v>一般公共预算财政拨款支出决算结构</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Lbl>
              <c:idx val="1"/>
              <c:layout/>
              <c:numFmt formatCode="#,##0.00_ %" sourceLinked="0"/>
              <c:spPr>
                <a:noFill/>
                <a:ln>
                  <a:noFill/>
                </a:ln>
                <a:effectLst/>
              </c:spPr>
              <c:txPr>
                <a:bodyPr rot="0" spcFirstLastPara="1" vertOverflow="ellipsis" vert="horz" wrap="square" lIns="38100" tIns="19050" rIns="38100" bIns="19050" anchor="ctr" anchorCtr="0">
                  <a:spAutoFit/>
                </a:bodyPr>
                <a:lstStyle/>
                <a:p>
                  <a:pPr>
                    <a:defRPr lang="zh-CN" sz="900" b="0" i="0" u="none" strike="noStrike" kern="1200" baseline="0">
                      <a:ln>
                        <a:noFill/>
                      </a:ln>
                      <a:solidFill>
                        <a:schemeClr val="tx1">
                          <a:lumMod val="75000"/>
                          <a:lumOff val="25000"/>
                          <a:alpha val="98000"/>
                        </a:schemeClr>
                      </a:solidFill>
                      <a:latin typeface="+mn-lt"/>
                      <a:ea typeface="+mn-ea"/>
                      <a:cs typeface="+mn-cs"/>
                    </a:defRPr>
                  </a:pPr>
                </a:p>
              </c:txPr>
              <c:dLblPos val="bestFit"/>
              <c:showLegendKey val="0"/>
              <c:showVal val="0"/>
              <c:showCatName val="0"/>
              <c:showSerName val="0"/>
              <c:showPercent val="1"/>
              <c:showBubbleSize val="0"/>
              <c:extLst>
                <c:ext xmlns:c15="http://schemas.microsoft.com/office/drawing/2012/chart" uri="{CE6537A1-D6FC-4f65-9D91-7224C49458BB}"/>
              </c:extLst>
            </c:dLbl>
            <c:dLbl>
              <c:idx val="2"/>
              <c:layout/>
              <c:dLblPos val="bestFit"/>
              <c:showLegendKey val="0"/>
              <c:showVal val="0"/>
              <c:showCatName val="0"/>
              <c:showSerName val="0"/>
              <c:showPercent val="1"/>
              <c:showBubbleSize val="0"/>
              <c:extLst>
                <c:ext xmlns:c15="http://schemas.microsoft.com/office/drawing/2012/chart" uri="{CE6537A1-D6FC-4f65-9D91-7224C49458BB}"/>
              </c:extLst>
            </c:dLbl>
            <c:numFmt formatCode="#,##0.00_ %" sourceLinked="0"/>
            <c:spPr>
              <a:noFill/>
              <a:ln>
                <a:noFill/>
              </a:ln>
              <a:effectLst/>
            </c:spPr>
            <c:txPr>
              <a:bodyPr rot="0" spcFirstLastPara="1" vertOverflow="ellipsis" vert="horz" wrap="square" lIns="38100" tIns="19050" rIns="38100" bIns="19050" anchor="ctr" anchorCtr="0">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1"/>
            <c:showBubbleSize val="0"/>
            <c:separator> </c:separator>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公共安全支出</c:v>
                </c:pt>
                <c:pt idx="1">
                  <c:v>社会保障和就业支出</c:v>
                </c:pt>
                <c:pt idx="2">
                  <c:v>卫生健康支出</c:v>
                </c:pt>
                <c:pt idx="3">
                  <c:v>住房保障支出</c:v>
                </c:pt>
              </c:strCache>
            </c:strRef>
          </c:cat>
          <c:val>
            <c:numRef>
              <c:f>Sheet1!$B$2:$B$5</c:f>
              <c:numCache>
                <c:formatCode>General</c:formatCode>
                <c:ptCount val="4"/>
                <c:pt idx="0">
                  <c:v>1028.74</c:v>
                </c:pt>
                <c:pt idx="1">
                  <c:v>46.05</c:v>
                </c:pt>
                <c:pt idx="2">
                  <c:v>31.1</c:v>
                </c:pt>
                <c:pt idx="3">
                  <c:v>63.03</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horzOverflow="overflow"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manualLayout>
          <c:layoutTarget val="inner"/>
          <c:xMode val="edge"/>
          <c:yMode val="edge"/>
          <c:x val="0.237937598425197"/>
          <c:y val="0.250511308585245"/>
          <c:w val="0.570625"/>
          <c:h val="0.760833333333333"/>
        </c:manualLayout>
      </c:layout>
      <c:pieChart>
        <c:varyColors val="1"/>
        <c:ser>
          <c:idx val="0"/>
          <c:order val="0"/>
          <c:tx>
            <c:strRef>
              <c:f>Sheet1!$B$1</c:f>
              <c:strCache>
                <c:ptCount val="1"/>
                <c:pt idx="0">
                  <c:v>“三公”经费财政拨款支出结构</c:v>
                </c:pt>
              </c:strCache>
            </c:strRef>
          </c:tx>
          <c:spPr>
            <a:effectLst/>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dLbl>
              <c:idx val="1"/>
              <c:layout>
                <c:manualLayout>
                  <c:x val="-0.0968866141732284"/>
                  <c:y val="-0.23560917286525"/>
                </c:manualLayout>
              </c:layout>
              <c:tx>
                <c:rich>
                  <a:bodyPr rot="0" spcFirstLastPara="1" vertOverflow="ellipsis" vert="horz" wrap="square" lIns="38100" tIns="19050" rIns="38100" bIns="19050" anchor="t" anchorCtr="0">
                    <a:spAutoFit/>
                  </a:bodyPr>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78.52 %</a:t>
                    </a:r>
                    <a:endParaRPr lang="en-US" altLang="zh-CN"/>
                  </a:p>
                </c:rich>
              </c:tx>
              <c:numFmt formatCode="#,##0.00_ %" sourceLinked="0"/>
              <c:spPr>
                <a:noFill/>
                <a:ln>
                  <a:noFill/>
                </a:ln>
                <a:effectLst/>
              </c:spPr>
              <c:txPr>
                <a:bodyPr rot="0" spcFirstLastPara="1" vertOverflow="ellipsis" vert="horz" wrap="square" lIns="38100" tIns="19050" rIns="38100" bIns="19050" anchor="t" anchorCtr="0">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1"/>
              <c:showBubbleSize val="0"/>
              <c:extLst>
                <c:ext xmlns:c15="http://schemas.microsoft.com/office/drawing/2012/chart" uri="{CE6537A1-D6FC-4f65-9D91-7224C49458BB}">
                  <c15:layout>
                    <c:manualLayout>
                      <c:w val="0.145525"/>
                      <c:h val="0.0460640295457139"/>
                    </c:manualLayout>
                  </c15:layout>
                </c:ext>
              </c:extLst>
            </c:dLbl>
            <c:numFmt formatCode="#,##0.00_ %" sourceLinked="0"/>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因公出国（境）</c:v>
                </c:pt>
                <c:pt idx="1">
                  <c:v>公务用车购置及运行维护费</c:v>
                </c:pt>
                <c:pt idx="2">
                  <c:v>公务接待费</c:v>
                </c:pt>
              </c:strCache>
            </c:strRef>
          </c:cat>
          <c:val>
            <c:numRef>
              <c:f>Sheet1!$B$2:$B$4</c:f>
              <c:numCache>
                <c:formatCode>General</c:formatCode>
                <c:ptCount val="3"/>
                <c:pt idx="0">
                  <c:v>0</c:v>
                </c:pt>
                <c:pt idx="1">
                  <c:v>4.35</c:v>
                </c:pt>
                <c:pt idx="2">
                  <c:v>1.19</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horzOverflow="overflow"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rot="0" spcFirstLastPara="0" vertOverflow="ellipsis" horzOverflow="overflow" vert="horz" wrap="square" anchor="ctr" anchorCtr="1"/>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ysClr val="windowText" lastClr="000000">
        <a:lumMod val="65000"/>
        <a:lumOff val="35000"/>
      </a:sysClr>
    </cs:fontRef>
    <cs:defRPr sz="1000" kern="1200"/>
  </cs:axisTitle>
  <cs:categoryAxis>
    <cs:lnRef idx="0"/>
    <cs:fillRef idx="0"/>
    <cs:effectRef idx="0"/>
    <cs:fontRef idx="minor">
      <a:sysClr val="windowText" lastClr="000000">
        <a:lumMod val="65000"/>
        <a:lumOff val="35000"/>
      </a:sysClr>
    </cs:fontRef>
    <cs:spPr>
      <a:ln w="9525" cap="flat" cmpd="sng" algn="ctr">
        <a:solidFill>
          <a:sysClr val="windowText" lastClr="000000">
            <a:lumMod val="15000"/>
            <a:lumOff val="85000"/>
          </a:sysClr>
        </a:solidFill>
        <a:round/>
      </a:ln>
    </cs:spPr>
    <cs:defRPr sz="900" kern="1200"/>
  </cs:categoryAxis>
  <cs:chartArea mods="allowNoFillOverride allowNoLineOverride">
    <cs:lnRef idx="0"/>
    <cs:fillRef idx="0"/>
    <cs:effectRef idx="0"/>
    <cs:fontRef idx="minor">
      <a:sysClr val="windowText" lastClr="000000"/>
    </cs:fontRef>
    <cs:spPr>
      <a:solidFill>
        <a:sysClr val="window" lastClr="FFFFFF"/>
      </a:solidFill>
      <a:ln w="9525" cap="flat" cmpd="sng" algn="ctr">
        <a:solidFill>
          <a:sysClr val="windowText" lastClr="000000">
            <a:lumMod val="15000"/>
            <a:lumOff val="85000"/>
          </a:sysClr>
        </a:solidFill>
        <a:round/>
      </a:ln>
    </cs:spPr>
    <cs:defRPr sz="1000" kern="1200"/>
  </cs:chartArea>
  <cs:dataLabel>
    <cs:lnRef idx="0"/>
    <cs:fillRef idx="0"/>
    <cs:effectRef idx="0"/>
    <cs:fontRef idx="minor">
      <a:sysClr val="windowText" lastClr="000000">
        <a:lumMod val="75000"/>
        <a:lumOff val="25000"/>
      </a:sysClr>
    </cs:fontRef>
    <cs:defRPr sz="900" kern="1200"/>
  </cs:dataLabel>
  <cs:dataLabelCallout>
    <cs:lnRef idx="0"/>
    <cs:fillRef idx="0"/>
    <cs:effectRef idx="0"/>
    <cs:fontRef idx="minor">
      <a:sysClr val="windowText" lastClr="000000">
        <a:lumMod val="65000"/>
        <a:lumOff val="35000"/>
      </a:sysClr>
    </cs:fontRef>
    <cs:spPr>
      <a:solidFill>
        <a:sysClr val="window" lastClr="FFFFFF"/>
      </a:solidFill>
      <a:ln>
        <a:solidFill>
          <a:sysClr val="windowText" lastClr="000000">
            <a:lumMod val="25000"/>
            <a:lumOff val="75000"/>
          </a:sys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ysClr val="windowText" lastClr="000000"/>
    </cs:fontRef>
  </cs:dataPoint>
  <cs:dataPoint3D>
    <cs:lnRef idx="0"/>
    <cs:fillRef idx="1">
      <cs:styleClr val="auto"/>
    </cs:fillRef>
    <cs:effectRef idx="0"/>
    <cs:fontRef idx="minor">
      <a:sysClr val="windowText" lastClr="000000"/>
    </cs:fontRef>
  </cs:dataPoint3D>
  <cs:dataPointLine>
    <cs:lnRef idx="0">
      <cs:styleClr val="auto"/>
    </cs:lnRef>
    <cs:fillRef idx="1"/>
    <cs:effectRef idx="0"/>
    <cs:fontRef idx="minor">
      <a:sysClr val="windowText" lastClr="000000"/>
    </cs:fontRef>
    <cs:spPr>
      <a:ln w="28575" cap="rnd">
        <a:solidFill>
          <a:schemeClr val="phClr"/>
        </a:solidFill>
        <a:round/>
      </a:ln>
    </cs:spPr>
  </cs:dataPointLine>
  <cs:dataPointMarker>
    <cs:lnRef idx="0">
      <cs:styleClr val="auto"/>
    </cs:lnRef>
    <cs:fillRef idx="1">
      <cs:styleClr val="auto"/>
    </cs:fillRef>
    <cs:effectRef idx="0"/>
    <cs:fontRef idx="minor">
      <a:sysClr val="windowText" lastClr="000000"/>
    </cs:fontRef>
    <cs:spPr>
      <a:ln w="9525">
        <a:solidFill>
          <a:schemeClr val="phClr"/>
        </a:solidFill>
      </a:ln>
    </cs:spPr>
  </cs:dataPointMarker>
  <cs:dataPointMarkerLayout symbol="circle" size="5"/>
  <cs:dataPointWireframe>
    <cs:lnRef idx="0">
      <cs:styleClr val="auto"/>
    </cs:lnRef>
    <cs:fillRef idx="1"/>
    <cs:effectRef idx="0"/>
    <cs:fontRef idx="minor">
      <a:sysClr val="windowText" lastClr="000000"/>
    </cs:fontRef>
    <cs:spPr>
      <a:ln w="9525" cap="rnd">
        <a:solidFill>
          <a:schemeClr val="phClr"/>
        </a:solidFill>
        <a:round/>
      </a:ln>
    </cs:spPr>
  </cs:dataPointWireframe>
  <cs:dataTable>
    <cs:lnRef idx="0"/>
    <cs:fillRef idx="0"/>
    <cs:effectRef idx="0"/>
    <cs:fontRef idx="minor">
      <a:sysClr val="windowText" lastClr="000000">
        <a:lumMod val="65000"/>
        <a:lumOff val="35000"/>
      </a:sysClr>
    </cs:fontRef>
    <cs:spPr>
      <a:noFill/>
      <a:ln w="9525" cap="flat" cmpd="sng" algn="ctr">
        <a:solidFill>
          <a:sysClr val="windowText" lastClr="000000">
            <a:lumMod val="15000"/>
            <a:lumOff val="85000"/>
          </a:sysClr>
        </a:solidFill>
        <a:round/>
      </a:ln>
    </cs:spPr>
    <cs:defRPr sz="900" kern="1200"/>
  </cs:dataTable>
  <cs:downBar>
    <cs:lnRef idx="0"/>
    <cs:fillRef idx="0"/>
    <cs:effectRef idx="0"/>
    <cs:fontRef idx="minor">
      <a:sysClr val="windowText" lastClr="000000"/>
    </cs:fontRef>
    <cs:spPr>
      <a:solidFill>
        <a:sysClr val="windowText" lastClr="000000">
          <a:lumMod val="65000"/>
          <a:lumOff val="35000"/>
        </a:sysClr>
      </a:solidFill>
      <a:ln w="9525">
        <a:solidFill>
          <a:sysClr val="windowText" lastClr="000000">
            <a:lumMod val="65000"/>
            <a:lumOff val="35000"/>
          </a:sysClr>
        </a:solidFill>
      </a:ln>
    </cs:spPr>
  </cs:downBar>
  <cs:dropLine>
    <cs:lnRef idx="0"/>
    <cs:fillRef idx="0"/>
    <cs:effectRef idx="0"/>
    <cs:fontRef idx="minor">
      <a:sysClr val="windowText" lastClr="000000"/>
    </cs:fontRef>
    <cs:spPr>
      <a:ln w="9525" cap="flat" cmpd="sng" algn="ctr">
        <a:solidFill>
          <a:sysClr val="windowText" lastClr="000000">
            <a:lumMod val="35000"/>
            <a:lumOff val="65000"/>
          </a:sysClr>
        </a:solidFill>
        <a:round/>
      </a:ln>
    </cs:spPr>
  </cs:dropLine>
  <cs:errorBar>
    <cs:lnRef idx="0"/>
    <cs:fillRef idx="0"/>
    <cs:effectRef idx="0"/>
    <cs:fontRef idx="minor">
      <a:sysClr val="windowText" lastClr="000000"/>
    </cs:fontRef>
    <cs:spPr>
      <a:ln w="9525" cap="flat" cmpd="sng" algn="ctr">
        <a:solidFill>
          <a:sysClr val="windowText" lastClr="000000">
            <a:lumMod val="65000"/>
            <a:lumOff val="35000"/>
          </a:sysClr>
        </a:solidFill>
        <a:round/>
      </a:ln>
    </cs:spPr>
  </cs:errorBar>
  <cs:floor>
    <cs:lnRef idx="0"/>
    <cs:fillRef idx="0"/>
    <cs:effectRef idx="0"/>
    <cs:fontRef idx="minor">
      <a:sysClr val="windowText" lastClr="000000"/>
    </cs:fontRef>
    <cs:spPr>
      <a:noFill/>
      <a:ln>
        <a:noFill/>
      </a:ln>
    </cs:spPr>
  </cs:floor>
  <cs:gridlineMajor>
    <cs:lnRef idx="0"/>
    <cs:fillRef idx="0"/>
    <cs:effectRef idx="0"/>
    <cs:fontRef idx="minor">
      <a:sysClr val="windowText" lastClr="000000"/>
    </cs:fontRef>
    <cs:spPr>
      <a:ln w="9525" cap="flat" cmpd="sng" algn="ctr">
        <a:solidFill>
          <a:sysClr val="windowText" lastClr="000000">
            <a:lumMod val="15000"/>
            <a:lumOff val="85000"/>
          </a:sysClr>
        </a:solidFill>
        <a:round/>
      </a:ln>
    </cs:spPr>
  </cs:gridlineMajor>
  <cs:gridlineMinor>
    <cs:lnRef idx="0"/>
    <cs:fillRef idx="0"/>
    <cs:effectRef idx="0"/>
    <cs:fontRef idx="minor">
      <a:sysClr val="windowText" lastClr="000000"/>
    </cs:fontRef>
    <cs:spPr>
      <a:ln w="9525" cap="flat" cmpd="sng" algn="ctr">
        <a:solidFill>
          <a:sysClr val="windowText" lastClr="000000">
            <a:lumMod val="5000"/>
            <a:lumOff val="95000"/>
          </a:sysClr>
        </a:solidFill>
        <a:round/>
      </a:ln>
    </cs:spPr>
  </cs:gridlineMinor>
  <cs:hiLoLine>
    <cs:lnRef idx="0"/>
    <cs:fillRef idx="0"/>
    <cs:effectRef idx="0"/>
    <cs:fontRef idx="minor">
      <a:sysClr val="windowText" lastClr="000000"/>
    </cs:fontRef>
    <cs:spPr>
      <a:ln w="9525" cap="flat" cmpd="sng" algn="ctr">
        <a:solidFill>
          <a:sysClr val="windowText" lastClr="000000">
            <a:lumMod val="75000"/>
            <a:lumOff val="25000"/>
          </a:sysClr>
        </a:solidFill>
        <a:round/>
      </a:ln>
    </cs:spPr>
  </cs:hiLoLine>
  <cs:leaderLine>
    <cs:lnRef idx="0"/>
    <cs:fillRef idx="0"/>
    <cs:effectRef idx="0"/>
    <cs:fontRef idx="minor">
      <a:sysClr val="windowText" lastClr="000000"/>
    </cs:fontRef>
    <cs:spPr>
      <a:ln w="9525" cap="flat" cmpd="sng" algn="ctr">
        <a:solidFill>
          <a:sysClr val="windowText" lastClr="000000">
            <a:lumMod val="35000"/>
            <a:lumOff val="65000"/>
          </a:sysClr>
        </a:solidFill>
        <a:round/>
      </a:ln>
    </cs:spPr>
  </cs:leaderLine>
  <cs:legend>
    <cs:lnRef idx="0"/>
    <cs:fillRef idx="0"/>
    <cs:effectRef idx="0"/>
    <cs:fontRef idx="minor">
      <a:sysClr val="windowText" lastClr="000000">
        <a:lumMod val="65000"/>
        <a:lumOff val="35000"/>
      </a:sysClr>
    </cs:fontRef>
    <cs:defRPr sz="900" kern="1200"/>
  </cs:legend>
  <cs:plotArea mods="allowNoFillOverride allowNoLineOverride">
    <cs:lnRef idx="0"/>
    <cs:fillRef idx="0"/>
    <cs:effectRef idx="0"/>
    <cs:fontRef idx="minor">
      <a:sysClr val="windowText" lastClr="000000"/>
    </cs:fontRef>
  </cs:plotArea>
  <cs:plotArea3D mods="allowNoFillOverride allowNoLineOverride">
    <cs:lnRef idx="0"/>
    <cs:fillRef idx="0"/>
    <cs:effectRef idx="0"/>
    <cs:fontRef idx="minor">
      <a:sysClr val="windowText" lastClr="000000"/>
    </cs:fontRef>
  </cs:plotArea3D>
  <cs:seriesAxis>
    <cs:lnRef idx="0"/>
    <cs:fillRef idx="0"/>
    <cs:effectRef idx="0"/>
    <cs:fontRef idx="minor">
      <a:sysClr val="windowText" lastClr="000000">
        <a:lumMod val="65000"/>
        <a:lumOff val="35000"/>
      </a:sysClr>
    </cs:fontRef>
    <cs:defRPr sz="900" kern="1200"/>
  </cs:seriesAxis>
  <cs:seriesLine>
    <cs:lnRef idx="0"/>
    <cs:fillRef idx="0"/>
    <cs:effectRef idx="0"/>
    <cs:fontRef idx="minor">
      <a:sysClr val="windowText" lastClr="000000"/>
    </cs:fontRef>
    <cs:spPr>
      <a:ln w="9525" cap="flat" cmpd="sng" algn="ctr">
        <a:solidFill>
          <a:sysClr val="windowText" lastClr="000000">
            <a:lumMod val="35000"/>
            <a:lumOff val="65000"/>
          </a:sysClr>
        </a:solidFill>
        <a:round/>
      </a:ln>
    </cs:spPr>
  </cs:seriesLine>
  <cs:title>
    <cs:lnRef idx="0"/>
    <cs:fillRef idx="0"/>
    <cs:effectRef idx="0"/>
    <cs:fontRef idx="minor">
      <a:sysClr val="windowText" lastClr="000000">
        <a:lumMod val="65000"/>
        <a:lumOff val="35000"/>
      </a:sysClr>
    </cs:fontRef>
    <cs:defRPr sz="1400" b="0" kern="1200" spc="0" baseline="0"/>
  </cs:title>
  <cs:trendline>
    <cs:lnRef idx="0">
      <cs:styleClr val="auto"/>
    </cs:lnRef>
    <cs:fillRef idx="0"/>
    <cs:effectRef idx="0"/>
    <cs:fontRef idx="minor">
      <a:sysClr val="windowText" lastClr="000000"/>
    </cs:fontRef>
    <cs:spPr>
      <a:ln w="19050" cap="rnd">
        <a:solidFill>
          <a:schemeClr val="phClr"/>
        </a:solidFill>
        <a:prstDash val="sysDot"/>
      </a:ln>
    </cs:spPr>
  </cs:trendline>
  <cs:trendlineLabel>
    <cs:lnRef idx="0"/>
    <cs:fillRef idx="0"/>
    <cs:effectRef idx="0"/>
    <cs:fontRef idx="minor">
      <a:sysClr val="windowText" lastClr="000000">
        <a:lumMod val="65000"/>
        <a:lumOff val="35000"/>
      </a:sysClr>
    </cs:fontRef>
    <cs:defRPr sz="900" kern="1200"/>
  </cs:trendlineLabel>
  <cs:upBar>
    <cs:lnRef idx="0"/>
    <cs:fillRef idx="0"/>
    <cs:effectRef idx="0"/>
    <cs:fontRef idx="minor">
      <a:sysClr val="windowText" lastClr="000000"/>
    </cs:fontRef>
    <cs:spPr>
      <a:solidFill>
        <a:sysClr val="window" lastClr="FFFFFF"/>
      </a:solidFill>
      <a:ln w="9525">
        <a:solidFill>
          <a:sysClr val="windowText" lastClr="000000">
            <a:lumMod val="15000"/>
            <a:lumOff val="85000"/>
          </a:sysClr>
        </a:solidFill>
      </a:ln>
    </cs:spPr>
  </cs:upBar>
  <cs:valueAxis>
    <cs:lnRef idx="0"/>
    <cs:fillRef idx="0"/>
    <cs:effectRef idx="0"/>
    <cs:fontRef idx="minor">
      <a:sysClr val="windowText" lastClr="000000">
        <a:lumMod val="65000"/>
        <a:lumOff val="35000"/>
      </a:sysClr>
    </cs:fontRef>
    <cs:defRPr sz="900" kern="1200"/>
  </cs:valueAxis>
  <cs:wall>
    <cs:lnRef idx="0"/>
    <cs:fillRef idx="0"/>
    <cs:effectRef idx="0"/>
    <cs:fontRef idx="minor">
      <a:sysClr val="windowText" lastClr="000000"/>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ysClr val="windowText" lastClr="000000">
        <a:lumMod val="65000"/>
        <a:lumOff val="35000"/>
      </a:sysClr>
    </cs:fontRef>
    <cs:defRPr sz="1000" kern="1200"/>
  </cs:axisTitle>
  <cs:categoryAxis>
    <cs:lnRef idx="0"/>
    <cs:fillRef idx="0"/>
    <cs:effectRef idx="0"/>
    <cs:fontRef idx="minor">
      <a:sysClr val="windowText" lastClr="000000">
        <a:lumMod val="65000"/>
        <a:lumOff val="35000"/>
      </a:sysClr>
    </cs:fontRef>
    <cs:spPr>
      <a:ln w="9525" cap="flat" cmpd="sng" algn="ctr">
        <a:solidFill>
          <a:sysClr val="windowText" lastClr="000000">
            <a:lumMod val="15000"/>
            <a:lumOff val="85000"/>
          </a:sysClr>
        </a:solidFill>
        <a:round/>
      </a:ln>
    </cs:spPr>
    <cs:defRPr sz="900" kern="1200"/>
  </cs:categoryAxis>
  <cs:chartArea mods="allowNoFillOverride allowNoLineOverride">
    <cs:lnRef idx="0"/>
    <cs:fillRef idx="0"/>
    <cs:effectRef idx="0"/>
    <cs:fontRef idx="minor">
      <a:sysClr val="windowText" lastClr="000000"/>
    </cs:fontRef>
    <cs:spPr>
      <a:solidFill>
        <a:sysClr val="window" lastClr="FFFFFF"/>
      </a:solidFill>
      <a:ln w="9525" cap="flat" cmpd="sng" algn="ctr">
        <a:solidFill>
          <a:sysClr val="windowText" lastClr="000000">
            <a:lumMod val="15000"/>
            <a:lumOff val="85000"/>
          </a:sysClr>
        </a:solidFill>
        <a:round/>
      </a:ln>
    </cs:spPr>
    <cs:defRPr sz="1000" kern="1200"/>
  </cs:chartArea>
  <cs:dataLabel>
    <cs:lnRef idx="0"/>
    <cs:fillRef idx="0"/>
    <cs:effectRef idx="0"/>
    <cs:fontRef idx="minor">
      <a:sysClr val="windowText" lastClr="000000">
        <a:lumMod val="75000"/>
        <a:lumOff val="25000"/>
      </a:sysClr>
    </cs:fontRef>
    <cs:defRPr sz="900" kern="1200"/>
  </cs:dataLabel>
  <cs:dataLabelCallout>
    <cs:lnRef idx="0"/>
    <cs:fillRef idx="0"/>
    <cs:effectRef idx="0"/>
    <cs:fontRef idx="minor">
      <a:sysClr val="windowText" lastClr="000000">
        <a:lumMod val="65000"/>
        <a:lumOff val="35000"/>
      </a:sysClr>
    </cs:fontRef>
    <cs:spPr>
      <a:solidFill>
        <a:sysClr val="window" lastClr="FFFFFF"/>
      </a:solidFill>
      <a:ln>
        <a:solidFill>
          <a:sysClr val="windowText" lastClr="000000">
            <a:lumMod val="25000"/>
            <a:lumOff val="75000"/>
          </a:sys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ysClr val="windowText" lastClr="000000"/>
    </cs:fontRef>
  </cs:dataPoint>
  <cs:dataPoint3D>
    <cs:lnRef idx="0"/>
    <cs:fillRef idx="1">
      <cs:styleClr val="auto"/>
    </cs:fillRef>
    <cs:effectRef idx="0"/>
    <cs:fontRef idx="minor">
      <a:sysClr val="windowText" lastClr="000000"/>
    </cs:fontRef>
  </cs:dataPoint3D>
  <cs:dataPointLine>
    <cs:lnRef idx="0">
      <cs:styleClr val="auto"/>
    </cs:lnRef>
    <cs:fillRef idx="1"/>
    <cs:effectRef idx="0"/>
    <cs:fontRef idx="minor">
      <a:sysClr val="windowText" lastClr="000000"/>
    </cs:fontRef>
    <cs:spPr>
      <a:ln w="28575" cap="rnd">
        <a:solidFill>
          <a:schemeClr val="phClr"/>
        </a:solidFill>
        <a:round/>
      </a:ln>
    </cs:spPr>
  </cs:dataPointLine>
  <cs:dataPointMarker>
    <cs:lnRef idx="0">
      <cs:styleClr val="auto"/>
    </cs:lnRef>
    <cs:fillRef idx="1">
      <cs:styleClr val="auto"/>
    </cs:fillRef>
    <cs:effectRef idx="0"/>
    <cs:fontRef idx="minor">
      <a:sysClr val="windowText" lastClr="000000"/>
    </cs:fontRef>
    <cs:spPr>
      <a:ln w="9525">
        <a:solidFill>
          <a:schemeClr val="phClr"/>
        </a:solidFill>
      </a:ln>
    </cs:spPr>
  </cs:dataPointMarker>
  <cs:dataPointMarkerLayout symbol="circle" size="5"/>
  <cs:dataPointWireframe>
    <cs:lnRef idx="0">
      <cs:styleClr val="auto"/>
    </cs:lnRef>
    <cs:fillRef idx="1"/>
    <cs:effectRef idx="0"/>
    <cs:fontRef idx="minor">
      <a:sysClr val="windowText" lastClr="000000"/>
    </cs:fontRef>
    <cs:spPr>
      <a:ln w="9525" cap="rnd">
        <a:solidFill>
          <a:schemeClr val="phClr"/>
        </a:solidFill>
        <a:round/>
      </a:ln>
    </cs:spPr>
  </cs:dataPointWireframe>
  <cs:dataTable>
    <cs:lnRef idx="0"/>
    <cs:fillRef idx="0"/>
    <cs:effectRef idx="0"/>
    <cs:fontRef idx="minor">
      <a:sysClr val="windowText" lastClr="000000">
        <a:lumMod val="65000"/>
        <a:lumOff val="35000"/>
      </a:sysClr>
    </cs:fontRef>
    <cs:spPr>
      <a:noFill/>
      <a:ln w="9525" cap="flat" cmpd="sng" algn="ctr">
        <a:solidFill>
          <a:sysClr val="windowText" lastClr="000000">
            <a:lumMod val="15000"/>
            <a:lumOff val="85000"/>
          </a:sysClr>
        </a:solidFill>
        <a:round/>
      </a:ln>
    </cs:spPr>
    <cs:defRPr sz="900" kern="1200"/>
  </cs:dataTable>
  <cs:downBar>
    <cs:lnRef idx="0"/>
    <cs:fillRef idx="0"/>
    <cs:effectRef idx="0"/>
    <cs:fontRef idx="minor">
      <a:sysClr val="windowText" lastClr="000000"/>
    </cs:fontRef>
    <cs:spPr>
      <a:solidFill>
        <a:sysClr val="windowText" lastClr="000000">
          <a:lumMod val="65000"/>
          <a:lumOff val="35000"/>
        </a:sysClr>
      </a:solidFill>
      <a:ln w="9525">
        <a:solidFill>
          <a:sysClr val="windowText" lastClr="000000">
            <a:lumMod val="65000"/>
            <a:lumOff val="35000"/>
          </a:sysClr>
        </a:solidFill>
      </a:ln>
    </cs:spPr>
  </cs:downBar>
  <cs:dropLine>
    <cs:lnRef idx="0"/>
    <cs:fillRef idx="0"/>
    <cs:effectRef idx="0"/>
    <cs:fontRef idx="minor">
      <a:sysClr val="windowText" lastClr="000000"/>
    </cs:fontRef>
    <cs:spPr>
      <a:ln w="9525" cap="flat" cmpd="sng" algn="ctr">
        <a:solidFill>
          <a:sysClr val="windowText" lastClr="000000">
            <a:lumMod val="35000"/>
            <a:lumOff val="65000"/>
          </a:sysClr>
        </a:solidFill>
        <a:round/>
      </a:ln>
    </cs:spPr>
  </cs:dropLine>
  <cs:errorBar>
    <cs:lnRef idx="0"/>
    <cs:fillRef idx="0"/>
    <cs:effectRef idx="0"/>
    <cs:fontRef idx="minor">
      <a:sysClr val="windowText" lastClr="000000"/>
    </cs:fontRef>
    <cs:spPr>
      <a:ln w="9525" cap="flat" cmpd="sng" algn="ctr">
        <a:solidFill>
          <a:sysClr val="windowText" lastClr="000000">
            <a:lumMod val="65000"/>
            <a:lumOff val="35000"/>
          </a:sysClr>
        </a:solidFill>
        <a:round/>
      </a:ln>
    </cs:spPr>
  </cs:errorBar>
  <cs:floor>
    <cs:lnRef idx="0"/>
    <cs:fillRef idx="0"/>
    <cs:effectRef idx="0"/>
    <cs:fontRef idx="minor">
      <a:sysClr val="windowText" lastClr="000000"/>
    </cs:fontRef>
    <cs:spPr>
      <a:noFill/>
      <a:ln>
        <a:noFill/>
      </a:ln>
    </cs:spPr>
  </cs:floor>
  <cs:gridlineMajor>
    <cs:lnRef idx="0"/>
    <cs:fillRef idx="0"/>
    <cs:effectRef idx="0"/>
    <cs:fontRef idx="minor">
      <a:sysClr val="windowText" lastClr="000000"/>
    </cs:fontRef>
    <cs:spPr>
      <a:ln w="9525" cap="flat" cmpd="sng" algn="ctr">
        <a:solidFill>
          <a:sysClr val="windowText" lastClr="000000">
            <a:lumMod val="15000"/>
            <a:lumOff val="85000"/>
          </a:sysClr>
        </a:solidFill>
        <a:round/>
      </a:ln>
    </cs:spPr>
  </cs:gridlineMajor>
  <cs:gridlineMinor>
    <cs:lnRef idx="0"/>
    <cs:fillRef idx="0"/>
    <cs:effectRef idx="0"/>
    <cs:fontRef idx="minor">
      <a:sysClr val="windowText" lastClr="000000"/>
    </cs:fontRef>
    <cs:spPr>
      <a:ln w="9525" cap="flat" cmpd="sng" algn="ctr">
        <a:solidFill>
          <a:sysClr val="windowText" lastClr="000000">
            <a:lumMod val="5000"/>
            <a:lumOff val="95000"/>
          </a:sysClr>
        </a:solidFill>
        <a:round/>
      </a:ln>
    </cs:spPr>
  </cs:gridlineMinor>
  <cs:hiLoLine>
    <cs:lnRef idx="0"/>
    <cs:fillRef idx="0"/>
    <cs:effectRef idx="0"/>
    <cs:fontRef idx="minor">
      <a:sysClr val="windowText" lastClr="000000"/>
    </cs:fontRef>
    <cs:spPr>
      <a:ln w="9525" cap="flat" cmpd="sng" algn="ctr">
        <a:solidFill>
          <a:sysClr val="windowText" lastClr="000000">
            <a:lumMod val="75000"/>
            <a:lumOff val="25000"/>
          </a:sysClr>
        </a:solidFill>
        <a:round/>
      </a:ln>
    </cs:spPr>
  </cs:hiLoLine>
  <cs:leaderLine>
    <cs:lnRef idx="0"/>
    <cs:fillRef idx="0"/>
    <cs:effectRef idx="0"/>
    <cs:fontRef idx="minor">
      <a:sysClr val="windowText" lastClr="000000"/>
    </cs:fontRef>
    <cs:spPr>
      <a:ln w="9525" cap="flat" cmpd="sng" algn="ctr">
        <a:solidFill>
          <a:sysClr val="windowText" lastClr="000000">
            <a:lumMod val="35000"/>
            <a:lumOff val="65000"/>
          </a:sysClr>
        </a:solidFill>
        <a:round/>
      </a:ln>
    </cs:spPr>
  </cs:leaderLine>
  <cs:legend>
    <cs:lnRef idx="0"/>
    <cs:fillRef idx="0"/>
    <cs:effectRef idx="0"/>
    <cs:fontRef idx="minor">
      <a:sysClr val="windowText" lastClr="000000">
        <a:lumMod val="65000"/>
        <a:lumOff val="35000"/>
      </a:sysClr>
    </cs:fontRef>
    <cs:defRPr sz="900" kern="1200"/>
  </cs:legend>
  <cs:plotArea mods="allowNoFillOverride allowNoLineOverride">
    <cs:lnRef idx="0"/>
    <cs:fillRef idx="0"/>
    <cs:effectRef idx="0"/>
    <cs:fontRef idx="minor">
      <a:sysClr val="windowText" lastClr="000000"/>
    </cs:fontRef>
  </cs:plotArea>
  <cs:plotArea3D mods="allowNoFillOverride allowNoLineOverride">
    <cs:lnRef idx="0"/>
    <cs:fillRef idx="0"/>
    <cs:effectRef idx="0"/>
    <cs:fontRef idx="minor">
      <a:sysClr val="windowText" lastClr="000000"/>
    </cs:fontRef>
  </cs:plotArea3D>
  <cs:seriesAxis>
    <cs:lnRef idx="0"/>
    <cs:fillRef idx="0"/>
    <cs:effectRef idx="0"/>
    <cs:fontRef idx="minor">
      <a:sysClr val="windowText" lastClr="000000">
        <a:lumMod val="65000"/>
        <a:lumOff val="35000"/>
      </a:sysClr>
    </cs:fontRef>
    <cs:defRPr sz="900" kern="1200"/>
  </cs:seriesAxis>
  <cs:seriesLine>
    <cs:lnRef idx="0"/>
    <cs:fillRef idx="0"/>
    <cs:effectRef idx="0"/>
    <cs:fontRef idx="minor">
      <a:sysClr val="windowText" lastClr="000000"/>
    </cs:fontRef>
    <cs:spPr>
      <a:ln w="9525" cap="flat" cmpd="sng" algn="ctr">
        <a:solidFill>
          <a:sysClr val="windowText" lastClr="000000">
            <a:lumMod val="35000"/>
            <a:lumOff val="65000"/>
          </a:sysClr>
        </a:solidFill>
        <a:round/>
      </a:ln>
    </cs:spPr>
  </cs:seriesLine>
  <cs:title>
    <cs:lnRef idx="0"/>
    <cs:fillRef idx="0"/>
    <cs:effectRef idx="0"/>
    <cs:fontRef idx="minor">
      <a:sysClr val="windowText" lastClr="000000">
        <a:lumMod val="65000"/>
        <a:lumOff val="35000"/>
      </a:sysClr>
    </cs:fontRef>
    <cs:defRPr sz="1400" b="0" kern="1200" spc="0" baseline="0"/>
  </cs:title>
  <cs:trendline>
    <cs:lnRef idx="0">
      <cs:styleClr val="auto"/>
    </cs:lnRef>
    <cs:fillRef idx="0"/>
    <cs:effectRef idx="0"/>
    <cs:fontRef idx="minor">
      <a:sysClr val="windowText" lastClr="000000"/>
    </cs:fontRef>
    <cs:spPr>
      <a:ln w="19050" cap="rnd">
        <a:solidFill>
          <a:schemeClr val="phClr"/>
        </a:solidFill>
        <a:prstDash val="sysDot"/>
      </a:ln>
    </cs:spPr>
  </cs:trendline>
  <cs:trendlineLabel>
    <cs:lnRef idx="0"/>
    <cs:fillRef idx="0"/>
    <cs:effectRef idx="0"/>
    <cs:fontRef idx="minor">
      <a:sysClr val="windowText" lastClr="000000">
        <a:lumMod val="65000"/>
        <a:lumOff val="35000"/>
      </a:sysClr>
    </cs:fontRef>
    <cs:defRPr sz="900" kern="1200"/>
  </cs:trendlineLabel>
  <cs:upBar>
    <cs:lnRef idx="0"/>
    <cs:fillRef idx="0"/>
    <cs:effectRef idx="0"/>
    <cs:fontRef idx="minor">
      <a:sysClr val="windowText" lastClr="000000"/>
    </cs:fontRef>
    <cs:spPr>
      <a:solidFill>
        <a:sysClr val="window" lastClr="FFFFFF"/>
      </a:solidFill>
      <a:ln w="9525">
        <a:solidFill>
          <a:sysClr val="windowText" lastClr="000000">
            <a:lumMod val="15000"/>
            <a:lumOff val="85000"/>
          </a:sysClr>
        </a:solidFill>
      </a:ln>
    </cs:spPr>
  </cs:upBar>
  <cs:valueAxis>
    <cs:lnRef idx="0"/>
    <cs:fillRef idx="0"/>
    <cs:effectRef idx="0"/>
    <cs:fontRef idx="minor">
      <a:sysClr val="windowText" lastClr="000000">
        <a:lumMod val="65000"/>
        <a:lumOff val="35000"/>
      </a:sysClr>
    </cs:fontRef>
    <cs:defRPr sz="900" kern="1200"/>
  </cs:valueAxis>
  <cs:wall>
    <cs:lnRef idx="0"/>
    <cs:fillRef idx="0"/>
    <cs:effectRef idx="0"/>
    <cs:fontRef idx="minor">
      <a:sysClr val="windowText" lastClr="000000"/>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63CE646-A20C-4D03-BD39-7D222577A5B2}">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61</Pages>
  <Words>26244</Words>
  <Characters>27987</Characters>
  <Lines>223</Lines>
  <Paragraphs>63</Paragraphs>
  <TotalTime>1</TotalTime>
  <ScaleCrop>false</ScaleCrop>
  <LinksUpToDate>false</LinksUpToDate>
  <CharactersWithSpaces>28641</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2023-08-23T11:39:00Z</dcterms:created>
  <dc:creator>曹颖</dc:creator>
  <cp:lastModifiedBy>吴成冯</cp:lastModifiedBy>
  <cp:lastPrinted>2023-08-25T05:18:00Z</cp:lastPrinted>
  <dcterms:modified xsi:type="dcterms:W3CDTF">2024-12-23T07:39:41Z</dcterms:modified>
  <dc:title>四川省***</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7B602FEC81294697A9E8CDD603EF2169_13</vt:lpwstr>
  </property>
</Properties>
</file>