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CE21">
      <w:pPr>
        <w:spacing w:line="600" w:lineRule="exact"/>
        <w:jc w:val="left"/>
        <w:outlineLvl w:val="0"/>
        <w:rPr>
          <w:rFonts w:ascii="方正小标宋简体" w:hAnsi="宋体" w:eastAsia="方正小标宋简体"/>
          <w:szCs w:val="21"/>
        </w:rPr>
      </w:pPr>
      <w:bookmarkStart w:id="0" w:name="_Toc15306267"/>
    </w:p>
    <w:p w14:paraId="53ADFB7C">
      <w:pPr>
        <w:spacing w:line="600" w:lineRule="exact"/>
        <w:jc w:val="center"/>
        <w:outlineLvl w:val="0"/>
        <w:rPr>
          <w:rFonts w:ascii="方正小标宋简体" w:hAnsi="宋体" w:eastAsia="方正小标宋简体"/>
          <w:sz w:val="72"/>
          <w:szCs w:val="72"/>
        </w:rPr>
      </w:pPr>
    </w:p>
    <w:p w14:paraId="3FDFE687">
      <w:pPr>
        <w:spacing w:line="600" w:lineRule="exact"/>
        <w:jc w:val="center"/>
        <w:outlineLvl w:val="0"/>
        <w:rPr>
          <w:rFonts w:ascii="方正小标宋简体" w:hAnsi="宋体" w:eastAsia="方正小标宋简体"/>
          <w:sz w:val="72"/>
          <w:szCs w:val="72"/>
        </w:rPr>
      </w:pPr>
    </w:p>
    <w:p w14:paraId="3DF77F6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4" w:name="_GoBack"/>
      <w:bookmarkEnd w:id="64"/>
      <w:bookmarkStart w:id="1" w:name="_Toc15396597"/>
      <w:bookmarkStart w:id="2" w:name="_Toc15396475"/>
      <w:bookmarkStart w:id="3" w:name="_Toc15377425"/>
      <w:bookmarkStart w:id="4" w:name="_Toc15377193"/>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14:paraId="477106D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78442"/>
      <w:bookmarkStart w:id="9" w:name="_Toc15377194"/>
      <w:bookmarkStart w:id="10" w:name="_Toc1539647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rPr>
        <w:t>遂宁市安居区白马镇中心小学校单位决算</w:t>
      </w:r>
      <w:bookmarkEnd w:id="6"/>
      <w:bookmarkEnd w:id="7"/>
      <w:bookmarkEnd w:id="8"/>
      <w:bookmarkEnd w:id="9"/>
      <w:bookmarkEnd w:id="10"/>
      <w:bookmarkEnd w:id="11"/>
    </w:p>
    <w:p w14:paraId="4F563C02">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w:t>
      </w:r>
    </w:p>
    <w:p w14:paraId="580E8D0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CAA57E3">
      <w:pPr>
        <w:widowControl/>
        <w:jc w:val="center"/>
        <w:rPr>
          <w:rFonts w:ascii="黑体" w:hAnsi="黑体" w:eastAsia="黑体" w:cstheme="minorBidi"/>
          <w:sz w:val="28"/>
          <w:szCs w:val="28"/>
        </w:rPr>
      </w:pPr>
    </w:p>
    <w:p w14:paraId="1FB26043">
      <w:pPr>
        <w:pStyle w:val="10"/>
      </w:pPr>
      <w:r>
        <w:rPr>
          <w:rFonts w:hint="eastAsia"/>
        </w:rPr>
        <w:t>公开时间：2023年8月</w:t>
      </w:r>
      <w:r>
        <w:rPr>
          <w:rFonts w:hint="eastAsia"/>
          <w:lang w:val="en-US" w:eastAsia="zh-CN"/>
        </w:rPr>
        <w:t>25</w:t>
      </w:r>
      <w:r>
        <w:rPr>
          <w:rFonts w:hint="eastAsia"/>
        </w:rPr>
        <w:t>日</w:t>
      </w:r>
    </w:p>
    <w:p w14:paraId="13E4E967">
      <w:pPr>
        <w:rPr>
          <w:sz w:val="20"/>
          <w:szCs w:val="22"/>
        </w:rPr>
      </w:pPr>
    </w:p>
    <w:p w14:paraId="3FE816AD">
      <w:pPr>
        <w:pStyle w:val="10"/>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第一部分单位概况</w:t>
      </w:r>
    </w:p>
    <w:p w14:paraId="7C1AA660">
      <w:pPr>
        <w:pStyle w:val="11"/>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一、主要职责------------------------</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4页</w:t>
      </w:r>
    </w:p>
    <w:p w14:paraId="145138D4">
      <w:pPr>
        <w:pStyle w:val="11"/>
        <w:adjustRightInd w:val="0"/>
        <w:snapToGrid w:val="0"/>
        <w:spacing w:before="93"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二、机构设置--------------------------</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6页</w:t>
      </w:r>
    </w:p>
    <w:p w14:paraId="1D5EBB0B">
      <w:pPr>
        <w:pStyle w:val="10"/>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第二部分 2022年度单位决算情况说明</w:t>
      </w:r>
    </w:p>
    <w:p w14:paraId="2F226914">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一、收入支出决算总体情况说明-----------</w:t>
      </w:r>
      <w:r>
        <w:rPr>
          <w:rFonts w:hint="eastAsia" w:ascii="仿宋" w:hAnsi="仿宋" w:eastAsia="仿宋" w:cs="仿宋"/>
          <w:sz w:val="28"/>
          <w:szCs w:val="28"/>
          <w:lang w:val="en-US" w:eastAsia="zh-CN"/>
        </w:rPr>
        <w:t>-------</w:t>
      </w:r>
      <w:r>
        <w:rPr>
          <w:rFonts w:hint="eastAsia" w:ascii="仿宋" w:hAnsi="仿宋" w:eastAsia="仿宋" w:cs="仿宋"/>
          <w:sz w:val="28"/>
          <w:szCs w:val="28"/>
        </w:rPr>
        <w:t>------7页</w:t>
      </w:r>
    </w:p>
    <w:p w14:paraId="41CE1318">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二、收入决算情况说明-----------------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--------7页</w:t>
      </w:r>
    </w:p>
    <w:p w14:paraId="44ADE7DA">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三、支出决算情况说明------------------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-------8页</w:t>
      </w:r>
    </w:p>
    <w:p w14:paraId="13A53E19">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四、财政拨款收入支出决算总体情况说明---</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w:t>
      </w:r>
      <w:r>
        <w:rPr>
          <w:rFonts w:hint="eastAsia" w:ascii="仿宋" w:hAnsi="仿宋" w:eastAsia="仿宋" w:cs="仿宋"/>
          <w:sz w:val="28"/>
          <w:szCs w:val="28"/>
        </w:rPr>
        <w:t>--8页</w:t>
      </w:r>
    </w:p>
    <w:p w14:paraId="57DE4450">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---9页</w:t>
      </w:r>
    </w:p>
    <w:p w14:paraId="3A6CA6AA">
      <w:pPr>
        <w:pStyle w:val="11"/>
        <w:adjustRightInd w:val="0"/>
        <w:snapToGrid w:val="0"/>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10页</w:t>
      </w:r>
    </w:p>
    <w:p w14:paraId="4CF29018">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七、财政拨款“三公”经费支出决算情况说明-----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-----11页</w:t>
      </w:r>
    </w:p>
    <w:p w14:paraId="2A0BF30D">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八、政府性基金预算支出决算情况说明---------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页</w:t>
      </w:r>
    </w:p>
    <w:p w14:paraId="490AE391">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九、国有资本经营预算支出决算情况说明---------------1</w:t>
      </w:r>
      <w:r>
        <w:rPr>
          <w:rFonts w:hint="eastAsia" w:ascii="仿宋" w:hAnsi="仿宋" w:eastAsia="仿宋" w:cs="仿宋"/>
          <w:sz w:val="28"/>
          <w:szCs w:val="28"/>
          <w:lang w:val="en-US" w:eastAsia="zh-CN"/>
        </w:rPr>
        <w:t>3</w:t>
      </w:r>
      <w:r>
        <w:rPr>
          <w:rFonts w:hint="eastAsia" w:ascii="仿宋" w:hAnsi="仿宋" w:eastAsia="仿宋" w:cs="仿宋"/>
          <w:sz w:val="28"/>
          <w:szCs w:val="28"/>
        </w:rPr>
        <w:t>页</w:t>
      </w:r>
    </w:p>
    <w:p w14:paraId="7849756F">
      <w:pPr>
        <w:pStyle w:val="11"/>
        <w:adjustRightInd w:val="0"/>
        <w:snapToGrid w:val="0"/>
        <w:spacing w:line="440" w:lineRule="exact"/>
        <w:jc w:val="left"/>
        <w:rPr>
          <w:rFonts w:hint="eastAsia" w:ascii="仿宋" w:hAnsi="仿宋" w:eastAsia="仿宋" w:cs="仿宋"/>
          <w:sz w:val="28"/>
          <w:szCs w:val="28"/>
        </w:rPr>
      </w:pPr>
      <w:r>
        <w:rPr>
          <w:rFonts w:hint="eastAsia" w:ascii="仿宋" w:hAnsi="仿宋" w:eastAsia="仿宋" w:cs="仿宋"/>
          <w:sz w:val="28"/>
          <w:szCs w:val="28"/>
        </w:rPr>
        <w:t>十、其他重要事项的情况说明------------------</w:t>
      </w:r>
      <w:r>
        <w:rPr>
          <w:rFonts w:hint="eastAsia" w:ascii="仿宋" w:hAnsi="仿宋" w:eastAsia="仿宋" w:cs="仿宋"/>
          <w:sz w:val="28"/>
          <w:szCs w:val="28"/>
          <w:lang w:val="en-US" w:eastAsia="zh-CN"/>
        </w:rPr>
        <w:t>----</w:t>
      </w:r>
      <w:r>
        <w:rPr>
          <w:rFonts w:hint="eastAsia" w:ascii="仿宋" w:hAnsi="仿宋" w:eastAsia="仿宋" w:cs="仿宋"/>
          <w:sz w:val="28"/>
          <w:szCs w:val="28"/>
        </w:rPr>
        <w:t>---13页</w:t>
      </w:r>
    </w:p>
    <w:p w14:paraId="3EB1CD3C">
      <w:pPr>
        <w:pStyle w:val="10"/>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第三部分名词解释-------------------</w:t>
      </w:r>
      <w:r>
        <w:rPr>
          <w:rFonts w:hint="eastAsia"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w:t>
      </w:r>
      <w:r>
        <w:rPr>
          <w:rFonts w:hint="eastAsia" w:ascii="仿宋" w:hAnsi="仿宋" w:eastAsia="仿宋" w:cs="仿宋"/>
          <w:sz w:val="28"/>
          <w:szCs w:val="28"/>
        </w:rPr>
        <w:t>-14页</w:t>
      </w:r>
    </w:p>
    <w:p w14:paraId="24E0E2FB">
      <w:pPr>
        <w:pStyle w:val="10"/>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第四部分附件--------------------------</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cs="仿宋"/>
          <w:sz w:val="28"/>
          <w:szCs w:val="28"/>
          <w:lang w:val="en-US" w:eastAsia="zh-CN"/>
        </w:rPr>
        <w:t>-------</w:t>
      </w:r>
      <w:r>
        <w:rPr>
          <w:rFonts w:hint="eastAsia" w:ascii="仿宋" w:hAnsi="仿宋" w:eastAsia="仿宋" w:cs="仿宋"/>
          <w:sz w:val="28"/>
          <w:szCs w:val="28"/>
          <w:lang w:val="en-US" w:eastAsia="zh-CN"/>
        </w:rPr>
        <w:t>--</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页</w:t>
      </w:r>
    </w:p>
    <w:p w14:paraId="1B03F05E">
      <w:pPr>
        <w:pStyle w:val="10"/>
        <w:adjustRightInd w:val="0"/>
        <w:snapToGrid w:val="0"/>
        <w:spacing w:before="0" w:line="440" w:lineRule="exact"/>
        <w:jc w:val="left"/>
        <w:rPr>
          <w:rFonts w:hint="eastAsia" w:ascii="仿宋" w:hAnsi="仿宋" w:eastAsia="仿宋" w:cs="仿宋"/>
          <w:sz w:val="28"/>
          <w:szCs w:val="28"/>
        </w:rPr>
      </w:pPr>
      <w:r>
        <w:rPr>
          <w:rFonts w:hint="eastAsia" w:ascii="仿宋" w:hAnsi="仿宋" w:eastAsia="仿宋" w:cs="仿宋"/>
          <w:sz w:val="28"/>
          <w:szCs w:val="28"/>
        </w:rPr>
        <w:t>第五部分附表---------------------------</w:t>
      </w:r>
      <w:r>
        <w:rPr>
          <w:rFonts w:hint="eastAsia"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----17</w:t>
      </w:r>
      <w:r>
        <w:rPr>
          <w:rFonts w:hint="eastAsia" w:ascii="仿宋" w:hAnsi="仿宋" w:eastAsia="仿宋" w:cs="仿宋"/>
          <w:sz w:val="28"/>
          <w:szCs w:val="28"/>
        </w:rPr>
        <w:t>页</w:t>
      </w:r>
    </w:p>
    <w:p w14:paraId="12035A5F">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一、收入支出决算总表</w:t>
      </w:r>
    </w:p>
    <w:p w14:paraId="63EA9FFC">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二、收入决算表</w:t>
      </w:r>
    </w:p>
    <w:p w14:paraId="1DE6A708">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三、支出决算表</w:t>
      </w:r>
    </w:p>
    <w:p w14:paraId="2E01BEE0">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四、财政拨款收入支出决算总表</w:t>
      </w:r>
    </w:p>
    <w:p w14:paraId="24BD001C">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五、财政拨款支出决算明细表</w:t>
      </w:r>
    </w:p>
    <w:p w14:paraId="2311A236">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六、一般公共预算财政拨款支出决算表</w:t>
      </w:r>
    </w:p>
    <w:p w14:paraId="6A54DA7E">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七、一般公共预算财政拨款支出决算明细表</w:t>
      </w:r>
    </w:p>
    <w:p w14:paraId="734C8122">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八、一般公共预算财政拨款基本支出决算明细表</w:t>
      </w:r>
    </w:p>
    <w:p w14:paraId="3AF963B3">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九、一般公共预算财政拨款项目支出决算表</w:t>
      </w:r>
    </w:p>
    <w:p w14:paraId="0690DE31">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十、政府性基金预算财政拨款收入支出决算表</w:t>
      </w:r>
    </w:p>
    <w:p w14:paraId="36E45BB9">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十一、国有资本经营预算财政拨款收入支出决算表</w:t>
      </w:r>
    </w:p>
    <w:p w14:paraId="0E8EA7A9">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十二、国有资本经营预算财政拨款支出决算表</w:t>
      </w:r>
    </w:p>
    <w:p w14:paraId="2AAAF72C">
      <w:pPr>
        <w:pStyle w:val="11"/>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十三、财政拨款“三公”经费支出决算表</w:t>
      </w:r>
    </w:p>
    <w:p w14:paraId="57D22794">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DA160AC">
      <w:pPr>
        <w:pStyle w:val="2"/>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13FD00BB">
      <w:pPr>
        <w:widowControl/>
        <w:jc w:val="left"/>
        <w:rPr>
          <w:rFonts w:ascii="黑体" w:eastAsia="黑体"/>
          <w:sz w:val="32"/>
          <w:szCs w:val="32"/>
        </w:rPr>
      </w:pPr>
    </w:p>
    <w:p w14:paraId="6083F811">
      <w:pPr>
        <w:pStyle w:val="3"/>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14:paraId="4B5BC19E">
      <w:pPr>
        <w:snapToGrid w:val="0"/>
        <w:spacing w:line="520" w:lineRule="exact"/>
      </w:pPr>
      <w:r>
        <w:rPr>
          <w:rFonts w:hint="eastAsia" w:ascii="仿宋" w:hAnsi="仿宋" w:eastAsia="仿宋"/>
          <w:sz w:val="32"/>
          <w:szCs w:val="32"/>
        </w:rPr>
        <w:t>(一)、</w:t>
      </w:r>
      <w:r>
        <w:rPr>
          <w:rFonts w:hint="eastAsia" w:ascii="仿宋" w:hAnsi="仿宋" w:eastAsia="仿宋"/>
          <w:b/>
          <w:sz w:val="32"/>
          <w:szCs w:val="32"/>
        </w:rPr>
        <w:t>主要职能：</w:t>
      </w:r>
    </w:p>
    <w:p w14:paraId="3F7D28F1">
      <w:pPr>
        <w:ind w:firstLine="640" w:firstLineChars="200"/>
      </w:pPr>
      <w:r>
        <w:rPr>
          <w:rFonts w:hint="eastAsia" w:ascii="仿宋" w:hAnsi="仿宋" w:eastAsia="仿宋"/>
          <w:sz w:val="32"/>
          <w:szCs w:val="32"/>
        </w:rPr>
        <w:t>贯彻执行国家、省、市、区有关教育工作方面的方针、政策和法律法规，实施小学义务教育，促进基础教育发展，负责本辖区内适龄儿童的小学学历教育及相关社会服务。</w:t>
      </w:r>
    </w:p>
    <w:bookmarkEnd w:id="14"/>
    <w:bookmarkEnd w:id="15"/>
    <w:p w14:paraId="426A4FF4">
      <w:pPr>
        <w:pStyle w:val="3"/>
        <w:rPr>
          <w:rFonts w:ascii="黑体" w:hAnsi="黑体" w:eastAsia="黑体"/>
          <w:b w:val="0"/>
        </w:rPr>
      </w:pPr>
      <w:r>
        <w:rPr>
          <w:rFonts w:hint="eastAsia" w:ascii="黑体" w:hAnsi="黑体" w:eastAsia="黑体"/>
          <w:b w:val="0"/>
        </w:rPr>
        <w:t>（二）、2021年重点工作完成情况</w:t>
      </w:r>
    </w:p>
    <w:p w14:paraId="19CE638E">
      <w:pPr>
        <w:numPr>
          <w:ilvl w:val="0"/>
          <w:numId w:val="2"/>
        </w:numPr>
        <w:spacing w:line="576" w:lineRule="exact"/>
        <w:ind w:firstLine="643" w:firstLineChars="200"/>
        <w:rPr>
          <w:rFonts w:ascii="仿宋" w:hAnsi="仿宋" w:eastAsia="仿宋"/>
          <w:sz w:val="32"/>
          <w:szCs w:val="32"/>
        </w:rPr>
      </w:pPr>
      <w:r>
        <w:rPr>
          <w:rFonts w:hint="eastAsia" w:ascii="楷体" w:hAnsi="楷体" w:eastAsia="楷体"/>
          <w:b/>
          <w:bCs/>
          <w:color w:val="000000"/>
          <w:sz w:val="32"/>
          <w:szCs w:val="32"/>
        </w:rPr>
        <w:t>育人质量书写新辉煌。</w:t>
      </w:r>
      <w:r>
        <w:rPr>
          <w:rFonts w:hint="eastAsia" w:ascii="仿宋" w:hAnsi="仿宋" w:eastAsia="仿宋"/>
          <w:sz w:val="32"/>
          <w:szCs w:val="32"/>
        </w:rPr>
        <w:t>一是教育教学排名全区同内学校前列。二是科技创新教育取得重大突破，获区教体局“德育工作先进集体”，获区教体局“安全工作先进集体”，获区教体局“信息报送工作先进集体”，获区教体局“师培工作先进集体”，获区教体局“教育资助工作先进集体”，获区教体局“教研工作先进集体”。</w:t>
      </w:r>
    </w:p>
    <w:p w14:paraId="118CD481">
      <w:pPr>
        <w:spacing w:line="576" w:lineRule="exact"/>
        <w:ind w:firstLine="643" w:firstLineChars="200"/>
        <w:rPr>
          <w:rFonts w:eastAsia="仿宋_GB2312"/>
          <w:bCs/>
          <w:color w:val="000000"/>
          <w:sz w:val="32"/>
          <w:szCs w:val="32"/>
        </w:rPr>
      </w:pPr>
      <w:r>
        <w:rPr>
          <w:rFonts w:hint="eastAsia" w:ascii="楷体" w:hAnsi="楷体" w:eastAsia="楷体"/>
          <w:b/>
          <w:bCs/>
          <w:color w:val="000000"/>
          <w:sz w:val="32"/>
          <w:szCs w:val="32"/>
        </w:rPr>
        <w:t>2.教育管理实现新突破。</w:t>
      </w:r>
      <w:r>
        <w:rPr>
          <w:rFonts w:hint="eastAsia" w:ascii="仿宋" w:hAnsi="仿宋" w:eastAsia="仿宋"/>
          <w:sz w:val="32"/>
          <w:szCs w:val="32"/>
        </w:rPr>
        <w:t>一是规范和加快小学教育发展，圆满完成上级下达的教育教学改革攻坚目标任务。二是创新教学机制，开辟优质教育资源移植、合成、再生，推动教育教学质量整体提高，促进学生全面发展。参与教育质量共同体1个、与安居三小、东禅小学等学校组成兄弟学校共同组织教学教研工作，实现“问题清单、责任清单、整改清单”三单制工作闭环。四是深化人事制度改革，培训干部教师53余人次，培养新教师3人、区优秀班主任各1名，区优秀教师1名。</w:t>
      </w:r>
    </w:p>
    <w:p w14:paraId="0549CBF1">
      <w:pPr>
        <w:spacing w:line="576" w:lineRule="exact"/>
        <w:ind w:firstLine="640" w:firstLineChars="200"/>
        <w:rPr>
          <w:rFonts w:eastAsia="仿宋_GB2312"/>
          <w:bCs/>
          <w:color w:val="000000"/>
          <w:sz w:val="32"/>
          <w:szCs w:val="32"/>
        </w:rPr>
      </w:pPr>
      <w:r>
        <w:rPr>
          <w:rFonts w:hint="eastAsia" w:eastAsia="仿宋_GB2312"/>
          <w:bCs/>
          <w:color w:val="000000"/>
          <w:sz w:val="32"/>
          <w:szCs w:val="32"/>
        </w:rPr>
        <w:t>3.</w:t>
      </w:r>
      <w:r>
        <w:rPr>
          <w:rFonts w:hint="eastAsia" w:ascii="楷体" w:hAnsi="楷体" w:eastAsia="楷体"/>
          <w:b/>
          <w:bCs/>
          <w:color w:val="000000"/>
          <w:sz w:val="32"/>
          <w:szCs w:val="32"/>
        </w:rPr>
        <w:t>教育扶贫开启新篇章。</w:t>
      </w:r>
      <w:r>
        <w:rPr>
          <w:rFonts w:hint="eastAsia" w:ascii="仿宋" w:hAnsi="仿宋" w:eastAsia="仿宋"/>
          <w:sz w:val="32"/>
          <w:szCs w:val="32"/>
        </w:rPr>
        <w:t>一是资助覆盖面持续扩大，全年资助学生138人次、9.2万余元；发放教育扶贫救助基金62人次、1.5万余元，同比增加4人次、0.2万元；落实“扶贫日”捐赠0.3万元，连续3年实现增长。二是强化控辍保学举措，适龄残疾儿童入学率达100%，圆满实现“零辍学”目标，教育扶贫专项考核连续4年未扣分。</w:t>
      </w:r>
    </w:p>
    <w:p w14:paraId="44AF601A">
      <w:pPr>
        <w:spacing w:line="576" w:lineRule="exact"/>
        <w:ind w:firstLine="643" w:firstLineChars="200"/>
        <w:rPr>
          <w:rFonts w:eastAsia="仿宋_GB2312"/>
          <w:bCs/>
          <w:color w:val="000000"/>
          <w:sz w:val="32"/>
          <w:szCs w:val="32"/>
        </w:rPr>
      </w:pPr>
      <w:r>
        <w:rPr>
          <w:rFonts w:hint="eastAsia" w:ascii="楷体" w:hAnsi="楷体" w:eastAsia="楷体"/>
          <w:b/>
          <w:bCs/>
          <w:color w:val="000000"/>
          <w:sz w:val="32"/>
          <w:szCs w:val="32"/>
        </w:rPr>
        <w:t>4.服务条件取得新改善。</w:t>
      </w:r>
      <w:r>
        <w:rPr>
          <w:rFonts w:hint="eastAsia" w:ascii="仿宋" w:hAnsi="仿宋" w:eastAsia="仿宋"/>
          <w:sz w:val="32"/>
          <w:szCs w:val="32"/>
        </w:rPr>
        <w:t>一是育人条件持续改善，投入资金20万元，完成校舍维修改造项目，二是体育惠民落实落地，组织开展</w:t>
      </w:r>
      <w:r>
        <w:rPr>
          <w:rFonts w:hint="eastAsia" w:ascii="仿宋" w:hAnsi="仿宋" w:eastAsia="仿宋"/>
          <w:sz w:val="32"/>
          <w:szCs w:val="32"/>
          <w:lang w:eastAsia="zh-CN"/>
        </w:rPr>
        <w:t>篮球比赛</w:t>
      </w:r>
      <w:r>
        <w:rPr>
          <w:rFonts w:hint="eastAsia" w:ascii="仿宋" w:hAnsi="仿宋" w:eastAsia="仿宋"/>
          <w:sz w:val="32"/>
          <w:szCs w:val="32"/>
        </w:rPr>
        <w:t>等体育赛事活动4次，参与国家三级社会体育指导员培训、夏令营等惠民活动2次，与当地村民举办各种比赛，得到市区领导组充分认可。</w:t>
      </w:r>
    </w:p>
    <w:p w14:paraId="2CC5168B">
      <w:pPr>
        <w:spacing w:line="576" w:lineRule="exact"/>
        <w:ind w:firstLine="640" w:firstLineChars="200"/>
        <w:rPr>
          <w:rFonts w:eastAsia="仿宋_GB2312"/>
          <w:bCs/>
          <w:color w:val="000000"/>
          <w:sz w:val="32"/>
          <w:szCs w:val="32"/>
        </w:rPr>
      </w:pPr>
      <w:r>
        <w:rPr>
          <w:rFonts w:hint="eastAsia" w:ascii="仿宋" w:hAnsi="仿宋" w:eastAsia="仿宋"/>
          <w:sz w:val="32"/>
          <w:szCs w:val="32"/>
        </w:rPr>
        <w:t>5.</w:t>
      </w:r>
      <w:r>
        <w:rPr>
          <w:rFonts w:hint="eastAsia" w:ascii="楷体" w:hAnsi="楷体" w:eastAsia="楷体"/>
          <w:b/>
          <w:bCs/>
          <w:color w:val="000000"/>
          <w:sz w:val="32"/>
          <w:szCs w:val="32"/>
        </w:rPr>
        <w:t>疫情防控取得明显成效。</w:t>
      </w:r>
      <w:r>
        <w:rPr>
          <w:rFonts w:hint="eastAsia" w:ascii="仿宋" w:hAnsi="仿宋" w:eastAsia="仿宋"/>
          <w:sz w:val="32"/>
          <w:szCs w:val="32"/>
        </w:rPr>
        <w:t>一是精准防控“零感染”。严把校园入口关、健康监测关，建立台账20本，落实卫生工作人员4名，切实做到师生员工“零感染”，得到上级主要领导认可。二是育人秩序“全恢复”。执行了《线下教学》《春季开学复课“十个一”》《开学复课流程图》等指导性文件，创新线上教学模式，健全线下辅导机制，常态化实行健康分类动态管理、校园划区划片管理和教学活动“分级分段、错时错峰”管理，教育教学秩序全面恢复正常。</w:t>
      </w:r>
    </w:p>
    <w:p w14:paraId="3627BB40">
      <w:pPr>
        <w:spacing w:line="576" w:lineRule="exact"/>
        <w:ind w:firstLine="640" w:firstLineChars="200"/>
        <w:rPr>
          <w:rFonts w:ascii="仿宋" w:hAnsi="仿宋" w:eastAsia="仿宋"/>
          <w:sz w:val="32"/>
          <w:szCs w:val="32"/>
        </w:rPr>
      </w:pPr>
      <w:r>
        <w:rPr>
          <w:rFonts w:hint="eastAsia" w:eastAsia="仿宋_GB2312"/>
          <w:bCs/>
          <w:color w:val="000000"/>
          <w:sz w:val="32"/>
          <w:szCs w:val="32"/>
        </w:rPr>
        <w:t>6.</w:t>
      </w:r>
      <w:r>
        <w:rPr>
          <w:rFonts w:hint="eastAsia" w:ascii="楷体" w:hAnsi="楷体" w:eastAsia="楷体"/>
          <w:b/>
          <w:bCs/>
          <w:color w:val="000000"/>
          <w:sz w:val="32"/>
          <w:szCs w:val="32"/>
        </w:rPr>
        <w:t>安全稳定取得新成效。</w:t>
      </w:r>
      <w:r>
        <w:rPr>
          <w:rFonts w:hint="eastAsia" w:ascii="仿宋" w:hAnsi="仿宋" w:eastAsia="仿宋"/>
          <w:sz w:val="32"/>
          <w:szCs w:val="32"/>
        </w:rPr>
        <w:t>一是健全网络舆情应对机制，二是健全信访维稳工作机制，三是开展学校禁毒教育，建立禁毒教育示范班，四是狠抓防溺水教育管理。五是加强开展食堂食品安全专项教育，基本实现食品来源可追溯、去向可查证、责任可追究。</w:t>
      </w:r>
    </w:p>
    <w:p w14:paraId="7C57E77A">
      <w:pPr>
        <w:pStyle w:val="3"/>
        <w:ind w:firstLine="707" w:firstLineChars="221"/>
        <w:rPr>
          <w:rStyle w:val="30"/>
          <w:b w:val="0"/>
          <w:bCs w:val="0"/>
        </w:rPr>
      </w:pPr>
      <w:r>
        <w:rPr>
          <w:rFonts w:hint="eastAsia" w:ascii="黑体" w:hAnsi="黑体" w:eastAsia="黑体"/>
          <w:b w:val="0"/>
        </w:rPr>
        <w:t>二、机</w:t>
      </w:r>
      <w:r>
        <w:rPr>
          <w:rStyle w:val="30"/>
          <w:rFonts w:hint="eastAsia" w:ascii="黑体" w:hAnsi="黑体" w:eastAsia="黑体"/>
          <w:b w:val="0"/>
          <w:bCs w:val="0"/>
        </w:rPr>
        <w:t>构设置</w:t>
      </w:r>
    </w:p>
    <w:p w14:paraId="1AD15DD6">
      <w:pPr>
        <w:ind w:firstLine="640" w:firstLineChars="200"/>
        <w:rPr>
          <w:szCs w:val="21"/>
        </w:rPr>
      </w:pPr>
      <w:r>
        <w:rPr>
          <w:rFonts w:hint="eastAsia" w:ascii="仿宋" w:hAnsi="仿宋" w:eastAsia="仿宋"/>
          <w:sz w:val="32"/>
          <w:szCs w:val="32"/>
        </w:rPr>
        <w:t>遂宁市安居区白马镇中心小学校，本单位是独立机构无下属单位。</w:t>
      </w:r>
    </w:p>
    <w:p w14:paraId="1DCE7473">
      <w:pPr>
        <w:pStyle w:val="3"/>
      </w:pPr>
    </w:p>
    <w:p w14:paraId="6265E655">
      <w:pPr>
        <w:widowControl/>
        <w:jc w:val="left"/>
        <w:rPr>
          <w:rStyle w:val="24"/>
          <w:rFonts w:ascii="仿宋" w:hAnsi="仿宋" w:eastAsia="仿宋"/>
          <w:b w:val="0"/>
          <w:bCs w:val="0"/>
          <w:kern w:val="0"/>
          <w:sz w:val="32"/>
          <w:szCs w:val="32"/>
        </w:rPr>
      </w:pPr>
      <w:r>
        <w:rPr>
          <w:rFonts w:ascii="仿宋" w:hAnsi="仿宋" w:eastAsia="仿宋"/>
          <w:sz w:val="32"/>
          <w:szCs w:val="32"/>
        </w:rPr>
        <w:br w:type="page"/>
      </w:r>
      <w:bookmarkStart w:id="16" w:name="_Toc15396602"/>
      <w:bookmarkStart w:id="17" w:name="_Toc15377204"/>
      <w:r>
        <w:rPr>
          <w:rStyle w:val="24"/>
          <w:rFonts w:hint="eastAsia" w:ascii="黑体" w:hAnsi="黑体"/>
          <w:bCs w:val="0"/>
        </w:rPr>
        <w:t>第二部分 2022年度</w:t>
      </w:r>
      <w:r>
        <w:rPr>
          <w:rStyle w:val="24"/>
          <w:rFonts w:hint="eastAsia" w:ascii="黑体" w:hAnsi="黑体" w:eastAsia="黑体"/>
          <w:b w:val="0"/>
        </w:rPr>
        <w:t>单位决算情况说明</w:t>
      </w:r>
      <w:bookmarkEnd w:id="16"/>
      <w:bookmarkEnd w:id="17"/>
    </w:p>
    <w:p w14:paraId="5B64E68F"/>
    <w:p w14:paraId="164252A9">
      <w:pPr>
        <w:pStyle w:val="23"/>
        <w:numPr>
          <w:ilvl w:val="0"/>
          <w:numId w:val="3"/>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14:paraId="7DFB7119">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1470.79</w:t>
      </w:r>
      <w:r>
        <w:rPr>
          <w:rFonts w:hint="eastAsia" w:ascii="仿宋" w:hAnsi="仿宋" w:eastAsia="仿宋"/>
          <w:sz w:val="32"/>
          <w:szCs w:val="32"/>
        </w:rPr>
        <w:t>万元。与2021年相比，收、支总计各增加</w:t>
      </w:r>
      <w:r>
        <w:rPr>
          <w:rFonts w:ascii="仿宋" w:hAnsi="仿宋" w:eastAsia="仿宋"/>
          <w:sz w:val="32"/>
          <w:szCs w:val="32"/>
        </w:rPr>
        <w:t>275.16</w:t>
      </w:r>
      <w:r>
        <w:rPr>
          <w:rFonts w:hint="eastAsia" w:ascii="仿宋" w:hAnsi="仿宋" w:eastAsia="仿宋"/>
          <w:sz w:val="32"/>
          <w:szCs w:val="32"/>
        </w:rPr>
        <w:t>万元，增长</w:t>
      </w:r>
      <w:r>
        <w:rPr>
          <w:rFonts w:ascii="仿宋" w:hAnsi="仿宋" w:eastAsia="仿宋"/>
          <w:sz w:val="32"/>
          <w:szCs w:val="32"/>
        </w:rPr>
        <w:t>23%</w:t>
      </w:r>
      <w:r>
        <w:rPr>
          <w:rFonts w:hint="eastAsia" w:ascii="仿宋" w:hAnsi="仿宋" w:eastAsia="仿宋"/>
          <w:sz w:val="32"/>
          <w:szCs w:val="32"/>
        </w:rPr>
        <w:t>。主要变动原因是教育支出、卫生健康支出和住房保障支出增加。</w:t>
      </w:r>
    </w:p>
    <w:p w14:paraId="12E08B3E">
      <w:pPr>
        <w:pStyle w:val="5"/>
        <w:spacing w:before="93"/>
      </w:pPr>
      <w:r>
        <w:drawing>
          <wp:inline distT="0" distB="0" distL="0" distR="0">
            <wp:extent cx="5334000" cy="17049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BDD8E5">
      <w:pPr>
        <w:pStyle w:val="23"/>
        <w:numPr>
          <w:ilvl w:val="0"/>
          <w:numId w:val="3"/>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14:paraId="7043EEE4">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1470.79</w:t>
      </w:r>
      <w:r>
        <w:rPr>
          <w:rFonts w:hint="eastAsia" w:ascii="仿宋" w:hAnsi="仿宋" w:eastAsia="仿宋"/>
          <w:sz w:val="32"/>
          <w:szCs w:val="32"/>
        </w:rPr>
        <w:t>万元，其中：一般公共预算财政拨款收入</w:t>
      </w:r>
      <w:r>
        <w:rPr>
          <w:rFonts w:ascii="仿宋" w:hAnsi="仿宋" w:eastAsia="仿宋"/>
          <w:sz w:val="32"/>
          <w:szCs w:val="32"/>
        </w:rPr>
        <w:t>1470.79</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4B1F225F">
      <w:pPr>
        <w:spacing w:line="600" w:lineRule="exact"/>
        <w:ind w:left="-141" w:leftChars="-67" w:right="-340" w:rightChars="-162" w:firstLine="643"/>
        <w:rPr>
          <w:rFonts w:ascii="仿宋" w:eastAsia="仿宋" w:cs="仿宋"/>
          <w:bCs/>
          <w:sz w:val="32"/>
          <w:szCs w:val="32"/>
        </w:rPr>
      </w:pPr>
      <w:r>
        <w:rPr>
          <w:rFonts w:hint="eastAsia" w:ascii="仿宋" w:eastAsia="仿宋" w:cs="仿宋"/>
          <w:bCs/>
          <w:sz w:val="32"/>
          <w:szCs w:val="32"/>
        </w:rPr>
        <w:t>（注：数据来源于财决</w:t>
      </w:r>
      <w:r>
        <w:rPr>
          <w:rFonts w:ascii="仿宋" w:eastAsia="仿宋" w:cs="仿宋"/>
          <w:bCs/>
          <w:sz w:val="32"/>
          <w:szCs w:val="32"/>
        </w:rPr>
        <w:t>01</w:t>
      </w:r>
      <w:r>
        <w:rPr>
          <w:rFonts w:hint="eastAsia" w:ascii="仿宋" w:eastAsia="仿宋" w:cs="仿宋"/>
          <w:bCs/>
          <w:sz w:val="32"/>
          <w:szCs w:val="32"/>
        </w:rPr>
        <w:t>表。）</w:t>
      </w:r>
    </w:p>
    <w:p w14:paraId="19BCE510">
      <w:pPr>
        <w:pStyle w:val="5"/>
        <w:spacing w:before="93"/>
      </w:pPr>
      <w:r>
        <w:drawing>
          <wp:inline distT="0" distB="0" distL="0" distR="0">
            <wp:extent cx="5114925" cy="1514475"/>
            <wp:effectExtent l="19050" t="0" r="9525" b="0"/>
            <wp:docPr id="1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672685">
      <w:pPr>
        <w:pStyle w:val="23"/>
        <w:numPr>
          <w:ilvl w:val="0"/>
          <w:numId w:val="3"/>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14:paraId="23652EC1">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22年本年支出合计1470.79万元，其中：基本支出981.48万元，占66.73</w:t>
      </w:r>
      <w:r>
        <w:rPr>
          <w:rFonts w:ascii="仿宋" w:hAnsi="仿宋" w:eastAsia="仿宋"/>
          <w:sz w:val="32"/>
          <w:szCs w:val="32"/>
        </w:rPr>
        <w:t>%</w:t>
      </w:r>
      <w:r>
        <w:rPr>
          <w:rFonts w:hint="eastAsia" w:ascii="仿宋" w:hAnsi="仿宋" w:eastAsia="仿宋"/>
          <w:sz w:val="32"/>
          <w:szCs w:val="32"/>
        </w:rPr>
        <w:t>；项目支出489.31万元，占33.27</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3552B5B0">
      <w:pPr>
        <w:spacing w:line="600" w:lineRule="exact"/>
        <w:ind w:firstLine="643"/>
        <w:rPr>
          <w:rFonts w:ascii="仿宋" w:eastAsia="仿宋" w:cs="仿宋"/>
          <w:bCs/>
          <w:sz w:val="28"/>
          <w:szCs w:val="32"/>
        </w:rPr>
      </w:pPr>
      <w:r>
        <w:rPr>
          <w:rFonts w:hint="eastAsia" w:ascii="仿宋" w:eastAsia="仿宋" w:cs="仿宋"/>
          <w:bCs/>
          <w:sz w:val="28"/>
          <w:szCs w:val="32"/>
        </w:rPr>
        <w:t>（注：数据来源于财决</w:t>
      </w:r>
      <w:r>
        <w:rPr>
          <w:rFonts w:ascii="仿宋" w:eastAsia="仿宋" w:cs="仿宋"/>
          <w:bCs/>
          <w:sz w:val="28"/>
          <w:szCs w:val="32"/>
        </w:rPr>
        <w:t>04</w:t>
      </w:r>
      <w:r>
        <w:rPr>
          <w:rFonts w:hint="eastAsia" w:ascii="仿宋" w:eastAsia="仿宋" w:cs="仿宋"/>
          <w:bCs/>
          <w:sz w:val="28"/>
          <w:szCs w:val="32"/>
        </w:rPr>
        <w:t>表。）</w:t>
      </w:r>
    </w:p>
    <w:p w14:paraId="13986B75">
      <w:pPr>
        <w:pStyle w:val="5"/>
        <w:spacing w:before="93"/>
      </w:pPr>
      <w:r>
        <w:drawing>
          <wp:inline distT="0" distB="0" distL="0" distR="0">
            <wp:extent cx="5400675" cy="1762125"/>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D9D25E">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14:paraId="4B3157BA">
      <w:pPr>
        <w:spacing w:line="600" w:lineRule="exact"/>
        <w:ind w:firstLine="640"/>
        <w:rPr>
          <w:rFonts w:ascii="仿宋" w:hAnsi="仿宋" w:eastAsia="仿宋"/>
          <w:sz w:val="28"/>
          <w:szCs w:val="32"/>
        </w:rPr>
      </w:pPr>
      <w:r>
        <w:rPr>
          <w:rFonts w:ascii="仿宋" w:hAnsi="仿宋" w:eastAsia="仿宋"/>
          <w:sz w:val="28"/>
          <w:szCs w:val="32"/>
        </w:rPr>
        <w:t>20</w:t>
      </w:r>
      <w:r>
        <w:rPr>
          <w:rFonts w:hint="eastAsia" w:ascii="仿宋" w:hAnsi="仿宋" w:eastAsia="仿宋"/>
          <w:sz w:val="28"/>
          <w:szCs w:val="32"/>
        </w:rPr>
        <w:t>22年财政拨款收、支总计1470.79万元。与</w:t>
      </w:r>
      <w:r>
        <w:rPr>
          <w:rFonts w:ascii="仿宋" w:hAnsi="仿宋" w:eastAsia="仿宋"/>
          <w:sz w:val="28"/>
          <w:szCs w:val="32"/>
        </w:rPr>
        <w:t>20</w:t>
      </w:r>
      <w:r>
        <w:rPr>
          <w:rFonts w:hint="eastAsia" w:ascii="仿宋" w:hAnsi="仿宋" w:eastAsia="仿宋"/>
          <w:sz w:val="28"/>
          <w:szCs w:val="32"/>
        </w:rPr>
        <w:t>21年相比，财政拨款收、支总计各增加</w:t>
      </w:r>
      <w:r>
        <w:rPr>
          <w:rFonts w:ascii="仿宋" w:hAnsi="仿宋" w:eastAsia="仿宋"/>
          <w:sz w:val="32"/>
          <w:szCs w:val="32"/>
        </w:rPr>
        <w:t>275.16</w:t>
      </w:r>
      <w:r>
        <w:rPr>
          <w:rFonts w:hint="eastAsia" w:ascii="仿宋" w:hAnsi="仿宋" w:eastAsia="仿宋"/>
          <w:sz w:val="32"/>
          <w:szCs w:val="32"/>
        </w:rPr>
        <w:t>万元，增长</w:t>
      </w:r>
      <w:r>
        <w:rPr>
          <w:rFonts w:ascii="仿宋" w:hAnsi="仿宋" w:eastAsia="仿宋"/>
          <w:sz w:val="32"/>
          <w:szCs w:val="32"/>
        </w:rPr>
        <w:t>23%</w:t>
      </w:r>
      <w:r>
        <w:rPr>
          <w:rFonts w:hint="eastAsia" w:ascii="仿宋" w:hAnsi="仿宋" w:eastAsia="仿宋"/>
          <w:sz w:val="28"/>
          <w:szCs w:val="32"/>
        </w:rPr>
        <w:t>。主要变动原因是教育支出、卫生健康支出和住房保障支出增加。</w:t>
      </w:r>
    </w:p>
    <w:p w14:paraId="14F44DDB">
      <w:pPr>
        <w:spacing w:line="600" w:lineRule="exact"/>
        <w:ind w:firstLine="640"/>
        <w:rPr>
          <w:rFonts w:ascii="仿宋" w:eastAsia="仿宋" w:cs="仿宋"/>
          <w:bCs/>
          <w:sz w:val="32"/>
          <w:szCs w:val="32"/>
        </w:rPr>
      </w:pPr>
      <w:r>
        <w:rPr>
          <w:rFonts w:hint="eastAsia" w:ascii="仿宋" w:eastAsia="仿宋" w:cs="仿宋"/>
          <w:bCs/>
          <w:sz w:val="32"/>
          <w:szCs w:val="32"/>
        </w:rPr>
        <w:t>（注：数据来源于财决</w:t>
      </w:r>
      <w:r>
        <w:rPr>
          <w:rFonts w:ascii="仿宋" w:eastAsia="仿宋" w:cs="仿宋"/>
          <w:bCs/>
          <w:sz w:val="32"/>
          <w:szCs w:val="32"/>
        </w:rPr>
        <w:t>01-1</w:t>
      </w:r>
      <w:r>
        <w:rPr>
          <w:rFonts w:hint="eastAsia" w:ascii="仿宋" w:eastAsia="仿宋" w:cs="仿宋"/>
          <w:bCs/>
          <w:sz w:val="32"/>
          <w:szCs w:val="32"/>
        </w:rPr>
        <w:t>表）</w:t>
      </w:r>
    </w:p>
    <w:p w14:paraId="387C7A86">
      <w:pPr>
        <w:pStyle w:val="5"/>
        <w:spacing w:before="93"/>
        <w:rPr>
          <w:rFonts w:hint="eastAsia"/>
        </w:rPr>
      </w:pPr>
      <w:r>
        <w:drawing>
          <wp:inline distT="0" distB="0" distL="114300" distR="114300">
            <wp:extent cx="5232400" cy="2165350"/>
            <wp:effectExtent l="5080" t="4445" r="7620"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44C792">
      <w:pPr>
        <w:pStyle w:val="5"/>
        <w:spacing w:before="93"/>
      </w:pPr>
    </w:p>
    <w:p w14:paraId="033F4446">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14:paraId="23FB9266">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72D07095">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22年一般公共预算财政拨款支出1470.79万元，占本年支出合计的100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21年相比，一般公共预算财政拨款支出增加275.15元，增长23.01</w:t>
      </w:r>
      <w:r>
        <w:rPr>
          <w:rFonts w:ascii="仿宋" w:hAnsi="仿宋" w:eastAsia="仿宋"/>
          <w:sz w:val="32"/>
          <w:szCs w:val="32"/>
        </w:rPr>
        <w:t>%</w:t>
      </w:r>
      <w:r>
        <w:rPr>
          <w:rFonts w:hint="eastAsia" w:ascii="仿宋" w:hAnsi="仿宋" w:eastAsia="仿宋"/>
          <w:sz w:val="32"/>
          <w:szCs w:val="32"/>
        </w:rPr>
        <w:t>。主要变动原因是教育支出、卫生健康支出和住房保障支出增加。</w:t>
      </w:r>
      <w:bookmarkStart w:id="29" w:name="_Toc15377211"/>
    </w:p>
    <w:p w14:paraId="4B8F5B4D">
      <w:pPr>
        <w:pStyle w:val="5"/>
        <w:spacing w:before="93"/>
      </w:pPr>
      <w:r>
        <w:drawing>
          <wp:inline distT="0" distB="0" distL="0" distR="0">
            <wp:extent cx="5438775" cy="1666875"/>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93D6B5">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55F4FEBB">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22年一般公共预算财政拨款支出1470.79万元，主要用于以下方面</w:t>
      </w:r>
      <w:r>
        <w:rPr>
          <w:rFonts w:ascii="仿宋" w:hAnsi="仿宋" w:eastAsia="仿宋"/>
          <w:sz w:val="32"/>
          <w:szCs w:val="32"/>
        </w:rPr>
        <w:t>:</w:t>
      </w:r>
      <w:r>
        <w:rPr>
          <w:rFonts w:hint="eastAsia" w:ascii="仿宋_GB2312" w:hAnsi="仿宋_GB2312" w:eastAsia="仿宋_GB2312"/>
          <w:color w:val="000000"/>
          <w:kern w:val="2"/>
          <w:sz w:val="32"/>
          <w:szCs w:val="24"/>
          <w:lang w:val="zh-CN"/>
        </w:rPr>
        <w:t>教育支出普通教育支出，</w:t>
      </w:r>
      <w:r>
        <w:rPr>
          <w:rFonts w:hint="eastAsia" w:ascii="仿宋_GB2312" w:hAnsi="仿宋_GB2312" w:eastAsia="仿宋_GB2312"/>
          <w:color w:val="000000"/>
          <w:kern w:val="2"/>
          <w:sz w:val="32"/>
          <w:szCs w:val="24"/>
          <w:lang w:val="en-US" w:eastAsia="zh-CN"/>
        </w:rPr>
        <w:t>其中</w:t>
      </w:r>
      <w:r>
        <w:rPr>
          <w:rFonts w:hint="eastAsia" w:ascii="仿宋_GB2312" w:hAnsi="仿宋_GB2312" w:eastAsia="仿宋_GB2312"/>
          <w:color w:val="000000"/>
          <w:kern w:val="2"/>
          <w:sz w:val="32"/>
          <w:szCs w:val="24"/>
          <w:lang w:val="zh-CN"/>
        </w:rPr>
        <w:t>小学教育</w:t>
      </w:r>
      <w:r>
        <w:rPr>
          <w:rFonts w:hint="eastAsia" w:ascii="仿宋_GB2312" w:hAnsi="仿宋_GB2312" w:eastAsia="仿宋_GB2312"/>
          <w:color w:val="000000"/>
          <w:kern w:val="2"/>
          <w:sz w:val="32"/>
          <w:szCs w:val="24"/>
          <w:lang w:val="en-US" w:eastAsia="zh-CN"/>
        </w:rPr>
        <w:t>738.48</w:t>
      </w:r>
      <w:r>
        <w:rPr>
          <w:rFonts w:hint="eastAsia" w:ascii="仿宋" w:hAnsi="仿宋" w:eastAsia="仿宋"/>
          <w:sz w:val="32"/>
          <w:szCs w:val="32"/>
        </w:rPr>
        <w:t>万元</w:t>
      </w:r>
      <w:r>
        <w:rPr>
          <w:rFonts w:hint="eastAsia" w:ascii="仿宋_GB2312" w:hAnsi="仿宋_GB2312" w:eastAsia="仿宋_GB2312"/>
          <w:color w:val="000000"/>
          <w:kern w:val="2"/>
          <w:sz w:val="32"/>
          <w:szCs w:val="24"/>
          <w:lang w:val="en-US" w:eastAsia="zh-CN"/>
        </w:rPr>
        <w:t>、其他普通教育支出549.95</w:t>
      </w:r>
      <w:r>
        <w:rPr>
          <w:rFonts w:hint="eastAsia" w:ascii="仿宋" w:hAnsi="仿宋" w:eastAsia="仿宋"/>
          <w:sz w:val="32"/>
          <w:szCs w:val="32"/>
        </w:rPr>
        <w:t>万元</w:t>
      </w:r>
      <w:r>
        <w:rPr>
          <w:rFonts w:hint="eastAsia" w:ascii="仿宋_GB2312" w:hAnsi="仿宋_GB2312" w:eastAsia="仿宋_GB2312"/>
          <w:color w:val="000000"/>
          <w:kern w:val="2"/>
          <w:sz w:val="32"/>
          <w:szCs w:val="24"/>
          <w:lang w:val="en-US" w:eastAsia="zh-CN"/>
        </w:rPr>
        <w:t>、其他教育支出11.49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_GB2312" w:hAnsi="仿宋_GB2312" w:eastAsia="仿宋_GB2312"/>
          <w:color w:val="000000"/>
          <w:kern w:val="2"/>
          <w:sz w:val="32"/>
          <w:szCs w:val="24"/>
          <w:lang w:val="en-US" w:eastAsia="zh-CN"/>
        </w:rPr>
        <w:t>合计</w:t>
      </w:r>
      <w:r>
        <w:rPr>
          <w:rFonts w:hint="eastAsia" w:ascii="仿宋" w:hAnsi="仿宋" w:eastAsia="仿宋"/>
          <w:sz w:val="32"/>
          <w:szCs w:val="32"/>
        </w:rPr>
        <w:t>1299.91万元，占88.38</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kern w:val="2"/>
          <w:sz w:val="32"/>
          <w:szCs w:val="24"/>
          <w:lang w:val="zh-CN"/>
        </w:rPr>
        <w:t>社会保障和就业支出行政事业单位养老支出68.1万元、其他社会保障和就业支出2.28万元、</w:t>
      </w:r>
      <w:r>
        <w:rPr>
          <w:rFonts w:hint="eastAsia" w:ascii="仿宋_GB2312" w:hAnsi="仿宋_GB2312" w:eastAsia="仿宋_GB2312"/>
          <w:color w:val="000000"/>
          <w:kern w:val="2"/>
          <w:sz w:val="32"/>
          <w:szCs w:val="24"/>
          <w:lang w:val="en-US" w:eastAsia="zh-CN"/>
        </w:rPr>
        <w:t>合计</w:t>
      </w:r>
      <w:r>
        <w:rPr>
          <w:rFonts w:hint="eastAsia" w:ascii="仿宋" w:hAnsi="仿宋" w:eastAsia="仿宋"/>
          <w:sz w:val="32"/>
          <w:szCs w:val="32"/>
        </w:rPr>
        <w:t>71.24万元，占4.84</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kern w:val="2"/>
          <w:sz w:val="32"/>
          <w:szCs w:val="24"/>
          <w:lang w:val="zh-CN"/>
        </w:rPr>
        <w:t>卫生健康支出行政事业单位医疗</w:t>
      </w:r>
      <w:r>
        <w:rPr>
          <w:rFonts w:hint="eastAsia" w:ascii="仿宋" w:hAnsi="仿宋" w:eastAsia="仿宋"/>
          <w:sz w:val="32"/>
          <w:szCs w:val="32"/>
        </w:rPr>
        <w:t>32.59万元，占2.22</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kern w:val="2"/>
          <w:sz w:val="32"/>
          <w:szCs w:val="24"/>
          <w:lang w:val="zh-CN"/>
        </w:rPr>
        <w:t>住房保障支出住房改革支出</w:t>
      </w:r>
      <w:r>
        <w:rPr>
          <w:rFonts w:hint="eastAsia" w:ascii="仿宋" w:hAnsi="仿宋" w:eastAsia="仿宋"/>
          <w:sz w:val="32"/>
          <w:szCs w:val="32"/>
        </w:rPr>
        <w:t>67.06万元，占4.56</w:t>
      </w:r>
      <w:r>
        <w:rPr>
          <w:rFonts w:ascii="仿宋" w:hAnsi="仿宋" w:eastAsia="仿宋"/>
          <w:sz w:val="32"/>
          <w:szCs w:val="32"/>
        </w:rPr>
        <w:t>%</w:t>
      </w:r>
      <w:r>
        <w:rPr>
          <w:rFonts w:hint="eastAsia" w:ascii="仿宋" w:hAnsi="仿宋" w:eastAsia="仿宋"/>
          <w:sz w:val="32"/>
          <w:szCs w:val="32"/>
        </w:rPr>
        <w:t>。</w:t>
      </w:r>
    </w:p>
    <w:p w14:paraId="7594A9E7">
      <w:pPr>
        <w:spacing w:line="600" w:lineRule="exact"/>
        <w:ind w:firstLine="640"/>
        <w:rPr>
          <w:rFonts w:ascii="仿宋" w:eastAsia="仿宋" w:cs="仿宋"/>
          <w:bCs/>
          <w:sz w:val="32"/>
          <w:szCs w:val="32"/>
        </w:rPr>
      </w:pPr>
      <w:bookmarkStart w:id="30" w:name="_Toc15377212"/>
      <w:r>
        <w:rPr>
          <w:rFonts w:hint="eastAsia" w:ascii="仿宋" w:eastAsia="仿宋" w:cs="仿宋"/>
          <w:bCs/>
          <w:sz w:val="32"/>
          <w:szCs w:val="32"/>
        </w:rPr>
        <w:t>（注：数据来源于财决</w:t>
      </w:r>
      <w:r>
        <w:rPr>
          <w:rFonts w:ascii="仿宋" w:eastAsia="仿宋" w:cs="仿宋"/>
          <w:bCs/>
          <w:sz w:val="32"/>
          <w:szCs w:val="32"/>
        </w:rPr>
        <w:t>01-1</w:t>
      </w:r>
      <w:r>
        <w:rPr>
          <w:rFonts w:hint="eastAsia" w:ascii="仿宋" w:eastAsia="仿宋" w:cs="仿宋"/>
          <w:bCs/>
          <w:sz w:val="32"/>
          <w:szCs w:val="32"/>
        </w:rPr>
        <w:t>表。）</w:t>
      </w:r>
    </w:p>
    <w:p w14:paraId="605D899C">
      <w:pPr>
        <w:pStyle w:val="5"/>
        <w:spacing w:before="93"/>
      </w:pPr>
      <w:r>
        <w:drawing>
          <wp:inline distT="0" distB="0" distL="0" distR="0">
            <wp:extent cx="3714750" cy="2200275"/>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FBAFE4">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2799FF80">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2022年一般公共预算支出决算数为1470.79</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14:paraId="6B52A98E">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w:t>
      </w:r>
      <w:r>
        <w:rPr>
          <w:rStyle w:val="14"/>
          <w:rFonts w:ascii="仿宋" w:hAnsi="仿宋" w:eastAsia="仿宋"/>
          <w:bCs/>
          <w:sz w:val="32"/>
          <w:szCs w:val="32"/>
        </w:rPr>
        <w:t>.</w:t>
      </w:r>
      <w:r>
        <w:rPr>
          <w:rStyle w:val="14"/>
          <w:rFonts w:hint="eastAsia" w:ascii="仿宋" w:hAnsi="仿宋" w:eastAsia="仿宋"/>
          <w:bCs/>
          <w:sz w:val="32"/>
          <w:szCs w:val="32"/>
        </w:rPr>
        <w:t>教育（类）</w:t>
      </w:r>
      <w:r>
        <w:rPr>
          <w:rStyle w:val="14"/>
          <w:rFonts w:ascii="仿宋" w:hAnsi="仿宋" w:eastAsia="仿宋"/>
          <w:bCs/>
          <w:sz w:val="32"/>
          <w:szCs w:val="32"/>
        </w:rPr>
        <w:t>:</w:t>
      </w:r>
      <w:r>
        <w:rPr>
          <w:rStyle w:val="14"/>
          <w:rFonts w:hint="eastAsia" w:ascii="仿宋" w:hAnsi="仿宋" w:eastAsia="仿宋"/>
          <w:b w:val="0"/>
          <w:bCs/>
          <w:sz w:val="32"/>
          <w:szCs w:val="32"/>
        </w:rPr>
        <w:t>支出决算为1299.91万元，完成预算100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，等于预算数。</w:t>
      </w:r>
    </w:p>
    <w:p w14:paraId="628983E4">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w:t>
      </w:r>
      <w:r>
        <w:rPr>
          <w:rStyle w:val="14"/>
          <w:rFonts w:ascii="仿宋" w:hAnsi="仿宋" w:eastAsia="仿宋"/>
          <w:bCs/>
          <w:sz w:val="32"/>
          <w:szCs w:val="32"/>
        </w:rPr>
        <w:t>:</w:t>
      </w:r>
      <w:r>
        <w:rPr>
          <w:rStyle w:val="14"/>
          <w:rFonts w:hint="eastAsia" w:ascii="仿宋" w:hAnsi="仿宋" w:eastAsia="仿宋"/>
          <w:b w:val="0"/>
          <w:bCs/>
          <w:sz w:val="32"/>
          <w:szCs w:val="32"/>
        </w:rPr>
        <w:t>支出决算为71.24万元，完成预算100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，等于预算数。</w:t>
      </w:r>
    </w:p>
    <w:p w14:paraId="2CD7998D">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ascii="仿宋" w:hAnsi="仿宋" w:eastAsia="仿宋"/>
          <w:bCs/>
          <w:sz w:val="32"/>
          <w:szCs w:val="32"/>
        </w:rPr>
        <w:t>:</w:t>
      </w:r>
      <w:r>
        <w:rPr>
          <w:rStyle w:val="14"/>
          <w:rFonts w:hint="eastAsia" w:ascii="仿宋" w:hAnsi="仿宋" w:eastAsia="仿宋"/>
          <w:b w:val="0"/>
          <w:bCs/>
          <w:sz w:val="32"/>
          <w:szCs w:val="32"/>
        </w:rPr>
        <w:t>支出决算为32.59万元，完成预算100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，等于预算数。</w:t>
      </w:r>
    </w:p>
    <w:p w14:paraId="266A407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4"/>
          <w:rFonts w:hint="eastAsia" w:ascii="仿宋" w:hAnsi="仿宋" w:eastAsia="仿宋"/>
          <w:bCs/>
          <w:sz w:val="32"/>
          <w:szCs w:val="32"/>
        </w:rPr>
        <w:t>类）</w:t>
      </w:r>
      <w:r>
        <w:rPr>
          <w:rStyle w:val="14"/>
          <w:rFonts w:ascii="仿宋" w:hAnsi="仿宋" w:eastAsia="仿宋"/>
          <w:bCs/>
          <w:sz w:val="32"/>
          <w:szCs w:val="32"/>
        </w:rPr>
        <w:t>:</w:t>
      </w:r>
      <w:r>
        <w:rPr>
          <w:rStyle w:val="14"/>
          <w:rFonts w:hint="eastAsia" w:ascii="仿宋" w:hAnsi="仿宋" w:eastAsia="仿宋"/>
          <w:b w:val="0"/>
          <w:bCs/>
          <w:sz w:val="32"/>
          <w:szCs w:val="32"/>
        </w:rPr>
        <w:t>支出决算为67.06万元，完成预算100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，等于预算数。</w:t>
      </w:r>
    </w:p>
    <w:p w14:paraId="0D86E7CA">
      <w:pPr>
        <w:tabs>
          <w:tab w:val="right" w:pos="8306"/>
        </w:tabs>
        <w:spacing w:line="600" w:lineRule="exact"/>
        <w:ind w:firstLine="640"/>
        <w:outlineLvl w:val="1"/>
        <w:rPr>
          <w:rFonts w:hint="eastAsia" w:ascii="仿宋" w:eastAsia="仿宋" w:cs="仿宋"/>
          <w:bCs/>
          <w:sz w:val="32"/>
          <w:szCs w:val="32"/>
        </w:rPr>
      </w:pPr>
      <w:bookmarkStart w:id="34" w:name="_Toc15396608"/>
      <w:bookmarkStart w:id="35" w:name="_Toc15377214"/>
      <w:r>
        <w:rPr>
          <w:rFonts w:hint="eastAsia" w:ascii="仿宋" w:eastAsia="仿宋" w:cs="仿宋"/>
          <w:bCs/>
          <w:sz w:val="32"/>
          <w:szCs w:val="32"/>
        </w:rPr>
        <w:t>（注：数据来源于财决</w:t>
      </w:r>
      <w:r>
        <w:rPr>
          <w:rFonts w:ascii="仿宋" w:eastAsia="仿宋" w:cs="仿宋"/>
          <w:bCs/>
          <w:sz w:val="32"/>
          <w:szCs w:val="32"/>
        </w:rPr>
        <w:t>01-1</w:t>
      </w:r>
      <w:r>
        <w:rPr>
          <w:rFonts w:hint="eastAsia" w:ascii="仿宋" w:eastAsia="仿宋" w:cs="仿宋"/>
          <w:bCs/>
          <w:sz w:val="32"/>
          <w:szCs w:val="32"/>
        </w:rPr>
        <w:t>表和财决</w:t>
      </w:r>
      <w:r>
        <w:rPr>
          <w:rFonts w:ascii="仿宋" w:eastAsia="仿宋" w:cs="仿宋"/>
          <w:bCs/>
          <w:sz w:val="32"/>
          <w:szCs w:val="32"/>
        </w:rPr>
        <w:t>08</w:t>
      </w:r>
      <w:r>
        <w:rPr>
          <w:rFonts w:hint="eastAsia" w:ascii="仿宋" w:eastAsia="仿宋" w:cs="仿宋"/>
          <w:bCs/>
          <w:sz w:val="32"/>
          <w:szCs w:val="32"/>
        </w:rPr>
        <w:t>表。上述</w:t>
      </w:r>
      <w:r>
        <w:rPr>
          <w:rFonts w:ascii="仿宋" w:eastAsia="仿宋" w:cs="仿宋"/>
          <w:bCs/>
          <w:sz w:val="32"/>
          <w:szCs w:val="32"/>
        </w:rPr>
        <w:t>“</w:t>
      </w:r>
      <w:r>
        <w:rPr>
          <w:rFonts w:hint="eastAsia" w:ascii="仿宋" w:eastAsia="仿宋" w:cs="仿宋"/>
          <w:bCs/>
          <w:sz w:val="32"/>
          <w:szCs w:val="32"/>
        </w:rPr>
        <w:t>预算</w:t>
      </w:r>
      <w:r>
        <w:rPr>
          <w:rFonts w:ascii="仿宋" w:eastAsia="仿宋" w:cs="仿宋"/>
          <w:bCs/>
          <w:sz w:val="32"/>
          <w:szCs w:val="32"/>
        </w:rPr>
        <w:t>”</w:t>
      </w:r>
      <w:r>
        <w:rPr>
          <w:rFonts w:hint="eastAsia" w:ascii="仿宋" w:eastAsia="仿宋" w:cs="仿宋"/>
          <w:bCs/>
          <w:sz w:val="32"/>
          <w:szCs w:val="32"/>
        </w:rPr>
        <w:t>口径为全年预算数。增减变动原因为决算数</w:t>
      </w:r>
      <w:r>
        <w:rPr>
          <w:rFonts w:ascii="仿宋" w:eastAsia="仿宋" w:cs="仿宋"/>
          <w:bCs/>
          <w:sz w:val="32"/>
          <w:szCs w:val="32"/>
        </w:rPr>
        <w:t>&lt;</w:t>
      </w:r>
      <w:r>
        <w:rPr>
          <w:rFonts w:hint="eastAsia" w:ascii="仿宋" w:eastAsia="仿宋" w:cs="仿宋"/>
          <w:bCs/>
          <w:sz w:val="32"/>
          <w:szCs w:val="32"/>
        </w:rPr>
        <w:t>项级</w:t>
      </w:r>
      <w:r>
        <w:rPr>
          <w:rFonts w:ascii="仿宋" w:eastAsia="仿宋" w:cs="仿宋"/>
          <w:bCs/>
          <w:sz w:val="32"/>
          <w:szCs w:val="32"/>
        </w:rPr>
        <w:t>&gt;</w:t>
      </w:r>
      <w:r>
        <w:rPr>
          <w:rFonts w:hint="eastAsia" w:ascii="仿宋" w:eastAsia="仿宋" w:cs="仿宋"/>
          <w:bCs/>
          <w:sz w:val="32"/>
          <w:szCs w:val="32"/>
        </w:rPr>
        <w:t>和全年预算数</w:t>
      </w:r>
      <w:r>
        <w:rPr>
          <w:rFonts w:ascii="仿宋" w:eastAsia="仿宋" w:cs="仿宋"/>
          <w:bCs/>
          <w:sz w:val="32"/>
          <w:szCs w:val="32"/>
        </w:rPr>
        <w:t>&lt;</w:t>
      </w:r>
      <w:r>
        <w:rPr>
          <w:rFonts w:hint="eastAsia" w:ascii="仿宋" w:eastAsia="仿宋" w:cs="仿宋"/>
          <w:bCs/>
          <w:sz w:val="32"/>
          <w:szCs w:val="32"/>
        </w:rPr>
        <w:t>项级</w:t>
      </w:r>
      <w:r>
        <w:rPr>
          <w:rFonts w:ascii="仿宋" w:eastAsia="仿宋" w:cs="仿宋"/>
          <w:bCs/>
          <w:sz w:val="32"/>
          <w:szCs w:val="32"/>
        </w:rPr>
        <w:t>&gt;</w:t>
      </w:r>
      <w:r>
        <w:rPr>
          <w:rFonts w:hint="eastAsia" w:ascii="仿宋" w:eastAsia="仿宋" w:cs="仿宋"/>
          <w:bCs/>
          <w:sz w:val="32"/>
          <w:szCs w:val="32"/>
        </w:rPr>
        <w:t>比较。）</w:t>
      </w:r>
    </w:p>
    <w:p w14:paraId="79C8B09D">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14:paraId="75EBE679">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22年一般公共预算财政拨款基本支出1470.79万元，其中：</w:t>
      </w:r>
    </w:p>
    <w:p w14:paraId="08D9271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899.1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82.38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0E9FB0">
      <w:pPr>
        <w:spacing w:line="600" w:lineRule="exact"/>
        <w:ind w:firstLine="645"/>
        <w:rPr>
          <w:rFonts w:hint="eastAsia" w:ascii="仿宋" w:hAnsi="仿宋" w:eastAsia="仿宋"/>
          <w:sz w:val="32"/>
          <w:szCs w:val="32"/>
        </w:rPr>
      </w:pPr>
      <w:r>
        <w:rPr>
          <w:rFonts w:hint="eastAsia" w:ascii="仿宋" w:hAnsi="仿宋" w:eastAsia="仿宋"/>
          <w:sz w:val="32"/>
          <w:szCs w:val="32"/>
        </w:rPr>
        <w:t>资本性支出</w:t>
      </w:r>
      <w:r>
        <w:rPr>
          <w:rFonts w:ascii="仿宋" w:hAnsi="仿宋" w:eastAsia="仿宋"/>
          <w:sz w:val="32"/>
          <w:szCs w:val="32"/>
        </w:rPr>
        <w:t>481.75</w:t>
      </w:r>
      <w:r>
        <w:rPr>
          <w:rFonts w:hint="eastAsia" w:ascii="仿宋" w:hAnsi="仿宋" w:eastAsia="仿宋"/>
          <w:sz w:val="32"/>
          <w:szCs w:val="32"/>
        </w:rPr>
        <w:t>万元，主要包括：房屋建筑物购建、大型修缮、其他资本性支出。</w:t>
      </w:r>
    </w:p>
    <w:p w14:paraId="3E7490AF">
      <w:pPr>
        <w:spacing w:line="600" w:lineRule="exact"/>
        <w:ind w:firstLine="645"/>
        <w:rPr>
          <w:rFonts w:ascii="仿宋" w:hAnsi="Cambria" w:eastAsia="仿宋" w:cs="仿宋"/>
          <w:bCs/>
          <w:sz w:val="32"/>
          <w:szCs w:val="32"/>
        </w:rPr>
      </w:pPr>
      <w:r>
        <w:rPr>
          <w:rFonts w:hint="eastAsia" w:ascii="仿宋" w:hAnsi="Cambria" w:eastAsia="仿宋" w:cs="仿宋"/>
          <w:bCs/>
          <w:sz w:val="32"/>
          <w:szCs w:val="32"/>
        </w:rPr>
        <w:t>（注：数据来源于财决</w:t>
      </w:r>
      <w:r>
        <w:rPr>
          <w:rFonts w:ascii="仿宋" w:hAnsi="Cambria" w:eastAsia="仿宋" w:cs="仿宋"/>
          <w:bCs/>
          <w:sz w:val="32"/>
          <w:szCs w:val="32"/>
        </w:rPr>
        <w:t>07</w:t>
      </w:r>
      <w:r>
        <w:rPr>
          <w:rFonts w:hint="eastAsia" w:ascii="仿宋" w:hAnsi="Cambria" w:eastAsia="仿宋" w:cs="仿宋"/>
          <w:bCs/>
          <w:sz w:val="32"/>
          <w:szCs w:val="32"/>
        </w:rPr>
        <w:t>表和财决</w:t>
      </w:r>
      <w:r>
        <w:rPr>
          <w:rFonts w:ascii="仿宋" w:hAnsi="Cambria" w:eastAsia="仿宋" w:cs="仿宋"/>
          <w:bCs/>
          <w:sz w:val="32"/>
          <w:szCs w:val="32"/>
        </w:rPr>
        <w:t>08-1</w:t>
      </w:r>
      <w:r>
        <w:rPr>
          <w:rFonts w:hint="eastAsia" w:ascii="仿宋" w:hAnsi="Cambria" w:eastAsia="仿宋" w:cs="仿宋"/>
          <w:bCs/>
          <w:sz w:val="32"/>
          <w:szCs w:val="32"/>
        </w:rPr>
        <w:t>表。）</w:t>
      </w:r>
    </w:p>
    <w:p w14:paraId="45276296">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14:paraId="216F1624">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2BD0B9F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22年“三公”经费财政拨款支出决算为0万元，完成预算100</w:t>
      </w:r>
      <w:r>
        <w:rPr>
          <w:rFonts w:ascii="仿宋" w:hAnsi="仿宋" w:eastAsia="仿宋"/>
          <w:sz w:val="32"/>
          <w:szCs w:val="32"/>
        </w:rPr>
        <w:t>%</w:t>
      </w:r>
      <w:r>
        <w:rPr>
          <w:rFonts w:hint="eastAsia" w:ascii="仿宋" w:hAnsi="仿宋" w:eastAsia="仿宋"/>
          <w:sz w:val="32"/>
          <w:szCs w:val="32"/>
        </w:rPr>
        <w:t>，较上年增加/减少0万元，增长/下降0%。决算与预算数持平的主要原因无。</w:t>
      </w:r>
    </w:p>
    <w:p w14:paraId="5AE9BD2D">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5BE30D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3A71B485">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。主要原因无。</w:t>
      </w:r>
    </w:p>
    <w:p w14:paraId="01133F13">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。主要原因无。</w:t>
      </w:r>
    </w:p>
    <w:p w14:paraId="02234A8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中：公务用车购置支出0万元。全年按规定更新购置公务用车0辆，其中：轿车0辆、金额0万元，越野车0辆、金额0万元，载客汽车0辆、金额0万元，主要用于无。截至2022年12月底，单位共有公务用车0辆，其中：轿车0辆、越野车0辆、载客汽车0辆。</w:t>
      </w:r>
    </w:p>
    <w:p w14:paraId="0FE5804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公务用车运行维护费支出0万元。主要用于无（具体工作）等所需的公务用车燃料费、维修费、过路过桥费、保险费等支出。</w:t>
      </w:r>
    </w:p>
    <w:p w14:paraId="6DFB222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。主要原因无。其中：</w:t>
      </w:r>
    </w:p>
    <w:p w14:paraId="0F1F337A">
      <w:pPr>
        <w:spacing w:line="600" w:lineRule="exact"/>
        <w:ind w:firstLine="640"/>
        <w:rPr>
          <w:rFonts w:hint="eastAsia" w:ascii="仿宋_GB2312" w:eastAsia="仿宋_GB2312"/>
          <w:sz w:val="32"/>
          <w:szCs w:val="32"/>
        </w:rPr>
      </w:pPr>
      <w:r>
        <w:rPr>
          <w:rFonts w:hint="eastAsia" w:ascii="仿宋_GB2312" w:eastAsia="仿宋_GB2312"/>
          <w:sz w:val="32"/>
          <w:szCs w:val="32"/>
        </w:rPr>
        <w:t>国内公务接待支出0万元，主要用于无(执行公务、开展业务活动开支的交通费、住宿费、用餐费等)。国内公务接待0批次，0人次（不包括陪同人员），共计支出0万元，具体内容包括：无（接待具体项目、金额）。</w:t>
      </w:r>
    </w:p>
    <w:p w14:paraId="787F9651">
      <w:pPr>
        <w:spacing w:line="600" w:lineRule="exact"/>
        <w:ind w:firstLine="640"/>
        <w:rPr>
          <w:rFonts w:hint="eastAsia" w:ascii="仿宋_GB2312" w:eastAsia="仿宋_GB2312"/>
          <w:sz w:val="32"/>
          <w:szCs w:val="32"/>
        </w:rPr>
      </w:pPr>
      <w:r>
        <w:rPr>
          <w:rFonts w:hint="eastAsia" w:ascii="仿宋_GB2312" w:eastAsia="仿宋_GB2312"/>
          <w:sz w:val="32"/>
          <w:szCs w:val="32"/>
        </w:rPr>
        <w:t>外事接待支出0万元，主要用于接待无（具体项目）。外事接待0批次，0人次（不包括陪同人员），共计支出0万元。</w:t>
      </w:r>
    </w:p>
    <w:p w14:paraId="27B7CF73">
      <w:pPr>
        <w:spacing w:line="600" w:lineRule="exact"/>
        <w:ind w:firstLine="640"/>
        <w:outlineLvl w:val="1"/>
        <w:rPr>
          <w:rFonts w:ascii="黑体" w:eastAsia="黑体"/>
          <w:sz w:val="32"/>
          <w:szCs w:val="32"/>
        </w:rPr>
      </w:pPr>
      <w:bookmarkStart w:id="40" w:name="_Toc15377218"/>
      <w:bookmarkStart w:id="41" w:name="_Toc15396610"/>
    </w:p>
    <w:p w14:paraId="155F81ED">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14:paraId="598392D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14:paraId="15CC0CCB">
      <w:pPr>
        <w:numPr>
          <w:ilvl w:val="0"/>
          <w:numId w:val="4"/>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14:paraId="781E69D9">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14:paraId="236D306E">
      <w:pPr>
        <w:numPr>
          <w:ilvl w:val="0"/>
          <w:numId w:val="4"/>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14:paraId="73E88812">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72123EAC">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22年，无机关运行经费支出0万元，比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21年决算数持平）。主要原因无。</w:t>
      </w:r>
    </w:p>
    <w:p w14:paraId="05F36B2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93B3F17">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22年，无政府采购支出总额0万元，其中：政府采购货物支出0万元、政府采购工程支出0万元、政府采购服务支出0万元。主要用于：无（具体工作）。授予中小企业合同金额0万元，占政府采购支出总额的0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718C76C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2F68455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日，无共有车辆0辆，其中：主要领导干部用车0辆、机要通信用车0辆、应急保障用车0辆、其他用车0辆，其他用车主要是用于：无。单价</w:t>
      </w:r>
      <w:r>
        <w:rPr>
          <w:rFonts w:ascii="仿宋_GB2312" w:eastAsia="仿宋_GB2312"/>
          <w:sz w:val="32"/>
          <w:szCs w:val="32"/>
        </w:rPr>
        <w:t>100</w:t>
      </w:r>
      <w:r>
        <w:rPr>
          <w:rFonts w:hint="eastAsia" w:ascii="仿宋_GB2312" w:eastAsia="仿宋_GB2312"/>
          <w:sz w:val="32"/>
          <w:szCs w:val="32"/>
        </w:rPr>
        <w:t>万元以上专用设备0台（套）。</w:t>
      </w:r>
    </w:p>
    <w:p w14:paraId="59BDD91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1D853F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组织对4项目（教育、社会保障和就业、卫生健康、住房保障支出）等4个项目开展了预算事前绩效评估，对社会保障和就业项目编制了绩效目标，预算执行过程中，选取1个项目开展绩效监控，年终执行完毕后，对1个项目开展了绩效自评，2022年特定目标类部门预算项目绩效目标自评表见附件（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部分）。</w:t>
      </w:r>
    </w:p>
    <w:p w14:paraId="7246B072">
      <w:pPr>
        <w:spacing w:line="600" w:lineRule="exact"/>
        <w:rPr>
          <w:rFonts w:hint="eastAsia" w:ascii="仿宋_GB2312" w:hAnsi="仿宋_GB2312" w:eastAsia="仿宋_GB2312" w:cs="仿宋_GB2312"/>
          <w:sz w:val="32"/>
          <w:szCs w:val="32"/>
        </w:rPr>
      </w:pPr>
    </w:p>
    <w:p w14:paraId="3B8FC09A">
      <w:pPr>
        <w:pStyle w:val="23"/>
        <w:numPr>
          <w:ilvl w:val="0"/>
          <w:numId w:val="5"/>
        </w:numPr>
        <w:spacing w:line="600" w:lineRule="exact"/>
        <w:ind w:left="2835" w:firstLine="0" w:firstLineChars="0"/>
        <w:outlineLvl w:val="0"/>
        <w:rPr>
          <w:rFonts w:hint="eastAsia" w:ascii="黑体" w:hAnsi="黑体" w:eastAsia="黑体"/>
          <w:sz w:val="44"/>
          <w:szCs w:val="44"/>
        </w:rPr>
      </w:pPr>
      <w:r>
        <w:rPr>
          <w:rFonts w:hint="eastAsia" w:ascii="黑体" w:hAnsi="黑体" w:eastAsia="黑体"/>
          <w:sz w:val="44"/>
          <w:szCs w:val="44"/>
        </w:rPr>
        <w:t>名词解释</w:t>
      </w:r>
    </w:p>
    <w:p w14:paraId="145CF09B">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财政拨款收入：指本年度从本级财政部门取得的财政预算资金。包括一般公共预算财政拨款及政府性基金预算财政拨款</w:t>
      </w:r>
    </w:p>
    <w:p w14:paraId="60F39796">
      <w:pPr>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w:t>
      </w:r>
      <w:r>
        <w:rPr>
          <w:rFonts w:hint="eastAsia" w:ascii="仿宋_GB2312" w:eastAsia="仿宋_GB2312"/>
          <w:sz w:val="32"/>
          <w:szCs w:val="32"/>
          <w:lang w:val="en-US" w:eastAsia="zh-CN"/>
        </w:rPr>
        <w:t>小学</w:t>
      </w:r>
      <w:r>
        <w:rPr>
          <w:rFonts w:hint="eastAsia" w:ascii="仿宋_GB2312" w:eastAsia="仿宋_GB2312"/>
          <w:sz w:val="32"/>
          <w:szCs w:val="32"/>
        </w:rPr>
        <w:t>教育支出（0</w:t>
      </w:r>
      <w:r>
        <w:rPr>
          <w:rFonts w:hint="eastAsia" w:ascii="仿宋_GB2312" w:eastAsia="仿宋_GB2312"/>
          <w:sz w:val="32"/>
          <w:szCs w:val="32"/>
          <w:lang w:val="en-US" w:eastAsia="zh-CN"/>
        </w:rPr>
        <w:t>2</w:t>
      </w:r>
      <w:r>
        <w:rPr>
          <w:rFonts w:ascii="仿宋_GB2312" w:eastAsia="仿宋_GB2312"/>
          <w:sz w:val="32"/>
          <w:szCs w:val="32"/>
        </w:rPr>
        <w:t>项）：反映用于学前教育的工资、绩效、津补贴、工会经费、福利费、资助、公用经费、保教费、迁建项目设施设备采购、教师周转房改建及设备采购安装等支出。</w:t>
      </w:r>
    </w:p>
    <w:p w14:paraId="2D2DD286">
      <w:pPr>
        <w:ind w:firstLine="640" w:firstLineChars="200"/>
        <w:rPr>
          <w:rFonts w:hint="eastAsia" w:ascii="仿宋_GB2312" w:eastAsia="仿宋_GB2312"/>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w:t>
      </w:r>
      <w:r>
        <w:rPr>
          <w:rFonts w:hint="eastAsia" w:ascii="仿宋_GB2312" w:eastAsia="仿宋_GB2312"/>
          <w:sz w:val="32"/>
          <w:szCs w:val="32"/>
          <w:lang w:val="en-US" w:eastAsia="zh-CN"/>
        </w:rPr>
        <w:t>小学</w:t>
      </w:r>
      <w:r>
        <w:rPr>
          <w:rFonts w:hint="eastAsia" w:ascii="仿宋_GB2312" w:eastAsia="仿宋_GB2312"/>
          <w:sz w:val="32"/>
          <w:szCs w:val="32"/>
        </w:rPr>
        <w:t>教育的</w:t>
      </w:r>
      <w:r>
        <w:rPr>
          <w:rFonts w:ascii="仿宋_GB2312" w:eastAsia="仿宋_GB2312"/>
          <w:sz w:val="32"/>
          <w:szCs w:val="32"/>
        </w:rPr>
        <w:t>绩效、津补贴、校舍新建的</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2</w:t>
      </w:r>
      <w:r>
        <w:rPr>
          <w:rFonts w:ascii="仿宋_GB2312" w:eastAsia="仿宋_GB2312"/>
          <w:sz w:val="32"/>
          <w:szCs w:val="32"/>
        </w:rPr>
        <w:t>年追加支出。</w:t>
      </w:r>
    </w:p>
    <w:p w14:paraId="34B6B961">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社会保障和就业（2</w:t>
      </w:r>
      <w:r>
        <w:rPr>
          <w:rFonts w:ascii="仿宋_GB2312" w:eastAsia="仿宋_GB2312"/>
          <w:sz w:val="32"/>
          <w:szCs w:val="32"/>
        </w:rPr>
        <w:t>08</w:t>
      </w:r>
      <w:r>
        <w:rPr>
          <w:rFonts w:hint="eastAsia" w:ascii="仿宋_GB2312" w:eastAsia="仿宋_GB2312"/>
          <w:sz w:val="32"/>
          <w:szCs w:val="32"/>
        </w:rPr>
        <w:t>类）行政事业单位养老支出（0</w:t>
      </w:r>
      <w:r>
        <w:rPr>
          <w:rFonts w:ascii="仿宋_GB2312" w:eastAsia="仿宋_GB2312"/>
          <w:sz w:val="32"/>
          <w:szCs w:val="32"/>
        </w:rPr>
        <w:t>5</w:t>
      </w:r>
      <w:r>
        <w:rPr>
          <w:rFonts w:hint="eastAsia" w:ascii="仿宋_GB2312" w:eastAsia="仿宋_GB2312"/>
          <w:sz w:val="32"/>
          <w:szCs w:val="32"/>
        </w:rPr>
        <w:t>款）机关事业单位基本养老保险费支出（0</w:t>
      </w:r>
      <w:r>
        <w:rPr>
          <w:rFonts w:ascii="仿宋_GB2312" w:eastAsia="仿宋_GB2312"/>
          <w:sz w:val="32"/>
          <w:szCs w:val="32"/>
        </w:rPr>
        <w:t>5</w:t>
      </w:r>
      <w:r>
        <w:rPr>
          <w:rFonts w:hint="eastAsia" w:ascii="仿宋_GB2312" w:eastAsia="仿宋_GB2312"/>
          <w:sz w:val="32"/>
          <w:szCs w:val="32"/>
        </w:rPr>
        <w:t>项）：反映用于本单位职工基本养老保险单位缴费支出。</w:t>
      </w:r>
    </w:p>
    <w:p w14:paraId="02A448EA">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社会保障和就业（2</w:t>
      </w:r>
      <w:r>
        <w:rPr>
          <w:rFonts w:ascii="仿宋_GB2312" w:eastAsia="仿宋_GB2312"/>
          <w:sz w:val="32"/>
          <w:szCs w:val="32"/>
        </w:rPr>
        <w:t>08</w:t>
      </w:r>
      <w:r>
        <w:rPr>
          <w:rFonts w:hint="eastAsia" w:ascii="仿宋_GB2312" w:eastAsia="仿宋_GB2312"/>
          <w:sz w:val="32"/>
          <w:szCs w:val="32"/>
        </w:rPr>
        <w:t>类）其他社会保障和就业支出（9</w:t>
      </w:r>
      <w:r>
        <w:rPr>
          <w:rFonts w:ascii="仿宋_GB2312" w:eastAsia="仿宋_GB2312"/>
          <w:sz w:val="32"/>
          <w:szCs w:val="32"/>
        </w:rPr>
        <w:t>9</w:t>
      </w:r>
      <w:r>
        <w:rPr>
          <w:rFonts w:hint="eastAsia" w:ascii="仿宋_GB2312" w:eastAsia="仿宋_GB2312"/>
          <w:sz w:val="32"/>
          <w:szCs w:val="32"/>
        </w:rPr>
        <w:t>款）其他社会保障和就业支出（9</w:t>
      </w:r>
      <w:r>
        <w:rPr>
          <w:rFonts w:ascii="仿宋_GB2312" w:eastAsia="仿宋_GB2312"/>
          <w:sz w:val="32"/>
          <w:szCs w:val="32"/>
        </w:rPr>
        <w:t>9</w:t>
      </w:r>
      <w:r>
        <w:rPr>
          <w:rFonts w:hint="eastAsia" w:ascii="仿宋_GB2312" w:eastAsia="仿宋_GB2312"/>
          <w:sz w:val="32"/>
          <w:szCs w:val="32"/>
        </w:rPr>
        <w:t>项）：反映用于本单位职工工伤及失业保险单位缴费支出。</w:t>
      </w:r>
    </w:p>
    <w:p w14:paraId="58E49FF3">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卫生健康（2</w:t>
      </w:r>
      <w:r>
        <w:rPr>
          <w:rFonts w:ascii="仿宋_GB2312" w:eastAsia="仿宋_GB2312"/>
          <w:sz w:val="32"/>
          <w:szCs w:val="32"/>
        </w:rPr>
        <w:t>10</w:t>
      </w:r>
      <w:r>
        <w:rPr>
          <w:rFonts w:hint="eastAsia" w:ascii="仿宋_GB2312" w:eastAsia="仿宋_GB2312"/>
          <w:sz w:val="32"/>
          <w:szCs w:val="32"/>
        </w:rPr>
        <w:t>类）行政事业单位医疗（1</w:t>
      </w:r>
      <w:r>
        <w:rPr>
          <w:rFonts w:ascii="仿宋_GB2312" w:eastAsia="仿宋_GB2312"/>
          <w:sz w:val="32"/>
          <w:szCs w:val="32"/>
        </w:rPr>
        <w:t>1</w:t>
      </w:r>
      <w:r>
        <w:rPr>
          <w:rFonts w:hint="eastAsia" w:ascii="仿宋_GB2312" w:eastAsia="仿宋_GB2312"/>
          <w:sz w:val="32"/>
          <w:szCs w:val="32"/>
        </w:rPr>
        <w:t>款）事业单位医疗（</w:t>
      </w:r>
      <w:r>
        <w:rPr>
          <w:rFonts w:ascii="仿宋_GB2312" w:eastAsia="仿宋_GB2312"/>
          <w:sz w:val="32"/>
          <w:szCs w:val="32"/>
        </w:rPr>
        <w:t>02</w:t>
      </w:r>
      <w:r>
        <w:rPr>
          <w:rFonts w:hint="eastAsia" w:ascii="仿宋_GB2312" w:eastAsia="仿宋_GB2312"/>
          <w:sz w:val="32"/>
          <w:szCs w:val="32"/>
        </w:rPr>
        <w:t>项）：反映用于本单位职工基本医疗保险及住院补充医疗保险单位缴费支出。</w:t>
      </w:r>
    </w:p>
    <w:p w14:paraId="097762FC">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住房保障（2</w:t>
      </w:r>
      <w:r>
        <w:rPr>
          <w:rFonts w:ascii="仿宋_GB2312" w:eastAsia="仿宋_GB2312"/>
          <w:sz w:val="32"/>
          <w:szCs w:val="32"/>
        </w:rPr>
        <w:t>21</w:t>
      </w:r>
      <w:r>
        <w:rPr>
          <w:rFonts w:hint="eastAsia" w:ascii="仿宋_GB2312" w:eastAsia="仿宋_GB2312"/>
          <w:sz w:val="32"/>
          <w:szCs w:val="32"/>
        </w:rPr>
        <w:t>类）住房改革支出（0</w:t>
      </w:r>
      <w:r>
        <w:rPr>
          <w:rFonts w:ascii="仿宋_GB2312" w:eastAsia="仿宋_GB2312"/>
          <w:sz w:val="32"/>
          <w:szCs w:val="32"/>
        </w:rPr>
        <w:t>2</w:t>
      </w:r>
      <w:r>
        <w:rPr>
          <w:rFonts w:hint="eastAsia" w:ascii="仿宋_GB2312" w:eastAsia="仿宋_GB2312"/>
          <w:sz w:val="32"/>
          <w:szCs w:val="32"/>
        </w:rPr>
        <w:t>款）住房公积金（0</w:t>
      </w:r>
      <w:r>
        <w:rPr>
          <w:rFonts w:ascii="仿宋_GB2312" w:eastAsia="仿宋_GB2312"/>
          <w:sz w:val="32"/>
          <w:szCs w:val="32"/>
        </w:rPr>
        <w:t>1</w:t>
      </w:r>
      <w:r>
        <w:rPr>
          <w:rFonts w:hint="eastAsia" w:ascii="仿宋_GB2312" w:eastAsia="仿宋_GB2312"/>
          <w:sz w:val="32"/>
          <w:szCs w:val="32"/>
        </w:rPr>
        <w:t>项）：反映用于本单位职工住房公积金单位缴费支出。</w:t>
      </w:r>
    </w:p>
    <w:p w14:paraId="5DA30997">
      <w:pPr>
        <w:ind w:firstLine="640" w:firstLineChars="200"/>
        <w:rPr>
          <w:rFonts w:ascii="仿宋_GB2312" w:eastAsia="仿宋_GB2312"/>
          <w:sz w:val="32"/>
          <w:szCs w:val="32"/>
        </w:rPr>
      </w:pPr>
      <w:r>
        <w:rPr>
          <w:rFonts w:hint="eastAsia" w:ascii="仿宋_GB2312" w:eastAsia="仿宋_GB2312"/>
          <w:kern w:val="0"/>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3DEC2885">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4F110FB">
      <w:pPr>
        <w:ind w:firstLine="640" w:firstLineChars="200"/>
        <w:rPr>
          <w:rFonts w:ascii="仿宋_GB2312" w:eastAsia="仿宋_GB2312"/>
          <w:sz w:val="32"/>
          <w:szCs w:val="32"/>
        </w:rPr>
      </w:pPr>
    </w:p>
    <w:p w14:paraId="2A10E683">
      <w:pPr>
        <w:ind w:firstLine="640" w:firstLineChars="200"/>
        <w:rPr>
          <w:rFonts w:ascii="仿宋_GB2312" w:eastAsia="仿宋_GB2312"/>
          <w:sz w:val="32"/>
          <w:szCs w:val="32"/>
        </w:rPr>
      </w:pPr>
    </w:p>
    <w:p w14:paraId="3C6806FA">
      <w:pPr>
        <w:ind w:firstLine="640" w:firstLineChars="200"/>
        <w:rPr>
          <w:rFonts w:ascii="仿宋_GB2312" w:eastAsia="仿宋_GB2312"/>
          <w:sz w:val="32"/>
          <w:szCs w:val="32"/>
        </w:rPr>
      </w:pPr>
    </w:p>
    <w:p w14:paraId="5A46CC56">
      <w:pPr>
        <w:ind w:firstLine="640" w:firstLineChars="200"/>
        <w:rPr>
          <w:rFonts w:ascii="仿宋_GB2312" w:eastAsia="仿宋_GB2312"/>
          <w:sz w:val="32"/>
          <w:szCs w:val="32"/>
        </w:rPr>
      </w:pPr>
    </w:p>
    <w:p w14:paraId="6966AC69">
      <w:pPr>
        <w:ind w:firstLine="640" w:firstLineChars="200"/>
        <w:rPr>
          <w:rFonts w:ascii="仿宋_GB2312" w:eastAsia="仿宋_GB2312"/>
          <w:sz w:val="32"/>
          <w:szCs w:val="32"/>
        </w:rPr>
      </w:pPr>
    </w:p>
    <w:p w14:paraId="29B66FF8">
      <w:pPr>
        <w:ind w:firstLine="640" w:firstLineChars="200"/>
        <w:rPr>
          <w:rFonts w:ascii="仿宋_GB2312" w:eastAsia="仿宋_GB2312"/>
          <w:sz w:val="32"/>
          <w:szCs w:val="32"/>
        </w:rPr>
      </w:pPr>
    </w:p>
    <w:p w14:paraId="59B8EFD1">
      <w:pPr>
        <w:ind w:firstLine="640" w:firstLineChars="200"/>
        <w:rPr>
          <w:rFonts w:ascii="仿宋_GB2312" w:eastAsia="仿宋_GB2312"/>
          <w:sz w:val="32"/>
          <w:szCs w:val="32"/>
        </w:rPr>
      </w:pPr>
    </w:p>
    <w:p w14:paraId="2A7D4CA5">
      <w:pPr>
        <w:rPr>
          <w:rFonts w:ascii="仿宋_GB2312" w:eastAsia="仿宋_GB2312"/>
          <w:sz w:val="32"/>
          <w:szCs w:val="32"/>
        </w:rPr>
      </w:pPr>
    </w:p>
    <w:p w14:paraId="669947BD">
      <w:pPr>
        <w:pStyle w:val="23"/>
        <w:numPr>
          <w:ilvl w:val="0"/>
          <w:numId w:val="5"/>
        </w:numPr>
        <w:spacing w:line="600" w:lineRule="exact"/>
        <w:ind w:left="2835" w:firstLine="0" w:firstLineChars="0"/>
        <w:outlineLvl w:val="0"/>
        <w:rPr>
          <w:rFonts w:hint="eastAsia" w:ascii="黑体" w:hAnsi="黑体" w:eastAsia="黑体"/>
          <w:sz w:val="44"/>
          <w:szCs w:val="44"/>
        </w:rPr>
      </w:pPr>
      <w:r>
        <w:rPr>
          <w:rFonts w:hint="eastAsia" w:ascii="黑体" w:hAnsi="黑体" w:eastAsia="黑体"/>
          <w:sz w:val="44"/>
          <w:szCs w:val="44"/>
        </w:rPr>
        <w:t>附件</w:t>
      </w:r>
    </w:p>
    <w:p w14:paraId="7841A3A1">
      <w:pPr>
        <w:spacing w:line="600" w:lineRule="exact"/>
        <w:ind w:firstLine="960" w:firstLineChars="300"/>
        <w:rPr>
          <w:rFonts w:hint="eastAsia" w:ascii="仿宋_GB2312" w:hAnsi="仿宋_GB2312" w:eastAsia="仿宋_GB2312" w:cs="仿宋_GB2312"/>
          <w:sz w:val="32"/>
          <w:szCs w:val="32"/>
        </w:rPr>
      </w:pPr>
      <w:r>
        <w:rPr>
          <w:rFonts w:hint="eastAsia" w:ascii="宋体" w:hAnsi="宋体" w:cs="宋体"/>
          <w:kern w:val="0"/>
          <w:sz w:val="32"/>
          <w:szCs w:val="32"/>
        </w:rPr>
        <w:t>部门预算项目支出绩效自评表（2022年度）</w:t>
      </w:r>
    </w:p>
    <w:tbl>
      <w:tblPr>
        <w:tblStyle w:val="12"/>
        <w:tblpPr w:leftFromText="180" w:rightFromText="180" w:vertAnchor="text" w:horzAnchor="page" w:tblpX="822" w:tblpY="660"/>
        <w:tblOverlap w:val="never"/>
        <w:tblW w:w="10034" w:type="dxa"/>
        <w:tblInd w:w="0" w:type="dxa"/>
        <w:tblLayout w:type="fixed"/>
        <w:tblCellMar>
          <w:top w:w="0" w:type="dxa"/>
          <w:left w:w="108" w:type="dxa"/>
          <w:bottom w:w="0" w:type="dxa"/>
          <w:right w:w="108" w:type="dxa"/>
        </w:tblCellMar>
      </w:tblPr>
      <w:tblGrid>
        <w:gridCol w:w="2435"/>
        <w:gridCol w:w="1142"/>
        <w:gridCol w:w="1635"/>
        <w:gridCol w:w="1189"/>
        <w:gridCol w:w="1224"/>
        <w:gridCol w:w="2409"/>
      </w:tblGrid>
      <w:tr w14:paraId="2991B269">
        <w:tblPrEx>
          <w:tblCellMar>
            <w:top w:w="0" w:type="dxa"/>
            <w:left w:w="108" w:type="dxa"/>
            <w:bottom w:w="0" w:type="dxa"/>
            <w:right w:w="108" w:type="dxa"/>
          </w:tblCellMar>
        </w:tblPrEx>
        <w:trPr>
          <w:trHeight w:val="254" w:hRule="atLeast"/>
        </w:trPr>
        <w:tc>
          <w:tcPr>
            <w:tcW w:w="3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897FC">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DC68">
            <w:pPr>
              <w:widowControl/>
              <w:spacing w:line="320" w:lineRule="exact"/>
              <w:textAlignment w:val="center"/>
              <w:rPr>
                <w:rFonts w:ascii="宋体" w:hAnsi="宋体" w:cs="宋体"/>
                <w:sz w:val="24"/>
              </w:rPr>
            </w:pPr>
            <w:r>
              <w:rPr>
                <w:rFonts w:hint="eastAsia" w:ascii="宋体" w:hAnsi="宋体" w:cs="宋体"/>
                <w:sz w:val="24"/>
              </w:rPr>
              <w:t>527001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CB0">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885">
            <w:pPr>
              <w:widowControl/>
              <w:spacing w:line="320" w:lineRule="exact"/>
              <w:jc w:val="center"/>
              <w:textAlignment w:val="center"/>
              <w:rPr>
                <w:rFonts w:ascii="宋体" w:hAnsi="宋体" w:cs="宋体"/>
                <w:sz w:val="24"/>
              </w:rPr>
            </w:pPr>
            <w:r>
              <w:rPr>
                <w:rFonts w:hint="eastAsia" w:ascii="宋体" w:hAnsi="宋体" w:cs="宋体"/>
                <w:sz w:val="24"/>
              </w:rPr>
              <w:t>遂宁市安居区白马镇解放小学校</w:t>
            </w:r>
          </w:p>
        </w:tc>
      </w:tr>
      <w:tr w14:paraId="7B9F6E92">
        <w:tblPrEx>
          <w:tblCellMar>
            <w:top w:w="0" w:type="dxa"/>
            <w:left w:w="108" w:type="dxa"/>
            <w:bottom w:w="0" w:type="dxa"/>
            <w:right w:w="108" w:type="dxa"/>
          </w:tblCellMar>
        </w:tblPrEx>
        <w:trPr>
          <w:trHeight w:val="341" w:hRule="atLeast"/>
        </w:trPr>
        <w:tc>
          <w:tcPr>
            <w:tcW w:w="3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3A5E">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14ED">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FF0">
            <w:pPr>
              <w:widowControl/>
              <w:spacing w:line="320" w:lineRule="exact"/>
              <w:jc w:val="left"/>
              <w:textAlignment w:val="center"/>
              <w:rPr>
                <w:rFonts w:ascii="宋体" w:hAnsi="宋体" w:cs="宋体"/>
                <w:sz w:val="24"/>
              </w:rPr>
            </w:pPr>
            <w:r>
              <w:rPr>
                <w:rFonts w:hint="eastAsia" w:ascii="仿宋" w:hAnsi="仿宋" w:eastAsia="仿宋"/>
                <w:sz w:val="32"/>
                <w:szCs w:val="32"/>
              </w:rPr>
              <w:t>62.86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8EC0">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71B">
            <w:pPr>
              <w:widowControl/>
              <w:spacing w:line="320" w:lineRule="exact"/>
              <w:jc w:val="right"/>
              <w:textAlignment w:val="center"/>
              <w:rPr>
                <w:rFonts w:ascii="宋体" w:hAnsi="宋体" w:cs="宋体"/>
                <w:sz w:val="24"/>
              </w:rPr>
            </w:pPr>
            <w:r>
              <w:rPr>
                <w:rFonts w:hint="eastAsia" w:ascii="仿宋" w:hAnsi="仿宋" w:eastAsia="仿宋"/>
                <w:sz w:val="32"/>
                <w:szCs w:val="32"/>
              </w:rPr>
              <w:t>62.86</w:t>
            </w:r>
          </w:p>
        </w:tc>
      </w:tr>
      <w:tr w14:paraId="12BF6B66">
        <w:tblPrEx>
          <w:tblCellMar>
            <w:top w:w="0" w:type="dxa"/>
            <w:left w:w="108" w:type="dxa"/>
            <w:bottom w:w="0" w:type="dxa"/>
            <w:right w:w="108" w:type="dxa"/>
          </w:tblCellMar>
        </w:tblPrEx>
        <w:trPr>
          <w:trHeight w:val="555" w:hRule="atLeast"/>
        </w:trPr>
        <w:tc>
          <w:tcPr>
            <w:tcW w:w="3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8117">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0AD">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2878ECFB">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C6F3">
            <w:pPr>
              <w:widowControl/>
              <w:spacing w:line="320" w:lineRule="exact"/>
              <w:jc w:val="left"/>
              <w:textAlignment w:val="center"/>
              <w:rPr>
                <w:rFonts w:ascii="宋体" w:hAnsi="宋体" w:cs="宋体"/>
                <w:sz w:val="24"/>
              </w:rPr>
            </w:pPr>
            <w:r>
              <w:rPr>
                <w:rFonts w:hint="eastAsia" w:ascii="仿宋" w:hAnsi="仿宋" w:eastAsia="仿宋"/>
                <w:sz w:val="32"/>
                <w:szCs w:val="32"/>
              </w:rPr>
              <w:t>62.86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A3F4">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1590C24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23A9">
            <w:pPr>
              <w:widowControl/>
              <w:spacing w:line="320" w:lineRule="exact"/>
              <w:textAlignment w:val="center"/>
              <w:rPr>
                <w:rFonts w:ascii="宋体" w:hAnsi="宋体" w:cs="宋体"/>
                <w:sz w:val="24"/>
              </w:rPr>
            </w:pPr>
            <w:r>
              <w:rPr>
                <w:rFonts w:hint="eastAsia" w:ascii="仿宋" w:hAnsi="仿宋" w:eastAsia="仿宋"/>
                <w:sz w:val="32"/>
                <w:szCs w:val="32"/>
              </w:rPr>
              <w:t>62.86</w:t>
            </w:r>
          </w:p>
        </w:tc>
      </w:tr>
      <w:tr w14:paraId="783A3C8E">
        <w:tblPrEx>
          <w:tblCellMar>
            <w:top w:w="0" w:type="dxa"/>
            <w:left w:w="108" w:type="dxa"/>
            <w:bottom w:w="0" w:type="dxa"/>
            <w:right w:w="108" w:type="dxa"/>
          </w:tblCellMar>
        </w:tblPrEx>
        <w:trPr>
          <w:trHeight w:val="341" w:hRule="atLeast"/>
        </w:trPr>
        <w:tc>
          <w:tcPr>
            <w:tcW w:w="3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8B27">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AB9">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66E2">
            <w:pPr>
              <w:widowControl/>
              <w:spacing w:line="320" w:lineRule="exact"/>
              <w:jc w:val="left"/>
              <w:textAlignment w:val="center"/>
              <w:rPr>
                <w:rFonts w:ascii="宋体" w:hAnsi="宋体" w:cs="宋体"/>
                <w:sz w:val="24"/>
              </w:rPr>
            </w:pPr>
            <w:r>
              <w:rPr>
                <w:rFonts w:hint="eastAsia" w:ascii="宋体" w:hAnsi="宋体" w:cs="宋体"/>
                <w:sz w:val="24"/>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90A">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8777">
            <w:pPr>
              <w:widowControl/>
              <w:spacing w:line="320" w:lineRule="exact"/>
              <w:jc w:val="center"/>
              <w:textAlignment w:val="center"/>
              <w:rPr>
                <w:rFonts w:ascii="宋体" w:hAnsi="宋体" w:cs="宋体"/>
                <w:sz w:val="24"/>
              </w:rPr>
            </w:pPr>
            <w:r>
              <w:rPr>
                <w:rFonts w:hint="eastAsia" w:ascii="宋体" w:hAnsi="宋体" w:cs="宋体"/>
                <w:sz w:val="24"/>
              </w:rPr>
              <w:t>0</w:t>
            </w:r>
          </w:p>
        </w:tc>
      </w:tr>
      <w:tr w14:paraId="05C6FC30">
        <w:tblPrEx>
          <w:tblCellMar>
            <w:top w:w="0" w:type="dxa"/>
            <w:left w:w="108" w:type="dxa"/>
            <w:bottom w:w="0" w:type="dxa"/>
            <w:right w:w="108" w:type="dxa"/>
          </w:tblCellMar>
        </w:tblPrEx>
        <w:trPr>
          <w:trHeight w:val="217" w:hRule="atLeast"/>
        </w:trPr>
        <w:tc>
          <w:tcPr>
            <w:tcW w:w="2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3B73C">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06646505">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BFCF6">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BAD5">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45F3EF31">
        <w:tblPrEx>
          <w:tblCellMar>
            <w:top w:w="0" w:type="dxa"/>
            <w:left w:w="108" w:type="dxa"/>
            <w:bottom w:w="0" w:type="dxa"/>
            <w:right w:w="108" w:type="dxa"/>
          </w:tblCellMar>
        </w:tblPrEx>
        <w:trPr>
          <w:trHeight w:val="797" w:hRule="atLeast"/>
        </w:trPr>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3623">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2F903940">
            <w:pPr>
              <w:widowControl/>
              <w:spacing w:line="320" w:lineRule="exact"/>
              <w:jc w:val="left"/>
              <w:textAlignment w:val="top"/>
              <w:rPr>
                <w:rFonts w:ascii="宋体" w:hAnsi="宋体" w:cs="宋体"/>
                <w:sz w:val="24"/>
              </w:rPr>
            </w:pPr>
            <w:r>
              <w:rPr>
                <w:rFonts w:hint="eastAsia" w:ascii="宋体" w:hAnsi="宋体" w:cs="宋体"/>
                <w:sz w:val="24"/>
              </w:rPr>
              <w:t>机关事业单位养老支付完成99%</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25A6C841">
            <w:pPr>
              <w:widowControl/>
              <w:spacing w:line="320" w:lineRule="exact"/>
              <w:jc w:val="left"/>
              <w:textAlignment w:val="top"/>
              <w:rPr>
                <w:rFonts w:ascii="宋体" w:hAnsi="宋体" w:cs="宋体"/>
                <w:sz w:val="24"/>
              </w:rPr>
            </w:pPr>
            <w:r>
              <w:rPr>
                <w:rFonts w:hint="eastAsia" w:ascii="宋体" w:hAnsi="宋体" w:cs="宋体"/>
                <w:sz w:val="24"/>
              </w:rPr>
              <w:t>机关事业单位养老支付完成了100%</w:t>
            </w:r>
          </w:p>
        </w:tc>
      </w:tr>
      <w:tr w14:paraId="1CD3AF0D">
        <w:tblPrEx>
          <w:tblCellMar>
            <w:top w:w="0" w:type="dxa"/>
            <w:left w:w="108" w:type="dxa"/>
            <w:bottom w:w="0" w:type="dxa"/>
            <w:right w:w="108" w:type="dxa"/>
          </w:tblCellMar>
        </w:tblPrEx>
        <w:trPr>
          <w:trHeight w:val="693" w:hRule="atLeast"/>
        </w:trPr>
        <w:tc>
          <w:tcPr>
            <w:tcW w:w="2435" w:type="dxa"/>
            <w:vMerge w:val="restart"/>
            <w:tcBorders>
              <w:top w:val="single" w:color="000000" w:sz="4" w:space="0"/>
              <w:left w:val="single" w:color="000000" w:sz="4" w:space="0"/>
              <w:right w:val="single" w:color="000000" w:sz="4" w:space="0"/>
            </w:tcBorders>
            <w:shd w:val="clear" w:color="auto" w:fill="auto"/>
            <w:vAlign w:val="center"/>
          </w:tcPr>
          <w:p w14:paraId="038BA1E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463490F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3FE09D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104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3F588F9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046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04CE766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E1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05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499FF295">
        <w:tblPrEx>
          <w:tblCellMar>
            <w:top w:w="0" w:type="dxa"/>
            <w:left w:w="108" w:type="dxa"/>
            <w:bottom w:w="0" w:type="dxa"/>
            <w:right w:w="108" w:type="dxa"/>
          </w:tblCellMar>
        </w:tblPrEx>
        <w:trPr>
          <w:trHeight w:val="415" w:hRule="atLeast"/>
        </w:trPr>
        <w:tc>
          <w:tcPr>
            <w:tcW w:w="2435" w:type="dxa"/>
            <w:vMerge w:val="continue"/>
            <w:tcBorders>
              <w:left w:val="single" w:color="000000" w:sz="4" w:space="0"/>
              <w:right w:val="single" w:color="000000" w:sz="4" w:space="0"/>
            </w:tcBorders>
            <w:shd w:val="clear" w:color="auto" w:fill="auto"/>
            <w:vAlign w:val="center"/>
          </w:tcPr>
          <w:p w14:paraId="47F976A3">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D7F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4B64F03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21D7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D4D68">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保障人数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FAFA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8ADB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r>
      <w:tr w14:paraId="4C35982A">
        <w:tblPrEx>
          <w:tblCellMar>
            <w:top w:w="0" w:type="dxa"/>
            <w:left w:w="108" w:type="dxa"/>
            <w:bottom w:w="0" w:type="dxa"/>
            <w:right w:w="108" w:type="dxa"/>
          </w:tblCellMar>
        </w:tblPrEx>
        <w:trPr>
          <w:trHeight w:val="415" w:hRule="atLeast"/>
        </w:trPr>
        <w:tc>
          <w:tcPr>
            <w:tcW w:w="2435" w:type="dxa"/>
            <w:vMerge w:val="continue"/>
            <w:tcBorders>
              <w:left w:val="single" w:color="000000" w:sz="4" w:space="0"/>
              <w:right w:val="single" w:color="000000" w:sz="4" w:space="0"/>
            </w:tcBorders>
            <w:shd w:val="clear" w:color="auto" w:fill="auto"/>
            <w:vAlign w:val="center"/>
          </w:tcPr>
          <w:p w14:paraId="67E6E21A">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A6A6A5">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E9B7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E1306">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保障项目经费使用率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006F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1C97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2CF098CD">
        <w:tblPrEx>
          <w:tblCellMar>
            <w:top w:w="0" w:type="dxa"/>
            <w:left w:w="108" w:type="dxa"/>
            <w:bottom w:w="0" w:type="dxa"/>
            <w:right w:w="108" w:type="dxa"/>
          </w:tblCellMar>
        </w:tblPrEx>
        <w:trPr>
          <w:trHeight w:val="415" w:hRule="atLeast"/>
        </w:trPr>
        <w:tc>
          <w:tcPr>
            <w:tcW w:w="2435" w:type="dxa"/>
            <w:vMerge w:val="continue"/>
            <w:tcBorders>
              <w:left w:val="single" w:color="000000" w:sz="4" w:space="0"/>
              <w:right w:val="single" w:color="000000" w:sz="4" w:space="0"/>
            </w:tcBorders>
            <w:shd w:val="clear" w:color="auto" w:fill="auto"/>
            <w:vAlign w:val="center"/>
          </w:tcPr>
          <w:p w14:paraId="20BA9B49">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DCF3A29">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6312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24A01">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18"/>
                <w:szCs w:val="28"/>
              </w:rPr>
              <w:t>及时支付率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C55F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31D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29AC4CE0">
        <w:tblPrEx>
          <w:tblCellMar>
            <w:top w:w="0" w:type="dxa"/>
            <w:left w:w="108" w:type="dxa"/>
            <w:bottom w:w="0" w:type="dxa"/>
            <w:right w:w="108" w:type="dxa"/>
          </w:tblCellMar>
        </w:tblPrEx>
        <w:trPr>
          <w:trHeight w:val="480" w:hRule="atLeast"/>
        </w:trPr>
        <w:tc>
          <w:tcPr>
            <w:tcW w:w="2435" w:type="dxa"/>
            <w:vMerge w:val="continue"/>
            <w:tcBorders>
              <w:left w:val="single" w:color="000000" w:sz="4" w:space="0"/>
              <w:right w:val="single" w:color="000000" w:sz="4" w:space="0"/>
            </w:tcBorders>
            <w:shd w:val="clear" w:color="auto" w:fill="auto"/>
            <w:vAlign w:val="center"/>
          </w:tcPr>
          <w:p w14:paraId="6978BEF1">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2473257">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AA32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DE1593">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保障教师的</w:t>
            </w:r>
            <w:r>
              <w:rPr>
                <w:rFonts w:hint="eastAsia" w:ascii="宋体" w:hAnsi="宋体" w:cs="宋体"/>
                <w:sz w:val="24"/>
              </w:rPr>
              <w:t>社会保障和就业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C2B6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41E4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707629C2">
        <w:tblPrEx>
          <w:tblCellMar>
            <w:top w:w="0" w:type="dxa"/>
            <w:left w:w="108" w:type="dxa"/>
            <w:bottom w:w="0" w:type="dxa"/>
            <w:right w:w="108" w:type="dxa"/>
          </w:tblCellMar>
        </w:tblPrEx>
        <w:trPr>
          <w:trHeight w:val="480" w:hRule="atLeast"/>
        </w:trPr>
        <w:tc>
          <w:tcPr>
            <w:tcW w:w="2435" w:type="dxa"/>
            <w:vMerge w:val="continue"/>
            <w:tcBorders>
              <w:left w:val="single" w:color="000000" w:sz="4" w:space="0"/>
              <w:right w:val="single" w:color="000000" w:sz="4" w:space="0"/>
            </w:tcBorders>
            <w:shd w:val="clear" w:color="auto" w:fill="auto"/>
            <w:vAlign w:val="center"/>
          </w:tcPr>
          <w:p w14:paraId="346ECC91">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35D9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BE2C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B4487">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保障教师利益率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A413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56B6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77DA1982">
        <w:tblPrEx>
          <w:tblCellMar>
            <w:top w:w="0" w:type="dxa"/>
            <w:left w:w="108" w:type="dxa"/>
            <w:bottom w:w="0" w:type="dxa"/>
            <w:right w:w="108" w:type="dxa"/>
          </w:tblCellMar>
        </w:tblPrEx>
        <w:trPr>
          <w:trHeight w:val="480" w:hRule="atLeast"/>
        </w:trPr>
        <w:tc>
          <w:tcPr>
            <w:tcW w:w="2435" w:type="dxa"/>
            <w:vMerge w:val="continue"/>
            <w:tcBorders>
              <w:left w:val="single" w:color="000000" w:sz="4" w:space="0"/>
              <w:right w:val="single" w:color="000000" w:sz="4" w:space="0"/>
            </w:tcBorders>
            <w:shd w:val="clear" w:color="auto" w:fill="auto"/>
            <w:vAlign w:val="center"/>
          </w:tcPr>
          <w:p w14:paraId="3E5BC3C0">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B57CDBB">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CC41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A552C">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让师满生意率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54BC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B4E7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14:paraId="6D85FAD9">
        <w:tblPrEx>
          <w:tblCellMar>
            <w:top w:w="0" w:type="dxa"/>
            <w:left w:w="108" w:type="dxa"/>
            <w:bottom w:w="0" w:type="dxa"/>
            <w:right w:w="108" w:type="dxa"/>
          </w:tblCellMar>
        </w:tblPrEx>
        <w:trPr>
          <w:trHeight w:val="577" w:hRule="atLeast"/>
        </w:trPr>
        <w:tc>
          <w:tcPr>
            <w:tcW w:w="2435" w:type="dxa"/>
            <w:vMerge w:val="continue"/>
            <w:tcBorders>
              <w:left w:val="single" w:color="000000" w:sz="4" w:space="0"/>
              <w:right w:val="single" w:color="000000" w:sz="4" w:space="0"/>
            </w:tcBorders>
            <w:shd w:val="clear" w:color="auto" w:fill="auto"/>
            <w:vAlign w:val="center"/>
          </w:tcPr>
          <w:p w14:paraId="7968ECC2">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52A2C34">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BED32">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AA1E1">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收益对象满意率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507C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BE39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r w14:paraId="0BE9C288">
        <w:tblPrEx>
          <w:tblCellMar>
            <w:top w:w="0" w:type="dxa"/>
            <w:left w:w="108" w:type="dxa"/>
            <w:bottom w:w="0" w:type="dxa"/>
            <w:right w:w="108" w:type="dxa"/>
          </w:tblCellMar>
        </w:tblPrEx>
        <w:trPr>
          <w:trHeight w:val="480" w:hRule="atLeast"/>
        </w:trPr>
        <w:tc>
          <w:tcPr>
            <w:tcW w:w="2435" w:type="dxa"/>
            <w:vMerge w:val="continue"/>
            <w:tcBorders>
              <w:left w:val="single" w:color="000000" w:sz="4" w:space="0"/>
              <w:right w:val="single" w:color="000000" w:sz="4" w:space="0"/>
            </w:tcBorders>
            <w:shd w:val="clear" w:color="auto" w:fill="auto"/>
            <w:vAlign w:val="center"/>
          </w:tcPr>
          <w:p w14:paraId="1D215187">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6B2FB36">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5E49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F2D54">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sz w:val="24"/>
                <w:szCs w:val="28"/>
              </w:rPr>
              <w:t>收益对象满意率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F8D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3050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r w14:paraId="7EACA38C">
        <w:tblPrEx>
          <w:tblCellMar>
            <w:top w:w="0" w:type="dxa"/>
            <w:left w:w="108" w:type="dxa"/>
            <w:bottom w:w="0" w:type="dxa"/>
            <w:right w:w="108" w:type="dxa"/>
          </w:tblCellMar>
        </w:tblPrEx>
        <w:trPr>
          <w:trHeight w:val="530" w:hRule="atLeast"/>
        </w:trPr>
        <w:tc>
          <w:tcPr>
            <w:tcW w:w="2435" w:type="dxa"/>
            <w:vMerge w:val="continue"/>
            <w:tcBorders>
              <w:left w:val="single" w:color="000000" w:sz="4" w:space="0"/>
              <w:bottom w:val="single" w:color="000000" w:sz="4" w:space="0"/>
              <w:right w:val="single" w:color="000000" w:sz="4" w:space="0"/>
            </w:tcBorders>
            <w:shd w:val="clear" w:color="auto" w:fill="auto"/>
            <w:vAlign w:val="center"/>
          </w:tcPr>
          <w:p w14:paraId="76021954">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E453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FD91D">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3EE9E00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BFB2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4"/>
                <w:szCs w:val="28"/>
              </w:rPr>
              <w:t>师生社会满意率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5FA7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95B4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r>
    </w:tbl>
    <w:p w14:paraId="6E7A7DFA">
      <w:pPr>
        <w:spacing w:line="600" w:lineRule="exact"/>
        <w:jc w:val="center"/>
        <w:outlineLvl w:val="0"/>
        <w:rPr>
          <w:rFonts w:hint="eastAsia" w:ascii="黑体" w:hAnsi="黑体" w:eastAsia="黑体"/>
          <w:sz w:val="44"/>
          <w:szCs w:val="44"/>
        </w:rPr>
      </w:pPr>
      <w:bookmarkStart w:id="49" w:name="_Toc15377226"/>
      <w:bookmarkStart w:id="50" w:name="_Toc15396618"/>
    </w:p>
    <w:p w14:paraId="4608E6F1">
      <w:pPr>
        <w:spacing w:line="600" w:lineRule="exact"/>
        <w:jc w:val="center"/>
        <w:outlineLvl w:val="0"/>
        <w:rPr>
          <w:rFonts w:hint="eastAsia" w:ascii="黑体" w:hAnsi="黑体" w:eastAsia="黑体"/>
          <w:sz w:val="44"/>
          <w:szCs w:val="44"/>
        </w:rPr>
      </w:pPr>
    </w:p>
    <w:p w14:paraId="38A14D85">
      <w:pPr>
        <w:spacing w:line="600" w:lineRule="exact"/>
        <w:jc w:val="center"/>
        <w:outlineLvl w:val="0"/>
        <w:rPr>
          <w:rFonts w:hint="eastAsia" w:ascii="黑体" w:hAnsi="黑体" w:eastAsia="黑体"/>
          <w:sz w:val="44"/>
          <w:szCs w:val="44"/>
        </w:rPr>
      </w:pPr>
    </w:p>
    <w:p w14:paraId="192D3171">
      <w:pPr>
        <w:spacing w:line="600" w:lineRule="exact"/>
        <w:jc w:val="both"/>
        <w:outlineLvl w:val="0"/>
        <w:rPr>
          <w:rFonts w:hint="eastAsia" w:ascii="黑体" w:hAnsi="黑体" w:eastAsia="黑体"/>
          <w:sz w:val="44"/>
          <w:szCs w:val="44"/>
        </w:rPr>
      </w:pPr>
    </w:p>
    <w:p w14:paraId="18E4ACB5">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49"/>
      <w:bookmarkEnd w:id="50"/>
      <w:bookmarkStart w:id="51" w:name="_Toc15396619"/>
    </w:p>
    <w:p w14:paraId="43B71BB0">
      <w:pPr>
        <w:pStyle w:val="3"/>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1"/>
    </w:p>
    <w:p w14:paraId="3E56392B">
      <w:pPr>
        <w:pStyle w:val="3"/>
        <w:rPr>
          <w:rFonts w:ascii="仿宋" w:hAnsi="仿宋" w:eastAsia="仿宋"/>
        </w:rPr>
      </w:pPr>
      <w:bookmarkStart w:id="52" w:name="_Toc15396620"/>
      <w:r>
        <w:rPr>
          <w:rFonts w:hint="eastAsia" w:ascii="仿宋" w:hAnsi="仿宋" w:eastAsia="仿宋"/>
          <w:b w:val="0"/>
        </w:rPr>
        <w:t>二、收</w:t>
      </w:r>
      <w:r>
        <w:rPr>
          <w:rStyle w:val="25"/>
          <w:rFonts w:hint="eastAsia" w:ascii="仿宋" w:hAnsi="仿宋" w:eastAsia="仿宋"/>
          <w:b w:val="0"/>
          <w:bCs w:val="0"/>
        </w:rPr>
        <w:t>入决算表</w:t>
      </w:r>
      <w:bookmarkEnd w:id="52"/>
    </w:p>
    <w:p w14:paraId="2B1B1EE9">
      <w:pPr>
        <w:pStyle w:val="3"/>
        <w:rPr>
          <w:rFonts w:ascii="仿宋" w:hAnsi="仿宋" w:eastAsia="仿宋"/>
        </w:rPr>
      </w:pPr>
      <w:bookmarkStart w:id="53"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3"/>
    </w:p>
    <w:p w14:paraId="71876199">
      <w:pPr>
        <w:pStyle w:val="3"/>
        <w:rPr>
          <w:rFonts w:ascii="仿宋" w:hAnsi="仿宋" w:eastAsia="仿宋"/>
          <w:b w:val="0"/>
        </w:rPr>
      </w:pPr>
      <w:bookmarkStart w:id="54"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4"/>
    </w:p>
    <w:p w14:paraId="11D2C5F6">
      <w:pPr>
        <w:pStyle w:val="3"/>
        <w:rPr>
          <w:rStyle w:val="25"/>
          <w:rFonts w:ascii="仿宋" w:hAnsi="仿宋" w:eastAsia="仿宋"/>
          <w:b w:val="0"/>
          <w:bCs w:val="0"/>
        </w:rPr>
      </w:pPr>
      <w:bookmarkStart w:id="55"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5"/>
      <w:bookmarkStart w:id="56" w:name="_Toc15396624"/>
    </w:p>
    <w:p w14:paraId="3963486C">
      <w:pPr>
        <w:pStyle w:val="3"/>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6"/>
    </w:p>
    <w:p w14:paraId="70FABE2D">
      <w:pPr>
        <w:pStyle w:val="3"/>
        <w:rPr>
          <w:rFonts w:ascii="仿宋" w:hAnsi="仿宋" w:eastAsia="仿宋"/>
        </w:rPr>
      </w:pPr>
      <w:bookmarkStart w:id="57"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7"/>
    </w:p>
    <w:p w14:paraId="3B6D65CD">
      <w:pPr>
        <w:pStyle w:val="3"/>
        <w:rPr>
          <w:rFonts w:ascii="仿宋" w:hAnsi="仿宋" w:eastAsia="仿宋"/>
        </w:rPr>
      </w:pPr>
      <w:bookmarkStart w:id="58"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8"/>
    </w:p>
    <w:p w14:paraId="408D8A54">
      <w:pPr>
        <w:pStyle w:val="3"/>
        <w:rPr>
          <w:rFonts w:ascii="仿宋" w:hAnsi="仿宋" w:eastAsia="仿宋"/>
        </w:rPr>
      </w:pPr>
      <w:bookmarkStart w:id="59"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59"/>
    </w:p>
    <w:p w14:paraId="37C9B436">
      <w:pPr>
        <w:pStyle w:val="3"/>
        <w:rPr>
          <w:rFonts w:ascii="仿宋" w:hAnsi="仿宋" w:eastAsia="仿宋"/>
        </w:rPr>
      </w:pPr>
      <w:bookmarkStart w:id="60" w:name="_Toc15396628"/>
      <w:r>
        <w:rPr>
          <w:rStyle w:val="25"/>
          <w:rFonts w:hint="eastAsia" w:ascii="仿宋" w:hAnsi="仿宋" w:eastAsia="仿宋"/>
          <w:b w:val="0"/>
          <w:bCs w:val="0"/>
        </w:rPr>
        <w:t>十、</w:t>
      </w:r>
      <w:bookmarkEnd w:id="60"/>
      <w:r>
        <w:rPr>
          <w:rFonts w:hint="eastAsia" w:ascii="仿宋" w:hAnsi="仿宋" w:eastAsia="仿宋"/>
          <w:b w:val="0"/>
        </w:rPr>
        <w:t>政</w:t>
      </w:r>
      <w:r>
        <w:rPr>
          <w:rStyle w:val="25"/>
          <w:rFonts w:hint="eastAsia" w:ascii="仿宋" w:hAnsi="仿宋" w:eastAsia="仿宋"/>
          <w:b w:val="0"/>
          <w:bCs w:val="0"/>
        </w:rPr>
        <w:t>府性基金预算财政拨款收入支出决算表</w:t>
      </w:r>
    </w:p>
    <w:p w14:paraId="29A3F4A1">
      <w:pPr>
        <w:pStyle w:val="3"/>
        <w:rPr>
          <w:rFonts w:ascii="仿宋" w:hAnsi="仿宋" w:eastAsia="仿宋"/>
        </w:rPr>
      </w:pPr>
      <w:bookmarkStart w:id="61" w:name="_Toc15396629"/>
      <w:r>
        <w:rPr>
          <w:rStyle w:val="25"/>
          <w:rFonts w:hint="eastAsia" w:ascii="仿宋" w:hAnsi="仿宋" w:eastAsia="仿宋"/>
          <w:b w:val="0"/>
          <w:bCs w:val="0"/>
        </w:rPr>
        <w:t>十一、</w:t>
      </w:r>
      <w:bookmarkEnd w:id="61"/>
      <w:r>
        <w:rPr>
          <w:rFonts w:hint="eastAsia" w:ascii="仿宋" w:hAnsi="仿宋" w:eastAsia="仿宋"/>
          <w:b w:val="0"/>
        </w:rPr>
        <w:t>国</w:t>
      </w:r>
      <w:r>
        <w:rPr>
          <w:rStyle w:val="25"/>
          <w:rFonts w:hint="eastAsia" w:ascii="仿宋" w:hAnsi="仿宋" w:eastAsia="仿宋"/>
          <w:b w:val="0"/>
          <w:bCs w:val="0"/>
        </w:rPr>
        <w:t>有资本经营预算财政拨款收入支出决算表</w:t>
      </w:r>
    </w:p>
    <w:p w14:paraId="6D1D2784">
      <w:pPr>
        <w:pStyle w:val="3"/>
        <w:rPr>
          <w:rFonts w:ascii="仿宋" w:hAnsi="仿宋" w:eastAsia="仿宋"/>
        </w:rPr>
      </w:pPr>
      <w:bookmarkStart w:id="62" w:name="_Toc15396630"/>
      <w:r>
        <w:rPr>
          <w:rStyle w:val="25"/>
          <w:rFonts w:hint="eastAsia" w:ascii="仿宋" w:hAnsi="仿宋" w:eastAsia="仿宋"/>
          <w:b w:val="0"/>
          <w:bCs w:val="0"/>
        </w:rPr>
        <w:t>十二、</w:t>
      </w:r>
      <w:bookmarkEnd w:id="62"/>
      <w:r>
        <w:rPr>
          <w:rStyle w:val="25"/>
          <w:rFonts w:hint="eastAsia" w:ascii="仿宋" w:hAnsi="仿宋" w:eastAsia="仿宋"/>
          <w:b w:val="0"/>
          <w:bCs w:val="0"/>
        </w:rPr>
        <w:t>国有资本经营预算财政拨款支出决算表</w:t>
      </w:r>
    </w:p>
    <w:p w14:paraId="67792524">
      <w:pPr>
        <w:pStyle w:val="3"/>
        <w:rPr>
          <w:rFonts w:eastAsia="仿宋"/>
        </w:rPr>
      </w:pPr>
      <w:bookmarkStart w:id="63" w:name="_Toc15396631"/>
      <w:r>
        <w:rPr>
          <w:rStyle w:val="25"/>
          <w:rFonts w:hint="eastAsia" w:ascii="仿宋" w:hAnsi="仿宋" w:eastAsia="仿宋"/>
          <w:b w:val="0"/>
          <w:bCs w:val="0"/>
        </w:rPr>
        <w:t>十三、</w:t>
      </w:r>
      <w:bookmarkEnd w:id="63"/>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5CAD25B">
        <w:pPr>
          <w:pStyle w:val="8"/>
          <w:jc w:val="center"/>
        </w:pPr>
        <w:r>
          <w:fldChar w:fldCharType="begin"/>
        </w:r>
        <w:r>
          <w:instrText xml:space="preserve">PAGE   \* MERGEFORMAT</w:instrText>
        </w:r>
        <w:r>
          <w:fldChar w:fldCharType="separate"/>
        </w:r>
        <w:r>
          <w:rPr>
            <w:lang w:val="zh-CN"/>
          </w:rPr>
          <w:t>16</w:t>
        </w:r>
        <w:r>
          <w:fldChar w:fldCharType="end"/>
        </w:r>
      </w:p>
    </w:sdtContent>
  </w:sdt>
  <w:p w14:paraId="2373A9F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332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D1AB9"/>
    <w:multiLevelType w:val="singleLevel"/>
    <w:tmpl w:val="A79D1AB9"/>
    <w:lvl w:ilvl="0" w:tentative="0">
      <w:start w:val="3"/>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E50468D"/>
    <w:multiLevelType w:val="multilevel"/>
    <w:tmpl w:val="6E50468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hNDBjNGVlOGE1ZGNlYjIxYzE4MTQyZDhlYzQzNDQifQ=="/>
  </w:docVars>
  <w:rsids>
    <w:rsidRoot w:val="00F1361C"/>
    <w:rsid w:val="000214DB"/>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5CF5"/>
    <w:rsid w:val="000B6FF3"/>
    <w:rsid w:val="000C3467"/>
    <w:rsid w:val="000C3CA6"/>
    <w:rsid w:val="000D1267"/>
    <w:rsid w:val="000D1ACD"/>
    <w:rsid w:val="000D1D50"/>
    <w:rsid w:val="000D5782"/>
    <w:rsid w:val="000E6613"/>
    <w:rsid w:val="000E7119"/>
    <w:rsid w:val="00114E9B"/>
    <w:rsid w:val="00142216"/>
    <w:rsid w:val="001446AD"/>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7F69"/>
    <w:rsid w:val="0021101A"/>
    <w:rsid w:val="00220536"/>
    <w:rsid w:val="00235629"/>
    <w:rsid w:val="00260C38"/>
    <w:rsid w:val="002616C0"/>
    <w:rsid w:val="00265372"/>
    <w:rsid w:val="002662AA"/>
    <w:rsid w:val="00271E14"/>
    <w:rsid w:val="00280496"/>
    <w:rsid w:val="00294DC9"/>
    <w:rsid w:val="00295495"/>
    <w:rsid w:val="002A31DE"/>
    <w:rsid w:val="002B2613"/>
    <w:rsid w:val="002D6D05"/>
    <w:rsid w:val="002F1818"/>
    <w:rsid w:val="002F567B"/>
    <w:rsid w:val="003216A9"/>
    <w:rsid w:val="00335A74"/>
    <w:rsid w:val="003445F9"/>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FD1"/>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1FAD"/>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7ACB"/>
    <w:rsid w:val="006A3141"/>
    <w:rsid w:val="006A5E34"/>
    <w:rsid w:val="006B2422"/>
    <w:rsid w:val="006B2B9A"/>
    <w:rsid w:val="006C1937"/>
    <w:rsid w:val="006F020C"/>
    <w:rsid w:val="007127B7"/>
    <w:rsid w:val="0071798E"/>
    <w:rsid w:val="007416B6"/>
    <w:rsid w:val="00746F48"/>
    <w:rsid w:val="00751708"/>
    <w:rsid w:val="0075404D"/>
    <w:rsid w:val="0076182A"/>
    <w:rsid w:val="00767B7E"/>
    <w:rsid w:val="007770C3"/>
    <w:rsid w:val="00784D24"/>
    <w:rsid w:val="00785FBA"/>
    <w:rsid w:val="00786E4A"/>
    <w:rsid w:val="007875EB"/>
    <w:rsid w:val="0079426B"/>
    <w:rsid w:val="007D1682"/>
    <w:rsid w:val="007D312A"/>
    <w:rsid w:val="007D3F19"/>
    <w:rsid w:val="007D7E16"/>
    <w:rsid w:val="007E23B0"/>
    <w:rsid w:val="007E23E5"/>
    <w:rsid w:val="007F1991"/>
    <w:rsid w:val="007F2C2F"/>
    <w:rsid w:val="007F55FC"/>
    <w:rsid w:val="007F5665"/>
    <w:rsid w:val="00800112"/>
    <w:rsid w:val="00813348"/>
    <w:rsid w:val="008253BB"/>
    <w:rsid w:val="00825713"/>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38C8"/>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5521"/>
    <w:rsid w:val="00A56DF2"/>
    <w:rsid w:val="00A56E6E"/>
    <w:rsid w:val="00A67AB5"/>
    <w:rsid w:val="00A733B2"/>
    <w:rsid w:val="00A741C2"/>
    <w:rsid w:val="00A91760"/>
    <w:rsid w:val="00A93B00"/>
    <w:rsid w:val="00A93C21"/>
    <w:rsid w:val="00AB4346"/>
    <w:rsid w:val="00AB64C9"/>
    <w:rsid w:val="00AC3C6A"/>
    <w:rsid w:val="00AD14C0"/>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D4E"/>
    <w:rsid w:val="00BB4DF0"/>
    <w:rsid w:val="00BC289F"/>
    <w:rsid w:val="00BC2D50"/>
    <w:rsid w:val="00BC5361"/>
    <w:rsid w:val="00BC5460"/>
    <w:rsid w:val="00BC6B50"/>
    <w:rsid w:val="00BD0E25"/>
    <w:rsid w:val="00BF5BD6"/>
    <w:rsid w:val="00C03E31"/>
    <w:rsid w:val="00C33E72"/>
    <w:rsid w:val="00C354B2"/>
    <w:rsid w:val="00C35554"/>
    <w:rsid w:val="00C42709"/>
    <w:rsid w:val="00C46303"/>
    <w:rsid w:val="00C533CC"/>
    <w:rsid w:val="00C5751C"/>
    <w:rsid w:val="00C61BFC"/>
    <w:rsid w:val="00C62B85"/>
    <w:rsid w:val="00C65438"/>
    <w:rsid w:val="00C87FD8"/>
    <w:rsid w:val="00C91381"/>
    <w:rsid w:val="00C91CBB"/>
    <w:rsid w:val="00CA749B"/>
    <w:rsid w:val="00CB4E70"/>
    <w:rsid w:val="00CC09B6"/>
    <w:rsid w:val="00CC3385"/>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05FC"/>
    <w:rsid w:val="00DB1913"/>
    <w:rsid w:val="00DC410D"/>
    <w:rsid w:val="00DC5A81"/>
    <w:rsid w:val="00DC68CA"/>
    <w:rsid w:val="00DC7CBA"/>
    <w:rsid w:val="00DD73B7"/>
    <w:rsid w:val="00DF28BC"/>
    <w:rsid w:val="00DF34B9"/>
    <w:rsid w:val="00E01053"/>
    <w:rsid w:val="00E024B7"/>
    <w:rsid w:val="00E07ACF"/>
    <w:rsid w:val="00E24EFE"/>
    <w:rsid w:val="00E331A1"/>
    <w:rsid w:val="00E33202"/>
    <w:rsid w:val="00E336A9"/>
    <w:rsid w:val="00E472B1"/>
    <w:rsid w:val="00E50624"/>
    <w:rsid w:val="00E568DF"/>
    <w:rsid w:val="00E60A72"/>
    <w:rsid w:val="00E64269"/>
    <w:rsid w:val="00E82267"/>
    <w:rsid w:val="00E853CE"/>
    <w:rsid w:val="00E867B6"/>
    <w:rsid w:val="00EA010F"/>
    <w:rsid w:val="00EC4FA7"/>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1B1D"/>
    <w:rsid w:val="00F36D8F"/>
    <w:rsid w:val="00F417B1"/>
    <w:rsid w:val="00F45853"/>
    <w:rsid w:val="00F50777"/>
    <w:rsid w:val="00F602DF"/>
    <w:rsid w:val="00F754A1"/>
    <w:rsid w:val="00F81FD9"/>
    <w:rsid w:val="00F841AA"/>
    <w:rsid w:val="00F84A94"/>
    <w:rsid w:val="00F87E96"/>
    <w:rsid w:val="00FA23E8"/>
    <w:rsid w:val="00FD3CC1"/>
    <w:rsid w:val="00FF1E02"/>
    <w:rsid w:val="00FF30B4"/>
    <w:rsid w:val="053A62B5"/>
    <w:rsid w:val="0A2032A3"/>
    <w:rsid w:val="0B8A37D8"/>
    <w:rsid w:val="104B608C"/>
    <w:rsid w:val="10C055FF"/>
    <w:rsid w:val="118107EC"/>
    <w:rsid w:val="11DD6519"/>
    <w:rsid w:val="16BB723D"/>
    <w:rsid w:val="18015F3F"/>
    <w:rsid w:val="1BE8440E"/>
    <w:rsid w:val="1D155CEE"/>
    <w:rsid w:val="20F57F95"/>
    <w:rsid w:val="240371BF"/>
    <w:rsid w:val="25711CC6"/>
    <w:rsid w:val="25C741E6"/>
    <w:rsid w:val="273961B0"/>
    <w:rsid w:val="27842671"/>
    <w:rsid w:val="29FD04D3"/>
    <w:rsid w:val="2ABE7A3E"/>
    <w:rsid w:val="2C1202AF"/>
    <w:rsid w:val="2C140914"/>
    <w:rsid w:val="2CA234A8"/>
    <w:rsid w:val="2EFA178C"/>
    <w:rsid w:val="30A46C1E"/>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9686468"/>
    <w:rsid w:val="6C4A05C8"/>
    <w:rsid w:val="6D3B1A89"/>
    <w:rsid w:val="71BF4EC2"/>
    <w:rsid w:val="72734D90"/>
    <w:rsid w:val="7412278C"/>
    <w:rsid w:val="777F3082"/>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15"/>
    <w:basedOn w:val="13"/>
    <w:qFormat/>
    <w:uiPriority w:val="0"/>
    <w:rPr>
      <w:rFonts w:hint="default"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3.08\&#19977;&#23478;\&#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Sheet1!$I$7</c:f>
              <c:strCache>
                <c:ptCount val="1"/>
                <c:pt idx="0">
                  <c:v>2022年</c:v>
                </c:pt>
              </c:strCache>
            </c:strRef>
          </c:tx>
          <c:invertIfNegative val="0"/>
          <c:dLbls>
            <c:delete val="1"/>
          </c:dLbls>
          <c:cat>
            <c:strRef>
              <c:f>Sheet1!$H$8:$H$11</c:f>
              <c:strCache>
                <c:ptCount val="4"/>
                <c:pt idx="0">
                  <c:v>教育支出</c:v>
                </c:pt>
                <c:pt idx="1">
                  <c:v>社会保障和就业支出</c:v>
                </c:pt>
                <c:pt idx="2">
                  <c:v>卫生健康支出</c:v>
                </c:pt>
                <c:pt idx="3">
                  <c:v>住房保障支出</c:v>
                </c:pt>
              </c:strCache>
            </c:strRef>
          </c:cat>
          <c:val>
            <c:numRef>
              <c:f>Sheet1!$I$8:$I$11</c:f>
              <c:numCache>
                <c:formatCode>#,##0.00</c:formatCode>
                <c:ptCount val="4"/>
                <c:pt idx="0">
                  <c:v>1299.91</c:v>
                </c:pt>
                <c:pt idx="1">
                  <c:v>71.24</c:v>
                </c:pt>
                <c:pt idx="2">
                  <c:v>32.59</c:v>
                </c:pt>
                <c:pt idx="3">
                  <c:v>67.06</c:v>
                </c:pt>
              </c:numCache>
            </c:numRef>
          </c:val>
        </c:ser>
        <c:ser>
          <c:idx val="1"/>
          <c:order val="1"/>
          <c:tx>
            <c:strRef>
              <c:f>Sheet1!$J$7</c:f>
              <c:strCache>
                <c:ptCount val="1"/>
                <c:pt idx="0">
                  <c:v>2021年</c:v>
                </c:pt>
              </c:strCache>
            </c:strRef>
          </c:tx>
          <c:invertIfNegative val="0"/>
          <c:dLbls>
            <c:delete val="1"/>
          </c:dLbls>
          <c:cat>
            <c:strRef>
              <c:f>Sheet1!$H$8:$H$11</c:f>
              <c:strCache>
                <c:ptCount val="4"/>
                <c:pt idx="0">
                  <c:v>教育支出</c:v>
                </c:pt>
                <c:pt idx="1">
                  <c:v>社会保障和就业支出</c:v>
                </c:pt>
                <c:pt idx="2">
                  <c:v>卫生健康支出</c:v>
                </c:pt>
                <c:pt idx="3">
                  <c:v>住房保障支出</c:v>
                </c:pt>
              </c:strCache>
            </c:strRef>
          </c:cat>
          <c:val>
            <c:numRef>
              <c:f>Sheet1!$J$8:$J$11</c:f>
              <c:numCache>
                <c:formatCode>#,##0.00</c:formatCode>
                <c:ptCount val="4"/>
                <c:pt idx="0">
                  <c:v>1016.51</c:v>
                </c:pt>
                <c:pt idx="1">
                  <c:v>86.27</c:v>
                </c:pt>
                <c:pt idx="2">
                  <c:v>30.1</c:v>
                </c:pt>
                <c:pt idx="3">
                  <c:v>62.76</c:v>
                </c:pt>
              </c:numCache>
            </c:numRef>
          </c:val>
        </c:ser>
        <c:dLbls>
          <c:showLegendKey val="0"/>
          <c:showVal val="0"/>
          <c:showCatName val="0"/>
          <c:showSerName val="0"/>
          <c:showPercent val="0"/>
          <c:showBubbleSize val="0"/>
        </c:dLbls>
        <c:gapWidth val="150"/>
        <c:axId val="74072064"/>
        <c:axId val="74073600"/>
      </c:barChart>
      <c:catAx>
        <c:axId val="74072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073600"/>
        <c:crosses val="autoZero"/>
        <c:auto val="1"/>
        <c:lblAlgn val="ctr"/>
        <c:lblOffset val="100"/>
        <c:noMultiLvlLbl val="0"/>
      </c:catAx>
      <c:valAx>
        <c:axId val="7407360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072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c66b3bd-ace6-47fd-a439-2a170e649dc3}"/>
      </c:ext>
    </c:extLst>
  </c:chart>
  <c:spPr>
    <a:no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elete val="1"/>
          </c:dLbls>
          <c:cat>
            <c:strRef>
              <c:f>Sheet1!$H$27:$H$34</c:f>
              <c:strCache>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Sheet1!$I$27:$I$34</c:f>
              <c:numCache>
                <c:formatCode>#,##0.00</c:formatCode>
                <c:ptCount val="8"/>
                <c:pt idx="0">
                  <c:v>309.47</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8145280722591"/>
          <c:y val="0.0154084052746419"/>
          <c:w val="0.43695714013402"/>
          <c:h val="0.96918318945071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5ce42e-6b87-4f74-a726-58ad5dc8302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elete val="1"/>
          </c:dLbls>
          <c:cat>
            <c:strRef>
              <c:f>Sheet1!$H$44:$H$48</c:f>
              <c:strCache>
                <c:ptCount val="5"/>
                <c:pt idx="0">
                  <c:v>基本支出</c:v>
                </c:pt>
                <c:pt idx="1">
                  <c:v>项目支出</c:v>
                </c:pt>
                <c:pt idx="2">
                  <c:v>上缴上级支出</c:v>
                </c:pt>
                <c:pt idx="3">
                  <c:v>经营支出</c:v>
                </c:pt>
                <c:pt idx="4">
                  <c:v>对附属单位补助支出</c:v>
                </c:pt>
              </c:strCache>
            </c:strRef>
          </c:cat>
          <c:val>
            <c:numRef>
              <c:f>Sheet1!$I$44:$I$48</c:f>
              <c:numCache>
                <c:formatCode>#,##0.00</c:formatCode>
                <c:ptCount val="5"/>
                <c:pt idx="0">
                  <c:v>981.48</c:v>
                </c:pt>
                <c:pt idx="1">
                  <c:v>489.31</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6732538062372"/>
          <c:y val="0.116524083138256"/>
          <c:w val="0.369158114494947"/>
          <c:h val="0.7092941760658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c12d57f-e923-41f8-b7fb-63e9b00f678a}"/>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财政拨款收入支出决算总体情况</a:t>
            </a:r>
          </a:p>
        </c:rich>
      </c:tx>
      <c:layout>
        <c:manualLayout>
          <c:xMode val="edge"/>
          <c:yMode val="edge"/>
          <c:x val="0.232894736842105"/>
          <c:y val="0.025462962962963"/>
        </c:manualLayout>
      </c:layout>
      <c:overlay val="0"/>
      <c:spPr>
        <a:noFill/>
        <a:ln>
          <a:noFill/>
        </a:ln>
        <a:effectLst/>
      </c:spPr>
    </c:title>
    <c:autoTitleDeleted val="0"/>
    <c:plotArea>
      <c:layout/>
      <c:barChart>
        <c:barDir val="col"/>
        <c:grouping val="clustered"/>
        <c:varyColors val="0"/>
        <c:ser>
          <c:idx val="0"/>
          <c:order val="0"/>
          <c:tx>
            <c:strRef>
              <c:f>'[新建 XLS 工作表.xls]Sheet1'!$B$55</c:f>
              <c:strCache>
                <c:ptCount val="1"/>
                <c:pt idx="0">
                  <c:v>收入</c:v>
                </c:pt>
              </c:strCache>
            </c:strRef>
          </c:tx>
          <c:spPr>
            <a:solidFill>
              <a:schemeClr val="accent1"/>
            </a:solidFill>
            <a:ln>
              <a:noFill/>
            </a:ln>
            <a:effectLst/>
          </c:spPr>
          <c:invertIfNegative val="0"/>
          <c:dLbls>
            <c:delete val="1"/>
          </c:dLbls>
          <c:cat>
            <c:strRef>
              <c:f>'[新建 XLS 工作表.xls]Sheet1'!$C$54:$D$54</c:f>
              <c:strCache>
                <c:ptCount val="2"/>
                <c:pt idx="0">
                  <c:v>2022年</c:v>
                </c:pt>
                <c:pt idx="1">
                  <c:v>2021年</c:v>
                </c:pt>
              </c:strCache>
            </c:strRef>
          </c:cat>
          <c:val>
            <c:numRef>
              <c:f>'[新建 XLS 工作表.xls]Sheet1'!$C$55:$D$55</c:f>
              <c:numCache>
                <c:formatCode>General</c:formatCode>
                <c:ptCount val="2"/>
                <c:pt idx="0">
                  <c:v>1470.79</c:v>
                </c:pt>
                <c:pt idx="1">
                  <c:v>1195.63</c:v>
                </c:pt>
              </c:numCache>
            </c:numRef>
          </c:val>
        </c:ser>
        <c:ser>
          <c:idx val="1"/>
          <c:order val="1"/>
          <c:tx>
            <c:strRef>
              <c:f>'[新建 XLS 工作表.xls]Sheet1'!$B$56</c:f>
              <c:strCache>
                <c:ptCount val="1"/>
                <c:pt idx="0">
                  <c:v>支出</c:v>
                </c:pt>
              </c:strCache>
            </c:strRef>
          </c:tx>
          <c:spPr>
            <a:solidFill>
              <a:schemeClr val="accent2"/>
            </a:solidFill>
            <a:ln>
              <a:noFill/>
            </a:ln>
            <a:effectLst/>
          </c:spPr>
          <c:invertIfNegative val="0"/>
          <c:dLbls>
            <c:delete val="1"/>
          </c:dLbls>
          <c:cat>
            <c:strRef>
              <c:f>'[新建 XLS 工作表.xls]Sheet1'!$C$54:$D$54</c:f>
              <c:strCache>
                <c:ptCount val="2"/>
                <c:pt idx="0">
                  <c:v>2022年</c:v>
                </c:pt>
                <c:pt idx="1">
                  <c:v>2021年</c:v>
                </c:pt>
              </c:strCache>
            </c:strRef>
          </c:cat>
          <c:val>
            <c:numRef>
              <c:f>'[新建 XLS 工作表.xls]Sheet1'!$C$56:$D$56</c:f>
              <c:numCache>
                <c:formatCode>General</c:formatCode>
                <c:ptCount val="2"/>
                <c:pt idx="0">
                  <c:v>1470.79</c:v>
                </c:pt>
                <c:pt idx="1">
                  <c:v>1195.63</c:v>
                </c:pt>
              </c:numCache>
            </c:numRef>
          </c:val>
        </c:ser>
        <c:dLbls>
          <c:showLegendKey val="0"/>
          <c:showVal val="0"/>
          <c:showCatName val="0"/>
          <c:showSerName val="0"/>
          <c:showPercent val="0"/>
          <c:showBubbleSize val="0"/>
        </c:dLbls>
        <c:gapWidth val="246"/>
        <c:overlap val="-28"/>
        <c:axId val="847271406"/>
        <c:axId val="975066862"/>
      </c:barChart>
      <c:catAx>
        <c:axId val="8472714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066862"/>
        <c:crosses val="autoZero"/>
        <c:auto val="1"/>
        <c:lblAlgn val="ctr"/>
        <c:lblOffset val="100"/>
        <c:noMultiLvlLbl val="0"/>
      </c:catAx>
      <c:valAx>
        <c:axId val="97506686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2714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c872ef-70fb-4bc4-b03b-6433bad3cf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87489063867"/>
          <c:y val="0.023148148148148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Sheet1!$G$78</c:f>
              <c:strCache>
                <c:ptCount val="1"/>
                <c:pt idx="0">
                  <c:v>一般公共预算财政拨款支出决算变动情况</c:v>
                </c:pt>
              </c:strCache>
            </c:strRef>
          </c:tx>
          <c:invertIfNegative val="0"/>
          <c:dLbls>
            <c:delete val="1"/>
          </c:dLbls>
          <c:cat>
            <c:strRef>
              <c:f>Sheet1!$H$77:$I$77</c:f>
              <c:strCache>
                <c:ptCount val="2"/>
                <c:pt idx="0">
                  <c:v>2022年</c:v>
                </c:pt>
                <c:pt idx="1">
                  <c:v>2021年</c:v>
                </c:pt>
              </c:strCache>
            </c:strRef>
          </c:cat>
          <c:val>
            <c:numRef>
              <c:f>Sheet1!$H$78:$I$78</c:f>
              <c:numCache>
                <c:formatCode>General</c:formatCode>
                <c:ptCount val="2"/>
                <c:pt idx="0">
                  <c:v>1470.79</c:v>
                </c:pt>
                <c:pt idx="1" c:formatCode="#,##0.00">
                  <c:v>1195.64</c:v>
                </c:pt>
              </c:numCache>
            </c:numRef>
          </c:val>
        </c:ser>
        <c:dLbls>
          <c:showLegendKey val="0"/>
          <c:showVal val="0"/>
          <c:showCatName val="0"/>
          <c:showSerName val="0"/>
          <c:showPercent val="0"/>
          <c:showBubbleSize val="0"/>
        </c:dLbls>
        <c:gapWidth val="150"/>
        <c:axId val="98387840"/>
        <c:axId val="98398592"/>
      </c:barChart>
      <c:catAx>
        <c:axId val="983878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8398592"/>
        <c:crosses val="autoZero"/>
        <c:auto val="1"/>
        <c:lblAlgn val="ctr"/>
        <c:lblOffset val="100"/>
        <c:noMultiLvlLbl val="0"/>
      </c:catAx>
      <c:valAx>
        <c:axId val="98398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8387840"/>
        <c:crosses val="autoZero"/>
        <c:crossBetween val="between"/>
      </c:valAx>
    </c:plotArea>
    <c:legend>
      <c:legendPos val="r"/>
      <c:layout>
        <c:manualLayout>
          <c:xMode val="edge"/>
          <c:yMode val="edge"/>
          <c:x val="0.644979545154621"/>
          <c:y val="0.350884056159647"/>
          <c:w val="0.34012287570199"/>
          <c:h val="0.37653876598758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30eb502-fdae-4413-8931-dcd000a4bee0}"/>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elete val="1"/>
          </c:dLbls>
          <c:cat>
            <c:strRef>
              <c:f>Sheet1!$H$95:$K$95</c:f>
              <c:strCache>
                <c:ptCount val="4"/>
                <c:pt idx="0">
                  <c:v>教育支出</c:v>
                </c:pt>
                <c:pt idx="1">
                  <c:v>社会保障和就业支出</c:v>
                </c:pt>
                <c:pt idx="2">
                  <c:v>卫生健康支出</c:v>
                </c:pt>
                <c:pt idx="3">
                  <c:v>住房保障支出</c:v>
                </c:pt>
              </c:strCache>
            </c:strRef>
          </c:cat>
          <c:val>
            <c:numRef>
              <c:f>Sheet1!$H$96:$K$96</c:f>
              <c:numCache>
                <c:formatCode>#,##0.00</c:formatCode>
                <c:ptCount val="4"/>
                <c:pt idx="0">
                  <c:v>1299.91</c:v>
                </c:pt>
                <c:pt idx="1">
                  <c:v>71.24</c:v>
                </c:pt>
                <c:pt idx="2">
                  <c:v>32.59</c:v>
                </c:pt>
                <c:pt idx="3">
                  <c:v>67.06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f725d9d-ae43-40dd-9936-630a43a8cc5f}"/>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5320</Words>
  <Characters>6188</Characters>
  <Lines>44</Lines>
  <Paragraphs>12</Paragraphs>
  <TotalTime>7</TotalTime>
  <ScaleCrop>false</ScaleCrop>
  <LinksUpToDate>false</LinksUpToDate>
  <CharactersWithSpaces>6207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2023-08-18T02:27:00Z</cp:lastPrinted>
  <dcterms:modified xsi:type="dcterms:W3CDTF">2025-01-21T07:25:29Z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1D793F3C13AE493DB2ED3B8FE836FDE7_12</vt:lpwstr>
  </property>
  <property fmtid="{D5CDD505-2E9C-101B-9397-08002B2CF9AE}" pid="4" name="KSOTemplateDocerSaveRecord">
    <vt:lpwstr>eyJoZGlkIjoiMjcwYjc0NzEyMzZlNTZmOWU5MGU4MTc5MzFmMjczNTkifQ==</vt:lpwstr>
  </property>
</Properties>
</file>