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05A36F">
      <w:pPr>
        <w:rPr>
          <w:rFonts w:hint="default" w:ascii="Times New Roman" w:hAnsi="Times New Roman" w:eastAsia="仿宋_GB2312" w:cs="Times New Roman"/>
          <w:sz w:val="36"/>
          <w:szCs w:val="36"/>
        </w:rPr>
      </w:pPr>
    </w:p>
    <w:p w14:paraId="2B843D4B">
      <w:pPr>
        <w:rPr>
          <w:rFonts w:hint="default" w:ascii="Times New Roman" w:hAnsi="Times New Roman" w:eastAsia="仿宋_GB2312" w:cs="Times New Roman"/>
          <w:sz w:val="36"/>
          <w:szCs w:val="36"/>
        </w:rPr>
      </w:pPr>
    </w:p>
    <w:p w14:paraId="055C87B7">
      <w:pPr>
        <w:rPr>
          <w:rFonts w:hint="default" w:ascii="Times New Roman" w:hAnsi="Times New Roman" w:eastAsia="仿宋_GB2312" w:cs="Times New Roman"/>
          <w:sz w:val="36"/>
          <w:szCs w:val="36"/>
        </w:rPr>
      </w:pPr>
    </w:p>
    <w:p w14:paraId="32751EBF">
      <w:pPr>
        <w:rPr>
          <w:rFonts w:hint="default" w:ascii="Times New Roman" w:hAnsi="Times New Roman" w:eastAsia="仿宋_GB2312" w:cs="Times New Roman"/>
          <w:sz w:val="36"/>
          <w:szCs w:val="36"/>
        </w:rPr>
      </w:pPr>
    </w:p>
    <w:p w14:paraId="0D8A984C">
      <w:pPr>
        <w:rPr>
          <w:rFonts w:hint="default" w:ascii="Times New Roman" w:hAnsi="Times New Roman" w:eastAsia="仿宋_GB2312" w:cs="Times New Roman"/>
          <w:sz w:val="36"/>
          <w:szCs w:val="36"/>
        </w:rPr>
      </w:pPr>
    </w:p>
    <w:p w14:paraId="02001B69">
      <w:pPr>
        <w:adjustRightInd w:val="0"/>
        <w:snapToGrid w:val="0"/>
        <w:jc w:val="center"/>
        <w:outlineLvl w:val="0"/>
        <w:rPr>
          <w:rFonts w:hint="default" w:ascii="Times New Roman" w:hAnsi="Times New Roman" w:eastAsia="方正小标宋_GBK" w:cs="Times New Roman"/>
          <w:bCs/>
          <w:sz w:val="72"/>
          <w:szCs w:val="72"/>
        </w:rPr>
      </w:pPr>
      <w:r>
        <w:rPr>
          <w:rFonts w:hint="default" w:ascii="Times New Roman" w:hAnsi="Times New Roman" w:eastAsia="方正小标宋_GBK" w:cs="Times New Roman"/>
          <w:bCs/>
          <w:sz w:val="72"/>
          <w:szCs w:val="72"/>
        </w:rPr>
        <w:t>建设项目环境影响报告表</w:t>
      </w:r>
    </w:p>
    <w:p w14:paraId="74E64B70">
      <w:pPr>
        <w:adjustRightInd w:val="0"/>
        <w:snapToGrid w:val="0"/>
        <w:spacing w:before="192" w:beforeLines="80"/>
        <w:jc w:val="center"/>
        <w:rPr>
          <w:rFonts w:hint="default" w:ascii="Times New Roman" w:hAnsi="Times New Roman" w:eastAsia="楷体_GB2312" w:cs="Times New Roman"/>
          <w:bCs/>
          <w:sz w:val="48"/>
          <w:szCs w:val="48"/>
        </w:rPr>
      </w:pPr>
      <w:r>
        <w:rPr>
          <w:rFonts w:hint="default" w:ascii="Times New Roman" w:hAnsi="Times New Roman" w:eastAsia="楷体_GB2312" w:cs="Times New Roman"/>
          <w:bCs/>
          <w:sz w:val="48"/>
          <w:szCs w:val="48"/>
        </w:rPr>
        <w:t>（</w:t>
      </w:r>
      <w:r>
        <w:rPr>
          <w:rFonts w:hint="eastAsia" w:ascii="Times New Roman" w:hAnsi="Times New Roman" w:eastAsia="楷体_GB2312" w:cs="Times New Roman"/>
          <w:bCs/>
          <w:sz w:val="48"/>
          <w:szCs w:val="48"/>
          <w:lang w:val="en-US" w:eastAsia="zh-CN"/>
        </w:rPr>
        <w:t>送审</w:t>
      </w:r>
      <w:r>
        <w:rPr>
          <w:rFonts w:hint="default" w:ascii="Times New Roman" w:hAnsi="Times New Roman" w:eastAsia="楷体_GB2312" w:cs="Times New Roman"/>
          <w:bCs/>
          <w:sz w:val="48"/>
          <w:szCs w:val="48"/>
        </w:rPr>
        <w:t>本）</w:t>
      </w:r>
    </w:p>
    <w:p w14:paraId="11553BFD">
      <w:pPr>
        <w:adjustRightInd w:val="0"/>
        <w:snapToGrid w:val="0"/>
        <w:spacing w:line="288" w:lineRule="auto"/>
        <w:jc w:val="center"/>
        <w:outlineLvl w:val="0"/>
        <w:rPr>
          <w:rFonts w:hint="default" w:ascii="Times New Roman" w:hAnsi="Times New Roman" w:eastAsia="华文仿宋" w:cs="Times New Roman"/>
          <w:color w:val="000000"/>
          <w:kern w:val="44"/>
          <w:sz w:val="44"/>
          <w:szCs w:val="44"/>
        </w:rPr>
      </w:pPr>
    </w:p>
    <w:p w14:paraId="6C729D05">
      <w:pPr>
        <w:jc w:val="center"/>
        <w:rPr>
          <w:rFonts w:hint="default" w:ascii="Times New Roman" w:hAnsi="Times New Roman" w:eastAsia="仿宋" w:cs="Times New Roman"/>
          <w:sz w:val="52"/>
          <w:szCs w:val="52"/>
        </w:rPr>
      </w:pPr>
    </w:p>
    <w:p w14:paraId="3B87A4C2">
      <w:pPr>
        <w:ind w:firstLine="1040"/>
        <w:rPr>
          <w:rFonts w:hint="default" w:ascii="Times New Roman" w:hAnsi="Times New Roman" w:eastAsia="仿宋" w:cs="Times New Roman"/>
          <w:sz w:val="44"/>
          <w:szCs w:val="44"/>
        </w:rPr>
      </w:pPr>
    </w:p>
    <w:p w14:paraId="1BB1675C">
      <w:pPr>
        <w:adjustRightInd w:val="0"/>
        <w:snapToGrid w:val="0"/>
        <w:spacing w:before="192" w:beforeLines="80"/>
        <w:jc w:val="left"/>
        <w:rPr>
          <w:rFonts w:hint="default" w:ascii="Times New Roman" w:hAnsi="Times New Roman" w:cs="Times New Roman"/>
          <w:b/>
          <w:bCs/>
          <w:sz w:val="24"/>
        </w:rPr>
      </w:pPr>
    </w:p>
    <w:p w14:paraId="31644078">
      <w:pPr>
        <w:adjustRightInd w:val="0"/>
        <w:snapToGrid w:val="0"/>
        <w:spacing w:before="192" w:beforeLines="80" w:line="480" w:lineRule="auto"/>
        <w:ind w:firstLine="421" w:firstLineChars="131"/>
        <w:jc w:val="left"/>
        <w:rPr>
          <w:rFonts w:hint="eastAsia"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项目名称：</w:t>
      </w:r>
      <w:r>
        <w:rPr>
          <w:rFonts w:hint="eastAsia" w:cs="Times New Roman"/>
          <w:b/>
          <w:bCs/>
          <w:sz w:val="32"/>
          <w:szCs w:val="32"/>
          <w:u w:val="single"/>
          <w:lang w:val="en-US" w:eastAsia="zh-CN"/>
        </w:rPr>
        <w:t xml:space="preserve">  </w:t>
      </w:r>
      <w:r>
        <w:rPr>
          <w:rFonts w:hint="default" w:ascii="Times New Roman" w:hAnsi="Times New Roman" w:cs="Times New Roman"/>
          <w:b/>
          <w:bCs/>
          <w:sz w:val="32"/>
          <w:szCs w:val="32"/>
          <w:u w:val="single"/>
        </w:rPr>
        <w:t>遂宁市安居区高铁附属工程建设项目</w:t>
      </w:r>
      <w:r>
        <w:rPr>
          <w:rFonts w:hint="eastAsia" w:cs="Times New Roman"/>
          <w:b/>
          <w:bCs/>
          <w:sz w:val="32"/>
          <w:szCs w:val="32"/>
          <w:u w:val="single"/>
          <w:lang w:val="en-US" w:eastAsia="zh-CN"/>
        </w:rPr>
        <w:t xml:space="preserve"> </w:t>
      </w:r>
    </w:p>
    <w:p w14:paraId="25160B65">
      <w:pPr>
        <w:adjustRightInd w:val="0"/>
        <w:snapToGrid w:val="0"/>
        <w:spacing w:before="192" w:beforeLines="80" w:line="480" w:lineRule="auto"/>
        <w:ind w:firstLine="421" w:firstLineChars="131"/>
        <w:jc w:val="left"/>
        <w:rPr>
          <w:rFonts w:hint="eastAsia" w:ascii="Times New Roman" w:hAnsi="Times New Roman" w:eastAsia="宋体" w:cs="Times New Roman"/>
          <w:b/>
          <w:bCs/>
          <w:sz w:val="32"/>
          <w:szCs w:val="32"/>
          <w:lang w:eastAsia="zh-CN"/>
        </w:rPr>
      </w:pPr>
      <w:r>
        <w:rPr>
          <w:rFonts w:hint="default" w:ascii="Times New Roman" w:hAnsi="Times New Roman" w:cs="Times New Roman"/>
          <w:b/>
          <w:bCs/>
          <w:sz w:val="32"/>
          <w:szCs w:val="32"/>
        </w:rPr>
        <w:t>建设单位（盖章）：</w:t>
      </w:r>
      <w:r>
        <w:rPr>
          <w:rFonts w:hint="eastAsia" w:ascii="Times New Roman" w:hAnsi="Times New Roman" w:cs="Times New Roman"/>
          <w:b/>
          <w:bCs/>
          <w:sz w:val="32"/>
          <w:szCs w:val="32"/>
          <w:u w:val="single"/>
          <w:lang w:eastAsia="zh-CN"/>
        </w:rPr>
        <w:t>遂宁市安居区盛达运航建材厂</w:t>
      </w:r>
    </w:p>
    <w:p w14:paraId="652369A8">
      <w:pPr>
        <w:adjustRightInd w:val="0"/>
        <w:snapToGrid w:val="0"/>
        <w:spacing w:before="192" w:beforeLines="80" w:line="480" w:lineRule="auto"/>
        <w:ind w:firstLine="421" w:firstLineChars="131"/>
        <w:jc w:val="left"/>
        <w:rPr>
          <w:rFonts w:hint="default"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编制日期：</w:t>
      </w:r>
      <w:r>
        <w:rPr>
          <w:rFonts w:hint="eastAsia" w:cs="Times New Roman"/>
          <w:b/>
          <w:bCs/>
          <w:sz w:val="32"/>
          <w:szCs w:val="32"/>
          <w:u w:val="single"/>
          <w:lang w:val="en-US" w:eastAsia="zh-CN"/>
        </w:rPr>
        <w:t xml:space="preserve">           </w:t>
      </w:r>
      <w:r>
        <w:rPr>
          <w:rFonts w:hint="default" w:ascii="Times New Roman" w:hAnsi="Times New Roman" w:cs="Times New Roman"/>
          <w:b/>
          <w:bCs/>
          <w:sz w:val="32"/>
          <w:szCs w:val="32"/>
          <w:u w:val="single"/>
        </w:rPr>
        <w:t>202</w:t>
      </w:r>
      <w:r>
        <w:rPr>
          <w:rFonts w:hint="eastAsia" w:ascii="Times New Roman" w:hAnsi="Times New Roman" w:cs="Times New Roman"/>
          <w:b/>
          <w:bCs/>
          <w:sz w:val="32"/>
          <w:szCs w:val="32"/>
          <w:u w:val="single"/>
          <w:lang w:val="en-US" w:eastAsia="zh-CN"/>
        </w:rPr>
        <w:t>3</w:t>
      </w:r>
      <w:r>
        <w:rPr>
          <w:rFonts w:hint="default" w:ascii="Times New Roman" w:hAnsi="Times New Roman" w:cs="Times New Roman"/>
          <w:b/>
          <w:bCs/>
          <w:sz w:val="32"/>
          <w:szCs w:val="32"/>
          <w:u w:val="single"/>
        </w:rPr>
        <w:t>年</w:t>
      </w:r>
      <w:r>
        <w:rPr>
          <w:rFonts w:hint="eastAsia" w:ascii="Times New Roman" w:hAnsi="Times New Roman" w:cs="Times New Roman"/>
          <w:b/>
          <w:bCs/>
          <w:sz w:val="32"/>
          <w:szCs w:val="32"/>
          <w:u w:val="single"/>
          <w:lang w:val="en-US" w:eastAsia="zh-CN"/>
        </w:rPr>
        <w:t>10</w:t>
      </w:r>
      <w:r>
        <w:rPr>
          <w:rFonts w:hint="default" w:ascii="Times New Roman" w:hAnsi="Times New Roman" w:cs="Times New Roman"/>
          <w:b/>
          <w:bCs/>
          <w:sz w:val="32"/>
          <w:szCs w:val="32"/>
          <w:u w:val="single"/>
        </w:rPr>
        <w:t>月</w:t>
      </w:r>
      <w:r>
        <w:rPr>
          <w:rFonts w:hint="eastAsia" w:cs="Times New Roman"/>
          <w:b/>
          <w:bCs/>
          <w:sz w:val="32"/>
          <w:szCs w:val="32"/>
          <w:u w:val="single"/>
          <w:lang w:val="en-US" w:eastAsia="zh-CN"/>
        </w:rPr>
        <w:t xml:space="preserve">            </w:t>
      </w:r>
    </w:p>
    <w:p w14:paraId="07BDDA4B">
      <w:pPr>
        <w:adjustRightInd w:val="0"/>
        <w:snapToGrid w:val="0"/>
        <w:spacing w:line="288" w:lineRule="auto"/>
        <w:ind w:firstLine="1040"/>
        <w:rPr>
          <w:rFonts w:hint="default" w:ascii="Times New Roman" w:hAnsi="Times New Roman" w:eastAsia="仿宋_GB2312" w:cs="Times New Roman"/>
          <w:sz w:val="32"/>
          <w:szCs w:val="32"/>
          <w:u w:val="single"/>
        </w:rPr>
      </w:pPr>
      <w:bookmarkStart w:id="0" w:name="_Hlk57884087"/>
    </w:p>
    <w:p w14:paraId="6C84920A">
      <w:pPr>
        <w:adjustRightInd w:val="0"/>
        <w:snapToGrid w:val="0"/>
        <w:spacing w:line="288" w:lineRule="auto"/>
        <w:ind w:firstLine="1040"/>
        <w:rPr>
          <w:rFonts w:hint="default" w:ascii="Times New Roman" w:hAnsi="Times New Roman" w:eastAsia="仿宋_GB2312" w:cs="Times New Roman"/>
          <w:sz w:val="36"/>
          <w:szCs w:val="36"/>
        </w:rPr>
      </w:pPr>
    </w:p>
    <w:p w14:paraId="59C176F2">
      <w:pPr>
        <w:adjustRightInd w:val="0"/>
        <w:snapToGrid w:val="0"/>
        <w:spacing w:line="288" w:lineRule="auto"/>
        <w:ind w:firstLine="1040"/>
        <w:rPr>
          <w:rFonts w:hint="default" w:ascii="Times New Roman" w:hAnsi="Times New Roman" w:eastAsia="仿宋_GB2312" w:cs="Times New Roman"/>
          <w:sz w:val="36"/>
          <w:szCs w:val="36"/>
        </w:rPr>
      </w:pPr>
    </w:p>
    <w:p w14:paraId="344370DA">
      <w:pPr>
        <w:adjustRightInd w:val="0"/>
        <w:snapToGrid w:val="0"/>
        <w:spacing w:line="288" w:lineRule="auto"/>
        <w:ind w:firstLine="1040"/>
        <w:rPr>
          <w:rFonts w:hint="default" w:ascii="Times New Roman" w:hAnsi="Times New Roman" w:eastAsia="仿宋_GB2312" w:cs="Times New Roman"/>
          <w:sz w:val="36"/>
          <w:szCs w:val="36"/>
        </w:rPr>
      </w:pPr>
    </w:p>
    <w:bookmarkEnd w:id="0"/>
    <w:p w14:paraId="51ED8AB8">
      <w:pPr>
        <w:adjustRightInd w:val="0"/>
        <w:snapToGrid w:val="0"/>
        <w:spacing w:line="288" w:lineRule="auto"/>
        <w:jc w:val="center"/>
        <w:rPr>
          <w:rFonts w:hint="default" w:ascii="Times New Roman" w:hAnsi="Times New Roman" w:eastAsia="仿宋_GB2312" w:cs="Times New Roman"/>
          <w:sz w:val="36"/>
          <w:szCs w:val="36"/>
        </w:rPr>
        <w:sectPr>
          <w:footerReference r:id="rId3" w:type="default"/>
          <w:footerReference r:id="rId4" w:type="even"/>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r>
        <w:rPr>
          <w:rFonts w:hint="default" w:ascii="Times New Roman" w:hAnsi="Times New Roman" w:eastAsia="楷体_GB2312" w:cs="Times New Roman"/>
          <w:sz w:val="36"/>
          <w:szCs w:val="36"/>
        </w:rPr>
        <w:t>中华人民共和国生态环境部制</w:t>
      </w:r>
    </w:p>
    <w:p w14:paraId="15C7D3CD">
      <w:pPr>
        <w:pStyle w:val="19"/>
        <w:spacing w:before="0" w:beforeAutospacing="0" w:after="0" w:afterAutospacing="0"/>
        <w:outlineLvl w:val="0"/>
        <w:rPr>
          <w:rFonts w:hint="default" w:ascii="Times New Roman" w:hAnsi="Times New Roman" w:eastAsia="黑体" w:cs="Times New Roman"/>
          <w:snapToGrid w:val="0"/>
          <w:sz w:val="30"/>
          <w:szCs w:val="30"/>
        </w:rPr>
      </w:pPr>
      <w:r>
        <w:rPr>
          <w:rFonts w:hint="default" w:ascii="Times New Roman" w:hAnsi="Times New Roman" w:eastAsia="黑体" w:cs="Times New Roman"/>
          <w:snapToGrid w:val="0"/>
          <w:sz w:val="30"/>
          <w:szCs w:val="30"/>
        </w:rPr>
        <w:t>一、建设项目基本情况</w:t>
      </w:r>
    </w:p>
    <w:tbl>
      <w:tblPr>
        <w:tblStyle w:val="22"/>
        <w:tblW w:w="902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755"/>
        <w:gridCol w:w="2114"/>
        <w:gridCol w:w="2362"/>
        <w:gridCol w:w="2798"/>
      </w:tblGrid>
      <w:tr w14:paraId="2F341A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60C32361">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建设项目名称</w:t>
            </w:r>
          </w:p>
        </w:tc>
        <w:tc>
          <w:tcPr>
            <w:tcW w:w="7274" w:type="dxa"/>
            <w:gridSpan w:val="3"/>
            <w:noWrap w:val="0"/>
            <w:vAlign w:val="center"/>
          </w:tcPr>
          <w:p w14:paraId="225D6378">
            <w:pPr>
              <w:adjustRightInd w:val="0"/>
              <w:snapToGrid w:val="0"/>
              <w:jc w:val="center"/>
              <w:rPr>
                <w:rFonts w:hint="eastAsia" w:ascii="Times New Roman" w:hAnsi="Times New Roman" w:eastAsia="宋体" w:cs="Times New Roman"/>
                <w:szCs w:val="21"/>
                <w:lang w:eastAsia="zh-CN"/>
              </w:rPr>
            </w:pPr>
            <w:r>
              <w:rPr>
                <w:rFonts w:hint="eastAsia" w:ascii="Times New Roman" w:hAnsi="Times New Roman" w:cs="Times New Roman"/>
                <w:szCs w:val="21"/>
                <w:lang w:eastAsia="zh-CN"/>
              </w:rPr>
              <w:t>遂宁市安居区高铁附属工程建设项目</w:t>
            </w:r>
          </w:p>
        </w:tc>
      </w:tr>
      <w:tr w14:paraId="0263F7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34798659">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项目代码</w:t>
            </w:r>
          </w:p>
        </w:tc>
        <w:tc>
          <w:tcPr>
            <w:tcW w:w="7274" w:type="dxa"/>
            <w:gridSpan w:val="3"/>
            <w:noWrap w:val="0"/>
            <w:vAlign w:val="center"/>
          </w:tcPr>
          <w:p w14:paraId="5CDECCC3">
            <w:pPr>
              <w:adjustRightInd w:val="0"/>
              <w:snapToGrid w:val="0"/>
              <w:jc w:val="center"/>
              <w:rPr>
                <w:rFonts w:hint="default" w:ascii="Times New Roman" w:hAnsi="Times New Roman" w:cs="Times New Roman"/>
                <w:szCs w:val="21"/>
              </w:rPr>
            </w:pPr>
            <w:r>
              <w:rPr>
                <w:rFonts w:hint="eastAsia" w:ascii="Times New Roman" w:hAnsi="Times New Roman" w:cs="Times New Roman"/>
                <w:szCs w:val="21"/>
                <w:lang w:eastAsia="zh-CN"/>
              </w:rPr>
              <w:t>2304-510904-04-01-565411</w:t>
            </w:r>
          </w:p>
        </w:tc>
      </w:tr>
      <w:tr w14:paraId="7EEA63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3A7751FF">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建设单位联系人</w:t>
            </w:r>
          </w:p>
        </w:tc>
        <w:tc>
          <w:tcPr>
            <w:tcW w:w="2114" w:type="dxa"/>
            <w:noWrap w:val="0"/>
            <w:vAlign w:val="center"/>
          </w:tcPr>
          <w:p w14:paraId="63F19AA5">
            <w:pPr>
              <w:adjustRightInd w:val="0"/>
              <w:snapToGrid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蒋继民</w:t>
            </w:r>
          </w:p>
        </w:tc>
        <w:tc>
          <w:tcPr>
            <w:tcW w:w="2362" w:type="dxa"/>
            <w:noWrap w:val="0"/>
            <w:vAlign w:val="center"/>
          </w:tcPr>
          <w:p w14:paraId="3058D597">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联系方式</w:t>
            </w:r>
          </w:p>
        </w:tc>
        <w:tc>
          <w:tcPr>
            <w:tcW w:w="2798" w:type="dxa"/>
            <w:noWrap w:val="0"/>
            <w:vAlign w:val="center"/>
          </w:tcPr>
          <w:p w14:paraId="7DDBA2E4">
            <w:pPr>
              <w:adjustRightInd w:val="0"/>
              <w:snapToGrid w:val="0"/>
              <w:jc w:val="center"/>
              <w:rPr>
                <w:rFonts w:hint="default" w:ascii="Times New Roman" w:hAnsi="Times New Roman" w:cs="Times New Roman"/>
                <w:szCs w:val="21"/>
              </w:rPr>
            </w:pPr>
            <w:r>
              <w:rPr>
                <w:rFonts w:hint="eastAsia" w:cs="Times New Roman"/>
                <w:szCs w:val="21"/>
                <w:lang w:val="en-US" w:eastAsia="zh-CN"/>
              </w:rPr>
              <w:t xml:space="preserve"> </w:t>
            </w:r>
          </w:p>
        </w:tc>
      </w:tr>
      <w:tr w14:paraId="43807B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65D219F8">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建设地点</w:t>
            </w:r>
          </w:p>
        </w:tc>
        <w:tc>
          <w:tcPr>
            <w:tcW w:w="7274" w:type="dxa"/>
            <w:gridSpan w:val="3"/>
            <w:noWrap w:val="0"/>
            <w:vAlign w:val="center"/>
          </w:tcPr>
          <w:p w14:paraId="4F5403DA">
            <w:pPr>
              <w:adjustRightInd w:val="0"/>
              <w:snapToGrid w:val="0"/>
              <w:jc w:val="center"/>
              <w:rPr>
                <w:rFonts w:hint="default" w:ascii="Times New Roman" w:hAnsi="Times New Roman" w:eastAsia="宋体" w:cs="Times New Roman"/>
                <w:szCs w:val="21"/>
                <w:lang w:val="en-US" w:eastAsia="zh-CN"/>
              </w:rPr>
            </w:pPr>
            <w:r>
              <w:rPr>
                <w:rFonts w:hint="default" w:ascii="Times New Roman" w:hAnsi="Times New Roman" w:cs="Times New Roman"/>
              </w:rPr>
              <w:t>四川省遂宁市</w:t>
            </w:r>
            <w:r>
              <w:rPr>
                <w:rFonts w:hint="eastAsia" w:ascii="Times New Roman" w:hAnsi="Times New Roman" w:cs="Times New Roman"/>
                <w:lang w:val="en-US" w:eastAsia="zh-CN"/>
              </w:rPr>
              <w:t>安居区</w:t>
            </w:r>
            <w:r>
              <w:rPr>
                <w:rFonts w:hint="default" w:ascii="Times New Roman" w:hAnsi="Times New Roman" w:cs="Times New Roman"/>
              </w:rPr>
              <w:t>白马镇卧龙桥村8社</w:t>
            </w:r>
          </w:p>
        </w:tc>
      </w:tr>
      <w:tr w14:paraId="228CB8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4C0E57A8">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地理坐标</w:t>
            </w:r>
          </w:p>
        </w:tc>
        <w:tc>
          <w:tcPr>
            <w:tcW w:w="7274" w:type="dxa"/>
            <w:gridSpan w:val="3"/>
            <w:noWrap w:val="0"/>
            <w:vAlign w:val="center"/>
          </w:tcPr>
          <w:p w14:paraId="464B6C8A">
            <w:pPr>
              <w:jc w:val="center"/>
              <w:rPr>
                <w:rFonts w:hint="default" w:ascii="Times New Roman" w:hAnsi="Times New Roman" w:cs="Times New Roman"/>
                <w:szCs w:val="21"/>
              </w:rPr>
            </w:pPr>
            <w:r>
              <w:rPr>
                <w:rFonts w:hint="default" w:ascii="Times New Roman" w:hAnsi="Times New Roman" w:cs="Times New Roman"/>
                <w:szCs w:val="21"/>
              </w:rPr>
              <w:t>（</w:t>
            </w:r>
            <w:r>
              <w:rPr>
                <w:rFonts w:hint="default" w:ascii="Times New Roman" w:hAnsi="Times New Roman" w:cs="Times New Roman"/>
                <w:szCs w:val="21"/>
                <w:u w:val="single"/>
              </w:rPr>
              <w:t>105</w:t>
            </w:r>
            <w:r>
              <w:rPr>
                <w:rFonts w:hint="default" w:ascii="Times New Roman" w:hAnsi="Times New Roman" w:cs="Times New Roman"/>
                <w:szCs w:val="21"/>
              </w:rPr>
              <w:t>度</w:t>
            </w:r>
            <w:r>
              <w:rPr>
                <w:rFonts w:hint="eastAsia" w:ascii="Times New Roman" w:hAnsi="Times New Roman" w:cs="Times New Roman"/>
                <w:szCs w:val="21"/>
                <w:u w:val="single"/>
                <w:lang w:val="en-US" w:eastAsia="zh-CN"/>
              </w:rPr>
              <w:t>19</w:t>
            </w:r>
            <w:r>
              <w:rPr>
                <w:rFonts w:hint="default" w:ascii="Times New Roman" w:hAnsi="Times New Roman" w:cs="Times New Roman"/>
                <w:szCs w:val="21"/>
              </w:rPr>
              <w:t>分</w:t>
            </w:r>
            <w:r>
              <w:rPr>
                <w:rFonts w:hint="eastAsia" w:ascii="Times New Roman" w:hAnsi="Times New Roman" w:cs="Times New Roman"/>
                <w:szCs w:val="21"/>
                <w:u w:val="single"/>
                <w:lang w:val="en-US" w:eastAsia="zh-CN"/>
              </w:rPr>
              <w:t>13.603</w:t>
            </w:r>
            <w:r>
              <w:rPr>
                <w:rFonts w:hint="default" w:ascii="Times New Roman" w:hAnsi="Times New Roman" w:cs="Times New Roman"/>
                <w:szCs w:val="21"/>
              </w:rPr>
              <w:t>秒，</w:t>
            </w:r>
            <w:r>
              <w:rPr>
                <w:rFonts w:hint="default" w:ascii="Times New Roman" w:hAnsi="Times New Roman" w:cs="Times New Roman"/>
                <w:szCs w:val="21"/>
                <w:u w:val="single"/>
              </w:rPr>
              <w:t>30</w:t>
            </w:r>
            <w:r>
              <w:rPr>
                <w:rFonts w:hint="default" w:ascii="Times New Roman" w:hAnsi="Times New Roman" w:cs="Times New Roman"/>
                <w:szCs w:val="21"/>
              </w:rPr>
              <w:t>度</w:t>
            </w:r>
            <w:r>
              <w:rPr>
                <w:rFonts w:hint="eastAsia" w:ascii="Times New Roman" w:hAnsi="Times New Roman" w:cs="Times New Roman"/>
                <w:szCs w:val="21"/>
                <w:u w:val="single"/>
                <w:lang w:val="en-US" w:eastAsia="zh-CN"/>
              </w:rPr>
              <w:t>27</w:t>
            </w:r>
            <w:r>
              <w:rPr>
                <w:rFonts w:hint="default" w:ascii="Times New Roman" w:hAnsi="Times New Roman" w:cs="Times New Roman"/>
                <w:szCs w:val="21"/>
              </w:rPr>
              <w:t>分</w:t>
            </w:r>
            <w:r>
              <w:rPr>
                <w:rFonts w:hint="eastAsia" w:ascii="Times New Roman" w:hAnsi="Times New Roman" w:cs="Times New Roman"/>
                <w:szCs w:val="21"/>
                <w:u w:val="single"/>
                <w:lang w:val="en-US" w:eastAsia="zh-CN"/>
              </w:rPr>
              <w:t>23.437</w:t>
            </w:r>
            <w:r>
              <w:rPr>
                <w:rFonts w:hint="default" w:ascii="Times New Roman" w:hAnsi="Times New Roman" w:cs="Times New Roman"/>
                <w:szCs w:val="21"/>
              </w:rPr>
              <w:t>秒）</w:t>
            </w:r>
          </w:p>
        </w:tc>
      </w:tr>
      <w:tr w14:paraId="3ED019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755" w:type="dxa"/>
            <w:noWrap w:val="0"/>
            <w:tcMar>
              <w:top w:w="16" w:type="dxa"/>
              <w:left w:w="16" w:type="dxa"/>
              <w:right w:w="16" w:type="dxa"/>
            </w:tcMar>
            <w:vAlign w:val="center"/>
          </w:tcPr>
          <w:p w14:paraId="48AD6719">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国民经济</w:t>
            </w:r>
          </w:p>
          <w:p w14:paraId="6726E0E7">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行业类别</w:t>
            </w:r>
          </w:p>
        </w:tc>
        <w:tc>
          <w:tcPr>
            <w:tcW w:w="2114" w:type="dxa"/>
            <w:noWrap w:val="0"/>
            <w:vAlign w:val="center"/>
          </w:tcPr>
          <w:p w14:paraId="62525B27">
            <w:pPr>
              <w:adjustRightInd w:val="0"/>
              <w:snapToGrid w:val="0"/>
              <w:jc w:val="center"/>
              <w:rPr>
                <w:rFonts w:hint="default" w:ascii="Times New Roman" w:hAnsi="Times New Roman" w:eastAsia="宋体" w:cs="Times New Roman"/>
                <w:lang w:val="en-US" w:eastAsia="zh-CN"/>
              </w:rPr>
            </w:pPr>
            <w:r>
              <w:rPr>
                <w:rFonts w:hint="default" w:ascii="Times New Roman" w:hAnsi="Times New Roman" w:cs="Times New Roman"/>
              </w:rPr>
              <w:t>C30</w:t>
            </w:r>
            <w:r>
              <w:rPr>
                <w:rFonts w:hint="eastAsia" w:ascii="Times New Roman" w:hAnsi="Times New Roman" w:cs="Times New Roman"/>
                <w:lang w:val="en-US" w:eastAsia="zh-CN"/>
              </w:rPr>
              <w:t>39其他建筑材料制造</w:t>
            </w:r>
          </w:p>
        </w:tc>
        <w:tc>
          <w:tcPr>
            <w:tcW w:w="2362" w:type="dxa"/>
            <w:noWrap w:val="0"/>
            <w:vAlign w:val="center"/>
          </w:tcPr>
          <w:p w14:paraId="7E4E8BE4">
            <w:pPr>
              <w:adjustRightInd w:val="0"/>
              <w:snapToGrid w:val="0"/>
              <w:jc w:val="center"/>
              <w:rPr>
                <w:rFonts w:hint="default" w:ascii="Times New Roman" w:hAnsi="Times New Roman" w:cs="Times New Roman"/>
                <w:szCs w:val="21"/>
              </w:rPr>
            </w:pPr>
            <w:bookmarkStart w:id="1" w:name="_Hlk49843745"/>
            <w:r>
              <w:rPr>
                <w:rFonts w:hint="default" w:ascii="Times New Roman" w:hAnsi="Times New Roman" w:cs="Times New Roman"/>
                <w:szCs w:val="21"/>
              </w:rPr>
              <w:t>建设项目</w:t>
            </w:r>
          </w:p>
          <w:p w14:paraId="2AFC1077">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行业类别</w:t>
            </w:r>
            <w:bookmarkEnd w:id="1"/>
          </w:p>
        </w:tc>
        <w:tc>
          <w:tcPr>
            <w:tcW w:w="2798" w:type="dxa"/>
            <w:noWrap w:val="0"/>
            <w:vAlign w:val="center"/>
          </w:tcPr>
          <w:p w14:paraId="6A085309">
            <w:pPr>
              <w:adjustRightInd w:val="0"/>
              <w:snapToGrid w:val="0"/>
              <w:jc w:val="left"/>
              <w:rPr>
                <w:rFonts w:hint="default" w:ascii="Times New Roman" w:hAnsi="Times New Roman" w:eastAsia="宋体" w:cs="Times New Roman"/>
                <w:lang w:val="en-US" w:eastAsia="zh-CN"/>
              </w:rPr>
            </w:pPr>
            <w:r>
              <w:rPr>
                <w:rFonts w:hint="default" w:ascii="Times New Roman" w:hAnsi="Times New Roman" w:cs="Times New Roman"/>
              </w:rPr>
              <w:t>二十七、非金属矿物制品业56.砖瓦、石材等建筑材料制造</w:t>
            </w:r>
            <w:r>
              <w:rPr>
                <w:rFonts w:hint="eastAsia" w:ascii="Times New Roman" w:hAnsi="Times New Roman" w:cs="Times New Roman"/>
                <w:lang w:val="en-US" w:eastAsia="zh-CN"/>
              </w:rPr>
              <w:t>303</w:t>
            </w:r>
          </w:p>
        </w:tc>
      </w:tr>
      <w:tr w14:paraId="05A996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113" w:hRule="atLeast"/>
          <w:jc w:val="center"/>
        </w:trPr>
        <w:tc>
          <w:tcPr>
            <w:tcW w:w="1755" w:type="dxa"/>
            <w:noWrap w:val="0"/>
            <w:tcMar>
              <w:top w:w="16" w:type="dxa"/>
              <w:left w:w="16" w:type="dxa"/>
              <w:right w:w="16" w:type="dxa"/>
            </w:tcMar>
            <w:vAlign w:val="center"/>
          </w:tcPr>
          <w:p w14:paraId="0D9879C0">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建设性质</w:t>
            </w:r>
          </w:p>
        </w:tc>
        <w:tc>
          <w:tcPr>
            <w:tcW w:w="2114" w:type="dxa"/>
            <w:noWrap w:val="0"/>
            <w:vAlign w:val="center"/>
          </w:tcPr>
          <w:p w14:paraId="38658FF9">
            <w:pPr>
              <w:jc w:val="center"/>
              <w:rPr>
                <w:rFonts w:hint="default" w:ascii="Times New Roman" w:hAnsi="Times New Roman" w:cs="Times New Roman"/>
                <w:szCs w:val="21"/>
              </w:rPr>
            </w:pPr>
            <w:r>
              <w:rPr>
                <w:rFonts w:hint="default" w:ascii="Times New Roman" w:hAnsi="Times New Roman" w:cs="Times New Roman"/>
                <w:szCs w:val="21"/>
              </w:rPr>
              <w:sym w:font="Wingdings 2" w:char="0052"/>
            </w:r>
            <w:r>
              <w:rPr>
                <w:rFonts w:hint="default" w:ascii="Times New Roman" w:hAnsi="Times New Roman" w:cs="Times New Roman"/>
                <w:szCs w:val="21"/>
              </w:rPr>
              <w:t>新建（迁建）</w:t>
            </w:r>
          </w:p>
          <w:p w14:paraId="5E69AD25">
            <w:pPr>
              <w:jc w:val="center"/>
              <w:rPr>
                <w:rFonts w:hint="default" w:ascii="Times New Roman" w:hAnsi="Times New Roman" w:cs="Times New Roman"/>
                <w:szCs w:val="21"/>
              </w:rPr>
            </w:pPr>
            <w:r>
              <w:rPr>
                <w:rFonts w:hint="default" w:ascii="Times New Roman" w:hAnsi="Times New Roman" w:cs="Times New Roman"/>
                <w:szCs w:val="21"/>
              </w:rPr>
              <w:sym w:font="Wingdings 2" w:char="00A3"/>
            </w:r>
            <w:r>
              <w:rPr>
                <w:rFonts w:hint="default" w:ascii="Times New Roman" w:hAnsi="Times New Roman" w:cs="Times New Roman"/>
                <w:szCs w:val="21"/>
              </w:rPr>
              <w:t>改建</w:t>
            </w:r>
          </w:p>
          <w:p w14:paraId="03200C0E">
            <w:pPr>
              <w:jc w:val="center"/>
              <w:rPr>
                <w:rFonts w:hint="default" w:ascii="Times New Roman" w:hAnsi="Times New Roman" w:cs="Times New Roman"/>
                <w:szCs w:val="21"/>
              </w:rPr>
            </w:pPr>
            <w:r>
              <w:rPr>
                <w:rFonts w:hint="default" w:ascii="Times New Roman" w:hAnsi="Times New Roman" w:cs="Times New Roman"/>
                <w:szCs w:val="21"/>
              </w:rPr>
              <w:sym w:font="Wingdings 2" w:char="00A3"/>
            </w:r>
            <w:r>
              <w:rPr>
                <w:rFonts w:hint="default" w:ascii="Times New Roman" w:hAnsi="Times New Roman" w:cs="Times New Roman"/>
                <w:szCs w:val="21"/>
              </w:rPr>
              <w:t>扩建</w:t>
            </w:r>
          </w:p>
          <w:p w14:paraId="77DDBDC8">
            <w:pPr>
              <w:jc w:val="center"/>
              <w:rPr>
                <w:rFonts w:hint="default" w:ascii="Times New Roman" w:hAnsi="Times New Roman" w:cs="Times New Roman"/>
                <w:szCs w:val="21"/>
              </w:rPr>
            </w:pPr>
            <w:r>
              <w:rPr>
                <w:rFonts w:hint="default" w:ascii="Times New Roman" w:hAnsi="Times New Roman" w:cs="Times New Roman"/>
                <w:szCs w:val="21"/>
              </w:rPr>
              <w:sym w:font="Wingdings 2" w:char="00A3"/>
            </w:r>
            <w:r>
              <w:rPr>
                <w:rFonts w:hint="default" w:ascii="Times New Roman" w:hAnsi="Times New Roman" w:cs="Times New Roman"/>
                <w:szCs w:val="21"/>
              </w:rPr>
              <w:t>技术改造</w:t>
            </w:r>
          </w:p>
        </w:tc>
        <w:tc>
          <w:tcPr>
            <w:tcW w:w="2362" w:type="dxa"/>
            <w:noWrap w:val="0"/>
            <w:vAlign w:val="center"/>
          </w:tcPr>
          <w:p w14:paraId="7C759F39">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建设项目</w:t>
            </w:r>
          </w:p>
          <w:p w14:paraId="6C183130">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申报情形</w:t>
            </w:r>
          </w:p>
        </w:tc>
        <w:tc>
          <w:tcPr>
            <w:tcW w:w="2798" w:type="dxa"/>
            <w:noWrap w:val="0"/>
            <w:vAlign w:val="center"/>
          </w:tcPr>
          <w:p w14:paraId="18373022">
            <w:pPr>
              <w:jc w:val="center"/>
              <w:rPr>
                <w:rFonts w:hint="default" w:ascii="Times New Roman" w:hAnsi="Times New Roman" w:cs="Times New Roman"/>
                <w:szCs w:val="21"/>
              </w:rPr>
            </w:pPr>
            <w:r>
              <w:rPr>
                <w:rFonts w:hint="default" w:ascii="Times New Roman" w:hAnsi="Times New Roman" w:cs="Times New Roman"/>
                <w:szCs w:val="21"/>
              </w:rPr>
              <w:sym w:font="Wingdings 2" w:char="0052"/>
            </w:r>
            <w:r>
              <w:rPr>
                <w:rFonts w:hint="default" w:ascii="Times New Roman" w:hAnsi="Times New Roman" w:cs="Times New Roman"/>
                <w:szCs w:val="21"/>
              </w:rPr>
              <w:t>首次申报项目</w:t>
            </w:r>
          </w:p>
          <w:p w14:paraId="25F4F001">
            <w:pPr>
              <w:jc w:val="center"/>
              <w:rPr>
                <w:rFonts w:hint="default" w:ascii="Times New Roman" w:hAnsi="Times New Roman" w:cs="Times New Roman"/>
                <w:szCs w:val="21"/>
              </w:rPr>
            </w:pPr>
            <w:r>
              <w:rPr>
                <w:rFonts w:hint="default" w:ascii="Times New Roman" w:hAnsi="Times New Roman" w:cs="Times New Roman"/>
                <w:szCs w:val="21"/>
              </w:rPr>
              <w:sym w:font="Wingdings 2" w:char="00A3"/>
            </w:r>
            <w:r>
              <w:rPr>
                <w:rFonts w:hint="default" w:ascii="Times New Roman" w:hAnsi="Times New Roman" w:cs="Times New Roman"/>
                <w:szCs w:val="21"/>
              </w:rPr>
              <w:t>不予批准后再次申报项目</w:t>
            </w:r>
          </w:p>
          <w:p w14:paraId="2A60EB26">
            <w:pPr>
              <w:jc w:val="center"/>
              <w:rPr>
                <w:rFonts w:hint="default" w:ascii="Times New Roman" w:hAnsi="Times New Roman" w:cs="Times New Roman"/>
                <w:szCs w:val="21"/>
              </w:rPr>
            </w:pPr>
            <w:r>
              <w:rPr>
                <w:rFonts w:hint="default" w:ascii="Times New Roman" w:hAnsi="Times New Roman" w:cs="Times New Roman"/>
                <w:szCs w:val="21"/>
              </w:rPr>
              <w:sym w:font="Wingdings 2" w:char="00A3"/>
            </w:r>
            <w:r>
              <w:rPr>
                <w:rFonts w:hint="default" w:ascii="Times New Roman" w:hAnsi="Times New Roman" w:cs="Times New Roman"/>
                <w:szCs w:val="21"/>
              </w:rPr>
              <w:t>超五年重新审核项目</w:t>
            </w:r>
          </w:p>
          <w:p w14:paraId="08B5CD53">
            <w:pPr>
              <w:jc w:val="center"/>
              <w:rPr>
                <w:rFonts w:hint="default" w:ascii="Times New Roman" w:hAnsi="Times New Roman" w:cs="Times New Roman"/>
                <w:szCs w:val="21"/>
              </w:rPr>
            </w:pPr>
            <w:r>
              <w:rPr>
                <w:rFonts w:hint="default" w:ascii="Times New Roman" w:hAnsi="Times New Roman" w:cs="Times New Roman"/>
                <w:szCs w:val="21"/>
              </w:rPr>
              <w:sym w:font="Wingdings 2" w:char="00A3"/>
            </w:r>
            <w:r>
              <w:rPr>
                <w:rFonts w:hint="default" w:ascii="Times New Roman" w:hAnsi="Times New Roman" w:cs="Times New Roman"/>
                <w:szCs w:val="21"/>
              </w:rPr>
              <w:t>重大变动重新报批项目</w:t>
            </w:r>
          </w:p>
        </w:tc>
      </w:tr>
      <w:tr w14:paraId="568531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755" w:type="dxa"/>
            <w:noWrap w:val="0"/>
            <w:tcMar>
              <w:top w:w="16" w:type="dxa"/>
              <w:left w:w="16" w:type="dxa"/>
              <w:right w:w="16" w:type="dxa"/>
            </w:tcMar>
            <w:vAlign w:val="center"/>
          </w:tcPr>
          <w:p w14:paraId="38E29139">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项目审批（核准/</w:t>
            </w:r>
          </w:p>
          <w:p w14:paraId="0C06DA31">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备案）部门（选填）</w:t>
            </w:r>
          </w:p>
        </w:tc>
        <w:tc>
          <w:tcPr>
            <w:tcW w:w="2114" w:type="dxa"/>
            <w:noWrap w:val="0"/>
            <w:vAlign w:val="center"/>
          </w:tcPr>
          <w:p w14:paraId="4D3D2593">
            <w:pPr>
              <w:adjustRightInd w:val="0"/>
              <w:snapToGrid w:val="0"/>
              <w:jc w:val="center"/>
              <w:rPr>
                <w:rFonts w:hint="eastAsia" w:ascii="Times New Roman" w:hAnsi="Times New Roman" w:eastAsia="宋体" w:cs="Times New Roman"/>
                <w:szCs w:val="21"/>
                <w:lang w:eastAsia="zh-CN"/>
              </w:rPr>
            </w:pPr>
            <w:r>
              <w:rPr>
                <w:rFonts w:hint="eastAsia" w:ascii="Times New Roman" w:hAnsi="Times New Roman" w:cs="Times New Roman"/>
                <w:szCs w:val="21"/>
                <w:lang w:eastAsia="zh-CN"/>
              </w:rPr>
              <w:t>安居区发展和改革局</w:t>
            </w:r>
          </w:p>
        </w:tc>
        <w:tc>
          <w:tcPr>
            <w:tcW w:w="2362" w:type="dxa"/>
            <w:noWrap w:val="0"/>
            <w:vAlign w:val="center"/>
          </w:tcPr>
          <w:p w14:paraId="4DEA4B54">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项目审批（核准/</w:t>
            </w:r>
          </w:p>
          <w:p w14:paraId="05DBCB85">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备案）文号（选填）</w:t>
            </w:r>
          </w:p>
        </w:tc>
        <w:tc>
          <w:tcPr>
            <w:tcW w:w="2798" w:type="dxa"/>
            <w:noWrap w:val="0"/>
            <w:vAlign w:val="center"/>
          </w:tcPr>
          <w:p w14:paraId="1790B0E1">
            <w:pPr>
              <w:adjustRightInd w:val="0"/>
              <w:snapToGrid w:val="0"/>
              <w:jc w:val="center"/>
              <w:rPr>
                <w:rFonts w:hint="eastAsia" w:ascii="Times New Roman" w:hAnsi="Times New Roman" w:eastAsia="宋体" w:cs="Times New Roman"/>
                <w:szCs w:val="21"/>
                <w:lang w:eastAsia="zh-CN"/>
              </w:rPr>
            </w:pPr>
            <w:r>
              <w:rPr>
                <w:rFonts w:hint="eastAsia" w:ascii="Times New Roman" w:hAnsi="Times New Roman" w:cs="Times New Roman"/>
                <w:szCs w:val="21"/>
                <w:lang w:eastAsia="zh-CN"/>
              </w:rPr>
              <w:t>川投资备【2304-510904-04-01-565411】FGQB-0079号</w:t>
            </w:r>
          </w:p>
        </w:tc>
      </w:tr>
      <w:tr w14:paraId="4973B4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6909AFA4">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总投资（万元）</w:t>
            </w:r>
          </w:p>
        </w:tc>
        <w:tc>
          <w:tcPr>
            <w:tcW w:w="2114" w:type="dxa"/>
            <w:noWrap w:val="0"/>
            <w:vAlign w:val="center"/>
          </w:tcPr>
          <w:p w14:paraId="48CD2D35">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300</w:t>
            </w:r>
          </w:p>
        </w:tc>
        <w:tc>
          <w:tcPr>
            <w:tcW w:w="2362" w:type="dxa"/>
            <w:noWrap w:val="0"/>
            <w:tcMar>
              <w:top w:w="16" w:type="dxa"/>
              <w:left w:w="16" w:type="dxa"/>
              <w:right w:w="16" w:type="dxa"/>
            </w:tcMar>
            <w:vAlign w:val="center"/>
          </w:tcPr>
          <w:p w14:paraId="48DDE396">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环保投资（万元）</w:t>
            </w:r>
          </w:p>
        </w:tc>
        <w:tc>
          <w:tcPr>
            <w:tcW w:w="2798" w:type="dxa"/>
            <w:noWrap w:val="0"/>
            <w:vAlign w:val="center"/>
          </w:tcPr>
          <w:p w14:paraId="55291D4D">
            <w:pPr>
              <w:adjustRightInd w:val="0"/>
              <w:snapToGrid w:val="0"/>
              <w:jc w:val="center"/>
              <w:rPr>
                <w:rFonts w:hint="default" w:ascii="Times New Roman" w:hAnsi="Times New Roman" w:eastAsia="宋体" w:cs="Times New Roman"/>
                <w:szCs w:val="21"/>
                <w:lang w:val="en-US" w:eastAsia="zh-CN"/>
              </w:rPr>
            </w:pPr>
            <w:r>
              <w:rPr>
                <w:rFonts w:hint="eastAsia" w:cs="Times New Roman"/>
                <w:szCs w:val="21"/>
                <w:lang w:val="en-US" w:eastAsia="zh-CN"/>
              </w:rPr>
              <w:t>45.3</w:t>
            </w:r>
          </w:p>
        </w:tc>
      </w:tr>
      <w:tr w14:paraId="097771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09B245AA">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环保投资占比（%）</w:t>
            </w:r>
          </w:p>
        </w:tc>
        <w:tc>
          <w:tcPr>
            <w:tcW w:w="2114" w:type="dxa"/>
            <w:noWrap w:val="0"/>
            <w:vAlign w:val="center"/>
          </w:tcPr>
          <w:p w14:paraId="327D23DD">
            <w:pPr>
              <w:adjustRightInd w:val="0"/>
              <w:snapToGrid w:val="0"/>
              <w:jc w:val="center"/>
              <w:rPr>
                <w:rFonts w:hint="default" w:ascii="Times New Roman" w:hAnsi="Times New Roman" w:cs="Times New Roman"/>
                <w:szCs w:val="21"/>
              </w:rPr>
            </w:pPr>
            <w:r>
              <w:rPr>
                <w:rFonts w:hint="eastAsia" w:cs="Times New Roman"/>
                <w:szCs w:val="21"/>
                <w:lang w:val="en-US" w:eastAsia="zh-CN"/>
              </w:rPr>
              <w:t>15.1</w:t>
            </w:r>
            <w:r>
              <w:rPr>
                <w:rFonts w:hint="default" w:ascii="Times New Roman" w:hAnsi="Times New Roman" w:cs="Times New Roman"/>
                <w:szCs w:val="21"/>
              </w:rPr>
              <w:t>%</w:t>
            </w:r>
          </w:p>
        </w:tc>
        <w:tc>
          <w:tcPr>
            <w:tcW w:w="2362" w:type="dxa"/>
            <w:noWrap w:val="0"/>
            <w:tcMar>
              <w:top w:w="16" w:type="dxa"/>
              <w:left w:w="16" w:type="dxa"/>
              <w:right w:w="16" w:type="dxa"/>
            </w:tcMar>
            <w:vAlign w:val="center"/>
          </w:tcPr>
          <w:p w14:paraId="2966B2B1">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施工工期</w:t>
            </w:r>
          </w:p>
        </w:tc>
        <w:tc>
          <w:tcPr>
            <w:tcW w:w="2798" w:type="dxa"/>
            <w:noWrap w:val="0"/>
            <w:vAlign w:val="center"/>
          </w:tcPr>
          <w:p w14:paraId="064BC9A6">
            <w:pPr>
              <w:adjustRightInd w:val="0"/>
              <w:snapToGrid w:val="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2个月</w:t>
            </w:r>
          </w:p>
        </w:tc>
      </w:tr>
      <w:tr w14:paraId="3E52CC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55" w:type="dxa"/>
            <w:noWrap w:val="0"/>
            <w:tcMar>
              <w:top w:w="16" w:type="dxa"/>
              <w:left w:w="16" w:type="dxa"/>
              <w:right w:w="16" w:type="dxa"/>
            </w:tcMar>
            <w:vAlign w:val="center"/>
          </w:tcPr>
          <w:p w14:paraId="2080ABC1">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是否开工建设</w:t>
            </w:r>
          </w:p>
        </w:tc>
        <w:tc>
          <w:tcPr>
            <w:tcW w:w="2114" w:type="dxa"/>
            <w:noWrap w:val="0"/>
            <w:vAlign w:val="center"/>
          </w:tcPr>
          <w:p w14:paraId="2A266A93">
            <w:pPr>
              <w:adjustRightInd w:val="0"/>
              <w:snapToGrid w:val="0"/>
              <w:jc w:val="left"/>
              <w:rPr>
                <w:rFonts w:hint="default" w:ascii="Times New Roman" w:hAnsi="Times New Roman" w:cs="Times New Roman"/>
                <w:szCs w:val="21"/>
              </w:rPr>
            </w:pPr>
            <w:r>
              <w:rPr>
                <w:rFonts w:hint="default" w:ascii="Times New Roman" w:hAnsi="Times New Roman" w:cs="Times New Roman"/>
                <w:szCs w:val="21"/>
              </w:rPr>
              <w:sym w:font="Wingdings 2" w:char="0052"/>
            </w:r>
            <w:r>
              <w:rPr>
                <w:rFonts w:hint="default" w:ascii="Times New Roman" w:hAnsi="Times New Roman" w:cs="Times New Roman"/>
                <w:szCs w:val="21"/>
              </w:rPr>
              <w:t>否</w:t>
            </w:r>
          </w:p>
          <w:p w14:paraId="44B46181">
            <w:pPr>
              <w:adjustRightInd w:val="0"/>
              <w:snapToGrid w:val="0"/>
              <w:jc w:val="left"/>
              <w:rPr>
                <w:rFonts w:hint="eastAsia" w:ascii="Times New Roman" w:hAnsi="Times New Roman" w:eastAsia="宋体" w:cs="Times New Roman"/>
                <w:szCs w:val="21"/>
                <w:lang w:eastAsia="zh-CN"/>
              </w:rPr>
            </w:pPr>
            <w:r>
              <w:rPr>
                <w:rFonts w:hint="default" w:ascii="Times New Roman" w:hAnsi="Times New Roman" w:cs="Times New Roman"/>
                <w:szCs w:val="21"/>
              </w:rPr>
              <w:sym w:font="Wingdings 2" w:char="00A3"/>
            </w:r>
            <w:r>
              <w:rPr>
                <w:rFonts w:hint="default" w:ascii="Times New Roman" w:hAnsi="Times New Roman" w:cs="Times New Roman"/>
                <w:szCs w:val="21"/>
              </w:rPr>
              <w:t>是：</w:t>
            </w:r>
          </w:p>
        </w:tc>
        <w:tc>
          <w:tcPr>
            <w:tcW w:w="2362" w:type="dxa"/>
            <w:noWrap w:val="0"/>
            <w:tcMar>
              <w:top w:w="16" w:type="dxa"/>
              <w:left w:w="16" w:type="dxa"/>
              <w:right w:w="16" w:type="dxa"/>
            </w:tcMar>
            <w:vAlign w:val="center"/>
          </w:tcPr>
          <w:p w14:paraId="3C6F3065">
            <w:pPr>
              <w:adjustRightInd w:val="0"/>
              <w:snapToGrid w:val="0"/>
              <w:jc w:val="center"/>
              <w:rPr>
                <w:rFonts w:hint="default" w:ascii="Times New Roman" w:hAnsi="Times New Roman" w:cs="Times New Roman"/>
                <w:spacing w:val="-6"/>
                <w:szCs w:val="21"/>
              </w:rPr>
            </w:pPr>
            <w:r>
              <w:rPr>
                <w:rFonts w:hint="default" w:ascii="Times New Roman" w:hAnsi="Times New Roman" w:cs="Times New Roman"/>
                <w:spacing w:val="-6"/>
                <w:szCs w:val="21"/>
              </w:rPr>
              <w:t>用地（用海）</w:t>
            </w:r>
          </w:p>
          <w:p w14:paraId="435BD9FF">
            <w:pPr>
              <w:adjustRightInd w:val="0"/>
              <w:snapToGrid w:val="0"/>
              <w:jc w:val="center"/>
              <w:rPr>
                <w:rFonts w:hint="default" w:ascii="Times New Roman" w:hAnsi="Times New Roman" w:cs="Times New Roman"/>
                <w:szCs w:val="21"/>
              </w:rPr>
            </w:pPr>
            <w:r>
              <w:rPr>
                <w:rFonts w:hint="default" w:ascii="Times New Roman" w:hAnsi="Times New Roman" w:cs="Times New Roman"/>
                <w:spacing w:val="-6"/>
                <w:szCs w:val="21"/>
              </w:rPr>
              <w:t>面积（m</w:t>
            </w:r>
            <w:r>
              <w:rPr>
                <w:rFonts w:hint="default" w:ascii="Times New Roman" w:hAnsi="Times New Roman" w:cs="Times New Roman"/>
                <w:spacing w:val="-6"/>
                <w:szCs w:val="21"/>
                <w:vertAlign w:val="superscript"/>
              </w:rPr>
              <w:t>2</w:t>
            </w:r>
            <w:r>
              <w:rPr>
                <w:rFonts w:hint="default" w:ascii="Times New Roman" w:hAnsi="Times New Roman" w:cs="Times New Roman"/>
                <w:spacing w:val="-6"/>
                <w:szCs w:val="21"/>
              </w:rPr>
              <w:t>）</w:t>
            </w:r>
          </w:p>
        </w:tc>
        <w:tc>
          <w:tcPr>
            <w:tcW w:w="2798" w:type="dxa"/>
            <w:noWrap w:val="0"/>
            <w:vAlign w:val="center"/>
          </w:tcPr>
          <w:p w14:paraId="534427C1">
            <w:pPr>
              <w:adjustRightInd w:val="0"/>
              <w:snapToGrid w:val="0"/>
              <w:jc w:val="center"/>
              <w:rPr>
                <w:rFonts w:hint="default" w:ascii="Times New Roman" w:hAnsi="Times New Roman" w:cs="Times New Roman"/>
                <w:szCs w:val="21"/>
                <w:lang w:val="en-US"/>
              </w:rPr>
            </w:pPr>
            <w:r>
              <w:rPr>
                <w:rFonts w:hint="eastAsia" w:cs="Times New Roman"/>
                <w:szCs w:val="21"/>
                <w:lang w:val="en-US" w:eastAsia="zh-CN"/>
              </w:rPr>
              <w:t>5108.35</w:t>
            </w:r>
          </w:p>
        </w:tc>
      </w:tr>
      <w:tr w14:paraId="197CB5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755" w:type="dxa"/>
            <w:noWrap w:val="0"/>
            <w:vAlign w:val="center"/>
          </w:tcPr>
          <w:p w14:paraId="16A4B39E">
            <w:pPr>
              <w:pStyle w:val="44"/>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专项评价设置情况</w:t>
            </w:r>
          </w:p>
        </w:tc>
        <w:tc>
          <w:tcPr>
            <w:tcW w:w="7274" w:type="dxa"/>
            <w:gridSpan w:val="3"/>
            <w:noWrap w:val="0"/>
            <w:vAlign w:val="center"/>
          </w:tcPr>
          <w:p w14:paraId="4B4F1B0B">
            <w:pPr>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20" w:firstLineChars="200"/>
              <w:jc w:val="left"/>
              <w:textAlignment w:val="auto"/>
              <w:rPr>
                <w:rFonts w:hint="eastAsia"/>
                <w:lang w:eastAsia="zh-CN"/>
              </w:rPr>
            </w:pPr>
            <w:r>
              <w:rPr>
                <w:rFonts w:hint="eastAsia"/>
                <w:lang w:eastAsia="zh-CN"/>
              </w:rPr>
              <w:t>据指南，本项目专项评价设置情况如下：</w:t>
            </w:r>
          </w:p>
          <w:tbl>
            <w:tblPr>
              <w:tblStyle w:val="23"/>
              <w:tblW w:w="680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2631"/>
              <w:gridCol w:w="1815"/>
              <w:gridCol w:w="1276"/>
            </w:tblGrid>
            <w:tr w14:paraId="328A32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081" w:type="dxa"/>
                  <w:tcBorders>
                    <w:tl2br w:val="nil"/>
                    <w:tr2bl w:val="nil"/>
                  </w:tcBorders>
                  <w:noWrap w:val="0"/>
                  <w:vAlign w:val="center"/>
                </w:tcPr>
                <w:p w14:paraId="77B5FD90">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专项评价类别</w:t>
                  </w:r>
                </w:p>
              </w:tc>
              <w:tc>
                <w:tcPr>
                  <w:tcW w:w="2631" w:type="dxa"/>
                  <w:tcBorders>
                    <w:tl2br w:val="nil"/>
                    <w:tr2bl w:val="nil"/>
                  </w:tcBorders>
                  <w:noWrap w:val="0"/>
                  <w:vAlign w:val="center"/>
                </w:tcPr>
                <w:p w14:paraId="61AB680C">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设置原则</w:t>
                  </w:r>
                </w:p>
              </w:tc>
              <w:tc>
                <w:tcPr>
                  <w:tcW w:w="1815" w:type="dxa"/>
                  <w:tcBorders>
                    <w:tl2br w:val="nil"/>
                    <w:tr2bl w:val="nil"/>
                  </w:tcBorders>
                  <w:noWrap w:val="0"/>
                  <w:vAlign w:val="center"/>
                </w:tcPr>
                <w:p w14:paraId="3ED504C4">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本项目情况</w:t>
                  </w:r>
                </w:p>
              </w:tc>
              <w:tc>
                <w:tcPr>
                  <w:tcW w:w="1276" w:type="dxa"/>
                  <w:tcBorders>
                    <w:tl2br w:val="nil"/>
                    <w:tr2bl w:val="nil"/>
                  </w:tcBorders>
                  <w:noWrap w:val="0"/>
                  <w:vAlign w:val="center"/>
                </w:tcPr>
                <w:p w14:paraId="3AEA9BB7">
                  <w:pPr>
                    <w:pStyle w:val="17"/>
                    <w:pBdr>
                      <w:bottom w:val="none" w:color="auto" w:sz="0" w:space="0"/>
                    </w:pBdr>
                    <w:jc w:val="center"/>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是否设置专项评价</w:t>
                  </w:r>
                </w:p>
              </w:tc>
            </w:tr>
            <w:tr w14:paraId="587DBB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81" w:type="dxa"/>
                  <w:tcBorders>
                    <w:tl2br w:val="nil"/>
                    <w:tr2bl w:val="nil"/>
                  </w:tcBorders>
                  <w:noWrap w:val="0"/>
                  <w:vAlign w:val="center"/>
                </w:tcPr>
                <w:p w14:paraId="7C13A50D">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大气</w:t>
                  </w:r>
                </w:p>
              </w:tc>
              <w:tc>
                <w:tcPr>
                  <w:tcW w:w="2631" w:type="dxa"/>
                  <w:tcBorders>
                    <w:tl2br w:val="nil"/>
                    <w:tr2bl w:val="nil"/>
                  </w:tcBorders>
                  <w:noWrap w:val="0"/>
                  <w:vAlign w:val="center"/>
                </w:tcPr>
                <w:p w14:paraId="5DC4DB70">
                  <w:pPr>
                    <w:keepNext w:val="0"/>
                    <w:keepLines w:val="0"/>
                    <w:widowControl/>
                    <w:suppressLineNumbers w:val="0"/>
                    <w:jc w:val="both"/>
                    <w:rPr>
                      <w:rFonts w:hint="default" w:ascii="Times New Roman" w:hAnsi="Times New Roman" w:cs="Times New Roman"/>
                      <w:color w:val="auto"/>
                      <w:sz w:val="21"/>
                      <w:szCs w:val="21"/>
                      <w:vertAlign w:val="baseline"/>
                    </w:rPr>
                  </w:pPr>
                  <w:r>
                    <w:rPr>
                      <w:rFonts w:hint="default" w:ascii="Times New Roman" w:hAnsi="Times New Roman" w:eastAsia="宋体" w:cs="Times New Roman"/>
                      <w:color w:val="auto"/>
                      <w:kern w:val="0"/>
                      <w:sz w:val="21"/>
                      <w:szCs w:val="21"/>
                      <w:lang w:val="en-US" w:eastAsia="zh-CN" w:bidi="ar"/>
                    </w:rPr>
                    <w:t>排放废气含有毒有害污染物、二噁英、苯并[</w:t>
                  </w:r>
                  <w:r>
                    <w:rPr>
                      <w:rFonts w:hint="default" w:ascii="Times New Roman" w:hAnsi="Times New Roman" w:eastAsia="宋体" w:cs="Times New Roman"/>
                      <w:i/>
                      <w:iCs/>
                      <w:color w:val="auto"/>
                      <w:kern w:val="0"/>
                      <w:sz w:val="21"/>
                      <w:szCs w:val="21"/>
                      <w:lang w:val="en-US" w:eastAsia="zh-CN" w:bidi="ar"/>
                    </w:rPr>
                    <w:t>a</w:t>
                  </w:r>
                  <w:r>
                    <w:rPr>
                      <w:rFonts w:hint="default" w:ascii="Times New Roman" w:hAnsi="Times New Roman" w:eastAsia="宋体" w:cs="Times New Roman"/>
                      <w:color w:val="auto"/>
                      <w:kern w:val="0"/>
                      <w:sz w:val="21"/>
                      <w:szCs w:val="21"/>
                      <w:lang w:val="en-US" w:eastAsia="zh-CN" w:bidi="ar"/>
                    </w:rPr>
                    <w:t>]芘、氰化物、氯气且厂界外500米范围内有环境空气保护目标的建设项目</w:t>
                  </w:r>
                </w:p>
              </w:tc>
              <w:tc>
                <w:tcPr>
                  <w:tcW w:w="1815" w:type="dxa"/>
                  <w:tcBorders>
                    <w:tl2br w:val="nil"/>
                    <w:tr2bl w:val="nil"/>
                  </w:tcBorders>
                  <w:noWrap w:val="0"/>
                  <w:vAlign w:val="center"/>
                </w:tcPr>
                <w:p w14:paraId="466D5D15">
                  <w:pPr>
                    <w:pStyle w:val="17"/>
                    <w:pBdr>
                      <w:bottom w:val="none" w:color="auto" w:sz="0" w:space="0"/>
                    </w:pBdr>
                    <w:jc w:val="both"/>
                    <w:rPr>
                      <w:rFonts w:hint="default" w:ascii="Times New Roman" w:hAnsi="Times New Roman" w:cs="Times New Roman"/>
                      <w:color w:val="auto"/>
                      <w:sz w:val="21"/>
                      <w:szCs w:val="21"/>
                      <w:vertAlign w:val="baseline"/>
                    </w:rPr>
                  </w:pPr>
                  <w:r>
                    <w:rPr>
                      <w:rFonts w:hint="default" w:ascii="Times New Roman" w:hAnsi="Times New Roman" w:cs="Times New Roman"/>
                      <w:color w:val="auto"/>
                      <w:kern w:val="0"/>
                      <w:sz w:val="21"/>
                      <w:szCs w:val="21"/>
                    </w:rPr>
                    <w:t>本项目无有毒有害污染物、二噁英、苯并芘、氰化物、氯气排放</w:t>
                  </w:r>
                </w:p>
              </w:tc>
              <w:tc>
                <w:tcPr>
                  <w:tcW w:w="1276" w:type="dxa"/>
                  <w:tcBorders>
                    <w:tl2br w:val="nil"/>
                    <w:tr2bl w:val="nil"/>
                  </w:tcBorders>
                  <w:noWrap w:val="0"/>
                  <w:vAlign w:val="center"/>
                </w:tcPr>
                <w:p w14:paraId="15346191">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否</w:t>
                  </w:r>
                </w:p>
              </w:tc>
            </w:tr>
            <w:tr w14:paraId="629BD3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81" w:type="dxa"/>
                  <w:tcBorders>
                    <w:tl2br w:val="nil"/>
                    <w:tr2bl w:val="nil"/>
                  </w:tcBorders>
                  <w:noWrap w:val="0"/>
                  <w:vAlign w:val="center"/>
                </w:tcPr>
                <w:p w14:paraId="4A1236E0">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地表水</w:t>
                  </w:r>
                </w:p>
              </w:tc>
              <w:tc>
                <w:tcPr>
                  <w:tcW w:w="2631" w:type="dxa"/>
                  <w:tcBorders>
                    <w:tl2br w:val="nil"/>
                    <w:tr2bl w:val="nil"/>
                  </w:tcBorders>
                  <w:noWrap w:val="0"/>
                  <w:vAlign w:val="center"/>
                </w:tcPr>
                <w:p w14:paraId="2B0E91D0">
                  <w:pPr>
                    <w:keepNext w:val="0"/>
                    <w:keepLines w:val="0"/>
                    <w:widowControl/>
                    <w:suppressLineNumbers w:val="0"/>
                    <w:jc w:val="both"/>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新增工业废水直排建设项目（槽罐车外送污水处理厂的除外）；</w:t>
                  </w:r>
                </w:p>
                <w:p w14:paraId="56B6C48E">
                  <w:pPr>
                    <w:keepNext w:val="0"/>
                    <w:keepLines w:val="0"/>
                    <w:widowControl/>
                    <w:suppressLineNumbers w:val="0"/>
                    <w:jc w:val="both"/>
                    <w:rPr>
                      <w:rFonts w:hint="default" w:ascii="Times New Roman" w:hAnsi="Times New Roman" w:cs="Times New Roman"/>
                      <w:color w:val="auto"/>
                      <w:sz w:val="21"/>
                      <w:szCs w:val="21"/>
                      <w:vertAlign w:val="baseline"/>
                    </w:rPr>
                  </w:pPr>
                  <w:r>
                    <w:rPr>
                      <w:rFonts w:hint="default" w:ascii="Times New Roman" w:hAnsi="Times New Roman" w:eastAsia="宋体" w:cs="Times New Roman"/>
                      <w:color w:val="auto"/>
                      <w:kern w:val="0"/>
                      <w:sz w:val="21"/>
                      <w:szCs w:val="21"/>
                      <w:lang w:val="en-US" w:eastAsia="zh-CN" w:bidi="ar"/>
                    </w:rPr>
                    <w:t>新增废水直排的污水集中处理厂</w:t>
                  </w:r>
                </w:p>
              </w:tc>
              <w:tc>
                <w:tcPr>
                  <w:tcW w:w="1815" w:type="dxa"/>
                  <w:tcBorders>
                    <w:tl2br w:val="nil"/>
                    <w:tr2bl w:val="nil"/>
                  </w:tcBorders>
                  <w:noWrap w:val="0"/>
                  <w:vAlign w:val="center"/>
                </w:tcPr>
                <w:p w14:paraId="55BE3C69">
                  <w:pPr>
                    <w:pStyle w:val="17"/>
                    <w:pBdr>
                      <w:bottom w:val="none" w:color="auto" w:sz="0" w:space="0"/>
                    </w:pBdr>
                    <w:jc w:val="both"/>
                    <w:rPr>
                      <w:rFonts w:hint="default" w:ascii="Times New Roman" w:hAnsi="Times New Roman" w:cs="Times New Roman"/>
                      <w:color w:val="auto"/>
                      <w:sz w:val="21"/>
                      <w:szCs w:val="21"/>
                      <w:vertAlign w:val="baseline"/>
                    </w:rPr>
                  </w:pPr>
                  <w:r>
                    <w:rPr>
                      <w:rFonts w:hint="default" w:ascii="Times New Roman" w:hAnsi="Times New Roman" w:cs="Times New Roman"/>
                      <w:color w:val="auto"/>
                      <w:kern w:val="0"/>
                      <w:sz w:val="21"/>
                      <w:szCs w:val="21"/>
                    </w:rPr>
                    <w:t>本项目无生产废水</w:t>
                  </w:r>
                  <w:r>
                    <w:rPr>
                      <w:rFonts w:hint="default" w:ascii="Times New Roman" w:hAnsi="Times New Roman" w:cs="Times New Roman"/>
                      <w:color w:val="auto"/>
                      <w:kern w:val="0"/>
                      <w:sz w:val="21"/>
                      <w:szCs w:val="21"/>
                      <w:lang w:eastAsia="zh-CN"/>
                    </w:rPr>
                    <w:t>直接</w:t>
                  </w:r>
                  <w:r>
                    <w:rPr>
                      <w:rFonts w:hint="default" w:ascii="Times New Roman" w:hAnsi="Times New Roman" w:cs="Times New Roman"/>
                      <w:color w:val="auto"/>
                      <w:kern w:val="0"/>
                      <w:sz w:val="21"/>
                      <w:szCs w:val="21"/>
                    </w:rPr>
                    <w:t>排放</w:t>
                  </w:r>
                </w:p>
              </w:tc>
              <w:tc>
                <w:tcPr>
                  <w:tcW w:w="1276" w:type="dxa"/>
                  <w:tcBorders>
                    <w:tl2br w:val="nil"/>
                    <w:tr2bl w:val="nil"/>
                  </w:tcBorders>
                  <w:noWrap w:val="0"/>
                  <w:vAlign w:val="center"/>
                </w:tcPr>
                <w:p w14:paraId="1E53E8C3">
                  <w:pPr>
                    <w:pStyle w:val="17"/>
                    <w:pBdr>
                      <w:bottom w:val="none" w:color="auto" w:sz="0" w:space="0"/>
                    </w:pBdr>
                    <w:jc w:val="center"/>
                    <w:rPr>
                      <w:rFonts w:hint="default" w:ascii="Times New Roman" w:hAnsi="Times New Roman" w:cs="Times New Roman"/>
                      <w:color w:val="auto"/>
                      <w:sz w:val="21"/>
                      <w:szCs w:val="21"/>
                      <w:vertAlign w:val="baseline"/>
                    </w:rPr>
                  </w:pPr>
                  <w:r>
                    <w:rPr>
                      <w:rFonts w:hint="default" w:ascii="Times New Roman" w:hAnsi="Times New Roman" w:cs="Times New Roman"/>
                      <w:color w:val="auto"/>
                      <w:sz w:val="21"/>
                      <w:szCs w:val="21"/>
                      <w:vertAlign w:val="baseline"/>
                      <w:lang w:val="en-US" w:eastAsia="zh-CN"/>
                    </w:rPr>
                    <w:t>否</w:t>
                  </w:r>
                </w:p>
              </w:tc>
            </w:tr>
            <w:tr w14:paraId="7149EA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81" w:type="dxa"/>
                  <w:tcBorders>
                    <w:tl2br w:val="nil"/>
                    <w:tr2bl w:val="nil"/>
                  </w:tcBorders>
                  <w:noWrap w:val="0"/>
                  <w:vAlign w:val="center"/>
                </w:tcPr>
                <w:p w14:paraId="55DAEB43">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环境风险</w:t>
                  </w:r>
                </w:p>
              </w:tc>
              <w:tc>
                <w:tcPr>
                  <w:tcW w:w="2631" w:type="dxa"/>
                  <w:tcBorders>
                    <w:tl2br w:val="nil"/>
                    <w:tr2bl w:val="nil"/>
                  </w:tcBorders>
                  <w:noWrap w:val="0"/>
                  <w:vAlign w:val="center"/>
                </w:tcPr>
                <w:p w14:paraId="2988545D">
                  <w:pPr>
                    <w:keepNext w:val="0"/>
                    <w:keepLines w:val="0"/>
                    <w:widowControl/>
                    <w:suppressLineNumbers w:val="0"/>
                    <w:jc w:val="both"/>
                    <w:rPr>
                      <w:rFonts w:hint="default" w:ascii="Times New Roman" w:hAnsi="Times New Roman" w:cs="Times New Roman"/>
                      <w:color w:val="auto"/>
                      <w:sz w:val="21"/>
                      <w:szCs w:val="21"/>
                      <w:vertAlign w:val="baseline"/>
                    </w:rPr>
                  </w:pPr>
                  <w:r>
                    <w:rPr>
                      <w:rFonts w:hint="default" w:ascii="Times New Roman" w:hAnsi="Times New Roman" w:eastAsia="宋体" w:cs="Times New Roman"/>
                      <w:color w:val="auto"/>
                      <w:kern w:val="0"/>
                      <w:sz w:val="21"/>
                      <w:szCs w:val="21"/>
                      <w:lang w:val="en-US" w:eastAsia="zh-CN" w:bidi="ar"/>
                    </w:rPr>
                    <w:t>有毒有害和易燃易爆危险物质存储量超过临界量的建设项目</w:t>
                  </w:r>
                </w:p>
              </w:tc>
              <w:tc>
                <w:tcPr>
                  <w:tcW w:w="1815" w:type="dxa"/>
                  <w:tcBorders>
                    <w:tl2br w:val="nil"/>
                    <w:tr2bl w:val="nil"/>
                  </w:tcBorders>
                  <w:noWrap w:val="0"/>
                  <w:vAlign w:val="center"/>
                </w:tcPr>
                <w:p w14:paraId="5AE97DD2">
                  <w:pPr>
                    <w:pStyle w:val="17"/>
                    <w:pBdr>
                      <w:bottom w:val="none" w:color="auto" w:sz="0" w:space="0"/>
                    </w:pBdr>
                    <w:jc w:val="both"/>
                    <w:rPr>
                      <w:rFonts w:hint="default" w:ascii="Times New Roman" w:hAnsi="Times New Roman" w:cs="Times New Roman"/>
                      <w:color w:val="auto"/>
                      <w:sz w:val="21"/>
                      <w:szCs w:val="21"/>
                      <w:vertAlign w:val="baseline"/>
                    </w:rPr>
                  </w:pPr>
                  <w:r>
                    <w:rPr>
                      <w:rFonts w:hint="default" w:ascii="Times New Roman" w:hAnsi="Times New Roman" w:cs="Times New Roman"/>
                      <w:color w:val="auto"/>
                      <w:kern w:val="0"/>
                      <w:sz w:val="21"/>
                      <w:szCs w:val="21"/>
                    </w:rPr>
                    <w:t>本项目无有毒有害及易燃易爆物质超过临界量</w:t>
                  </w:r>
                </w:p>
              </w:tc>
              <w:tc>
                <w:tcPr>
                  <w:tcW w:w="1276" w:type="dxa"/>
                  <w:tcBorders>
                    <w:tl2br w:val="nil"/>
                    <w:tr2bl w:val="nil"/>
                  </w:tcBorders>
                  <w:noWrap w:val="0"/>
                  <w:vAlign w:val="center"/>
                </w:tcPr>
                <w:p w14:paraId="2C36CB64">
                  <w:pPr>
                    <w:pStyle w:val="17"/>
                    <w:pBdr>
                      <w:bottom w:val="none" w:color="auto" w:sz="0" w:space="0"/>
                    </w:pBdr>
                    <w:jc w:val="center"/>
                    <w:rPr>
                      <w:rFonts w:hint="default" w:ascii="Times New Roman" w:hAnsi="Times New Roman" w:cs="Times New Roman"/>
                      <w:color w:val="auto"/>
                      <w:sz w:val="21"/>
                      <w:szCs w:val="21"/>
                      <w:vertAlign w:val="baseline"/>
                    </w:rPr>
                  </w:pPr>
                  <w:r>
                    <w:rPr>
                      <w:rFonts w:hint="default" w:ascii="Times New Roman" w:hAnsi="Times New Roman" w:cs="Times New Roman"/>
                      <w:color w:val="auto"/>
                      <w:sz w:val="21"/>
                      <w:szCs w:val="21"/>
                      <w:vertAlign w:val="baseline"/>
                      <w:lang w:val="en-US" w:eastAsia="zh-CN"/>
                    </w:rPr>
                    <w:t>否</w:t>
                  </w:r>
                </w:p>
              </w:tc>
            </w:tr>
            <w:tr w14:paraId="0BA5B3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81" w:type="dxa"/>
                  <w:tcBorders>
                    <w:tl2br w:val="nil"/>
                    <w:tr2bl w:val="nil"/>
                  </w:tcBorders>
                  <w:noWrap w:val="0"/>
                  <w:vAlign w:val="center"/>
                </w:tcPr>
                <w:p w14:paraId="272FAC9A">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生态</w:t>
                  </w:r>
                </w:p>
              </w:tc>
              <w:tc>
                <w:tcPr>
                  <w:tcW w:w="2631" w:type="dxa"/>
                  <w:tcBorders>
                    <w:tl2br w:val="nil"/>
                    <w:tr2bl w:val="nil"/>
                  </w:tcBorders>
                  <w:noWrap w:val="0"/>
                  <w:vAlign w:val="center"/>
                </w:tcPr>
                <w:p w14:paraId="0A81D9DA">
                  <w:pPr>
                    <w:keepNext w:val="0"/>
                    <w:keepLines w:val="0"/>
                    <w:widowControl/>
                    <w:suppressLineNumbers w:val="0"/>
                    <w:jc w:val="both"/>
                    <w:rPr>
                      <w:rFonts w:hint="default" w:ascii="Times New Roman" w:hAnsi="Times New Roman" w:cs="Times New Roman"/>
                      <w:color w:val="auto"/>
                      <w:sz w:val="21"/>
                      <w:szCs w:val="21"/>
                      <w:vertAlign w:val="baseline"/>
                    </w:rPr>
                  </w:pPr>
                  <w:r>
                    <w:rPr>
                      <w:rFonts w:hint="default" w:ascii="Times New Roman" w:hAnsi="Times New Roman" w:eastAsia="宋体" w:cs="Times New Roman"/>
                      <w:color w:val="auto"/>
                      <w:kern w:val="0"/>
                      <w:sz w:val="21"/>
                      <w:szCs w:val="21"/>
                      <w:lang w:val="en-US" w:eastAsia="zh-CN" w:bidi="ar"/>
                    </w:rPr>
                    <w:t>取水口下游500米范围内有重要水生生物的自然产卵场、索饵场、越冬场和洄游通道的新增河道取水的污染类建设项目</w:t>
                  </w:r>
                </w:p>
              </w:tc>
              <w:tc>
                <w:tcPr>
                  <w:tcW w:w="1815" w:type="dxa"/>
                  <w:tcBorders>
                    <w:tl2br w:val="nil"/>
                    <w:tr2bl w:val="nil"/>
                  </w:tcBorders>
                  <w:noWrap w:val="0"/>
                  <w:vAlign w:val="center"/>
                </w:tcPr>
                <w:p w14:paraId="4FF3A6A0">
                  <w:pPr>
                    <w:pStyle w:val="17"/>
                    <w:pBdr>
                      <w:bottom w:val="none" w:color="auto" w:sz="0" w:space="0"/>
                    </w:pBdr>
                    <w:jc w:val="both"/>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cs="Times New Roman"/>
                      <w:color w:val="auto"/>
                      <w:sz w:val="21"/>
                      <w:szCs w:val="21"/>
                      <w:vertAlign w:val="baseline"/>
                      <w:lang w:val="en-US" w:eastAsia="zh-CN"/>
                    </w:rPr>
                    <w:t>本项目不涉及生态专章情况</w:t>
                  </w:r>
                </w:p>
              </w:tc>
              <w:tc>
                <w:tcPr>
                  <w:tcW w:w="1276" w:type="dxa"/>
                  <w:tcBorders>
                    <w:tl2br w:val="nil"/>
                    <w:tr2bl w:val="nil"/>
                  </w:tcBorders>
                  <w:noWrap w:val="0"/>
                  <w:vAlign w:val="center"/>
                </w:tcPr>
                <w:p w14:paraId="4E75AEBA">
                  <w:pPr>
                    <w:pStyle w:val="17"/>
                    <w:pBdr>
                      <w:bottom w:val="none" w:color="auto" w:sz="0" w:space="0"/>
                    </w:pBdr>
                    <w:jc w:val="center"/>
                    <w:rPr>
                      <w:rFonts w:hint="default" w:ascii="Times New Roman" w:hAnsi="Times New Roman" w:cs="Times New Roman"/>
                      <w:color w:val="auto"/>
                      <w:sz w:val="21"/>
                      <w:szCs w:val="21"/>
                      <w:vertAlign w:val="baseline"/>
                    </w:rPr>
                  </w:pPr>
                  <w:r>
                    <w:rPr>
                      <w:rFonts w:hint="default" w:ascii="Times New Roman" w:hAnsi="Times New Roman" w:cs="Times New Roman"/>
                      <w:color w:val="auto"/>
                      <w:sz w:val="21"/>
                      <w:szCs w:val="21"/>
                      <w:vertAlign w:val="baseline"/>
                      <w:lang w:val="en-US" w:eastAsia="zh-CN"/>
                    </w:rPr>
                    <w:t>否</w:t>
                  </w:r>
                </w:p>
              </w:tc>
            </w:tr>
            <w:tr w14:paraId="706E50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81" w:type="dxa"/>
                  <w:tcBorders>
                    <w:tl2br w:val="nil"/>
                    <w:tr2bl w:val="nil"/>
                  </w:tcBorders>
                  <w:noWrap w:val="0"/>
                  <w:vAlign w:val="center"/>
                </w:tcPr>
                <w:p w14:paraId="781C8905">
                  <w:pPr>
                    <w:pStyle w:val="17"/>
                    <w:pBdr>
                      <w:bottom w:val="none" w:color="auto" w:sz="0" w:space="0"/>
                    </w:pBdr>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海洋</w:t>
                  </w:r>
                </w:p>
              </w:tc>
              <w:tc>
                <w:tcPr>
                  <w:tcW w:w="2631" w:type="dxa"/>
                  <w:tcBorders>
                    <w:tl2br w:val="nil"/>
                    <w:tr2bl w:val="nil"/>
                  </w:tcBorders>
                  <w:noWrap w:val="0"/>
                  <w:vAlign w:val="center"/>
                </w:tcPr>
                <w:p w14:paraId="5D0C6001">
                  <w:pPr>
                    <w:keepNext w:val="0"/>
                    <w:keepLines w:val="0"/>
                    <w:widowControl/>
                    <w:suppressLineNumbers w:val="0"/>
                    <w:jc w:val="both"/>
                    <w:rPr>
                      <w:rFonts w:hint="default" w:ascii="Times New Roman" w:hAnsi="Times New Roman" w:cs="Times New Roman"/>
                      <w:color w:val="auto"/>
                      <w:sz w:val="21"/>
                      <w:szCs w:val="21"/>
                      <w:vertAlign w:val="baseline"/>
                    </w:rPr>
                  </w:pPr>
                  <w:r>
                    <w:rPr>
                      <w:rFonts w:hint="default" w:ascii="Times New Roman" w:hAnsi="Times New Roman" w:eastAsia="宋体" w:cs="Times New Roman"/>
                      <w:color w:val="auto"/>
                      <w:kern w:val="0"/>
                      <w:sz w:val="21"/>
                      <w:szCs w:val="21"/>
                      <w:lang w:val="en-US" w:eastAsia="zh-CN" w:bidi="ar"/>
                    </w:rPr>
                    <w:t>直接向海排放污染物的海洋工程建设项目</w:t>
                  </w:r>
                </w:p>
              </w:tc>
              <w:tc>
                <w:tcPr>
                  <w:tcW w:w="1815" w:type="dxa"/>
                  <w:tcBorders>
                    <w:tl2br w:val="nil"/>
                    <w:tr2bl w:val="nil"/>
                  </w:tcBorders>
                  <w:noWrap w:val="0"/>
                  <w:vAlign w:val="center"/>
                </w:tcPr>
                <w:p w14:paraId="4ADB7BD6">
                  <w:pPr>
                    <w:pStyle w:val="17"/>
                    <w:pBdr>
                      <w:bottom w:val="none" w:color="auto" w:sz="0" w:space="0"/>
                    </w:pBdr>
                    <w:jc w:val="both"/>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项目不涉及海洋</w:t>
                  </w:r>
                </w:p>
              </w:tc>
              <w:tc>
                <w:tcPr>
                  <w:tcW w:w="1276" w:type="dxa"/>
                  <w:tcBorders>
                    <w:tl2br w:val="nil"/>
                    <w:tr2bl w:val="nil"/>
                  </w:tcBorders>
                  <w:noWrap w:val="0"/>
                  <w:vAlign w:val="center"/>
                </w:tcPr>
                <w:p w14:paraId="3C3CFF0F">
                  <w:pPr>
                    <w:pStyle w:val="17"/>
                    <w:pBdr>
                      <w:bottom w:val="none" w:color="auto" w:sz="0" w:space="0"/>
                    </w:pBdr>
                    <w:jc w:val="center"/>
                    <w:rPr>
                      <w:rFonts w:hint="default" w:ascii="Times New Roman" w:hAnsi="Times New Roman" w:cs="Times New Roman"/>
                      <w:color w:val="auto"/>
                      <w:sz w:val="21"/>
                      <w:szCs w:val="21"/>
                      <w:vertAlign w:val="baseline"/>
                    </w:rPr>
                  </w:pPr>
                  <w:r>
                    <w:rPr>
                      <w:rFonts w:hint="default" w:ascii="Times New Roman" w:hAnsi="Times New Roman" w:cs="Times New Roman"/>
                      <w:color w:val="auto"/>
                      <w:sz w:val="21"/>
                      <w:szCs w:val="21"/>
                      <w:vertAlign w:val="baseline"/>
                      <w:lang w:val="en-US" w:eastAsia="zh-CN"/>
                    </w:rPr>
                    <w:t>否</w:t>
                  </w:r>
                </w:p>
              </w:tc>
            </w:tr>
          </w:tbl>
          <w:p w14:paraId="29F6F6B2">
            <w:pPr>
              <w:keepNext w:val="0"/>
              <w:keepLines w:val="0"/>
              <w:pageBreakBefore w:val="0"/>
              <w:widowControl w:val="0"/>
              <w:kinsoku/>
              <w:wordWrap/>
              <w:overflowPunct/>
              <w:topLinePunct w:val="0"/>
              <w:autoSpaceDE w:val="0"/>
              <w:autoSpaceDN w:val="0"/>
              <w:bidi w:val="0"/>
              <w:adjustRightInd w:val="0"/>
              <w:snapToGrid w:val="0"/>
              <w:ind w:firstLine="420" w:firstLineChars="200"/>
              <w:jc w:val="left"/>
              <w:textAlignment w:val="auto"/>
              <w:rPr>
                <w:rFonts w:hint="default" w:ascii="Times New Roman" w:hAnsi="Times New Roman" w:cs="Times New Roman"/>
                <w:kern w:val="0"/>
                <w:szCs w:val="21"/>
              </w:rPr>
            </w:pPr>
          </w:p>
        </w:tc>
      </w:tr>
      <w:tr w14:paraId="6A3BF3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755" w:type="dxa"/>
            <w:noWrap w:val="0"/>
            <w:vAlign w:val="center"/>
          </w:tcPr>
          <w:p w14:paraId="40F791C3">
            <w:pPr>
              <w:pStyle w:val="44"/>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规划情况</w:t>
            </w:r>
          </w:p>
        </w:tc>
        <w:tc>
          <w:tcPr>
            <w:tcW w:w="7274" w:type="dxa"/>
            <w:gridSpan w:val="3"/>
            <w:noWrap w:val="0"/>
            <w:vAlign w:val="center"/>
          </w:tcPr>
          <w:p w14:paraId="0ABC1553">
            <w:pPr>
              <w:pStyle w:val="44"/>
              <w:ind w:firstLine="0" w:firstLineChars="0"/>
              <w:jc w:val="center"/>
              <w:rPr>
                <w:rFonts w:hint="default" w:ascii="Times New Roman" w:hAnsi="Times New Roman" w:cs="Times New Roman"/>
                <w:kern w:val="0"/>
              </w:rPr>
            </w:pPr>
            <w:r>
              <w:rPr>
                <w:rFonts w:hint="default" w:ascii="Times New Roman" w:hAnsi="Times New Roman" w:cs="Times New Roman"/>
              </w:rPr>
              <w:t>无</w:t>
            </w:r>
          </w:p>
        </w:tc>
      </w:tr>
      <w:tr w14:paraId="248110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755" w:type="dxa"/>
            <w:noWrap w:val="0"/>
            <w:vAlign w:val="center"/>
          </w:tcPr>
          <w:p w14:paraId="2DDD9E87">
            <w:pPr>
              <w:pStyle w:val="44"/>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规划环境影响</w:t>
            </w:r>
          </w:p>
          <w:p w14:paraId="4C672AD0">
            <w:pPr>
              <w:pStyle w:val="44"/>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评价情况</w:t>
            </w:r>
          </w:p>
        </w:tc>
        <w:tc>
          <w:tcPr>
            <w:tcW w:w="7274" w:type="dxa"/>
            <w:gridSpan w:val="3"/>
            <w:noWrap w:val="0"/>
            <w:vAlign w:val="center"/>
          </w:tcPr>
          <w:p w14:paraId="6CB3F9AE">
            <w:pPr>
              <w:pStyle w:val="44"/>
              <w:ind w:firstLine="480"/>
              <w:jc w:val="center"/>
              <w:rPr>
                <w:rFonts w:hint="default" w:ascii="Times New Roman" w:hAnsi="Times New Roman" w:cs="Times New Roman"/>
                <w:kern w:val="0"/>
              </w:rPr>
            </w:pPr>
            <w:r>
              <w:rPr>
                <w:rFonts w:hint="default" w:ascii="Times New Roman" w:hAnsi="Times New Roman" w:cs="Times New Roman"/>
              </w:rPr>
              <w:t>无（项目不在园区内）</w:t>
            </w:r>
          </w:p>
        </w:tc>
      </w:tr>
      <w:tr w14:paraId="2C217E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9029" w:type="dxa"/>
            <w:gridSpan w:val="4"/>
            <w:noWrap w:val="0"/>
            <w:vAlign w:val="center"/>
          </w:tcPr>
          <w:p w14:paraId="356B6BF3">
            <w:pPr>
              <w:autoSpaceDE w:val="0"/>
              <w:autoSpaceDN w:val="0"/>
              <w:adjustRightInd w:val="0"/>
              <w:snapToGrid w:val="0"/>
              <w:jc w:val="left"/>
              <w:rPr>
                <w:rFonts w:hint="default" w:ascii="Times New Roman" w:hAnsi="Times New Roman" w:cs="Times New Roman"/>
                <w:kern w:val="0"/>
                <w:szCs w:val="21"/>
              </w:rPr>
            </w:pPr>
            <w:r>
              <w:rPr>
                <w:rFonts w:hint="default" w:ascii="Times New Roman" w:hAnsi="Times New Roman" w:cs="Times New Roman"/>
                <w:b/>
                <w:bCs/>
                <w:sz w:val="24"/>
                <w:szCs w:val="21"/>
              </w:rPr>
              <w:t>规划及规划环境影响评价符合性分析</w:t>
            </w:r>
          </w:p>
        </w:tc>
      </w:tr>
      <w:tr w14:paraId="564655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029" w:type="dxa"/>
            <w:gridSpan w:val="4"/>
            <w:noWrap w:val="0"/>
            <w:vAlign w:val="center"/>
          </w:tcPr>
          <w:p w14:paraId="0FBC541F">
            <w:pPr>
              <w:pStyle w:val="44"/>
              <w:spacing w:before="120" w:beforeLines="50"/>
              <w:ind w:firstLine="480"/>
              <w:rPr>
                <w:rFonts w:hint="eastAsia" w:ascii="Times New Roman" w:hAnsi="Times New Roman" w:eastAsia="宋体" w:cs="Times New Roman"/>
                <w:kern w:val="0"/>
                <w:szCs w:val="24"/>
                <w:lang w:eastAsia="zh-CN"/>
              </w:rPr>
            </w:pPr>
            <w:r>
              <w:rPr>
                <w:rFonts w:hint="default" w:ascii="Times New Roman" w:hAnsi="Times New Roman" w:cs="Times New Roman"/>
              </w:rPr>
              <w:t>无</w:t>
            </w:r>
          </w:p>
        </w:tc>
      </w:tr>
      <w:tr w14:paraId="32FD1B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9029" w:type="dxa"/>
            <w:gridSpan w:val="4"/>
            <w:noWrap w:val="0"/>
            <w:vAlign w:val="center"/>
          </w:tcPr>
          <w:p w14:paraId="632C3D01">
            <w:pPr>
              <w:pStyle w:val="44"/>
              <w:spacing w:line="240" w:lineRule="auto"/>
              <w:ind w:firstLine="0" w:firstLineChars="0"/>
              <w:rPr>
                <w:rFonts w:hint="default" w:ascii="Times New Roman" w:hAnsi="Times New Roman" w:cs="Times New Roman"/>
              </w:rPr>
            </w:pPr>
            <w:r>
              <w:rPr>
                <w:rFonts w:hint="default" w:ascii="Times New Roman" w:hAnsi="Times New Roman" w:cs="Times New Roman"/>
                <w:b/>
                <w:bCs/>
              </w:rPr>
              <w:t>其他符合性分析</w:t>
            </w:r>
          </w:p>
        </w:tc>
      </w:tr>
      <w:tr w14:paraId="4F19D0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1" w:hRule="atLeast"/>
          <w:jc w:val="center"/>
        </w:trPr>
        <w:tc>
          <w:tcPr>
            <w:tcW w:w="9029" w:type="dxa"/>
            <w:gridSpan w:val="4"/>
            <w:noWrap w:val="0"/>
            <w:vAlign w:val="center"/>
          </w:tcPr>
          <w:p w14:paraId="4AF29056">
            <w:pPr>
              <w:pStyle w:val="44"/>
              <w:ind w:firstLine="482"/>
              <w:rPr>
                <w:rFonts w:hint="default" w:ascii="Times New Roman" w:hAnsi="Times New Roman" w:cs="Times New Roman"/>
                <w:b/>
                <w:bCs/>
                <w:lang w:val="zh-CN"/>
              </w:rPr>
            </w:pPr>
            <w:r>
              <w:rPr>
                <w:rFonts w:hint="default" w:ascii="Times New Roman" w:hAnsi="Times New Roman" w:cs="Times New Roman"/>
                <w:b/>
                <w:bCs/>
                <w:lang w:val="zh-CN"/>
              </w:rPr>
              <w:t>（1）产业政策符合性分析</w:t>
            </w:r>
          </w:p>
          <w:p w14:paraId="079525D5">
            <w:pPr>
              <w:pStyle w:val="44"/>
              <w:bidi w:val="0"/>
              <w:ind w:firstLine="720"/>
              <w:rPr>
                <w:rFonts w:hint="default" w:ascii="Times New Roman" w:hAnsi="Times New Roman" w:cs="Times New Roman"/>
                <w:szCs w:val="24"/>
              </w:rPr>
            </w:pPr>
            <w:r>
              <w:rPr>
                <w:rFonts w:hint="default" w:ascii="Times New Roman" w:hAnsi="Times New Roman" w:cs="Times New Roman"/>
              </w:rPr>
              <w:t>根据《国民经济行业分类》（GB/T4754-2017）（2019年修订版）及本项目属于C30</w:t>
            </w:r>
            <w:r>
              <w:rPr>
                <w:rFonts w:hint="eastAsia" w:ascii="Times New Roman" w:hAnsi="Times New Roman" w:cs="Times New Roman"/>
                <w:lang w:val="en-US" w:eastAsia="zh-CN"/>
              </w:rPr>
              <w:t>39其他建筑材料制造</w:t>
            </w:r>
            <w:r>
              <w:rPr>
                <w:rFonts w:hint="default" w:ascii="Times New Roman" w:hAnsi="Times New Roman" w:cs="Times New Roman"/>
              </w:rPr>
              <w:t>，</w:t>
            </w:r>
            <w:r>
              <w:rPr>
                <w:rFonts w:hint="default" w:ascii="Times New Roman" w:hAnsi="Times New Roman" w:eastAsia="宋体" w:cs="Times New Roman"/>
                <w:sz w:val="24"/>
                <w:szCs w:val="22"/>
              </w:rPr>
              <w:t>项目原料、规模、工艺、设备和产品不属于《产业结构调整指导目录（2019年本）》中的“限制类</w:t>
            </w:r>
            <w:r>
              <w:rPr>
                <w:rFonts w:hint="eastAsia" w:ascii="Times New Roman" w:hAnsi="Times New Roman" w:eastAsia="宋体" w:cs="Times New Roman"/>
                <w:sz w:val="24"/>
                <w:szCs w:val="22"/>
                <w:lang w:eastAsia="zh-CN"/>
              </w:rPr>
              <w:t>”“</w:t>
            </w:r>
            <w:r>
              <w:rPr>
                <w:rFonts w:hint="default" w:ascii="Times New Roman" w:hAnsi="Times New Roman" w:eastAsia="宋体" w:cs="Times New Roman"/>
                <w:sz w:val="24"/>
                <w:szCs w:val="22"/>
              </w:rPr>
              <w:t>淘汰”和“鼓励类”。依据国务院关于发布实施《促进产业结构调整暂行规定》的决定（国发〔2005〕40号）第十三条《产业结构调整指导目录》由鼓励、限制和淘汰三类目录组成，不属于鼓励类、限制类和淘汰类但符合国家有关</w:t>
            </w:r>
            <w:r>
              <w:rPr>
                <w:rFonts w:hint="eastAsia" w:ascii="Times New Roman" w:hAnsi="Times New Roman" w:eastAsia="宋体" w:cs="Times New Roman"/>
                <w:sz w:val="24"/>
                <w:szCs w:val="22"/>
                <w:lang w:eastAsia="zh-CN"/>
              </w:rPr>
              <w:t>法律法规</w:t>
            </w:r>
            <w:r>
              <w:rPr>
                <w:rFonts w:hint="default" w:ascii="Times New Roman" w:hAnsi="Times New Roman" w:eastAsia="宋体" w:cs="Times New Roman"/>
                <w:sz w:val="24"/>
                <w:szCs w:val="22"/>
              </w:rPr>
              <w:t>和政策规定的可视为允许类，允许类不列入《产业结构调整指导目录》。因此，本项目可视为允许类，项目的建设符合国家产业政策。</w:t>
            </w:r>
          </w:p>
          <w:p w14:paraId="50E6D0AA">
            <w:pPr>
              <w:pStyle w:val="44"/>
              <w:ind w:firstLine="480"/>
              <w:jc w:val="both"/>
              <w:rPr>
                <w:rFonts w:hint="default" w:ascii="Times New Roman" w:hAnsi="Times New Roman" w:cs="Times New Roman"/>
                <w:color w:val="auto"/>
                <w:szCs w:val="24"/>
              </w:rPr>
            </w:pPr>
            <w:r>
              <w:rPr>
                <w:rFonts w:hint="default" w:ascii="Times New Roman" w:hAnsi="Times New Roman" w:cs="Times New Roman"/>
                <w:color w:val="auto"/>
                <w:szCs w:val="24"/>
              </w:rPr>
              <w:t>202</w:t>
            </w:r>
            <w:r>
              <w:rPr>
                <w:rFonts w:hint="eastAsia" w:ascii="Times New Roman" w:hAnsi="Times New Roman" w:cs="Times New Roman"/>
                <w:color w:val="auto"/>
                <w:szCs w:val="24"/>
                <w:lang w:val="en-US" w:eastAsia="zh-CN"/>
              </w:rPr>
              <w:t>3</w:t>
            </w:r>
            <w:r>
              <w:rPr>
                <w:rFonts w:hint="default" w:ascii="Times New Roman" w:hAnsi="Times New Roman" w:cs="Times New Roman"/>
                <w:color w:val="auto"/>
                <w:szCs w:val="24"/>
              </w:rPr>
              <w:t>年</w:t>
            </w:r>
            <w:r>
              <w:rPr>
                <w:rFonts w:hint="eastAsia" w:ascii="Times New Roman" w:hAnsi="Times New Roman" w:cs="Times New Roman"/>
                <w:color w:val="auto"/>
                <w:szCs w:val="24"/>
                <w:lang w:val="en-US" w:eastAsia="zh-CN"/>
              </w:rPr>
              <w:t>4</w:t>
            </w:r>
            <w:r>
              <w:rPr>
                <w:rFonts w:hint="default" w:ascii="Times New Roman" w:hAnsi="Times New Roman" w:cs="Times New Roman"/>
                <w:color w:val="auto"/>
                <w:szCs w:val="24"/>
              </w:rPr>
              <w:t>月</w:t>
            </w:r>
            <w:r>
              <w:rPr>
                <w:rFonts w:hint="eastAsia" w:ascii="Times New Roman" w:hAnsi="Times New Roman" w:cs="Times New Roman"/>
                <w:color w:val="auto"/>
                <w:szCs w:val="24"/>
                <w:lang w:val="en-US" w:eastAsia="zh-CN"/>
              </w:rPr>
              <w:t>23</w:t>
            </w:r>
            <w:r>
              <w:rPr>
                <w:rFonts w:hint="default" w:ascii="Times New Roman" w:hAnsi="Times New Roman" w:cs="Times New Roman"/>
                <w:color w:val="auto"/>
                <w:szCs w:val="24"/>
              </w:rPr>
              <w:t>日</w:t>
            </w:r>
            <w:r>
              <w:rPr>
                <w:rFonts w:hint="eastAsia" w:ascii="Times New Roman" w:hAnsi="Times New Roman" w:cs="Times New Roman"/>
                <w:color w:val="auto"/>
                <w:szCs w:val="24"/>
                <w:lang w:eastAsia="zh-CN"/>
              </w:rPr>
              <w:t>安居区发展和改革局</w:t>
            </w:r>
            <w:r>
              <w:rPr>
                <w:rFonts w:hint="default" w:ascii="Times New Roman" w:hAnsi="Times New Roman" w:cs="Times New Roman"/>
                <w:color w:val="auto"/>
                <w:szCs w:val="24"/>
              </w:rPr>
              <w:t>以</w:t>
            </w:r>
            <w:r>
              <w:rPr>
                <w:rFonts w:hint="eastAsia" w:ascii="Times New Roman" w:hAnsi="Times New Roman" w:cs="Times New Roman"/>
                <w:color w:val="auto"/>
                <w:szCs w:val="24"/>
                <w:lang w:eastAsia="zh-CN"/>
              </w:rPr>
              <w:t>川投资备【2304-510904-04-01-565411】FGQB-0079号</w:t>
            </w:r>
            <w:r>
              <w:rPr>
                <w:rFonts w:hint="default" w:ascii="Times New Roman" w:hAnsi="Times New Roman" w:cs="Times New Roman"/>
                <w:color w:val="auto"/>
                <w:szCs w:val="24"/>
              </w:rPr>
              <w:t>项目备案表对本项目进行了备案支持（附件2）。</w:t>
            </w:r>
          </w:p>
          <w:p w14:paraId="4CF1B0C3">
            <w:pPr>
              <w:pStyle w:val="44"/>
              <w:ind w:firstLine="480"/>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（2）用地符合性</w:t>
            </w:r>
          </w:p>
          <w:p w14:paraId="2EBAD101">
            <w:pPr>
              <w:pStyle w:val="44"/>
              <w:ind w:firstLine="480"/>
              <w:jc w:val="both"/>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本项目主要为中建八局成达万高铁建设的搅拌站提供砂石材料，因此项目属于成达万高铁项目的配套工程。项目选址于</w:t>
            </w:r>
            <w:r>
              <w:rPr>
                <w:rFonts w:hint="default" w:ascii="Times New Roman" w:hAnsi="Times New Roman" w:cs="Times New Roman"/>
                <w:color w:val="auto"/>
              </w:rPr>
              <w:t>四川省遂宁市</w:t>
            </w:r>
            <w:r>
              <w:rPr>
                <w:rFonts w:hint="eastAsia" w:ascii="Times New Roman" w:hAnsi="Times New Roman" w:cs="Times New Roman"/>
                <w:color w:val="auto"/>
                <w:lang w:val="en-US" w:eastAsia="zh-CN"/>
              </w:rPr>
              <w:t>安居区</w:t>
            </w:r>
            <w:r>
              <w:rPr>
                <w:rFonts w:hint="default" w:ascii="Times New Roman" w:hAnsi="Times New Roman" w:cs="Times New Roman"/>
                <w:color w:val="auto"/>
              </w:rPr>
              <w:t>白马镇卧龙桥村8社</w:t>
            </w:r>
            <w:r>
              <w:rPr>
                <w:rFonts w:hint="eastAsia" w:ascii="Times New Roman" w:hAnsi="Times New Roman" w:eastAsia="宋体" w:cs="Times New Roman"/>
                <w:color w:val="auto"/>
                <w:lang w:val="en-US" w:eastAsia="zh-CN"/>
              </w:rPr>
              <w:t>，项目为临时项目。2023年6月8日遂宁市安居区白马镇人民政府出具证明材料证实本项目用地性质属于公路用地</w:t>
            </w:r>
            <w:r>
              <w:rPr>
                <w:rFonts w:hint="eastAsia" w:ascii="Times New Roman" w:hAnsi="Times New Roman" w:cs="Times New Roman"/>
                <w:color w:val="auto"/>
                <w:lang w:val="en-US" w:eastAsia="zh-CN"/>
              </w:rPr>
              <w:t>（不占用基本农田、耕地、林地等其他非建设用地）</w:t>
            </w:r>
            <w:r>
              <w:rPr>
                <w:rFonts w:hint="eastAsia" w:ascii="Times New Roman" w:hAnsi="Times New Roman" w:eastAsia="宋体" w:cs="Times New Roman"/>
                <w:color w:val="auto"/>
                <w:lang w:val="en-US" w:eastAsia="zh-CN"/>
              </w:rPr>
              <w:t>，符合白马镇的总体规划和用地性质。</w:t>
            </w:r>
          </w:p>
          <w:p w14:paraId="59A534E7">
            <w:pPr>
              <w:pStyle w:val="44"/>
              <w:ind w:firstLine="480"/>
              <w:jc w:val="both"/>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因此本项目的用地手续符合国家法律法规要求。</w:t>
            </w:r>
          </w:p>
          <w:p w14:paraId="3AA9C3B8">
            <w:pPr>
              <w:pStyle w:val="44"/>
              <w:ind w:firstLine="482"/>
              <w:rPr>
                <w:rFonts w:hint="default" w:ascii="Times New Roman" w:hAnsi="Times New Roman" w:cs="Times New Roman"/>
                <w:b/>
                <w:bCs/>
                <w:color w:val="000000"/>
                <w:highlight w:val="none"/>
                <w:lang w:val="zh-CN"/>
              </w:rPr>
            </w:pPr>
            <w:r>
              <w:rPr>
                <w:rFonts w:hint="default" w:ascii="Times New Roman" w:hAnsi="Times New Roman" w:cs="Times New Roman"/>
                <w:b/>
                <w:bCs/>
                <w:color w:val="000000"/>
                <w:highlight w:val="none"/>
                <w:lang w:val="zh-CN"/>
              </w:rPr>
              <w:t>（</w:t>
            </w:r>
            <w:r>
              <w:rPr>
                <w:rFonts w:hint="eastAsia" w:ascii="Times New Roman" w:hAnsi="Times New Roman" w:cs="Times New Roman"/>
                <w:b/>
                <w:bCs/>
                <w:color w:val="000000"/>
                <w:highlight w:val="none"/>
                <w:lang w:val="en-US" w:eastAsia="zh-CN"/>
              </w:rPr>
              <w:t>3</w:t>
            </w:r>
            <w:r>
              <w:rPr>
                <w:rFonts w:hint="default" w:ascii="Times New Roman" w:hAnsi="Times New Roman" w:cs="Times New Roman"/>
                <w:b/>
                <w:bCs/>
                <w:color w:val="000000"/>
                <w:highlight w:val="none"/>
                <w:lang w:val="zh-CN"/>
              </w:rPr>
              <w:t>）与长江经济带发展负面</w:t>
            </w:r>
            <w:r>
              <w:rPr>
                <w:rFonts w:hint="default" w:ascii="Times New Roman" w:hAnsi="Times New Roman" w:cs="Times New Roman"/>
                <w:b/>
                <w:bCs/>
                <w:color w:val="000000"/>
                <w:highlight w:val="none"/>
              </w:rPr>
              <w:t>清单</w:t>
            </w:r>
            <w:r>
              <w:rPr>
                <w:rFonts w:hint="default" w:ascii="Times New Roman" w:hAnsi="Times New Roman" w:cs="Times New Roman"/>
                <w:b/>
                <w:bCs/>
                <w:color w:val="000000"/>
                <w:highlight w:val="none"/>
                <w:lang w:val="zh-CN"/>
              </w:rPr>
              <w:t>符合性分析</w:t>
            </w:r>
          </w:p>
          <w:p w14:paraId="396B1874">
            <w:pPr>
              <w:pStyle w:val="44"/>
              <w:ind w:firstLine="480"/>
              <w:rPr>
                <w:rFonts w:hint="default" w:ascii="Times New Roman" w:hAnsi="Times New Roman" w:cs="Times New Roman"/>
                <w:color w:val="000000"/>
                <w:highlight w:val="none"/>
                <w:lang w:val="zh-CN"/>
              </w:rPr>
            </w:pPr>
            <w:r>
              <w:rPr>
                <w:rFonts w:hint="default" w:ascii="Times New Roman" w:hAnsi="Times New Roman" w:cs="Times New Roman"/>
                <w:color w:val="000000"/>
                <w:highlight w:val="none"/>
              </w:rPr>
              <w:t>2022年1月29日推动长江经济带发展领导小组办公室发布了</w:t>
            </w:r>
            <w:r>
              <w:rPr>
                <w:rFonts w:hint="default" w:ascii="Times New Roman" w:hAnsi="Times New Roman" w:cs="Times New Roman"/>
                <w:b/>
                <w:bCs/>
                <w:color w:val="000000"/>
                <w:highlight w:val="none"/>
                <w:lang w:val="zh-CN"/>
              </w:rPr>
              <w:t>《长江经济带发展负面指南试行（</w:t>
            </w:r>
            <w:r>
              <w:rPr>
                <w:rFonts w:hint="default" w:ascii="Times New Roman" w:hAnsi="Times New Roman" w:cs="Times New Roman"/>
                <w:b/>
                <w:bCs/>
                <w:color w:val="000000"/>
                <w:highlight w:val="none"/>
              </w:rPr>
              <w:t>2022版</w:t>
            </w:r>
            <w:r>
              <w:rPr>
                <w:rFonts w:hint="default" w:ascii="Times New Roman" w:hAnsi="Times New Roman" w:cs="Times New Roman"/>
                <w:b/>
                <w:bCs/>
                <w:color w:val="000000"/>
                <w:highlight w:val="none"/>
                <w:lang w:val="zh-CN"/>
              </w:rPr>
              <w:t>）》</w:t>
            </w:r>
            <w:r>
              <w:rPr>
                <w:rFonts w:hint="default" w:ascii="Times New Roman" w:hAnsi="Times New Roman" w:cs="Times New Roman"/>
                <w:color w:val="000000"/>
                <w:highlight w:val="none"/>
                <w:lang w:val="zh-CN"/>
              </w:rPr>
              <w:t>（长江办〔</w:t>
            </w:r>
            <w:r>
              <w:rPr>
                <w:rFonts w:hint="default" w:ascii="Times New Roman" w:hAnsi="Times New Roman" w:cs="Times New Roman"/>
                <w:color w:val="000000"/>
                <w:highlight w:val="none"/>
              </w:rPr>
              <w:t>2022</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7号</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，2022年8月25日四川省及重庆市推动长江经济带发展领导小组办公室发布了</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四川省、重庆市</w:t>
            </w:r>
            <w:r>
              <w:rPr>
                <w:rFonts w:hint="default" w:ascii="Times New Roman" w:hAnsi="Times New Roman" w:cs="Times New Roman"/>
                <w:color w:val="000000"/>
                <w:highlight w:val="none"/>
                <w:lang w:val="zh-CN"/>
              </w:rPr>
              <w:t>长江经济带发展负面</w:t>
            </w:r>
            <w:r>
              <w:rPr>
                <w:rFonts w:hint="default" w:ascii="Times New Roman" w:hAnsi="Times New Roman" w:cs="Times New Roman"/>
                <w:color w:val="000000"/>
                <w:highlight w:val="none"/>
              </w:rPr>
              <w:t>清单实施细则</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试行，2022版</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川长江办</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2022</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17号</w:t>
            </w:r>
            <w:r>
              <w:rPr>
                <w:rFonts w:hint="default" w:ascii="Times New Roman" w:hAnsi="Times New Roman" w:cs="Times New Roman"/>
                <w:color w:val="000000"/>
                <w:highlight w:val="none"/>
                <w:lang w:val="zh-CN"/>
              </w:rPr>
              <w:t>）。根据文件精神，本项目符合性分析如下：</w:t>
            </w:r>
          </w:p>
          <w:p w14:paraId="60DA77F9">
            <w:pPr>
              <w:jc w:val="center"/>
              <w:rPr>
                <w:b/>
                <w:bCs/>
                <w:color w:val="000000"/>
                <w:sz w:val="24"/>
                <w:highlight w:val="none"/>
                <w:lang w:val="zh-CN"/>
              </w:rPr>
            </w:pPr>
            <w:r>
              <w:rPr>
                <w:b/>
                <w:bCs/>
                <w:color w:val="000000"/>
                <w:sz w:val="24"/>
                <w:highlight w:val="none"/>
                <w:lang w:val="zh-CN"/>
              </w:rPr>
              <w:t>表1-</w:t>
            </w:r>
            <w:r>
              <w:rPr>
                <w:rFonts w:hint="eastAsia"/>
                <w:b/>
                <w:bCs/>
                <w:color w:val="000000"/>
                <w:sz w:val="24"/>
                <w:highlight w:val="none"/>
                <w:lang w:val="en-US" w:eastAsia="zh-CN"/>
              </w:rPr>
              <w:t>1</w:t>
            </w:r>
            <w:r>
              <w:rPr>
                <w:b/>
                <w:bCs/>
                <w:color w:val="000000"/>
                <w:sz w:val="24"/>
                <w:highlight w:val="none"/>
                <w:lang w:val="zh-CN"/>
              </w:rPr>
              <w:t>项目与长江办〔2022〕7号符合性分析</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572"/>
              <w:gridCol w:w="1635"/>
              <w:gridCol w:w="1013"/>
            </w:tblGrid>
            <w:tr w14:paraId="2E5D83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601" w:hRule="atLeast"/>
                <w:jc w:val="center"/>
              </w:trPr>
              <w:tc>
                <w:tcPr>
                  <w:tcW w:w="5572" w:type="dxa"/>
                  <w:noWrap w:val="0"/>
                  <w:vAlign w:val="center"/>
                </w:tcPr>
                <w:p w14:paraId="53D00FEB">
                  <w:pPr>
                    <w:pStyle w:val="44"/>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000000"/>
                      <w:sz w:val="21"/>
                      <w:highlight w:val="none"/>
                    </w:rPr>
                  </w:pPr>
                  <w:r>
                    <w:rPr>
                      <w:rFonts w:hint="default" w:ascii="Times New Roman" w:hAnsi="Times New Roman" w:cs="Times New Roman"/>
                      <w:b/>
                      <w:bCs/>
                      <w:color w:val="000000"/>
                      <w:sz w:val="21"/>
                      <w:highlight w:val="none"/>
                      <w:lang w:val="zh-CN"/>
                    </w:rPr>
                    <w:t>长江办〔2022〕7号</w:t>
                  </w:r>
                  <w:r>
                    <w:rPr>
                      <w:rFonts w:hint="default" w:ascii="Times New Roman" w:hAnsi="Times New Roman" w:cs="Times New Roman"/>
                      <w:b/>
                      <w:bCs/>
                      <w:color w:val="000000"/>
                      <w:sz w:val="21"/>
                      <w:highlight w:val="none"/>
                    </w:rPr>
                    <w:t>文件要求</w:t>
                  </w:r>
                </w:p>
              </w:tc>
              <w:tc>
                <w:tcPr>
                  <w:tcW w:w="1635" w:type="dxa"/>
                  <w:noWrap w:val="0"/>
                  <w:vAlign w:val="center"/>
                </w:tcPr>
                <w:p w14:paraId="7B540D3F">
                  <w:pPr>
                    <w:pStyle w:val="44"/>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000000"/>
                      <w:sz w:val="21"/>
                      <w:highlight w:val="none"/>
                    </w:rPr>
                  </w:pPr>
                  <w:r>
                    <w:rPr>
                      <w:rFonts w:hint="default" w:ascii="Times New Roman" w:hAnsi="Times New Roman" w:cs="Times New Roman"/>
                      <w:b/>
                      <w:bCs/>
                      <w:color w:val="000000"/>
                      <w:sz w:val="21"/>
                      <w:highlight w:val="none"/>
                    </w:rPr>
                    <w:t>本项目衔接情况</w:t>
                  </w:r>
                </w:p>
              </w:tc>
              <w:tc>
                <w:tcPr>
                  <w:tcW w:w="1013" w:type="dxa"/>
                  <w:noWrap w:val="0"/>
                  <w:vAlign w:val="center"/>
                </w:tcPr>
                <w:p w14:paraId="41EC921A">
                  <w:pPr>
                    <w:pStyle w:val="44"/>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000000"/>
                      <w:sz w:val="21"/>
                      <w:highlight w:val="none"/>
                    </w:rPr>
                  </w:pPr>
                  <w:r>
                    <w:rPr>
                      <w:rFonts w:hint="default" w:ascii="Times New Roman" w:hAnsi="Times New Roman" w:cs="Times New Roman"/>
                      <w:b/>
                      <w:bCs/>
                      <w:color w:val="000000"/>
                      <w:sz w:val="21"/>
                      <w:highlight w:val="none"/>
                    </w:rPr>
                    <w:t>符合性</w:t>
                  </w:r>
                </w:p>
              </w:tc>
            </w:tr>
            <w:tr w14:paraId="2D9EC4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5AA77A69">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禁止建设不符合全国和省级港口布局规划以及港口总体规划的码头项目，禁止建设不符合《长江干线过江通道布局规划》的过长江通道项目。</w:t>
                  </w:r>
                </w:p>
              </w:tc>
              <w:tc>
                <w:tcPr>
                  <w:tcW w:w="1635" w:type="dxa"/>
                  <w:vMerge w:val="restart"/>
                  <w:noWrap w:val="0"/>
                  <w:vAlign w:val="center"/>
                </w:tcPr>
                <w:p w14:paraId="20147C4A">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本项目不涉及</w:t>
                  </w:r>
                </w:p>
              </w:tc>
              <w:tc>
                <w:tcPr>
                  <w:tcW w:w="1013" w:type="dxa"/>
                  <w:noWrap w:val="0"/>
                  <w:vAlign w:val="center"/>
                </w:tcPr>
                <w:p w14:paraId="4901F08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36F109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539FE8FD">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禁止在自然保护区核心区、缓冲区的岸线和河段范围内投资建设旅游和生产经营项目。禁止在风景名胜区核心景区的岸线和河段范围内投资建设与风景名胜资源保护无关的项目。</w:t>
                  </w:r>
                </w:p>
              </w:tc>
              <w:tc>
                <w:tcPr>
                  <w:tcW w:w="1635" w:type="dxa"/>
                  <w:vMerge w:val="continue"/>
                  <w:noWrap w:val="0"/>
                  <w:vAlign w:val="center"/>
                </w:tcPr>
                <w:p w14:paraId="27B843F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23E50056">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5E7F1D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180C5576">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w:t>
                  </w:r>
                </w:p>
              </w:tc>
              <w:tc>
                <w:tcPr>
                  <w:tcW w:w="1635" w:type="dxa"/>
                  <w:vMerge w:val="continue"/>
                  <w:noWrap w:val="0"/>
                  <w:vAlign w:val="center"/>
                </w:tcPr>
                <w:p w14:paraId="4A498CF3">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17620CC4">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0A885E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73F1BAA2">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禁止在水产种质资源保护区的岸线和河段范围内新建围湖造田、围海造地或围填海等投资建设项目。禁止在国家湿地公园的岸线和河段范围内挖沙、采矿，以及任何不符合主体功能定位的投资建设项目。</w:t>
                  </w:r>
                </w:p>
              </w:tc>
              <w:tc>
                <w:tcPr>
                  <w:tcW w:w="1635" w:type="dxa"/>
                  <w:vMerge w:val="continue"/>
                  <w:noWrap w:val="0"/>
                  <w:vAlign w:val="center"/>
                </w:tcPr>
                <w:p w14:paraId="12A94666">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2D8D90A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56CB55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755B3389">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禁止在《全国重要江河湖泊水功能区划》划定的河段及湖泊保护区、保留区内投资建设不利于水资源及自然生态保护的项目</w:t>
                  </w:r>
                </w:p>
              </w:tc>
              <w:tc>
                <w:tcPr>
                  <w:tcW w:w="1635" w:type="dxa"/>
                  <w:vMerge w:val="continue"/>
                  <w:noWrap w:val="0"/>
                  <w:vAlign w:val="center"/>
                </w:tcPr>
                <w:p w14:paraId="7A70577D">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7A4716B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486164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34899128">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禁止未经许可在长江</w:t>
                  </w:r>
                  <w:r>
                    <w:rPr>
                      <w:rFonts w:ascii="Times New Roman" w:hAnsi="Times New Roman" w:cs="Times New Roman"/>
                      <w:color w:val="000000"/>
                      <w:sz w:val="21"/>
                      <w:highlight w:val="none"/>
                    </w:rPr>
                    <w:t>干支流</w:t>
                  </w:r>
                  <w:r>
                    <w:rPr>
                      <w:rFonts w:hint="default" w:ascii="Times New Roman" w:hAnsi="Times New Roman" w:cs="Times New Roman"/>
                      <w:color w:val="000000"/>
                      <w:sz w:val="21"/>
                      <w:highlight w:val="none"/>
                    </w:rPr>
                    <w:t>及湖泊新设、改设或扩大排污口。</w:t>
                  </w:r>
                </w:p>
              </w:tc>
              <w:tc>
                <w:tcPr>
                  <w:tcW w:w="1635" w:type="dxa"/>
                  <w:vMerge w:val="continue"/>
                  <w:noWrap w:val="0"/>
                  <w:vAlign w:val="center"/>
                </w:tcPr>
                <w:p w14:paraId="2925F449">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6E4FF787">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19FD2E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3CB43CA3">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禁止在“一江一口两湖七河”和332个水生生物保护区开展生产性捕捞。</w:t>
                  </w:r>
                </w:p>
              </w:tc>
              <w:tc>
                <w:tcPr>
                  <w:tcW w:w="1635" w:type="dxa"/>
                  <w:vMerge w:val="continue"/>
                  <w:noWrap w:val="0"/>
                  <w:vAlign w:val="center"/>
                </w:tcPr>
                <w:p w14:paraId="0E16474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33437A41">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12D3E0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421B1AA9">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禁止在长江</w:t>
                  </w:r>
                  <w:r>
                    <w:rPr>
                      <w:rFonts w:ascii="Times New Roman" w:hAnsi="Times New Roman" w:cs="Times New Roman"/>
                      <w:color w:val="000000"/>
                      <w:sz w:val="21"/>
                      <w:highlight w:val="none"/>
                    </w:rPr>
                    <w:t>干支流</w:t>
                  </w:r>
                  <w:r>
                    <w:rPr>
                      <w:rFonts w:hint="default" w:ascii="Times New Roman" w:hAnsi="Times New Roman" w:cs="Times New Roman"/>
                      <w:color w:val="000000"/>
                      <w:sz w:val="21"/>
                      <w:highlight w:val="none"/>
                    </w:rPr>
                    <w:t>、重要湖泊岸线一公里范围内新建、扩建化工园区和化工项目。禁止在长江干流岸线三公里范围内和重要支流岸线一公里范围内新建、改建、扩建尾矿库、冶炼渣库和磷石膏库，以提升安全、生态环境保护水平为目的的改建除外。</w:t>
                  </w:r>
                </w:p>
              </w:tc>
              <w:tc>
                <w:tcPr>
                  <w:tcW w:w="1635" w:type="dxa"/>
                  <w:vMerge w:val="continue"/>
                  <w:noWrap w:val="0"/>
                  <w:vAlign w:val="center"/>
                </w:tcPr>
                <w:p w14:paraId="0D6855C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5CA11D5C">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447B7B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66F53786">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禁止在合规园区外新建、扩建钢铁、石化、化工、焦化、建材、有色、制浆造纸等高污染项目。</w:t>
                  </w:r>
                </w:p>
              </w:tc>
              <w:tc>
                <w:tcPr>
                  <w:tcW w:w="1635" w:type="dxa"/>
                  <w:vMerge w:val="restart"/>
                  <w:noWrap w:val="0"/>
                  <w:vAlign w:val="center"/>
                </w:tcPr>
                <w:p w14:paraId="5695D77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本项目不属于禁止产业，不属于落后产能</w:t>
                  </w:r>
                </w:p>
              </w:tc>
              <w:tc>
                <w:tcPr>
                  <w:tcW w:w="1013" w:type="dxa"/>
                  <w:noWrap w:val="0"/>
                  <w:vAlign w:val="center"/>
                </w:tcPr>
                <w:p w14:paraId="1A1CAFA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352BA9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391899F5">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禁止新建、扩建不符合国家石化、现代煤化工等产业布局规划的项目。</w:t>
                  </w:r>
                </w:p>
              </w:tc>
              <w:tc>
                <w:tcPr>
                  <w:tcW w:w="1635" w:type="dxa"/>
                  <w:vMerge w:val="continue"/>
                  <w:noWrap w:val="0"/>
                  <w:vAlign w:val="center"/>
                </w:tcPr>
                <w:p w14:paraId="10366029">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29B522C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2E98CA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572" w:type="dxa"/>
                  <w:noWrap w:val="0"/>
                  <w:vAlign w:val="top"/>
                </w:tcPr>
                <w:p w14:paraId="02D9C9F9">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禁止新建、扩建法律法规和相关政策明令禁止的落后产能项目。禁止新建、扩建不符合国家产能置换要求的严重过剩产能行业的项目。禁止新建、扩建不符合要求的高耗能高排放项目。</w:t>
                  </w:r>
                </w:p>
              </w:tc>
              <w:tc>
                <w:tcPr>
                  <w:tcW w:w="1635" w:type="dxa"/>
                  <w:vMerge w:val="continue"/>
                  <w:noWrap w:val="0"/>
                  <w:vAlign w:val="center"/>
                </w:tcPr>
                <w:p w14:paraId="4049C9BC">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13" w:type="dxa"/>
                  <w:noWrap w:val="0"/>
                  <w:vAlign w:val="center"/>
                </w:tcPr>
                <w:p w14:paraId="26178EC2">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bl>
          <w:p w14:paraId="2716EF86">
            <w:pPr>
              <w:pStyle w:val="44"/>
              <w:ind w:firstLine="480"/>
              <w:rPr>
                <w:rFonts w:hint="default" w:ascii="Times New Roman" w:hAnsi="Times New Roman" w:cs="Times New Roman"/>
                <w:color w:val="000000"/>
                <w:highlight w:val="none"/>
              </w:rPr>
            </w:pPr>
          </w:p>
          <w:p w14:paraId="50033ACC">
            <w:pPr>
              <w:jc w:val="center"/>
              <w:rPr>
                <w:b/>
                <w:bCs/>
                <w:color w:val="000000"/>
                <w:sz w:val="24"/>
                <w:highlight w:val="none"/>
                <w:lang w:val="zh-CN"/>
              </w:rPr>
            </w:pPr>
            <w:r>
              <w:rPr>
                <w:b/>
                <w:bCs/>
                <w:color w:val="000000"/>
                <w:sz w:val="24"/>
                <w:highlight w:val="none"/>
                <w:lang w:val="zh-CN"/>
              </w:rPr>
              <w:t>表1-</w:t>
            </w:r>
            <w:r>
              <w:rPr>
                <w:rFonts w:hint="eastAsia"/>
                <w:b/>
                <w:bCs/>
                <w:color w:val="000000"/>
                <w:sz w:val="24"/>
                <w:highlight w:val="none"/>
                <w:lang w:val="en-US" w:eastAsia="zh-CN"/>
              </w:rPr>
              <w:t>2</w:t>
            </w:r>
            <w:r>
              <w:rPr>
                <w:b/>
                <w:bCs/>
                <w:color w:val="000000"/>
                <w:sz w:val="24"/>
                <w:highlight w:val="none"/>
                <w:lang w:val="zh-CN"/>
              </w:rPr>
              <w:t>项目与</w:t>
            </w:r>
            <w:r>
              <w:rPr>
                <w:b/>
                <w:bCs/>
                <w:color w:val="000000"/>
                <w:sz w:val="24"/>
                <w:highlight w:val="none"/>
              </w:rPr>
              <w:t>川</w:t>
            </w:r>
            <w:r>
              <w:rPr>
                <w:b/>
                <w:bCs/>
                <w:color w:val="000000"/>
                <w:sz w:val="24"/>
                <w:highlight w:val="none"/>
                <w:lang w:val="zh-CN"/>
              </w:rPr>
              <w:t>长江办〔2022〕</w:t>
            </w:r>
            <w:r>
              <w:rPr>
                <w:b/>
                <w:bCs/>
                <w:color w:val="000000"/>
                <w:sz w:val="24"/>
                <w:highlight w:val="none"/>
              </w:rPr>
              <w:t>1</w:t>
            </w:r>
            <w:r>
              <w:rPr>
                <w:b/>
                <w:bCs/>
                <w:color w:val="000000"/>
                <w:sz w:val="24"/>
                <w:highlight w:val="none"/>
                <w:lang w:val="zh-CN"/>
              </w:rPr>
              <w:t>7号符合性分析</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902"/>
              <w:gridCol w:w="1290"/>
              <w:gridCol w:w="1028"/>
            </w:tblGrid>
            <w:tr w14:paraId="5C96C2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5902" w:type="dxa"/>
                  <w:noWrap w:val="0"/>
                  <w:vAlign w:val="center"/>
                </w:tcPr>
                <w:p w14:paraId="51626AD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b/>
                      <w:bCs/>
                      <w:color w:val="000000"/>
                      <w:sz w:val="21"/>
                      <w:highlight w:val="none"/>
                    </w:rPr>
                  </w:pPr>
                  <w:r>
                    <w:rPr>
                      <w:rFonts w:hint="default" w:ascii="Times New Roman" w:hAnsi="Times New Roman" w:cs="Times New Roman"/>
                      <w:b/>
                      <w:bCs/>
                      <w:color w:val="000000"/>
                      <w:sz w:val="21"/>
                      <w:highlight w:val="none"/>
                    </w:rPr>
                    <w:t>川</w:t>
                  </w:r>
                  <w:r>
                    <w:rPr>
                      <w:rFonts w:hint="default" w:ascii="Times New Roman" w:hAnsi="Times New Roman" w:cs="Times New Roman"/>
                      <w:b/>
                      <w:bCs/>
                      <w:color w:val="000000"/>
                      <w:sz w:val="21"/>
                      <w:highlight w:val="none"/>
                      <w:lang w:val="zh-CN"/>
                    </w:rPr>
                    <w:t>长江办〔2022〕</w:t>
                  </w:r>
                  <w:r>
                    <w:rPr>
                      <w:rFonts w:hint="default" w:ascii="Times New Roman" w:hAnsi="Times New Roman" w:cs="Times New Roman"/>
                      <w:b/>
                      <w:bCs/>
                      <w:color w:val="000000"/>
                      <w:sz w:val="21"/>
                      <w:highlight w:val="none"/>
                    </w:rPr>
                    <w:t>1</w:t>
                  </w:r>
                  <w:r>
                    <w:rPr>
                      <w:rFonts w:hint="default" w:ascii="Times New Roman" w:hAnsi="Times New Roman" w:cs="Times New Roman"/>
                      <w:b/>
                      <w:bCs/>
                      <w:color w:val="000000"/>
                      <w:sz w:val="21"/>
                      <w:highlight w:val="none"/>
                      <w:lang w:val="zh-CN"/>
                    </w:rPr>
                    <w:t>7号</w:t>
                  </w:r>
                  <w:r>
                    <w:rPr>
                      <w:rFonts w:hint="default" w:ascii="Times New Roman" w:hAnsi="Times New Roman" w:cs="Times New Roman"/>
                      <w:b/>
                      <w:bCs/>
                      <w:color w:val="000000"/>
                      <w:sz w:val="21"/>
                      <w:highlight w:val="none"/>
                    </w:rPr>
                    <w:t>文件要求</w:t>
                  </w:r>
                </w:p>
              </w:tc>
              <w:tc>
                <w:tcPr>
                  <w:tcW w:w="1290" w:type="dxa"/>
                  <w:noWrap w:val="0"/>
                  <w:vAlign w:val="center"/>
                </w:tcPr>
                <w:p w14:paraId="57A8F7BC">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b/>
                      <w:bCs/>
                      <w:color w:val="000000"/>
                      <w:sz w:val="21"/>
                      <w:highlight w:val="none"/>
                    </w:rPr>
                  </w:pPr>
                  <w:r>
                    <w:rPr>
                      <w:rFonts w:hint="default" w:ascii="Times New Roman" w:hAnsi="Times New Roman" w:cs="Times New Roman"/>
                      <w:b/>
                      <w:bCs/>
                      <w:color w:val="000000"/>
                      <w:sz w:val="21"/>
                      <w:highlight w:val="none"/>
                    </w:rPr>
                    <w:t>本项目衔接情况</w:t>
                  </w:r>
                </w:p>
              </w:tc>
              <w:tc>
                <w:tcPr>
                  <w:tcW w:w="1028" w:type="dxa"/>
                  <w:noWrap w:val="0"/>
                  <w:vAlign w:val="center"/>
                </w:tcPr>
                <w:p w14:paraId="747A446F">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b/>
                      <w:bCs/>
                      <w:color w:val="000000"/>
                      <w:sz w:val="21"/>
                      <w:highlight w:val="none"/>
                    </w:rPr>
                  </w:pPr>
                  <w:r>
                    <w:rPr>
                      <w:rFonts w:hint="default" w:ascii="Times New Roman" w:hAnsi="Times New Roman" w:cs="Times New Roman"/>
                      <w:b/>
                      <w:bCs/>
                      <w:color w:val="000000"/>
                      <w:sz w:val="21"/>
                      <w:highlight w:val="none"/>
                    </w:rPr>
                    <w:t>符合性</w:t>
                  </w:r>
                </w:p>
              </w:tc>
            </w:tr>
            <w:tr w14:paraId="689C1B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7CB37343">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五条禁止新建、改建和扩建不符合全国港口布局规划，以及《四川省内河水运发展规划》《泸州—宜宾—乐山港口群布局规划》《重庆港总体规划（2035年）》等省级港口布局规划及市级港口总体规划的码头项目。</w:t>
                  </w:r>
                </w:p>
              </w:tc>
              <w:tc>
                <w:tcPr>
                  <w:tcW w:w="1290" w:type="dxa"/>
                  <w:vMerge w:val="restart"/>
                  <w:noWrap w:val="0"/>
                  <w:vAlign w:val="center"/>
                </w:tcPr>
                <w:p w14:paraId="6BE60618">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本项目不涉及</w:t>
                  </w:r>
                </w:p>
              </w:tc>
              <w:tc>
                <w:tcPr>
                  <w:tcW w:w="1028" w:type="dxa"/>
                  <w:noWrap w:val="0"/>
                  <w:vAlign w:val="center"/>
                </w:tcPr>
                <w:p w14:paraId="4FD12E7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1F8C54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74B69197">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第六条禁止新建、改建和扩建不符合《长江干线过江通道布局规划（2020——2035年）》的过长江通道项目（含桥梁、隧道），国家发展改革委同意过长江通道线位调整的除外。</w:t>
                  </w:r>
                </w:p>
              </w:tc>
              <w:tc>
                <w:tcPr>
                  <w:tcW w:w="1290" w:type="dxa"/>
                  <w:vMerge w:val="continue"/>
                  <w:noWrap w:val="0"/>
                  <w:vAlign w:val="center"/>
                </w:tcPr>
                <w:p w14:paraId="6115C69A">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69554224">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026CBD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0F98C4B6">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第七条禁止在自然保护区核心区、缓冲区的岸线和河段范围内投资建设旅游和生产经营项目。自然保护区的内部未分区的，依照核心区和缓冲区的规定管控。</w:t>
                  </w:r>
                </w:p>
              </w:tc>
              <w:tc>
                <w:tcPr>
                  <w:tcW w:w="1290" w:type="dxa"/>
                  <w:vMerge w:val="continue"/>
                  <w:noWrap w:val="0"/>
                  <w:vAlign w:val="center"/>
                </w:tcPr>
                <w:p w14:paraId="5E679E9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2710C3EF">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4CBE54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0CE4ADBC">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第八条禁止违反风景名胜区规划，在风景名胜区内设立各类开发区。禁止在风景名胜区核心景区的岸线和河段范围内建设宾馆、招待所、培训中心、疗养院以及与风景名胜资源保护无关的项目。</w:t>
                  </w:r>
                </w:p>
              </w:tc>
              <w:tc>
                <w:tcPr>
                  <w:tcW w:w="1290" w:type="dxa"/>
                  <w:vMerge w:val="continue"/>
                  <w:noWrap w:val="0"/>
                  <w:vAlign w:val="center"/>
                </w:tcPr>
                <w:p w14:paraId="697E58FF">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1980A7B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2BF762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17E3B378">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第九条禁止在饮用水水源准保护区的岸线和河段范围内新建、扩建对水体污染严重的建设项目，禁止改建增加排污量的建设项目。</w:t>
                  </w:r>
                </w:p>
              </w:tc>
              <w:tc>
                <w:tcPr>
                  <w:tcW w:w="1290" w:type="dxa"/>
                  <w:vMerge w:val="continue"/>
                  <w:noWrap w:val="0"/>
                  <w:vAlign w:val="center"/>
                </w:tcPr>
                <w:p w14:paraId="78241C13">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591ACAF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5FA76C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6390E6FA">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第十条饮用水水源二级保护区的岸线和河段范围内，除遵守准保护区规定外，禁止新建、改建、扩建排放污染物的投资建设项目；禁止从事对水体有污染的水产养殖等活动。</w:t>
                  </w:r>
                </w:p>
              </w:tc>
              <w:tc>
                <w:tcPr>
                  <w:tcW w:w="1290" w:type="dxa"/>
                  <w:vMerge w:val="continue"/>
                  <w:noWrap w:val="0"/>
                  <w:vAlign w:val="center"/>
                </w:tcPr>
                <w:p w14:paraId="21072988">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1CFE500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2CD188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3F957658">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一条饮用水水源一级保护区的岸线和河段范围内，除遵守二级保护区规定外，禁止新建、改建、扩建与供水设施和保护水源无关的项目，以及网箱养殖、畜禽养殖、旅游等可能污染饮用水水体的投资建设项目。</w:t>
                  </w:r>
                </w:p>
              </w:tc>
              <w:tc>
                <w:tcPr>
                  <w:tcW w:w="1290" w:type="dxa"/>
                  <w:vMerge w:val="continue"/>
                  <w:noWrap w:val="0"/>
                  <w:vAlign w:val="center"/>
                </w:tcPr>
                <w:p w14:paraId="598A2769">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0BFD60F9">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56ADD8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683FE510">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第十二条禁止在水产种质资源保护区岸线和河段范围内新建围湖造田、围湖造地或挖沙采石等投资建设项目。</w:t>
                  </w:r>
                </w:p>
              </w:tc>
              <w:tc>
                <w:tcPr>
                  <w:tcW w:w="1290" w:type="dxa"/>
                  <w:vMerge w:val="continue"/>
                  <w:noWrap w:val="0"/>
                  <w:vAlign w:val="center"/>
                </w:tcPr>
                <w:p w14:paraId="23382B2D">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687EBCC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598623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21EAC4B0">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三条禁止在国家湿地公园的岸线和河段范围内开（围）垦、填埋或者排干湿地，截断湿地水源，挖沙、采矿，倾倒有毒有害物质、废弃物、垃圾，从事房地产、度假村、高尔夫球场、风力发电、光伏发电等任何不符合主体功能定位的建设项目和开发活动，破坏野生动物栖息地和迁徙通道、鱼类洄游通道。</w:t>
                  </w:r>
                </w:p>
              </w:tc>
              <w:tc>
                <w:tcPr>
                  <w:tcW w:w="1290" w:type="dxa"/>
                  <w:vMerge w:val="continue"/>
                  <w:noWrap w:val="0"/>
                  <w:vAlign w:val="center"/>
                </w:tcPr>
                <w:p w14:paraId="0FA2158A">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3E216CE7">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6EB16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61DDDAB5">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四条禁止违法利用、占用长江流域河湖岸线。禁止在《长江岸线保护和开发利用总体规划》划定的岸线保护区和岸线保留区内投资建设除事关公共安全及公众利益的防洪护岸、河道治理、供水、生态环境保护、航道整治、国家重要基础设施以外的项目。</w:t>
                  </w:r>
                </w:p>
              </w:tc>
              <w:tc>
                <w:tcPr>
                  <w:tcW w:w="1290" w:type="dxa"/>
                  <w:vMerge w:val="continue"/>
                  <w:noWrap w:val="0"/>
                  <w:vAlign w:val="center"/>
                </w:tcPr>
                <w:p w14:paraId="4F0A65A9">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6D5FD100">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4831D1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18D5C83D">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第十五条禁止在《全国重要江河湖泊水功能区划》划定的河段及湖泊保护区、保留区内投资建设不利于水资源及自然生态保护的项目。</w:t>
                  </w:r>
                </w:p>
              </w:tc>
              <w:tc>
                <w:tcPr>
                  <w:tcW w:w="1290" w:type="dxa"/>
                  <w:vMerge w:val="continue"/>
                  <w:noWrap w:val="0"/>
                  <w:vAlign w:val="center"/>
                </w:tcPr>
                <w:p w14:paraId="3E899DC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025EDC2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3DC653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383464BB">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第十六条禁止在长江流域江河、湖泊新设、改设或者扩大排污口，经有管辖权的生态环境主管部门或者长江流域生态环境监督管理机构同意的除外。</w:t>
                  </w:r>
                </w:p>
              </w:tc>
              <w:tc>
                <w:tcPr>
                  <w:tcW w:w="1290" w:type="dxa"/>
                  <w:vMerge w:val="continue"/>
                  <w:noWrap w:val="0"/>
                  <w:vAlign w:val="center"/>
                </w:tcPr>
                <w:p w14:paraId="44A369EA">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7B3DCC1C">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751CD9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3CB47217">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第十七条禁止在长江干流、大渡河、岷江、赤水河、沱江、嘉陵江、乌江、汉江和51个（四川省45个、重庆市6个）水生生物保护区开展生产性捕捞。</w:t>
                  </w:r>
                </w:p>
              </w:tc>
              <w:tc>
                <w:tcPr>
                  <w:tcW w:w="1290" w:type="dxa"/>
                  <w:vMerge w:val="continue"/>
                  <w:noWrap w:val="0"/>
                  <w:vAlign w:val="center"/>
                </w:tcPr>
                <w:p w14:paraId="564C0C17">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5901D30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325EB2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0455DB00">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第十八条禁止在长江干支流、重要湖泊岸线一公里范围内新建、扩建化工园区和化工项目。</w:t>
                  </w:r>
                </w:p>
              </w:tc>
              <w:tc>
                <w:tcPr>
                  <w:tcW w:w="1290" w:type="dxa"/>
                  <w:vMerge w:val="continue"/>
                  <w:noWrap w:val="0"/>
                  <w:vAlign w:val="center"/>
                </w:tcPr>
                <w:p w14:paraId="60536B7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59503E36">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57A212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52B3C67C">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第十九条禁止在长江干流岸线三公里范围内和重要支流岸线一公里范围内新建、改建、扩建尾矿库、冶炼渣库、磷石膏库，以提升安全、生态环境保护水平为符合目的的改建除外。</w:t>
                  </w:r>
                </w:p>
              </w:tc>
              <w:tc>
                <w:tcPr>
                  <w:tcW w:w="1290" w:type="dxa"/>
                  <w:vMerge w:val="continue"/>
                  <w:noWrap w:val="0"/>
                  <w:vAlign w:val="center"/>
                </w:tcPr>
                <w:p w14:paraId="601A94C8">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517273FC">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r>
            <w:tr w14:paraId="15F0D2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3635EA34">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第二十条禁止在生态保护红线区域、永久基本农田集中区域和其他需要特别保护的区域内选址建设尾矿库﹑冶炼渣库、磷石膏库。</w:t>
                  </w:r>
                </w:p>
              </w:tc>
              <w:tc>
                <w:tcPr>
                  <w:tcW w:w="1290" w:type="dxa"/>
                  <w:vMerge w:val="continue"/>
                  <w:noWrap w:val="0"/>
                  <w:vAlign w:val="center"/>
                </w:tcPr>
                <w:p w14:paraId="1CD6B2DF">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58CCAF71">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6D6F9B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2B819473">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第二十一条禁止在合规园区外新建、扩建钢铁、石化、化工、焦化、建材、有色、制浆造纸等高污染项目。</w:t>
                  </w:r>
                </w:p>
              </w:tc>
              <w:tc>
                <w:tcPr>
                  <w:tcW w:w="1290" w:type="dxa"/>
                  <w:noWrap w:val="0"/>
                  <w:vAlign w:val="center"/>
                </w:tcPr>
                <w:p w14:paraId="227661A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本项目不属于禁止建设的高污染项目</w:t>
                  </w:r>
                </w:p>
              </w:tc>
              <w:tc>
                <w:tcPr>
                  <w:tcW w:w="1028" w:type="dxa"/>
                  <w:noWrap w:val="0"/>
                  <w:vAlign w:val="center"/>
                </w:tcPr>
                <w:p w14:paraId="1AC7C95B">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240033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40D748B4">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第二十二条禁止新建、扩建不符合国家石化、现代煤化工等产业布局规划的项目。</w:t>
                  </w:r>
                </w:p>
                <w:p w14:paraId="55FCEC59">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（一）严格控制新增炼油产能，未列入《石化产业规划布局方案（修订版）》的新增炼油产能一律不得建设。</w:t>
                  </w:r>
                </w:p>
                <w:p w14:paraId="00104B37">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（二）新建煤制烯经、煤制芳经项目必须列入《现代煤化工产业创新发展布局方案》，必须符合《现代煤化工建设项目环境准入条件（试行）》要求。</w:t>
                  </w:r>
                </w:p>
              </w:tc>
              <w:tc>
                <w:tcPr>
                  <w:tcW w:w="1290" w:type="dxa"/>
                  <w:noWrap w:val="0"/>
                  <w:vAlign w:val="center"/>
                </w:tcPr>
                <w:p w14:paraId="0D76DC54">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本项目不属于石化及煤化工</w:t>
                  </w:r>
                </w:p>
              </w:tc>
              <w:tc>
                <w:tcPr>
                  <w:tcW w:w="1028" w:type="dxa"/>
                  <w:noWrap w:val="0"/>
                  <w:vAlign w:val="center"/>
                </w:tcPr>
                <w:p w14:paraId="1D50DE5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2DFF5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1E50633F">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三条禁止新建、扩建法律法规和相关政策明令禁止的落后产能项目。对《产业结构调整指导目录》中淘汰类项目，禁止投资；限制类的新建项目，禁止投资，对属于限制类的现有生产能力，允许企业在一定期限内采取措施改造升级。</w:t>
                  </w:r>
                </w:p>
              </w:tc>
              <w:tc>
                <w:tcPr>
                  <w:tcW w:w="1290" w:type="dxa"/>
                  <w:noWrap w:val="0"/>
                  <w:vAlign w:val="center"/>
                </w:tcPr>
                <w:p w14:paraId="2F5D43F2">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根据《产业结构调整指导目录》本项目属于允许类</w:t>
                  </w:r>
                </w:p>
              </w:tc>
              <w:tc>
                <w:tcPr>
                  <w:tcW w:w="1028" w:type="dxa"/>
                  <w:noWrap w:val="0"/>
                  <w:vAlign w:val="center"/>
                </w:tcPr>
                <w:p w14:paraId="515B22E3">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1647D5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009CF55B">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第二十四条禁止新建、扩建不符合国家产能置换要求的严重过剩产能行业的项目。对于不符合国家产能置换要求的严重过剩产能行业，不得以其他任何名义、任何方式备案新增产能项目。</w:t>
                  </w:r>
                </w:p>
              </w:tc>
              <w:tc>
                <w:tcPr>
                  <w:tcW w:w="1290" w:type="dxa"/>
                  <w:vMerge w:val="restart"/>
                  <w:noWrap w:val="0"/>
                  <w:vAlign w:val="center"/>
                </w:tcPr>
                <w:p w14:paraId="3C3EF78E">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本项目不涉及</w:t>
                  </w:r>
                </w:p>
              </w:tc>
              <w:tc>
                <w:tcPr>
                  <w:tcW w:w="1028" w:type="dxa"/>
                  <w:noWrap w:val="0"/>
                  <w:vAlign w:val="center"/>
                </w:tcPr>
                <w:p w14:paraId="42B13A21">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32B6D4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7C88F34B">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第二十五条禁止建设以下燃油汽车投资项目（不在中国境内销售产品的投资项目除外）</w:t>
                  </w:r>
                  <w:r>
                    <w:rPr>
                      <w:rFonts w:ascii="Times New Roman" w:hAnsi="Times New Roman" w:cs="Times New Roman"/>
                      <w:color w:val="000000"/>
                      <w:sz w:val="21"/>
                      <w:highlight w:val="none"/>
                    </w:rPr>
                    <w:t>：</w:t>
                  </w:r>
                </w:p>
                <w:p w14:paraId="54B29FC8">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（一）新建独立燃油汽车企业；</w:t>
                  </w:r>
                </w:p>
                <w:p w14:paraId="16828CBE">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（二）现有汽车企业跨乘用车、商用车类别建设燃油汽车生产能力；</w:t>
                  </w:r>
                </w:p>
                <w:p w14:paraId="49188D9B">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（三）外省现有燃油汽车企业整体搬迁至本省（列入国家级区域发展规划或不改变企业股权结构的项目除外）</w:t>
                  </w:r>
                  <w:r>
                    <w:rPr>
                      <w:rFonts w:ascii="Times New Roman" w:hAnsi="Times New Roman" w:cs="Times New Roman"/>
                      <w:color w:val="000000"/>
                      <w:sz w:val="21"/>
                      <w:highlight w:val="none"/>
                    </w:rPr>
                    <w:t>；</w:t>
                  </w:r>
                </w:p>
                <w:p w14:paraId="53E26329">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（四）对行业管理部门特别公示的燃油汽车企业进行投资企业原有股东投资或将该企业转为非独立法人的投资项目除外。</w:t>
                  </w:r>
                </w:p>
              </w:tc>
              <w:tc>
                <w:tcPr>
                  <w:tcW w:w="1290" w:type="dxa"/>
                  <w:vMerge w:val="continue"/>
                  <w:noWrap w:val="0"/>
                  <w:vAlign w:val="center"/>
                </w:tcPr>
                <w:p w14:paraId="021B5695">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59CEDE57">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r w14:paraId="6A8299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902" w:type="dxa"/>
                  <w:noWrap w:val="0"/>
                  <w:vAlign w:val="top"/>
                </w:tcPr>
                <w:p w14:paraId="08CB8998">
                  <w:pPr>
                    <w:pStyle w:val="44"/>
                    <w:keepNext w:val="0"/>
                    <w:keepLines w:val="0"/>
                    <w:pageBreakBefore w:val="0"/>
                    <w:widowControl w:val="0"/>
                    <w:kinsoku/>
                    <w:wordWrap/>
                    <w:overflowPunct/>
                    <w:topLinePunct w:val="0"/>
                    <w:autoSpaceDE/>
                    <w:autoSpaceDN/>
                    <w:bidi w:val="0"/>
                    <w:adjustRightInd w:val="0"/>
                    <w:snapToGrid w:val="0"/>
                    <w:spacing w:line="360" w:lineRule="auto"/>
                    <w:ind w:firstLine="420"/>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第二十六条﹐禁止新建、扩建不符合要求的高耗能、高排放、低水平项目。</w:t>
                  </w:r>
                </w:p>
              </w:tc>
              <w:tc>
                <w:tcPr>
                  <w:tcW w:w="1290" w:type="dxa"/>
                  <w:vMerge w:val="continue"/>
                  <w:noWrap w:val="0"/>
                  <w:vAlign w:val="center"/>
                </w:tcPr>
                <w:p w14:paraId="34BD3558">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p>
              </w:tc>
              <w:tc>
                <w:tcPr>
                  <w:tcW w:w="1028" w:type="dxa"/>
                  <w:noWrap w:val="0"/>
                  <w:vAlign w:val="center"/>
                </w:tcPr>
                <w:p w14:paraId="6164EF12">
                  <w:pPr>
                    <w:pStyle w:val="4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符合</w:t>
                  </w:r>
                </w:p>
              </w:tc>
            </w:tr>
          </w:tbl>
          <w:p w14:paraId="144D7188">
            <w:pPr>
              <w:pStyle w:val="44"/>
              <w:ind w:firstLine="480"/>
              <w:rPr>
                <w:rFonts w:hint="default" w:ascii="Times New Roman" w:hAnsi="Times New Roman" w:cs="Times New Roman"/>
                <w:b/>
                <w:bCs/>
                <w:color w:val="000000"/>
                <w:highlight w:val="none"/>
              </w:rPr>
            </w:pPr>
            <w:r>
              <w:rPr>
                <w:rFonts w:hint="default" w:ascii="Times New Roman" w:hAnsi="Times New Roman" w:cs="Times New Roman"/>
                <w:color w:val="000000"/>
                <w:highlight w:val="none"/>
              </w:rPr>
              <w:t>根据以上分析，</w:t>
            </w:r>
            <w:r>
              <w:rPr>
                <w:rFonts w:hint="default" w:ascii="Times New Roman" w:hAnsi="Times New Roman" w:cs="Times New Roman"/>
                <w:color w:val="000000"/>
                <w:highlight w:val="none"/>
                <w:lang w:val="zh-CN"/>
              </w:rPr>
              <w:t>本项目的建设符合《长江经济带发展负面指南试行（</w:t>
            </w:r>
            <w:r>
              <w:rPr>
                <w:rFonts w:hint="default" w:ascii="Times New Roman" w:hAnsi="Times New Roman" w:cs="Times New Roman"/>
                <w:color w:val="000000"/>
                <w:highlight w:val="none"/>
              </w:rPr>
              <w:t>2022版</w:t>
            </w:r>
            <w:r>
              <w:rPr>
                <w:rFonts w:hint="default" w:ascii="Times New Roman" w:hAnsi="Times New Roman" w:cs="Times New Roman"/>
                <w:color w:val="000000"/>
                <w:highlight w:val="none"/>
                <w:lang w:val="zh-CN"/>
              </w:rPr>
              <w:t>）》（长江办〔</w:t>
            </w:r>
            <w:r>
              <w:rPr>
                <w:rFonts w:hint="default" w:ascii="Times New Roman" w:hAnsi="Times New Roman" w:cs="Times New Roman"/>
                <w:color w:val="000000"/>
                <w:highlight w:val="none"/>
              </w:rPr>
              <w:t>2022</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7号</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及</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四川省、重庆市</w:t>
            </w:r>
            <w:r>
              <w:rPr>
                <w:rFonts w:hint="default" w:ascii="Times New Roman" w:hAnsi="Times New Roman" w:cs="Times New Roman"/>
                <w:color w:val="000000"/>
                <w:highlight w:val="none"/>
                <w:lang w:val="zh-CN"/>
              </w:rPr>
              <w:t>长江经济带发展负面</w:t>
            </w:r>
            <w:r>
              <w:rPr>
                <w:rFonts w:hint="default" w:ascii="Times New Roman" w:hAnsi="Times New Roman" w:cs="Times New Roman"/>
                <w:color w:val="000000"/>
                <w:highlight w:val="none"/>
              </w:rPr>
              <w:t>清单实施细则</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试行，2022版</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川长江办</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2022</w:t>
            </w:r>
            <w:r>
              <w:rPr>
                <w:rFonts w:hint="default" w:ascii="Times New Roman" w:hAnsi="Times New Roman" w:cs="Times New Roman"/>
                <w:color w:val="000000"/>
                <w:highlight w:val="none"/>
                <w:lang w:val="zh-CN"/>
              </w:rPr>
              <w:t>〕</w:t>
            </w:r>
            <w:r>
              <w:rPr>
                <w:rFonts w:hint="default" w:ascii="Times New Roman" w:hAnsi="Times New Roman" w:cs="Times New Roman"/>
                <w:color w:val="000000"/>
                <w:highlight w:val="none"/>
              </w:rPr>
              <w:t>17号</w:t>
            </w:r>
            <w:r>
              <w:rPr>
                <w:rFonts w:hint="default" w:ascii="Times New Roman" w:hAnsi="Times New Roman" w:cs="Times New Roman"/>
                <w:color w:val="000000"/>
                <w:highlight w:val="none"/>
                <w:lang w:val="zh-CN"/>
              </w:rPr>
              <w:t>）的</w:t>
            </w:r>
            <w:r>
              <w:rPr>
                <w:rFonts w:hint="default" w:ascii="Times New Roman" w:hAnsi="Times New Roman" w:cs="Times New Roman"/>
                <w:color w:val="000000"/>
                <w:highlight w:val="none"/>
              </w:rPr>
              <w:t>文件</w:t>
            </w:r>
            <w:r>
              <w:rPr>
                <w:rFonts w:hint="default" w:ascii="Times New Roman" w:hAnsi="Times New Roman" w:cs="Times New Roman"/>
                <w:color w:val="000000"/>
                <w:highlight w:val="none"/>
                <w:lang w:val="zh-CN"/>
              </w:rPr>
              <w:t>要求。</w:t>
            </w:r>
          </w:p>
          <w:p w14:paraId="49C24AD0">
            <w:pPr>
              <w:pStyle w:val="44"/>
              <w:ind w:firstLine="480"/>
              <w:jc w:val="both"/>
              <w:rPr>
                <w:rFonts w:hint="default" w:ascii="Times New Roman" w:hAnsi="Times New Roman" w:eastAsia="宋体" w:cs="Times New Roman"/>
                <w:color w:val="auto"/>
                <w:lang w:val="en-US" w:eastAsia="zh-CN"/>
              </w:rPr>
            </w:pPr>
          </w:p>
          <w:p w14:paraId="5C6159AD">
            <w:pPr>
              <w:keepNext/>
              <w:keepLines/>
              <w:spacing w:line="420" w:lineRule="auto"/>
              <w:ind w:firstLine="482" w:firstLineChars="200"/>
              <w:outlineLvl w:val="2"/>
              <w:rPr>
                <w:rFonts w:hint="default" w:ascii="Times New Roman" w:hAnsi="Times New Roman" w:cs="Times New Roman"/>
                <w:b/>
                <w:bCs/>
                <w:color w:val="auto"/>
                <w:sz w:val="24"/>
                <w:szCs w:val="21"/>
              </w:rPr>
            </w:pPr>
            <w:r>
              <w:rPr>
                <w:rFonts w:hint="default" w:ascii="Times New Roman" w:hAnsi="Times New Roman" w:cs="Times New Roman"/>
                <w:b/>
                <w:bCs/>
                <w:color w:val="auto"/>
                <w:sz w:val="24"/>
                <w:szCs w:val="21"/>
                <w:lang w:val="zh-CN"/>
              </w:rPr>
              <w:t>（</w:t>
            </w:r>
            <w:r>
              <w:rPr>
                <w:rFonts w:hint="eastAsia" w:ascii="Times New Roman" w:hAnsi="Times New Roman" w:cs="Times New Roman"/>
                <w:b/>
                <w:bCs/>
                <w:color w:val="auto"/>
                <w:sz w:val="24"/>
                <w:szCs w:val="21"/>
                <w:lang w:val="en-US" w:eastAsia="zh-CN"/>
              </w:rPr>
              <w:t>4</w:t>
            </w:r>
            <w:r>
              <w:rPr>
                <w:rFonts w:hint="default" w:ascii="Times New Roman" w:hAnsi="Times New Roman" w:cs="Times New Roman"/>
                <w:b/>
                <w:bCs/>
                <w:color w:val="auto"/>
                <w:sz w:val="24"/>
                <w:szCs w:val="21"/>
                <w:lang w:val="zh-CN"/>
              </w:rPr>
              <w:t>）</w:t>
            </w:r>
            <w:r>
              <w:rPr>
                <w:rFonts w:hint="default" w:ascii="Times New Roman" w:hAnsi="Times New Roman" w:cs="Times New Roman"/>
                <w:b/>
                <w:bCs/>
                <w:color w:val="auto"/>
                <w:sz w:val="24"/>
                <w:szCs w:val="21"/>
              </w:rPr>
              <w:t>“三线一单”符合性分析</w:t>
            </w:r>
          </w:p>
          <w:p w14:paraId="29B48C8F">
            <w:pPr>
              <w:pStyle w:val="44"/>
              <w:ind w:firstLine="480"/>
              <w:rPr>
                <w:rFonts w:hint="eastAsia" w:ascii="Times New Roman" w:hAnsi="Times New Roman" w:eastAsia="宋体" w:cs="Times New Roman"/>
                <w:color w:val="auto"/>
                <w:lang w:val="en-US" w:eastAsia="zh-CN"/>
              </w:rPr>
            </w:pPr>
            <w:r>
              <w:rPr>
                <w:rFonts w:hint="default" w:ascii="Times New Roman" w:hAnsi="Times New Roman" w:cs="Times New Roman"/>
                <w:color w:val="auto"/>
                <w:szCs w:val="24"/>
                <w:highlight w:val="none"/>
              </w:rPr>
              <w:t>根据《项目环评“三线一单”符合性技术分析要求（试行）》川环办函</w:t>
            </w:r>
            <w:r>
              <w:rPr>
                <w:rFonts w:hint="default" w:ascii="Times New Roman" w:hAnsi="Times New Roman" w:cs="Times New Roman"/>
                <w:color w:val="auto"/>
                <w:highlight w:val="none"/>
                <w:lang w:val="zh-CN"/>
              </w:rPr>
              <w:t>〔</w:t>
            </w:r>
            <w:r>
              <w:rPr>
                <w:rFonts w:hint="default" w:ascii="Times New Roman" w:hAnsi="Times New Roman" w:cs="Times New Roman"/>
                <w:color w:val="auto"/>
                <w:highlight w:val="none"/>
              </w:rPr>
              <w:t>2021</w:t>
            </w:r>
            <w:r>
              <w:rPr>
                <w:rFonts w:hint="default" w:ascii="Times New Roman" w:hAnsi="Times New Roman" w:cs="Times New Roman"/>
                <w:color w:val="auto"/>
                <w:highlight w:val="none"/>
                <w:lang w:val="zh-CN"/>
              </w:rPr>
              <w:t>〕</w:t>
            </w:r>
            <w:r>
              <w:rPr>
                <w:rFonts w:hint="default" w:ascii="Times New Roman" w:hAnsi="Times New Roman" w:cs="Times New Roman"/>
                <w:color w:val="auto"/>
                <w:highlight w:val="none"/>
              </w:rPr>
              <w:t>469号文件</w:t>
            </w:r>
            <w:r>
              <w:rPr>
                <w:rFonts w:hint="eastAsia" w:ascii="Times New Roman" w:hAnsi="Times New Roman" w:cs="Times New Roman"/>
                <w:color w:val="auto"/>
                <w:highlight w:val="none"/>
                <w:lang w:eastAsia="zh-CN"/>
              </w:rPr>
              <w:t>，</w:t>
            </w:r>
            <w:r>
              <w:rPr>
                <w:rFonts w:hint="eastAsia" w:ascii="Times New Roman" w:hAnsi="Times New Roman" w:cs="Times New Roman"/>
                <w:color w:val="auto"/>
                <w:szCs w:val="24"/>
                <w:highlight w:val="none"/>
                <w:lang w:val="en-US" w:eastAsia="zh-CN"/>
              </w:rPr>
              <w:t>本</w:t>
            </w:r>
            <w:r>
              <w:rPr>
                <w:rFonts w:hint="default" w:ascii="Times New Roman" w:hAnsi="Times New Roman" w:cs="Times New Roman"/>
                <w:color w:val="auto"/>
                <w:szCs w:val="24"/>
                <w:highlight w:val="none"/>
              </w:rPr>
              <w:t>项目位于产业园区</w:t>
            </w:r>
            <w:r>
              <w:rPr>
                <w:rFonts w:hint="eastAsia" w:ascii="Times New Roman" w:hAnsi="Times New Roman" w:cs="Times New Roman"/>
                <w:color w:val="auto"/>
                <w:szCs w:val="24"/>
                <w:highlight w:val="none"/>
                <w:lang w:val="en-US" w:eastAsia="zh-CN"/>
              </w:rPr>
              <w:t>外，因此需要对</w:t>
            </w:r>
            <w:r>
              <w:rPr>
                <w:rFonts w:hint="default" w:ascii="Times New Roman" w:hAnsi="Times New Roman" w:cs="Times New Roman"/>
                <w:color w:val="auto"/>
                <w:szCs w:val="24"/>
                <w:highlight w:val="none"/>
              </w:rPr>
              <w:t>“三线一单”符合性</w:t>
            </w:r>
            <w:r>
              <w:rPr>
                <w:rFonts w:hint="eastAsia" w:ascii="Times New Roman" w:hAnsi="Times New Roman" w:cs="Times New Roman"/>
                <w:color w:val="auto"/>
                <w:szCs w:val="24"/>
                <w:highlight w:val="none"/>
                <w:lang w:val="en-US" w:eastAsia="zh-CN"/>
              </w:rPr>
              <w:t>进行详细</w:t>
            </w:r>
            <w:r>
              <w:rPr>
                <w:rFonts w:hint="default" w:ascii="Times New Roman" w:hAnsi="Times New Roman" w:cs="Times New Roman"/>
                <w:color w:val="auto"/>
                <w:szCs w:val="24"/>
                <w:highlight w:val="none"/>
              </w:rPr>
              <w:t>分析。</w:t>
            </w:r>
          </w:p>
          <w:p w14:paraId="7AE820A7">
            <w:pPr>
              <w:pStyle w:val="44"/>
              <w:ind w:firstLine="482"/>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本项目位于遂宁市安居区白马镇卧龙桥村8社，根据四川政务服务网“三线一单”符合性分析系统查询，项目所涉及的环境管控单元如下：</w:t>
            </w:r>
          </w:p>
          <w:p w14:paraId="185B3193">
            <w:pPr>
              <w:pStyle w:val="44"/>
              <w:ind w:left="0" w:leftChars="0" w:firstLine="0" w:firstLineChars="0"/>
              <w:rPr>
                <w:color w:val="FF0000"/>
              </w:rPr>
            </w:pPr>
            <w:r>
              <w:drawing>
                <wp:inline distT="0" distB="0" distL="114300" distR="114300">
                  <wp:extent cx="5590540" cy="3146425"/>
                  <wp:effectExtent l="0" t="0" r="10160" b="15875"/>
                  <wp:docPr id="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
                          <pic:cNvPicPr>
                            <a:picLocks noChangeAspect="1"/>
                          </pic:cNvPicPr>
                        </pic:nvPicPr>
                        <pic:blipFill>
                          <a:blip r:embed="rId9"/>
                          <a:stretch>
                            <a:fillRect/>
                          </a:stretch>
                        </pic:blipFill>
                        <pic:spPr>
                          <a:xfrm>
                            <a:off x="0" y="0"/>
                            <a:ext cx="5590540" cy="3146425"/>
                          </a:xfrm>
                          <a:prstGeom prst="rect">
                            <a:avLst/>
                          </a:prstGeom>
                          <a:noFill/>
                          <a:ln>
                            <a:noFill/>
                          </a:ln>
                        </pic:spPr>
                      </pic:pic>
                    </a:graphicData>
                  </a:graphic>
                </wp:inline>
              </w:drawing>
            </w:r>
          </w:p>
          <w:p w14:paraId="213B5ABB">
            <w:pPr>
              <w:pStyle w:val="44"/>
              <w:bidi w:val="0"/>
              <w:rPr>
                <w:rFonts w:hint="eastAsia"/>
                <w:color w:val="auto"/>
                <w:lang w:val="en-US" w:eastAsia="zh-CN"/>
              </w:rPr>
            </w:pPr>
            <w:r>
              <w:rPr>
                <w:rFonts w:hint="eastAsia"/>
                <w:color w:val="auto"/>
                <w:lang w:val="en-US" w:eastAsia="zh-CN"/>
              </w:rPr>
              <w:t>根据查询，该项目涉及环境管控单元3个，涉及管控单元见下表：</w:t>
            </w:r>
          </w:p>
          <w:p w14:paraId="418D1A7E">
            <w:pPr>
              <w:pStyle w:val="45"/>
              <w:bidi w:val="0"/>
              <w:rPr>
                <w:rFonts w:hint="default"/>
                <w:color w:val="auto"/>
                <w:lang w:val="en-US" w:eastAsia="zh-CN"/>
              </w:rPr>
            </w:pPr>
            <w:r>
              <w:rPr>
                <w:rFonts w:hint="eastAsia"/>
                <w:color w:val="auto"/>
                <w:lang w:eastAsia="zh-CN"/>
              </w:rPr>
              <w:t>表</w:t>
            </w:r>
            <w:r>
              <w:rPr>
                <w:rFonts w:hint="eastAsia"/>
                <w:color w:val="auto"/>
                <w:lang w:val="en-US" w:eastAsia="zh-CN"/>
              </w:rPr>
              <w:t>1-3项目所涉及的环境管控单元清单</w:t>
            </w:r>
          </w:p>
          <w:tbl>
            <w:tblPr>
              <w:tblStyle w:val="22"/>
              <w:tblW w:w="482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11"/>
              <w:gridCol w:w="1859"/>
              <w:gridCol w:w="1145"/>
              <w:gridCol w:w="971"/>
              <w:gridCol w:w="1601"/>
              <w:gridCol w:w="1717"/>
            </w:tblGrid>
            <w:tr w14:paraId="3ED512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12" w:hRule="atLeast"/>
                <w:tblHeader/>
                <w:jc w:val="center"/>
              </w:trPr>
              <w:tc>
                <w:tcPr>
                  <w:tcW w:w="712" w:type="pct"/>
                  <w:tcBorders>
                    <w:tl2br w:val="nil"/>
                    <w:tr2bl w:val="nil"/>
                  </w:tcBorders>
                  <w:noWrap w:val="0"/>
                  <w:vAlign w:val="center"/>
                </w:tcPr>
                <w:p w14:paraId="091E265E">
                  <w:pPr>
                    <w:widowControl/>
                    <w:spacing w:line="240" w:lineRule="auto"/>
                    <w:ind w:firstLine="0" w:firstLineChars="0"/>
                    <w:jc w:val="center"/>
                    <w:rPr>
                      <w:rStyle w:val="24"/>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环境管控单元编码</w:t>
                  </w:r>
                </w:p>
              </w:tc>
              <w:tc>
                <w:tcPr>
                  <w:tcW w:w="1093" w:type="pct"/>
                  <w:tcBorders>
                    <w:tl2br w:val="nil"/>
                    <w:tr2bl w:val="nil"/>
                  </w:tcBorders>
                  <w:noWrap w:val="0"/>
                  <w:vAlign w:val="center"/>
                </w:tcPr>
                <w:p w14:paraId="3AA08935">
                  <w:pPr>
                    <w:widowControl/>
                    <w:spacing w:line="240" w:lineRule="auto"/>
                    <w:ind w:firstLine="0" w:firstLineChars="0"/>
                    <w:jc w:val="center"/>
                    <w:rPr>
                      <w:rStyle w:val="24"/>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环境管控单元名称</w:t>
                  </w:r>
                </w:p>
              </w:tc>
              <w:tc>
                <w:tcPr>
                  <w:tcW w:w="673" w:type="pct"/>
                  <w:tcBorders>
                    <w:tl2br w:val="nil"/>
                    <w:tr2bl w:val="nil"/>
                  </w:tcBorders>
                  <w:noWrap w:val="0"/>
                  <w:vAlign w:val="top"/>
                </w:tcPr>
                <w:p w14:paraId="51C6A157">
                  <w:pPr>
                    <w:widowControl/>
                    <w:spacing w:line="240" w:lineRule="auto"/>
                    <w:ind w:firstLine="0" w:firstLineChars="0"/>
                    <w:jc w:val="center"/>
                    <w:rPr>
                      <w:rStyle w:val="24"/>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所属市（州）</w:t>
                  </w:r>
                </w:p>
              </w:tc>
              <w:tc>
                <w:tcPr>
                  <w:tcW w:w="570" w:type="pct"/>
                  <w:tcBorders>
                    <w:tl2br w:val="nil"/>
                    <w:tr2bl w:val="nil"/>
                  </w:tcBorders>
                  <w:noWrap w:val="0"/>
                  <w:vAlign w:val="top"/>
                </w:tcPr>
                <w:p w14:paraId="610118ED">
                  <w:pPr>
                    <w:widowControl/>
                    <w:spacing w:line="240" w:lineRule="auto"/>
                    <w:ind w:firstLine="0" w:firstLineChars="0"/>
                    <w:jc w:val="center"/>
                    <w:rPr>
                      <w:rStyle w:val="24"/>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所属区县</w:t>
                  </w:r>
                </w:p>
              </w:tc>
              <w:tc>
                <w:tcPr>
                  <w:tcW w:w="941" w:type="pct"/>
                  <w:tcBorders>
                    <w:tl2br w:val="nil"/>
                    <w:tr2bl w:val="nil"/>
                  </w:tcBorders>
                  <w:noWrap w:val="0"/>
                  <w:vAlign w:val="center"/>
                </w:tcPr>
                <w:p w14:paraId="022B6F61">
                  <w:pPr>
                    <w:widowControl/>
                    <w:spacing w:line="240" w:lineRule="auto"/>
                    <w:ind w:firstLine="0" w:firstLineChars="0"/>
                    <w:jc w:val="center"/>
                    <w:rPr>
                      <w:rStyle w:val="24"/>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准入清单类型</w:t>
                  </w:r>
                </w:p>
              </w:tc>
              <w:tc>
                <w:tcPr>
                  <w:tcW w:w="1009" w:type="pct"/>
                  <w:tcBorders>
                    <w:tl2br w:val="nil"/>
                    <w:tr2bl w:val="nil"/>
                  </w:tcBorders>
                  <w:noWrap w:val="0"/>
                  <w:vAlign w:val="center"/>
                </w:tcPr>
                <w:p w14:paraId="5CD6DD1E">
                  <w:pPr>
                    <w:widowControl/>
                    <w:spacing w:line="240" w:lineRule="auto"/>
                    <w:ind w:firstLine="0" w:firstLineChars="0"/>
                    <w:jc w:val="center"/>
                    <w:rPr>
                      <w:rStyle w:val="24"/>
                      <w:rFonts w:hint="default" w:ascii="Times New Roman" w:hAnsi="Times New Roman" w:eastAsia="宋体" w:cs="Times New Roman"/>
                      <w:b/>
                      <w:bCs/>
                      <w:color w:val="auto"/>
                      <w:kern w:val="0"/>
                      <w:sz w:val="21"/>
                      <w:szCs w:val="21"/>
                      <w:lang w:val="en-US" w:eastAsia="zh-CN" w:bidi="ar-SA"/>
                    </w:rPr>
                  </w:pPr>
                  <w:r>
                    <w:rPr>
                      <w:rFonts w:hint="default" w:ascii="Times New Roman" w:hAnsi="Times New Roman" w:eastAsia="宋体" w:cs="Times New Roman"/>
                      <w:b/>
                      <w:bCs/>
                      <w:color w:val="auto"/>
                      <w:kern w:val="0"/>
                      <w:sz w:val="21"/>
                      <w:szCs w:val="21"/>
                      <w:lang w:val="en-US" w:eastAsia="zh-CN" w:bidi="ar-SA"/>
                    </w:rPr>
                    <w:t>管控类型</w:t>
                  </w:r>
                </w:p>
              </w:tc>
            </w:tr>
            <w:tr w14:paraId="397E13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jc w:val="center"/>
              </w:trPr>
              <w:tc>
                <w:tcPr>
                  <w:tcW w:w="712" w:type="pct"/>
                  <w:tcBorders>
                    <w:tl2br w:val="nil"/>
                    <w:tr2bl w:val="nil"/>
                  </w:tcBorders>
                  <w:noWrap w:val="0"/>
                  <w:vAlign w:val="center"/>
                </w:tcPr>
                <w:p w14:paraId="2BDC9AC6">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1</w:t>
                  </w:r>
                </w:p>
              </w:tc>
              <w:tc>
                <w:tcPr>
                  <w:tcW w:w="1093" w:type="pct"/>
                  <w:tcBorders>
                    <w:tl2br w:val="nil"/>
                    <w:tr2bl w:val="nil"/>
                  </w:tcBorders>
                  <w:noWrap w:val="0"/>
                  <w:vAlign w:val="center"/>
                </w:tcPr>
                <w:p w14:paraId="42A68303">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ZH51090420004</w:t>
                  </w:r>
                </w:p>
              </w:tc>
              <w:tc>
                <w:tcPr>
                  <w:tcW w:w="673" w:type="pct"/>
                  <w:tcBorders>
                    <w:tl2br w:val="nil"/>
                    <w:tr2bl w:val="nil"/>
                  </w:tcBorders>
                  <w:noWrap w:val="0"/>
                  <w:vAlign w:val="center"/>
                </w:tcPr>
                <w:p w14:paraId="43DEE156">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安居区要素重点管控单元</w:t>
                  </w:r>
                </w:p>
              </w:tc>
              <w:tc>
                <w:tcPr>
                  <w:tcW w:w="570" w:type="pct"/>
                  <w:tcBorders>
                    <w:tl2br w:val="nil"/>
                    <w:tr2bl w:val="nil"/>
                  </w:tcBorders>
                  <w:noWrap w:val="0"/>
                  <w:vAlign w:val="center"/>
                </w:tcPr>
                <w:p w14:paraId="613C67ED">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遂宁市</w:t>
                  </w:r>
                </w:p>
              </w:tc>
              <w:tc>
                <w:tcPr>
                  <w:tcW w:w="941" w:type="pct"/>
                  <w:tcBorders>
                    <w:tl2br w:val="nil"/>
                    <w:tr2bl w:val="nil"/>
                  </w:tcBorders>
                  <w:noWrap w:val="0"/>
                  <w:vAlign w:val="center"/>
                </w:tcPr>
                <w:p w14:paraId="69D3CBC9">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安居区</w:t>
                  </w:r>
                </w:p>
              </w:tc>
              <w:tc>
                <w:tcPr>
                  <w:tcW w:w="1009" w:type="pct"/>
                  <w:tcBorders>
                    <w:tl2br w:val="nil"/>
                    <w:tr2bl w:val="nil"/>
                  </w:tcBorders>
                  <w:noWrap w:val="0"/>
                  <w:vAlign w:val="center"/>
                </w:tcPr>
                <w:p w14:paraId="70FDCD25">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环境综合</w:t>
                  </w:r>
                </w:p>
              </w:tc>
            </w:tr>
            <w:tr w14:paraId="46B50B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jc w:val="center"/>
              </w:trPr>
              <w:tc>
                <w:tcPr>
                  <w:tcW w:w="712" w:type="pct"/>
                  <w:tcBorders>
                    <w:tl2br w:val="nil"/>
                    <w:tr2bl w:val="nil"/>
                  </w:tcBorders>
                  <w:noWrap w:val="0"/>
                  <w:vAlign w:val="center"/>
                </w:tcPr>
                <w:p w14:paraId="1A61F5E7">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2</w:t>
                  </w:r>
                </w:p>
              </w:tc>
              <w:tc>
                <w:tcPr>
                  <w:tcW w:w="1093" w:type="pct"/>
                  <w:tcBorders>
                    <w:tl2br w:val="nil"/>
                    <w:tr2bl w:val="nil"/>
                  </w:tcBorders>
                  <w:noWrap w:val="0"/>
                  <w:vAlign w:val="center"/>
                </w:tcPr>
                <w:p w14:paraId="20E8BF99">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YS5109042230004</w:t>
                  </w:r>
                </w:p>
              </w:tc>
              <w:tc>
                <w:tcPr>
                  <w:tcW w:w="673" w:type="pct"/>
                  <w:tcBorders>
                    <w:tl2br w:val="nil"/>
                    <w:tr2bl w:val="nil"/>
                  </w:tcBorders>
                  <w:noWrap w:val="0"/>
                  <w:vAlign w:val="center"/>
                </w:tcPr>
                <w:p w14:paraId="27FD1E0A">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琼江安居区跑马滩控制单元</w:t>
                  </w:r>
                </w:p>
              </w:tc>
              <w:tc>
                <w:tcPr>
                  <w:tcW w:w="570" w:type="pct"/>
                  <w:tcBorders>
                    <w:tl2br w:val="nil"/>
                    <w:tr2bl w:val="nil"/>
                  </w:tcBorders>
                  <w:noWrap w:val="0"/>
                  <w:vAlign w:val="center"/>
                </w:tcPr>
                <w:p w14:paraId="03E00AE2">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遂宁市</w:t>
                  </w:r>
                </w:p>
              </w:tc>
              <w:tc>
                <w:tcPr>
                  <w:tcW w:w="941" w:type="pct"/>
                  <w:tcBorders>
                    <w:tl2br w:val="nil"/>
                    <w:tr2bl w:val="nil"/>
                  </w:tcBorders>
                  <w:noWrap w:val="0"/>
                  <w:vAlign w:val="center"/>
                </w:tcPr>
                <w:p w14:paraId="2F15EA8F">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安居区</w:t>
                  </w:r>
                </w:p>
              </w:tc>
              <w:tc>
                <w:tcPr>
                  <w:tcW w:w="1009" w:type="pct"/>
                  <w:tcBorders>
                    <w:tl2br w:val="nil"/>
                    <w:tr2bl w:val="nil"/>
                  </w:tcBorders>
                  <w:noWrap w:val="0"/>
                  <w:vAlign w:val="center"/>
                </w:tcPr>
                <w:p w14:paraId="2CB766AF">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水环境分区</w:t>
                  </w:r>
                </w:p>
              </w:tc>
            </w:tr>
            <w:tr w14:paraId="671115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jc w:val="center"/>
              </w:trPr>
              <w:tc>
                <w:tcPr>
                  <w:tcW w:w="712" w:type="pct"/>
                  <w:tcBorders>
                    <w:tl2br w:val="nil"/>
                    <w:tr2bl w:val="nil"/>
                  </w:tcBorders>
                  <w:noWrap w:val="0"/>
                  <w:vAlign w:val="center"/>
                </w:tcPr>
                <w:p w14:paraId="7DD76190">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3</w:t>
                  </w:r>
                </w:p>
              </w:tc>
              <w:tc>
                <w:tcPr>
                  <w:tcW w:w="1093" w:type="pct"/>
                  <w:tcBorders>
                    <w:tl2br w:val="nil"/>
                    <w:tr2bl w:val="nil"/>
                  </w:tcBorders>
                  <w:noWrap w:val="0"/>
                  <w:vAlign w:val="center"/>
                </w:tcPr>
                <w:p w14:paraId="2F1BFB9F">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YS5109043310001</w:t>
                  </w:r>
                </w:p>
              </w:tc>
              <w:tc>
                <w:tcPr>
                  <w:tcW w:w="673" w:type="pct"/>
                  <w:tcBorders>
                    <w:tl2br w:val="nil"/>
                    <w:tr2bl w:val="nil"/>
                  </w:tcBorders>
                  <w:noWrap w:val="0"/>
                  <w:vAlign w:val="center"/>
                </w:tcPr>
                <w:p w14:paraId="648DDE69">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安居区大气环境一般管控区</w:t>
                  </w:r>
                </w:p>
              </w:tc>
              <w:tc>
                <w:tcPr>
                  <w:tcW w:w="570" w:type="pct"/>
                  <w:tcBorders>
                    <w:tl2br w:val="nil"/>
                    <w:tr2bl w:val="nil"/>
                  </w:tcBorders>
                  <w:noWrap w:val="0"/>
                  <w:vAlign w:val="center"/>
                </w:tcPr>
                <w:p w14:paraId="673A4522">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遂宁市</w:t>
                  </w:r>
                </w:p>
              </w:tc>
              <w:tc>
                <w:tcPr>
                  <w:tcW w:w="941" w:type="pct"/>
                  <w:tcBorders>
                    <w:tl2br w:val="nil"/>
                    <w:tr2bl w:val="nil"/>
                  </w:tcBorders>
                  <w:noWrap w:val="0"/>
                  <w:vAlign w:val="center"/>
                </w:tcPr>
                <w:p w14:paraId="34367DFC">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安居区</w:t>
                  </w:r>
                </w:p>
              </w:tc>
              <w:tc>
                <w:tcPr>
                  <w:tcW w:w="1009" w:type="pct"/>
                  <w:tcBorders>
                    <w:tl2br w:val="nil"/>
                    <w:tr2bl w:val="nil"/>
                  </w:tcBorders>
                  <w:noWrap w:val="0"/>
                  <w:vAlign w:val="center"/>
                </w:tcPr>
                <w:p w14:paraId="7AF1F0F2">
                  <w:pPr>
                    <w:pStyle w:val="69"/>
                    <w:widowControl/>
                    <w:spacing w:line="240" w:lineRule="auto"/>
                    <w:ind w:firstLine="0" w:firstLineChars="0"/>
                    <w:jc w:val="center"/>
                    <w:rPr>
                      <w:rStyle w:val="24"/>
                      <w:rFonts w:hint="default" w:ascii="Times New Roman" w:hAnsi="Times New Roman" w:eastAsia="宋体" w:cs="Times New Roman"/>
                      <w:color w:val="auto"/>
                      <w:kern w:val="2"/>
                      <w:sz w:val="21"/>
                      <w:szCs w:val="21"/>
                      <w:lang w:val="en-US" w:eastAsia="zh-CN" w:bidi="ar-SA"/>
                    </w:rPr>
                  </w:pPr>
                  <w:r>
                    <w:rPr>
                      <w:rStyle w:val="24"/>
                      <w:rFonts w:hint="eastAsia" w:ascii="Times New Roman" w:hAnsi="Times New Roman" w:eastAsia="宋体" w:cs="Times New Roman"/>
                      <w:color w:val="auto"/>
                      <w:kern w:val="2"/>
                      <w:sz w:val="21"/>
                      <w:szCs w:val="21"/>
                      <w:lang w:val="en-US" w:eastAsia="zh-CN" w:bidi="ar-SA"/>
                    </w:rPr>
                    <w:t>大气环境分区</w:t>
                  </w:r>
                </w:p>
              </w:tc>
            </w:tr>
          </w:tbl>
          <w:p w14:paraId="150E6132">
            <w:pPr>
              <w:pStyle w:val="44"/>
              <w:ind w:firstLine="482"/>
              <w:rPr>
                <w:rFonts w:hint="default" w:ascii="Times New Roman" w:hAnsi="Times New Roman" w:cs="Times New Roman"/>
                <w:b/>
                <w:bCs/>
                <w:color w:val="FF0000"/>
                <w:lang w:val="en-US" w:eastAsia="zh-CN"/>
              </w:rPr>
            </w:pPr>
          </w:p>
          <w:p w14:paraId="2EC7C627">
            <w:pPr>
              <w:pStyle w:val="44"/>
              <w:ind w:firstLine="482"/>
              <w:rPr>
                <w:rFonts w:hint="eastAsia" w:ascii="Times New Roman" w:hAnsi="Times New Roman" w:cs="Times New Roman"/>
                <w:b w:val="0"/>
                <w:bCs w:val="0"/>
                <w:color w:val="auto"/>
                <w:lang w:eastAsia="zh-CN"/>
              </w:rPr>
            </w:pPr>
            <w:r>
              <w:rPr>
                <w:rFonts w:hint="eastAsia" w:ascii="Times New Roman" w:hAnsi="Times New Roman" w:cs="Times New Roman"/>
                <w:b w:val="0"/>
                <w:bCs w:val="0"/>
                <w:color w:val="auto"/>
                <w:lang w:eastAsia="zh-CN"/>
              </w:rPr>
              <w:t>各环境管控单元要求及本项目符合性分析如下：</w:t>
            </w:r>
          </w:p>
          <w:p w14:paraId="159BF898">
            <w:pPr>
              <w:pStyle w:val="45"/>
              <w:bidi w:val="0"/>
              <w:rPr>
                <w:rFonts w:hint="default"/>
                <w:lang w:val="en-US" w:eastAsia="zh-CN"/>
              </w:rPr>
            </w:pPr>
            <w:r>
              <w:rPr>
                <w:rFonts w:hint="default" w:ascii="Times New Roman" w:hAnsi="Times New Roman" w:cs="Times New Roman"/>
                <w:color w:val="auto"/>
              </w:rPr>
              <w:t>表1-</w:t>
            </w:r>
            <w:r>
              <w:rPr>
                <w:rFonts w:hint="eastAsia" w:ascii="Times New Roman" w:hAnsi="Times New Roman" w:cs="Times New Roman"/>
                <w:color w:val="auto"/>
                <w:lang w:val="en-US" w:eastAsia="zh-CN"/>
              </w:rPr>
              <w:t>4</w:t>
            </w:r>
            <w:r>
              <w:rPr>
                <w:rFonts w:hint="eastAsia"/>
                <w:lang w:val="en-US" w:eastAsia="zh-CN"/>
              </w:rPr>
              <w:t>项目与安居区“三线一单”管控单元管控要求符合性</w:t>
            </w:r>
          </w:p>
          <w:tbl>
            <w:tblPr>
              <w:tblStyle w:val="70"/>
              <w:tblW w:w="838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43"/>
              <w:gridCol w:w="491"/>
              <w:gridCol w:w="927"/>
              <w:gridCol w:w="3425"/>
              <w:gridCol w:w="575"/>
              <w:gridCol w:w="1488"/>
              <w:gridCol w:w="832"/>
            </w:tblGrid>
            <w:tr w14:paraId="24EA4D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43" w:type="dxa"/>
                  <w:tcBorders>
                    <w:tl2br w:val="nil"/>
                    <w:tr2bl w:val="nil"/>
                  </w:tcBorders>
                  <w:noWrap w:val="0"/>
                  <w:vAlign w:val="center"/>
                </w:tcPr>
                <w:p w14:paraId="3D196D95">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环境管控单元编码</w:t>
                  </w:r>
                </w:p>
              </w:tc>
              <w:tc>
                <w:tcPr>
                  <w:tcW w:w="491" w:type="dxa"/>
                  <w:tcBorders>
                    <w:tl2br w:val="nil"/>
                    <w:tr2bl w:val="nil"/>
                  </w:tcBorders>
                  <w:noWrap w:val="0"/>
                  <w:vAlign w:val="center"/>
                </w:tcPr>
                <w:p w14:paraId="3771A7A1">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环境管控单元名称</w:t>
                  </w:r>
                </w:p>
              </w:tc>
              <w:tc>
                <w:tcPr>
                  <w:tcW w:w="927" w:type="dxa"/>
                  <w:tcBorders>
                    <w:tl2br w:val="nil"/>
                    <w:tr2bl w:val="nil"/>
                  </w:tcBorders>
                  <w:noWrap w:val="0"/>
                  <w:vAlign w:val="center"/>
                </w:tcPr>
                <w:p w14:paraId="0DFF8990">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Fonts w:hint="eastAsia" w:ascii="宋体" w:hAnsi="宋体" w:eastAsia="宋体" w:cs="宋体"/>
                      <w:b/>
                      <w:bCs/>
                      <w:color w:val="000000"/>
                      <w:kern w:val="0"/>
                      <w:sz w:val="21"/>
                      <w:szCs w:val="21"/>
                      <w:lang w:val="en-US" w:eastAsia="zh-CN" w:bidi="ar-SA"/>
                    </w:rPr>
                  </w:pPr>
                  <w:r>
                    <w:rPr>
                      <w:rFonts w:hint="eastAsia" w:ascii="宋体" w:hAnsi="宋体" w:eastAsia="宋体" w:cs="宋体"/>
                      <w:b/>
                      <w:bCs/>
                      <w:color w:val="000000"/>
                      <w:kern w:val="0"/>
                      <w:sz w:val="21"/>
                      <w:szCs w:val="21"/>
                      <w:lang w:val="en-US" w:eastAsia="zh-CN" w:bidi="ar-SA"/>
                    </w:rPr>
                    <w:t>遂宁市总体管控要求</w:t>
                  </w:r>
                </w:p>
              </w:tc>
              <w:tc>
                <w:tcPr>
                  <w:tcW w:w="3425" w:type="dxa"/>
                  <w:tcBorders>
                    <w:tl2br w:val="nil"/>
                    <w:tr2bl w:val="nil"/>
                  </w:tcBorders>
                  <w:noWrap w:val="0"/>
                  <w:vAlign w:val="center"/>
                </w:tcPr>
                <w:p w14:paraId="4A4ABC34">
                  <w:pPr>
                    <w:keepNext w:val="0"/>
                    <w:keepLines w:val="0"/>
                    <w:pageBreakBefore w:val="0"/>
                    <w:widowControl w:val="0"/>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宋体"/>
                      <w:color w:val="000000"/>
                      <w:kern w:val="0"/>
                      <w:sz w:val="21"/>
                      <w:szCs w:val="21"/>
                      <w:lang w:val="en-US" w:eastAsia="zh-CN" w:bidi="ar-SA"/>
                    </w:rPr>
                  </w:pPr>
                  <w:r>
                    <w:rPr>
                      <w:rFonts w:hint="eastAsia" w:ascii="宋体" w:hAnsi="宋体" w:eastAsia="宋体" w:cs="宋体"/>
                      <w:b/>
                      <w:bCs/>
                      <w:color w:val="000000"/>
                      <w:kern w:val="0"/>
                      <w:sz w:val="21"/>
                      <w:szCs w:val="21"/>
                      <w:lang w:val="en-US" w:eastAsia="zh-CN" w:bidi="ar-SA"/>
                    </w:rPr>
                    <w:t>遂宁市普适性清单</w:t>
                  </w:r>
                </w:p>
              </w:tc>
              <w:tc>
                <w:tcPr>
                  <w:tcW w:w="575" w:type="dxa"/>
                  <w:tcBorders>
                    <w:tl2br w:val="nil"/>
                    <w:tr2bl w:val="nil"/>
                  </w:tcBorders>
                  <w:noWrap w:val="0"/>
                  <w:vAlign w:val="center"/>
                </w:tcPr>
                <w:p w14:paraId="20854E0A">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管控类别</w:t>
                  </w:r>
                </w:p>
              </w:tc>
              <w:tc>
                <w:tcPr>
                  <w:tcW w:w="1488" w:type="dxa"/>
                  <w:tcBorders>
                    <w:tl2br w:val="nil"/>
                    <w:tr2bl w:val="nil"/>
                  </w:tcBorders>
                  <w:noWrap w:val="0"/>
                  <w:vAlign w:val="center"/>
                </w:tcPr>
                <w:p w14:paraId="0CEB1BAB">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单元特性管控要求</w:t>
                  </w:r>
                </w:p>
              </w:tc>
              <w:tc>
                <w:tcPr>
                  <w:tcW w:w="832" w:type="dxa"/>
                  <w:tcBorders>
                    <w:tl2br w:val="nil"/>
                    <w:tr2bl w:val="nil"/>
                  </w:tcBorders>
                  <w:noWrap w:val="0"/>
                  <w:vAlign w:val="center"/>
                </w:tcPr>
                <w:p w14:paraId="0AFB0F25">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Fonts w:hint="eastAsia" w:ascii="宋体" w:hAnsi="宋体" w:eastAsia="宋体" w:cs="宋体"/>
                      <w:b/>
                      <w:bCs/>
                      <w:color w:val="000000"/>
                      <w:kern w:val="0"/>
                      <w:sz w:val="21"/>
                      <w:szCs w:val="21"/>
                      <w:lang w:val="en-US" w:eastAsia="zh-CN" w:bidi="ar-SA"/>
                    </w:rPr>
                  </w:pPr>
                  <w:r>
                    <w:rPr>
                      <w:rFonts w:hint="eastAsia" w:ascii="宋体" w:hAnsi="宋体" w:eastAsia="宋体" w:cs="宋体"/>
                      <w:b/>
                      <w:bCs/>
                      <w:color w:val="000000"/>
                      <w:kern w:val="0"/>
                      <w:sz w:val="21"/>
                      <w:szCs w:val="21"/>
                      <w:lang w:val="en-US" w:eastAsia="zh-CN" w:bidi="ar-SA"/>
                    </w:rPr>
                    <w:t>本项目符合性</w:t>
                  </w:r>
                </w:p>
              </w:tc>
            </w:tr>
            <w:tr w14:paraId="0244AA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3" w:type="dxa"/>
                  <w:vMerge w:val="restart"/>
                  <w:tcBorders>
                    <w:tl2br w:val="nil"/>
                    <w:tr2bl w:val="nil"/>
                  </w:tcBorders>
                  <w:noWrap w:val="0"/>
                  <w:vAlign w:val="center"/>
                </w:tcPr>
                <w:p w14:paraId="43084C57">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ZH51090420004</w:t>
                  </w:r>
                </w:p>
              </w:tc>
              <w:tc>
                <w:tcPr>
                  <w:tcW w:w="491" w:type="dxa"/>
                  <w:vMerge w:val="restart"/>
                  <w:tcBorders>
                    <w:tl2br w:val="nil"/>
                    <w:tr2bl w:val="nil"/>
                  </w:tcBorders>
                  <w:noWrap w:val="0"/>
                  <w:vAlign w:val="center"/>
                </w:tcPr>
                <w:p w14:paraId="1B426990">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安居区要素重点管控单元</w:t>
                  </w:r>
                </w:p>
              </w:tc>
              <w:tc>
                <w:tcPr>
                  <w:tcW w:w="927" w:type="dxa"/>
                  <w:vMerge w:val="restart"/>
                  <w:tcBorders>
                    <w:tl2br w:val="nil"/>
                    <w:tr2bl w:val="nil"/>
                  </w:tcBorders>
                  <w:noWrap w:val="0"/>
                  <w:vAlign w:val="top"/>
                </w:tcPr>
                <w:p w14:paraId="55853A2E">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1.新建、改建、扩建增加重点重金属污染物排放的建设项目需满足区域重点重金属总量管控要求，对有色冶炼、电镀、采选、化工、铅蓄电池制造业、皮革等涉重企业含重点重金属（汞、镉、铅、砷、铬）执行严格的准入条件，严控环境风险。
2.锂电产业中锂离子电池行业引入，参考执行其行业资源环境绩效指标准入要求。
3.全市大气污染物排放执行《四川省生态环境厅关于执行大气污染物特别排放限值的公告》相关要求。
4.强化沿江化工企业与园区的污染治理与风险管控，细化突发环境事件风险管控措施，严控流域型环境风险；严格落实《生态环境部水利部关于建立跨省流域上下游突发水污染事件联防联控机制的指导意见》。
5.优化中心城区园区布局。</w:t>
                  </w:r>
                </w:p>
              </w:tc>
              <w:tc>
                <w:tcPr>
                  <w:tcW w:w="3425" w:type="dxa"/>
                  <w:vMerge w:val="restart"/>
                  <w:tcBorders>
                    <w:tl2br w:val="nil"/>
                    <w:tr2bl w:val="nil"/>
                  </w:tcBorders>
                  <w:noWrap w:val="0"/>
                  <w:vAlign w:val="top"/>
                </w:tcPr>
                <w:p w14:paraId="2D0A8130">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空间布局约束：</w:t>
                  </w:r>
                </w:p>
                <w:p w14:paraId="3A5607FF">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禁止开发建设活动的要求</w:t>
                  </w:r>
                </w:p>
                <w:p w14:paraId="04776EF5">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1.禁止在法律法规规定的禁采区内新建矿山；禁止土法采、选、冶严重污染环境的矿产资源。</w:t>
                  </w:r>
                </w:p>
                <w:p w14:paraId="42E7E0A9">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2.涉及永久基本农田的区域，除法律规定的重点建设项目选址确实无法避让外，其他任何建设不得占用。</w:t>
                  </w:r>
                </w:p>
                <w:p w14:paraId="6991F3B0">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禁止在长江干支流岸线一公里范围内新建、扩建化工园区和化工项目。禁止在长江干流岸线三公里范围内和重要支流岸线一公里范围内新建、改建、扩建尾矿库；但是以提升安全、生态环境保护水平为目的的改建除外。</w:t>
                  </w:r>
                </w:p>
                <w:p w14:paraId="6E11F4C4">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限制开发建设活动的要求</w:t>
                  </w:r>
                </w:p>
                <w:p w14:paraId="3801D6AC">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1.单元内如新布局工业园区，应充分论证选址的环境合理性。</w:t>
                  </w:r>
                </w:p>
                <w:p w14:paraId="2724022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大气环境布局敏感区应严格限制布设以钢铁、建材、石化、化工、有色等高污染行业为主导产业的园区，大气环境弱扩散区谨慎布局垃圾发电、危废焚烧等以大气污染为主的企业；水环境城镇生活污染、农业污染重点管控区应严格限制布设以电力、钢铁、造纸、石化、化工、印染、化纤等高耗水行业为主导产业的园区。</w:t>
                  </w:r>
                </w:p>
                <w:p w14:paraId="4A9C36E6">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3.严控在长江及主要支流岸线1公里范围内新建石油化工、煤化工、涉磷、造纸、印染、制革等项目。</w:t>
                  </w:r>
                </w:p>
                <w:p w14:paraId="4CC00227">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不符合空间布局要求活动的退出要求</w:t>
                  </w:r>
                </w:p>
                <w:p w14:paraId="5A8F69DC">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1.全面取缔禁养区内规模化畜禽养殖场。</w:t>
                  </w:r>
                </w:p>
                <w:p w14:paraId="319369F9">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2.完成全域内“散乱污”企业整治工作。</w:t>
                  </w:r>
                </w:p>
                <w:p w14:paraId="1929B565">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其他空间布局约束要求</w:t>
                  </w:r>
                </w:p>
                <w:p w14:paraId="6244448D">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1D55A78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污染物排放管控：</w:t>
                  </w:r>
                </w:p>
                <w:p w14:paraId="5F99B5BB">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允许排放量要求</w:t>
                  </w:r>
                </w:p>
                <w:p w14:paraId="10999B73">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46CA158E">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现有源提标升级改造</w:t>
                  </w:r>
                </w:p>
                <w:p w14:paraId="71B83E24">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1.水环境：</w:t>
                  </w:r>
                </w:p>
                <w:p w14:paraId="326B620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加快现有乡镇污水处理设施升级改造，按要求达《城镇污水处理厂污染物排放标准》一级A标后排放。</w:t>
                  </w:r>
                </w:p>
                <w:p w14:paraId="3804CFE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2.大气环境：</w:t>
                  </w:r>
                </w:p>
                <w:p w14:paraId="7D5EA2E6">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（1）火电、水泥等行业按相关要求推进大气污染物超低排放和深度治理。（2）砖瓦行业实施脱硫、除尘升级改造，污染物排放达到《砖瓦工业大气污染物排放标准》。</w:t>
                  </w:r>
                </w:p>
                <w:p w14:paraId="667DAF5B">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对污染防治设施不完备、但有升级改造价值的，一律停产整顿、限期治理，逾期仍不能达标排放的坚决关停。（4）对达标治理无望、偷排直排的工业摊点和小作坊、按照“两断三清”标准，一律关停取缔，由相关部门依法予以查处。</w:t>
                  </w:r>
                </w:p>
                <w:p w14:paraId="75ECB91E">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其他污染物排放管控要求</w:t>
                  </w:r>
                </w:p>
                <w:p w14:paraId="709AF05A">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新增源等量或倍量替代：上一年度水环境质量未完成目标的，新建排放水污染的建设项目按照总量管控要求进行倍量削减替代。上一年度空气质量年平均浓度不达标的城市，建设项目新增相关污染物按照总量管控要求进行倍量削减替代。</w:t>
                  </w:r>
                </w:p>
                <w:p w14:paraId="18F3408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污染物排放绩效水平准入要求：（1）秋冬季节，水泥（含特种水泥，不含粉磨站、粉磨工序和协同处置城市垃圾或危险废物生产线）严格实施停产50天；砖瓦窑（不含以粉煤灰为主要原料的砖瓦企业）全面停产。对2018年10月底前稳定达到特别排放限值的水泥企业和燃气锅炉，原则上可不再实施错峰生产，但要按当地重污染天气应急预案要求参加污染管控。（2）实现乡镇污水处理设施全覆盖，配套建设污水收集管网，乡镇污水处理率达到50%。（3）大中型矿山达到绿色矿山标准，引导小型矿山按照绿色矿山标准规范发展；加强矿山采选废水的处理和综合利用工作，选矿废水全部综合利用，不外排，采矿废水应尽量回用。（4）新、改扩建规模化畜禽养殖场（小区）要实施雨污分流、粪便污水资源化利用；大型规模养殖场粪污处理设施装备配套率达到100%，畜禽粪污基本实现资源化利用；散养密集区要实行畜禽粪便污水分户收集、集中处理利用。（5）到2025年，畜禽粪污综合利用率达到80%。（6）屠宰项目必须配套污水处理设施或进入城市污水管网。（7）主要农作物化肥、农药使用量实现零增长，利用率提高到40%以上，测土配方施肥技术推广覆盖率提高到90%以上，控制农村面源污染，采取灌排分离等措施控制农田氮磷流失。（8）到2022年，遂宁市中心城区基本建成生活垃圾分类处理系统。到2025年，地级及以上城市基本建成生活垃圾分类处理系统。县级城市、乡镇和农村生活垃圾分类工作取得成效，生活垃圾减量化、资源化、无害化水平显著提高。加快厨余垃圾处置设施建设，鼓励区域统筹规划建设厨余垃圾处置中心，力争2022年实现地级及以上城市厨余垃圾处置设施全覆盖。（9）到2025年，废旧农膜回收利用率达到85%以上。</w:t>
                  </w:r>
                </w:p>
                <w:p w14:paraId="5B9EE957">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环境风险防控：</w:t>
                  </w:r>
                </w:p>
                <w:p w14:paraId="619063BC">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联防联控要求</w:t>
                  </w:r>
                </w:p>
                <w:p w14:paraId="720AC434">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加强成都平原经济区信息共享和联动合作，协力推进产业和能源结构优化调整，加强大气污染源头防控，加强潼遂合作。</w:t>
                  </w:r>
                </w:p>
                <w:p w14:paraId="7106583D">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其他环境风险防控要求</w:t>
                  </w:r>
                </w:p>
                <w:p w14:paraId="797956EB">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企业环境风险防控要求：（1）工业企业退出用地，应按相关要求进行评估、修复，满足相应用地功能后，方可改变用途。（2）加强“散乱污”企业环境风险防控。（3）列入建设用地土壤污染风险管控和修复名录的地块，不得作为住宅、公共管理与公共服务用地。</w:t>
                  </w:r>
                </w:p>
                <w:p w14:paraId="0C615EAD">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用地环境风险防控要求：（1）严禁将城镇生活垃圾、淤泥、工业废物直接用作肥料，禁止处理不达标的淤泥进入耕地；禁止在农用地排放、倾倒、使用淤泥、清淤底泥、尾矿（渣）等可能对土壤造成污染的固体废物。（2）严格控制林地、草地、园地的农药使用量，禁止使用高毒、高残留农药。</w:t>
                  </w:r>
                </w:p>
                <w:p w14:paraId="6E1D45CF">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资源开发利用效率要求：</w:t>
                  </w:r>
                </w:p>
                <w:p w14:paraId="2714A3F1">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水资源利用总量要求</w:t>
                  </w:r>
                </w:p>
                <w:p w14:paraId="745BECB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1.2025年，农田灌溉有效利用系数提高到0.554；</w:t>
                  </w:r>
                </w:p>
                <w:p w14:paraId="3FF0ABD4">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2.2030年，农田灌溉水有效利用系数提高到0.6。</w:t>
                  </w:r>
                </w:p>
                <w:p w14:paraId="5FC95B06">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地下水开采要求</w:t>
                  </w:r>
                </w:p>
                <w:p w14:paraId="7BA30171">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全面建设节水型社会，达到合理高效用水。</w:t>
                  </w:r>
                </w:p>
                <w:p w14:paraId="1222D5BE">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能源利用总量及效率要求</w:t>
                  </w:r>
                </w:p>
                <w:p w14:paraId="03034C31">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1.推进清洁能源的推广使用，全面推进散煤清洁化整治；禁止新建每小时10蒸吨以下的燃煤锅炉及其他燃煤设施。</w:t>
                  </w:r>
                </w:p>
                <w:p w14:paraId="2ED32E4A">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2.禁止焚烧秸秆和垃圾。全市秸秆综合利用率达到92%以上。</w:t>
                  </w:r>
                </w:p>
                <w:p w14:paraId="0B2D38F9">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3.现有储油库、油罐车、加油站应全部配置油气回收设施，对已安装的油气回收设施加强运行监管，回收率要达到80%以上。</w:t>
                  </w:r>
                </w:p>
                <w:p w14:paraId="0CA1993A">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禁燃区要求</w:t>
                  </w:r>
                </w:p>
                <w:p w14:paraId="37FAD8F9">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1.禁燃区内禁止燃烧以下高污染燃料：</w:t>
                  </w:r>
                </w:p>
                <w:p w14:paraId="3372C5F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（1）煤炭及其制品（包括原煤、散煤、煤矸石、煤泥、煤粉、水浆煤、型煤、焦炭、兰炭、油类等常规燃料）。</w:t>
                  </w:r>
                </w:p>
                <w:p w14:paraId="182C3959">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（2）石油焦、油页岩、原油、重油、渣油、煤焦油。</w:t>
                  </w:r>
                </w:p>
                <w:p w14:paraId="089B52B0">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（3）非专用锅炉或未配置高效除尘设施的专用锅炉燃用的生物质成型燃料。</w:t>
                  </w:r>
                </w:p>
                <w:p w14:paraId="663216D2">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2.禁燃区内禁止新建、扩建燃用高污染燃料的锅炉、炉窑、炉灶等燃烧设施（集中供热、电厂锅炉除外）。</w:t>
                  </w:r>
                </w:p>
                <w:p w14:paraId="478A3E68">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3.自2020年1月1日起，禁燃区内禁止销售高污染燃料。</w:t>
                  </w:r>
                </w:p>
                <w:p w14:paraId="7C1DB786">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4.加强对集中供热、电厂锅炉、10蒸吨/时以上的在用燃煤锅炉以及改用清洁能源前的在用锅炉等燃烧设施的监管，确保达标排放。</w:t>
                  </w:r>
                </w:p>
                <w:p w14:paraId="48B5A1CA">
                  <w:pPr>
                    <w:pStyle w:val="71"/>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其他资源利用效率要求</w:t>
                  </w:r>
                </w:p>
                <w:p w14:paraId="08EC3C1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tc>
              <w:tc>
                <w:tcPr>
                  <w:tcW w:w="575" w:type="dxa"/>
                  <w:tcBorders>
                    <w:tl2br w:val="nil"/>
                    <w:tr2bl w:val="nil"/>
                  </w:tcBorders>
                  <w:noWrap w:val="0"/>
                  <w:vAlign w:val="center"/>
                </w:tcPr>
                <w:p w14:paraId="375B2360">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空间布局约束</w:t>
                  </w:r>
                </w:p>
              </w:tc>
              <w:tc>
                <w:tcPr>
                  <w:tcW w:w="1488" w:type="dxa"/>
                  <w:tcBorders>
                    <w:tl2br w:val="nil"/>
                    <w:tr2bl w:val="nil"/>
                  </w:tcBorders>
                  <w:noWrap w:val="0"/>
                  <w:vAlign w:val="center"/>
                </w:tcPr>
                <w:p w14:paraId="62D1F825">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禁止开发建设活动的要求</w:t>
                  </w:r>
                </w:p>
                <w:p w14:paraId="11DBC6A8">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1CF1046E">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限制开发建设活动的要求</w:t>
                  </w:r>
                </w:p>
                <w:p w14:paraId="6BB35C5A">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6F1DD9E9">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允许开发建设活动的要求</w:t>
                  </w:r>
                </w:p>
                <w:p w14:paraId="1CA89B4E">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不符合空间布局要求活动的退出要求</w:t>
                  </w:r>
                </w:p>
                <w:p w14:paraId="255C3372">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1.位于城镇空间外的区外工业企业：具有合法手续的企业，且污染物排放及环境风险满足管理要求的企业，可继续保留，要求污染物排放只降不增，并进一步加强日常环保监管；严控新（扩）建水泥厂、危废焚烧、陶瓷厂等以大气污染为主的企业；不具备合法手续，或污染物排放超标、环境风险不可控的企业，限期进行整改提升，通过环保、安全、工艺装备升级等落实整改措施并达到相关标准实现合法生产，整改后仍不能达到要求的，属地政府应按相关要求责令关停并退出2.其他参照遂宁市总体准入要求-要素重点管控单元</w:t>
                  </w:r>
                </w:p>
                <w:p w14:paraId="1A1835BF">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其他空间布局约束要求</w:t>
                  </w:r>
                </w:p>
              </w:tc>
              <w:tc>
                <w:tcPr>
                  <w:tcW w:w="832" w:type="dxa"/>
                  <w:tcBorders>
                    <w:tl2br w:val="nil"/>
                    <w:tr2bl w:val="nil"/>
                  </w:tcBorders>
                  <w:noWrap w:val="0"/>
                  <w:vAlign w:val="center"/>
                </w:tcPr>
                <w:p w14:paraId="45BBECF8">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本项目不属于化工等企业，项目为国家重点工程的临时配套设施，项目采取的污染防治措施满足达标排放的要求，根据分析本项目符合空间布局的约束要求。</w:t>
                  </w:r>
                </w:p>
              </w:tc>
            </w:tr>
            <w:tr w14:paraId="44E79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3" w:type="dxa"/>
                  <w:vMerge w:val="continue"/>
                  <w:tcBorders>
                    <w:tl2br w:val="nil"/>
                    <w:tr2bl w:val="nil"/>
                  </w:tcBorders>
                  <w:noWrap w:val="0"/>
                  <w:vAlign w:val="center"/>
                </w:tcPr>
                <w:p w14:paraId="123F2E6C">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ZH51090320001</w:t>
                  </w:r>
                </w:p>
              </w:tc>
              <w:tc>
                <w:tcPr>
                  <w:tcW w:w="491" w:type="dxa"/>
                  <w:vMerge w:val="continue"/>
                  <w:tcBorders>
                    <w:tl2br w:val="nil"/>
                    <w:tr2bl w:val="nil"/>
                  </w:tcBorders>
                  <w:noWrap w:val="0"/>
                  <w:vAlign w:val="center"/>
                </w:tcPr>
                <w:p w14:paraId="0BC516EA">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船山区中心城区</w:t>
                  </w:r>
                </w:p>
              </w:tc>
              <w:tc>
                <w:tcPr>
                  <w:tcW w:w="927" w:type="dxa"/>
                  <w:vMerge w:val="continue"/>
                  <w:tcBorders>
                    <w:tl2br w:val="nil"/>
                    <w:tr2bl w:val="nil"/>
                  </w:tcBorders>
                  <w:noWrap w:val="0"/>
                  <w:vAlign w:val="top"/>
                </w:tcPr>
                <w:p w14:paraId="0F49CEEA">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p>
              </w:tc>
              <w:tc>
                <w:tcPr>
                  <w:tcW w:w="3425" w:type="dxa"/>
                  <w:vMerge w:val="continue"/>
                  <w:tcBorders>
                    <w:tl2br w:val="nil"/>
                    <w:tr2bl w:val="nil"/>
                  </w:tcBorders>
                  <w:noWrap w:val="0"/>
                  <w:vAlign w:val="top"/>
                </w:tcPr>
                <w:p w14:paraId="7A8C6DE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空间布局约束：</w:t>
                  </w:r>
                </w:p>
                <w:p w14:paraId="65C6531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禁止开发建设活动的要求</w:t>
                  </w:r>
                </w:p>
                <w:p w14:paraId="2003586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1.原则上禁止新建工业企业。</w:t>
                  </w:r>
                </w:p>
                <w:p w14:paraId="606C941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止在长江干支流岸线一公里范围内新建、扩建化工园区和化工项目。禁止在长江干流岸线三公里范围内和重要支流岸线一公里范围内新建、改建、扩建尾矿库；但是以提升安全、生态环境保护水平为目的的改建除外。</w:t>
                  </w:r>
                </w:p>
                <w:p w14:paraId="07BDAB0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3.严格执行相关行业企业布局选址要求，禁止在居民区、学校、医疗和养老机构等周边新建有色金属冶炼、焦化、化工、铅蓄电池制造等行业企业。有序搬迁或依法关闭对土壤造成严重污染的现有企业。</w:t>
                  </w:r>
                </w:p>
                <w:p w14:paraId="439AF9D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限制开发建设活动的要求</w:t>
                  </w:r>
                </w:p>
                <w:p w14:paraId="2970348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1.现有工业企业不得新增污染物排放。</w:t>
                  </w:r>
                </w:p>
                <w:p w14:paraId="1EC7569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2.严控新设工业园区，如确需新布局工业园区，应充分论证选址的环境合理性。</w:t>
                  </w:r>
                </w:p>
                <w:p w14:paraId="4B6AC5D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3.严控在长江及主要支流岸线1公里范围内新建石油化工、煤化工、涉磷、造纸、印染、制革等项目。</w:t>
                  </w:r>
                </w:p>
                <w:p w14:paraId="5E24C94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不符合空间布局要求活动的退出要求</w:t>
                  </w:r>
                </w:p>
                <w:p w14:paraId="32E9480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1.现有工业企业适时进行有序退出。</w:t>
                  </w:r>
                </w:p>
                <w:p w14:paraId="23CE3198">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2.按照相关规划和要求，清理整顿非法采砂、非法码头，全面清除不合规码头。</w:t>
                  </w:r>
                </w:p>
                <w:p w14:paraId="6F85F6A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其他空间布局约束要求</w:t>
                  </w:r>
                </w:p>
                <w:p w14:paraId="3CB4C78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1B9486D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污染物排放管控：</w:t>
                  </w:r>
                </w:p>
                <w:p w14:paraId="54AC5E8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允许排放量要求</w:t>
                  </w:r>
                </w:p>
                <w:p w14:paraId="2E1E02E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0562C87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现有源提标升级改造</w:t>
                  </w:r>
                </w:p>
                <w:p w14:paraId="680B616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1.到2023年，县级及以上城市设施能力基本满足生活污水处理需求。生活污水收集效能明显提升。</w:t>
                  </w:r>
                </w:p>
                <w:p w14:paraId="3FA43C0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2.到2025年，水环境敏感地区污水处理基本达到一级A排放标准。</w:t>
                  </w:r>
                </w:p>
                <w:p w14:paraId="40B017E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3.到2035年，城市生活污水收集管网基本全覆盖，城镇污水处理能力全覆盖。</w:t>
                  </w:r>
                </w:p>
                <w:p w14:paraId="6055C2D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4.机动车船实施国六排放标准，推广使用达到国六排放标准的燃气车辆。</w:t>
                  </w:r>
                </w:p>
                <w:p w14:paraId="184ACD0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其他污染物排放管控要求</w:t>
                  </w:r>
                </w:p>
                <w:p w14:paraId="39BFB93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新增源等量或倍量替代：上一年度水环境质量未完成目标的，新建排放水污染的建设项目按照总量管控要求进行倍量削减替代。上一年度空气质量年平均浓度不达标的城市，建设项目新增相关污染物按照总量管控要求进行倍量削减替代。</w:t>
                  </w:r>
                </w:p>
                <w:p w14:paraId="1FD16FE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污染物排放绩效水平准入要求：（1）到2025年基本消除城市建成区生活污水直排口和收集处理设施空白区。（2）到2030年，遂宁市城市生活污水处理率提高到97%。（3）严格落实建设工地管理要求，做好扬尘污染管控工作。（4）城市建成区道路机械化清扫率达到90%以上。（5）工业固体废物资源化利用、无害化处置率100%；危险废物、医疗废物和放射性废物无害化处置率100%。（6）到2025年底，建立健全源头严防、过程严管、后果严惩的危险废物监管体系。危险废物利用处置能力充分保障，技术和运营水平进一步提升。（7）从事机动车修理、印刷、服装干洗、研发等排放挥发性有机污染物的生产作业，应当按照有关技术规范进行综合治理。推广机动车维修企业使用水性、紫外光固化涂料，禁止露天和敞开式喷漆作业；包装印刷业必须使用符合环保要求的油墨；餐饮服务业油烟必须经处理达到相应排放标准要求。（8）建材行业原料破碎、生产、运输、装卸等各环节严格落实抑尘措施，有效控制粉尘无组织排放。（9）到2023年底，地级以上城市具备厨余垃圾集中处理能力，县城生活垃圾无害化处理率保持95%以上，乡镇及行政村生活垃圾收转运处置体系基本实现全覆盖；生活垃圾处理设施信息化监管水平明显提升。（10）到2025年，城市和县城淤泥无害化、资源化利用水平进一步提升，城市淤泥无害化处置率达到90%以上。（11）到2022年，遂宁市中心城区基本建成生活垃圾分类处理系统。到2025年，地级及以上城市基本建成生活垃圾分类处理系统。县级城市、乡镇和农村生活垃圾分类工作取得成效，生活垃圾减量化、资源化、无害化水平显著提高。加快厨余垃圾处置设施建设，鼓励区域统筹规划建设厨余垃圾处置中心，力争2022年实现地级及以上城市厨余垃圾处置设施全覆盖。（12）定期对油烟净化设施进行维护保养，并保存维护保养记录，确保油烟稳定达标排放，设施正常使用率不低于90%。</w:t>
                  </w:r>
                </w:p>
                <w:p w14:paraId="330285D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环境风险防控：</w:t>
                  </w:r>
                </w:p>
                <w:p w14:paraId="1E533D8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联防联控要求</w:t>
                  </w:r>
                </w:p>
                <w:p w14:paraId="38714B5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加强成都平原经济区信息共享和联动合作，协力推进产业和能源结构优化调整，加强大气污染源头防控，加强潼遂合作。</w:t>
                  </w:r>
                </w:p>
                <w:p w14:paraId="4017D06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其他环境风险防控要求</w:t>
                  </w:r>
                </w:p>
                <w:p w14:paraId="54EC8E4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1.企业环境风险防控要求：现有涉及五类重金属排放的企业，严控污染物排放，限时整治或搬迁。</w:t>
                  </w:r>
                </w:p>
                <w:p w14:paraId="3DA913E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2.用地环境风险防控要求：（1）工业企业退出用地，须经评估、修复满足相应用地功能后，方可改变用途。（2）列入建设用地土壤污染风险管控和修复名录的地块，不得作为住宅、公共管理与公共服务用地。</w:t>
                  </w:r>
                </w:p>
                <w:p w14:paraId="0BDEC53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资源开发利用效率要求：</w:t>
                  </w:r>
                </w:p>
                <w:p w14:paraId="4D85D56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水资源利用总量要求</w:t>
                  </w:r>
                </w:p>
                <w:p w14:paraId="6AFF079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到2025年，全国地级及以上缺水城市再生水利用率达到25%。</w:t>
                  </w:r>
                </w:p>
                <w:p w14:paraId="7409A4E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地下水开采要求</w:t>
                  </w:r>
                </w:p>
                <w:p w14:paraId="20042B1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全面建设节水型社会，达到合理高效用水。</w:t>
                  </w:r>
                </w:p>
                <w:p w14:paraId="350DE6B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能源利用总量及效率要求</w:t>
                  </w:r>
                </w:p>
                <w:p w14:paraId="73BDBA2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1.严控使用燃煤等高污染燃料，禁止焚烧垃圾。</w:t>
                  </w:r>
                </w:p>
                <w:p w14:paraId="5BD3481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2.全面淘汰每小时10蒸吨以下的燃煤锅炉；在供气管网覆盖不到的其他地区，改用电、新能源或洁净煤。</w:t>
                  </w:r>
                </w:p>
                <w:p w14:paraId="4127670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地级以上城市建成区禁止新建每小时20蒸吨以下燃煤锅炉；对20蒸吨及以上燃煤锅炉实施脱硫改造，建设高效脱硫设施；对循环流化床锅炉以外的燃煤发电机组一律安装脱硫设施，对燃煤锅炉和工业锅炉现有除尘设施实施升级改造，确保达到新的排放标准和特别排放限值。</w:t>
                  </w:r>
                </w:p>
                <w:p w14:paraId="41AA51F1">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禁燃区要求</w:t>
                  </w:r>
                </w:p>
                <w:p w14:paraId="6E044BA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1.禁燃区内禁止燃烧以下高污染燃料：</w:t>
                  </w:r>
                </w:p>
                <w:p w14:paraId="49B490D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（1）煤炭及其制品（包括原煤、散煤、煤矸石、煤泥、煤粉、水浆煤、型煤、焦炭、兰炭、油类等常规燃料）。</w:t>
                  </w:r>
                </w:p>
                <w:p w14:paraId="0C98397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（2）石油焦、油页岩、原油、重油、渣油、煤焦油。</w:t>
                  </w:r>
                </w:p>
                <w:p w14:paraId="546CDB7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（3）非专用锅炉或未配置高效除尘设施的专用锅炉燃用的生物质成型燃料。</w:t>
                  </w:r>
                </w:p>
                <w:p w14:paraId="604F803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2.禁燃区内禁止新建、扩建燃用高污染燃料的锅炉、炉窑、炉灶等燃烧设施（集中供热、电厂锅炉除外）。</w:t>
                  </w:r>
                </w:p>
                <w:p w14:paraId="69A4728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3.自2020年1月1日起，禁燃区内禁止销售高污染燃料。</w:t>
                  </w:r>
                </w:p>
                <w:p w14:paraId="0B3C8C9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4.加强对集中供热、电厂锅炉、10蒸吨/时以上的在用燃煤锅炉以及改用清洁能源前的在用锅炉等燃烧设施的监管，确保达标排放。</w:t>
                  </w:r>
                </w:p>
                <w:p w14:paraId="37F639D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其他资源利用效率要求</w:t>
                  </w:r>
                </w:p>
                <w:p w14:paraId="771E337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tc>
              <w:tc>
                <w:tcPr>
                  <w:tcW w:w="575" w:type="dxa"/>
                  <w:tcBorders>
                    <w:tl2br w:val="nil"/>
                    <w:tr2bl w:val="nil"/>
                  </w:tcBorders>
                  <w:noWrap w:val="0"/>
                  <w:vAlign w:val="center"/>
                </w:tcPr>
                <w:p w14:paraId="0DC47E7D">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污染物排放管控</w:t>
                  </w:r>
                </w:p>
              </w:tc>
              <w:tc>
                <w:tcPr>
                  <w:tcW w:w="1488" w:type="dxa"/>
                  <w:tcBorders>
                    <w:tl2br w:val="nil"/>
                    <w:tr2bl w:val="nil"/>
                  </w:tcBorders>
                  <w:noWrap w:val="0"/>
                  <w:vAlign w:val="center"/>
                </w:tcPr>
                <w:p w14:paraId="535354EE">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现有源提标升级改造</w:t>
                  </w:r>
                </w:p>
                <w:p w14:paraId="5C64CAC1">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778D0A27">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新增源等量或倍量替代</w:t>
                  </w:r>
                </w:p>
                <w:p w14:paraId="17844817">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4730866D">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新增源排放标准限值</w:t>
                  </w:r>
                </w:p>
                <w:p w14:paraId="246C86EC">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污染物排放绩效水平准入要求</w:t>
                  </w:r>
                </w:p>
                <w:p w14:paraId="3A2AA333">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1.水环境城镇污染重点管控区内，新、改扩建白酒酿造企业需满足《四川省白酒产业环境准入指标体系分析》中提出的水环境超标区域约束性指标。2.大气布局敏感重点管控区、大气弱扩散重点管控区，应控制工业、生活污染源，减少移动源污染物排放。打好柴油货车污染治理攻坚战，实施“车、油、路、管”综合整治；加快老旧车辆的淘汰和不达标车辆的整治。加强渣土运输车辆规范化管理，严格实施密闭运输，强化城乡结合部环境监管。3.其他参照遂宁市总体准入要求-要素重点管控单元</w:t>
                  </w:r>
                </w:p>
                <w:p w14:paraId="1FA302A0">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其他污染物排放管控要求</w:t>
                  </w:r>
                </w:p>
              </w:tc>
              <w:tc>
                <w:tcPr>
                  <w:tcW w:w="832" w:type="dxa"/>
                  <w:tcBorders>
                    <w:tl2br w:val="nil"/>
                    <w:tr2bl w:val="nil"/>
                  </w:tcBorders>
                  <w:noWrap w:val="0"/>
                  <w:vAlign w:val="center"/>
                </w:tcPr>
                <w:p w14:paraId="4906E004">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p>
              </w:tc>
            </w:tr>
            <w:tr w14:paraId="4E108F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3" w:type="dxa"/>
                  <w:vMerge w:val="continue"/>
                  <w:tcBorders>
                    <w:tl2br w:val="nil"/>
                    <w:tr2bl w:val="nil"/>
                  </w:tcBorders>
                  <w:noWrap w:val="0"/>
                  <w:vAlign w:val="center"/>
                </w:tcPr>
                <w:p w14:paraId="5C6C97C9">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ZH51090320001</w:t>
                  </w:r>
                </w:p>
              </w:tc>
              <w:tc>
                <w:tcPr>
                  <w:tcW w:w="491" w:type="dxa"/>
                  <w:vMerge w:val="continue"/>
                  <w:tcBorders>
                    <w:tl2br w:val="nil"/>
                    <w:tr2bl w:val="nil"/>
                  </w:tcBorders>
                  <w:noWrap w:val="0"/>
                  <w:vAlign w:val="center"/>
                </w:tcPr>
                <w:p w14:paraId="1D3B82A1">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船山区中心城区</w:t>
                  </w:r>
                </w:p>
              </w:tc>
              <w:tc>
                <w:tcPr>
                  <w:tcW w:w="927" w:type="dxa"/>
                  <w:vMerge w:val="continue"/>
                  <w:tcBorders>
                    <w:tl2br w:val="nil"/>
                    <w:tr2bl w:val="nil"/>
                  </w:tcBorders>
                  <w:noWrap w:val="0"/>
                  <w:vAlign w:val="top"/>
                </w:tcPr>
                <w:p w14:paraId="5C89077D">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p>
              </w:tc>
              <w:tc>
                <w:tcPr>
                  <w:tcW w:w="3425" w:type="dxa"/>
                  <w:vMerge w:val="continue"/>
                  <w:tcBorders>
                    <w:tl2br w:val="nil"/>
                    <w:tr2bl w:val="nil"/>
                  </w:tcBorders>
                  <w:noWrap w:val="0"/>
                  <w:vAlign w:val="top"/>
                </w:tcPr>
                <w:p w14:paraId="0B3822A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空间布局约束：</w:t>
                  </w:r>
                </w:p>
                <w:p w14:paraId="412E524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禁止开发建设活动的要求</w:t>
                  </w:r>
                </w:p>
                <w:p w14:paraId="793D679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1.原则上禁止新建工业企业。</w:t>
                  </w:r>
                </w:p>
                <w:p w14:paraId="12D3D4D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止在长江干支流岸线一公里范围内新建、扩建化工园区和化工项目。禁止在长江干流岸线三公里范围内和重要支流岸线一公里范围内新建、改建、扩建尾矿库；但是以提升安全、生态环境保护水平为目的的改建除外。</w:t>
                  </w:r>
                </w:p>
                <w:p w14:paraId="37616D1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3.严格执行相关行业企业布局选址要求，禁止在居民区、学校、医疗和养老机构等周边新建有色金属冶炼、焦化、化工、铅蓄电池制造等行业企业。有序搬迁或依法关闭对土壤造成严重污染的现有企业。</w:t>
                  </w:r>
                </w:p>
                <w:p w14:paraId="04F6262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限制开发建设活动的要求</w:t>
                  </w:r>
                </w:p>
                <w:p w14:paraId="0FDB145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1.现有工业企业不得新增污染物排放。</w:t>
                  </w:r>
                </w:p>
                <w:p w14:paraId="7F527E5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2.严控新设工业园区，如确需新布局工业园区，应充分论证选址的环境合理性。</w:t>
                  </w:r>
                </w:p>
                <w:p w14:paraId="2C0732A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3.严控在长江及主要支流岸线1公里范围内新建石油化工、煤化工、涉磷、造纸、印染、制革等项目。</w:t>
                  </w:r>
                </w:p>
                <w:p w14:paraId="0590051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不符合空间布局要求活动的退出要求</w:t>
                  </w:r>
                </w:p>
                <w:p w14:paraId="2352AD0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1.现有工业企业适时进行有序退出。</w:t>
                  </w:r>
                </w:p>
                <w:p w14:paraId="44F3BED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2.按照相关规划和要求，清理整顿非法采砂、非法码头，全面清除不合规码头。</w:t>
                  </w:r>
                </w:p>
                <w:p w14:paraId="269B16C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其他空间布局约束要求</w:t>
                  </w:r>
                </w:p>
                <w:p w14:paraId="0D4FFC5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60B1FE8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污染物排放管控：</w:t>
                  </w:r>
                </w:p>
                <w:p w14:paraId="5062224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允许排放量要求</w:t>
                  </w:r>
                </w:p>
                <w:p w14:paraId="6FA3F37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3D417BA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现有源提标升级改造</w:t>
                  </w:r>
                </w:p>
                <w:p w14:paraId="0677C81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1.到2023年，县级及以上城市设施能力基本满足生活污水处理需求。生活污水收集效能明显提升。</w:t>
                  </w:r>
                </w:p>
                <w:p w14:paraId="0CE1865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2.到2025年，水环境敏感地区污水处理基本达到一级A排放标准。</w:t>
                  </w:r>
                </w:p>
                <w:p w14:paraId="092F506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3.到2035年，城市生活污水收集管网基本全覆盖，城镇污水处理能力全覆盖。</w:t>
                  </w:r>
                </w:p>
                <w:p w14:paraId="734308D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4.机动车船实施国六排放标准，推广使用达到国六排放标准的燃气车辆。</w:t>
                  </w:r>
                </w:p>
                <w:p w14:paraId="692EDC71">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其他污染物排放管控要求</w:t>
                  </w:r>
                </w:p>
                <w:p w14:paraId="179270F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新增源等量或倍量替代：上一年度水环境质量未完成目标的，新建排放水污染的建设项目按照总量管控要求进行倍量削减替代。上一年度空气质量年平均浓度不达标的城市，建设项目新增相关污染物按照总量管控要求进行倍量削减替代。</w:t>
                  </w:r>
                </w:p>
                <w:p w14:paraId="6DBDE3C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污染物排放绩效水平准入要求：（1）到2025年基本消除城市建成区生活污水直排口和收集处理设施空白区。（2）到2030年，遂宁市城市生活污水处理率提高到97%。（3）严格落实建设工地管理要求，做好扬尘污染管控工作。（4）城市建成区道路机械化清扫率达到90%以上。（5）工业固体废物资源化利用、无害化处置率100%；危险废物、医疗废物和放射性废物无害化处置率100%。（6）到2025年底，建立健全源头严防、过程严管、后果严惩的危险废物监管体系。危险废物利用处置能力充分保障，技术和运营水平进一步提升。（7）从事机动车修理、印刷、服装干洗、研发等排放挥发性有机污染物的生产作业，应当按照有关技术规范进行综合治理。推广机动车维修企业使用水性、紫外光固化涂料，禁止露天和敞开式喷漆作业；包装印刷业必须使用符合环保要求的油墨；餐饮服务业油烟必须经处理达到相应排放标准要求。（8）建材行业原料破碎、生产、运输、装卸等各环节严格落实抑尘措施，有效控制粉尘无组织排放。（9）到2023年底，地级以上城市具备厨余垃圾集中处理能力，县城生活垃圾无害化处理率保持95%以上，乡镇及行政村生活垃圾收转运处置体系基本实现全覆盖；生活垃圾处理设施信息化监管水平明显提升。（10）到2025年，城市和县城淤泥无害化、资源化利用水平进一步提升，城市淤泥无害化处置率达到90%以上。（11）到2022年，遂宁市中心城区基本建成生活垃圾分类处理系统。到2025年，地级及以上城市基本建成生活垃圾分类处理系统。县级城市、乡镇和农村生活垃圾分类工作取得成效，生活垃圾减量化、资源化、无害化水平显著提高。加快厨余垃圾处置设施建设，鼓励区域统筹规划建设厨余垃圾处置中心，力争2022年实现地级及以上城市厨余垃圾处置设施全覆盖。（12）定期对油烟净化设施进行维护保养，并保存维护保养记录，确保油烟稳定达标排放，设施正常使用率不低于90%。</w:t>
                  </w:r>
                </w:p>
                <w:p w14:paraId="16E9EC0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环境风险防控：</w:t>
                  </w:r>
                </w:p>
                <w:p w14:paraId="00F3641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联防联控要求</w:t>
                  </w:r>
                </w:p>
                <w:p w14:paraId="7934ECE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加强成都平原经济区信息共享和联动合作，协力推进产业和能源结构优化调整，加强大气污染源头防控，加强潼遂合作。</w:t>
                  </w:r>
                </w:p>
                <w:p w14:paraId="13E4EFD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其他环境风险防控要求</w:t>
                  </w:r>
                </w:p>
                <w:p w14:paraId="2065F0D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1.企业环境风险防控要求：现有涉及五类重金属排放的企业，严控污染物排放，限时整治或搬迁。</w:t>
                  </w:r>
                </w:p>
                <w:p w14:paraId="2111CAE8">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2.用地环境风险防控要求：（1）工业企业退出用地，须经评估、修复满足相应用地功能后，方可改变用途。（2）列入建设用地土壤污染风险管控和修复名录的地块，不得作为住宅、公共管理与公共服务用地。</w:t>
                  </w:r>
                </w:p>
                <w:p w14:paraId="0EFA7F8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资源开发利用效率要求：</w:t>
                  </w:r>
                </w:p>
                <w:p w14:paraId="72EA4E1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水资源利用总量要求</w:t>
                  </w:r>
                </w:p>
                <w:p w14:paraId="721B7D71">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到2025年，全国地级及以上缺水城市再生水利用率达到25%。</w:t>
                  </w:r>
                </w:p>
                <w:p w14:paraId="0A11622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地下水开采要求</w:t>
                  </w:r>
                </w:p>
                <w:p w14:paraId="6857FDF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全面建设节水型社会，达到合理高效用水。</w:t>
                  </w:r>
                </w:p>
                <w:p w14:paraId="21E97BB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能源利用总量及效率要求</w:t>
                  </w:r>
                </w:p>
                <w:p w14:paraId="6C7FB0C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1.严控使用燃煤等高污染燃料，禁止焚烧垃圾。</w:t>
                  </w:r>
                </w:p>
                <w:p w14:paraId="0A725078">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2.全面淘汰每小时10蒸吨以下的燃煤锅炉；在供气管网覆盖不到的其他地区，改用电、新能源或洁净煤。</w:t>
                  </w:r>
                </w:p>
                <w:p w14:paraId="38C893D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地级以上城市建成区禁止新建每小时20蒸吨以下燃煤锅炉；对20蒸吨及以上燃煤锅炉实施脱硫改造，建设高效脱硫设施；对循环流化床锅炉以外的燃煤发电机组一律安装脱硫设施，对燃煤锅炉和工业锅炉现有除尘设施实施升级改造，确保达到新的排放标准和特别排放限值。</w:t>
                  </w:r>
                </w:p>
                <w:p w14:paraId="4D7A6E1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禁燃区要求</w:t>
                  </w:r>
                </w:p>
                <w:p w14:paraId="4EE0342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1.禁燃区内禁止燃烧以下高污染燃料：</w:t>
                  </w:r>
                </w:p>
                <w:p w14:paraId="00C0CDC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（1）煤炭及其制品（包括原煤、散煤、煤矸石、煤泥、煤粉、水浆煤、型煤、焦炭、兰炭、油类等常规燃料）。</w:t>
                  </w:r>
                </w:p>
                <w:p w14:paraId="59AC527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（2）石油焦、油页岩、原油、重油、渣油、煤焦油。</w:t>
                  </w:r>
                </w:p>
                <w:p w14:paraId="3A59DE3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（3）非专用锅炉或未配置高效除尘设施的专用锅炉燃用的生物质成型燃料。</w:t>
                  </w:r>
                </w:p>
                <w:p w14:paraId="04F9E7D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2.禁燃区内禁止新建、扩建燃用高污染燃料的锅炉、炉窑、炉灶等燃烧设施（集中供热、电厂锅炉除外）。</w:t>
                  </w:r>
                </w:p>
                <w:p w14:paraId="21EFAF9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3.自2020年1月1日起，禁燃区内禁止销售高污染燃料。</w:t>
                  </w:r>
                </w:p>
                <w:p w14:paraId="26A870B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4.加强对集中供热、电厂锅炉、10蒸吨/时以上的在用燃煤锅炉以及改用清洁能源前的在用锅炉等燃烧设施的监管，确保达标排放。</w:t>
                  </w:r>
                </w:p>
                <w:p w14:paraId="3BD7E68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其他资源利用效率要求</w:t>
                  </w:r>
                </w:p>
                <w:p w14:paraId="56FA088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tc>
              <w:tc>
                <w:tcPr>
                  <w:tcW w:w="575" w:type="dxa"/>
                  <w:tcBorders>
                    <w:tl2br w:val="nil"/>
                    <w:tr2bl w:val="nil"/>
                  </w:tcBorders>
                  <w:noWrap w:val="0"/>
                  <w:vAlign w:val="center"/>
                </w:tcPr>
                <w:p w14:paraId="2678E7FA">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环境风险防控</w:t>
                  </w:r>
                </w:p>
              </w:tc>
              <w:tc>
                <w:tcPr>
                  <w:tcW w:w="1488" w:type="dxa"/>
                  <w:tcBorders>
                    <w:tl2br w:val="nil"/>
                    <w:tr2bl w:val="nil"/>
                  </w:tcBorders>
                  <w:noWrap w:val="0"/>
                  <w:vAlign w:val="center"/>
                </w:tcPr>
                <w:p w14:paraId="770D6DCA">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严格管控类农用地管控要求</w:t>
                  </w:r>
                </w:p>
                <w:p w14:paraId="5FABD8C6">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4F342FE6">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安全利用类农用地管控要求</w:t>
                  </w:r>
                </w:p>
                <w:p w14:paraId="3DEB43D5">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648C34C7">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污染地块管控要求</w:t>
                  </w:r>
                </w:p>
                <w:p w14:paraId="759BE308">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21D69EE8">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园区环境风险防控要求</w:t>
                  </w:r>
                </w:p>
                <w:p w14:paraId="2EA0167B">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企业环境风险防控要求</w:t>
                  </w:r>
                </w:p>
                <w:p w14:paraId="2A3A3ECA">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3723D55C">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其他环境风险防控要求</w:t>
                  </w:r>
                </w:p>
              </w:tc>
              <w:tc>
                <w:tcPr>
                  <w:tcW w:w="832" w:type="dxa"/>
                  <w:tcBorders>
                    <w:tl2br w:val="nil"/>
                    <w:tr2bl w:val="nil"/>
                  </w:tcBorders>
                  <w:noWrap w:val="0"/>
                  <w:vAlign w:val="center"/>
                </w:tcPr>
                <w:p w14:paraId="3DCE08D3">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default"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本项目环境风险潜势为I级，项目无危险性仓库，项目所在地块不属于污染地块，根据分析本项目满足环境风险管控的要求。</w:t>
                  </w:r>
                </w:p>
              </w:tc>
            </w:tr>
            <w:tr w14:paraId="1A016F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43" w:type="dxa"/>
                  <w:vMerge w:val="continue"/>
                  <w:tcBorders>
                    <w:tl2br w:val="nil"/>
                    <w:tr2bl w:val="nil"/>
                  </w:tcBorders>
                  <w:noWrap w:val="0"/>
                  <w:vAlign w:val="center"/>
                </w:tcPr>
                <w:p w14:paraId="0D7773DE">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ZH51090320001</w:t>
                  </w:r>
                </w:p>
              </w:tc>
              <w:tc>
                <w:tcPr>
                  <w:tcW w:w="491" w:type="dxa"/>
                  <w:vMerge w:val="continue"/>
                  <w:tcBorders>
                    <w:tl2br w:val="nil"/>
                    <w:tr2bl w:val="nil"/>
                  </w:tcBorders>
                  <w:noWrap w:val="0"/>
                  <w:vAlign w:val="center"/>
                </w:tcPr>
                <w:p w14:paraId="275E35F6">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船山区中心城区</w:t>
                  </w:r>
                </w:p>
              </w:tc>
              <w:tc>
                <w:tcPr>
                  <w:tcW w:w="927" w:type="dxa"/>
                  <w:vMerge w:val="continue"/>
                  <w:tcBorders>
                    <w:tl2br w:val="nil"/>
                    <w:tr2bl w:val="nil"/>
                  </w:tcBorders>
                  <w:noWrap w:val="0"/>
                  <w:vAlign w:val="top"/>
                </w:tcPr>
                <w:p w14:paraId="41ABE77F">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p>
              </w:tc>
              <w:tc>
                <w:tcPr>
                  <w:tcW w:w="3425" w:type="dxa"/>
                  <w:vMerge w:val="continue"/>
                  <w:tcBorders>
                    <w:tl2br w:val="nil"/>
                    <w:tr2bl w:val="nil"/>
                  </w:tcBorders>
                  <w:noWrap w:val="0"/>
                  <w:vAlign w:val="top"/>
                </w:tcPr>
                <w:p w14:paraId="059E271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空间布局约束：</w:t>
                  </w:r>
                </w:p>
                <w:p w14:paraId="11C6C9A9">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禁止开发建设活动的要求</w:t>
                  </w:r>
                </w:p>
                <w:p w14:paraId="60C8491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1.原则上禁止新建工业企业。</w:t>
                  </w:r>
                </w:p>
                <w:p w14:paraId="3DAE6EE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止在长江干支流岸线一公里范围内新建、扩建化工园区和化工项目。禁止在长江干流岸线三公里范围内和重要支流岸线一公里范围内新建、改建、扩建尾矿库；但是以提升安全、生态环境保护水平为目的的改建除外。</w:t>
                  </w:r>
                </w:p>
                <w:p w14:paraId="165A89A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3.严格执行相关行业企业布局选址要求，禁止在居民区、学校、医疗和养老机构等周边新建有色金属冶炼、焦化、化工、铅蓄电池制造等行业企业。有序搬迁或依法关闭对土壤造成严重污染的现有企业。</w:t>
                  </w:r>
                </w:p>
                <w:p w14:paraId="507C093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限制开发建设活动的要求</w:t>
                  </w:r>
                </w:p>
                <w:p w14:paraId="190B9C3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1.现有工业企业不得新增污染物排放。</w:t>
                  </w:r>
                </w:p>
                <w:p w14:paraId="1DE88D7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2.严控新设工业园区，如确需新布局工业园区，应充分论证选址的环境合理性。</w:t>
                  </w:r>
                </w:p>
                <w:p w14:paraId="75F68CF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3.严控在长江及主要支流岸线1公里范围内新建石油化工、煤化工、涉磷、造纸、印染、制革等项目。</w:t>
                  </w:r>
                </w:p>
                <w:p w14:paraId="68FA312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不符合空间布局要求活动的退出要求</w:t>
                  </w:r>
                </w:p>
                <w:p w14:paraId="20E0E6D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1.现有工业企业适时进行有序退出。</w:t>
                  </w:r>
                </w:p>
                <w:p w14:paraId="756B05F0">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2.按照相关规划和要求，清理整顿非法采砂、非法码头，全面清除不合规码头。</w:t>
                  </w:r>
                </w:p>
                <w:p w14:paraId="2CCDC2E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其他空间布局约束要求</w:t>
                  </w:r>
                </w:p>
                <w:p w14:paraId="4FD3912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3E0F8BD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污染物排放管控：</w:t>
                  </w:r>
                </w:p>
                <w:p w14:paraId="2A5AAF91">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允许排放量要求</w:t>
                  </w:r>
                </w:p>
                <w:p w14:paraId="4657BF58">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p w14:paraId="1950591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现有源提标升级改造</w:t>
                  </w:r>
                </w:p>
                <w:p w14:paraId="03C4F98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1.到2023年，县级及以上城市设施能力基本满足生活污水处理需求。生活污水收集效能明显提升。</w:t>
                  </w:r>
                </w:p>
                <w:p w14:paraId="71DAFD7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2.到2025年，水环境敏感地区污水处理基本达到一级A排放标准。</w:t>
                  </w:r>
                </w:p>
                <w:p w14:paraId="180CE2C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3.到2035年，城市生活污水收集管网基本全覆盖，城镇污水处理能力全覆盖。</w:t>
                  </w:r>
                </w:p>
                <w:p w14:paraId="7D291425">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4.机动车船实施国六排放标准，推广使用达到国六排放标准的燃气车辆。</w:t>
                  </w:r>
                </w:p>
                <w:p w14:paraId="13F74F1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其他污染物排放管控要求</w:t>
                  </w:r>
                </w:p>
                <w:p w14:paraId="74AFD8E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新增源等量或倍量替代：上一年度水环境质量未完成目标的，新建排放水污染的建设项目按照总量管控要求进行倍量削减替代。上一年度空气质量年平均浓度不达标的城市，建设项目新增相关污染物按照总量管控要求进行倍量削减替代。</w:t>
                  </w:r>
                </w:p>
                <w:p w14:paraId="7ED6A48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污染物排放绩效水平准入要求：（1）到2025年基本消除城市建成区生活污水直排口和收集处理设施空白区。（2）到2030年，遂宁市城市生活污水处理率提高到97%。（3）严格落实建设工地管理要求，做好扬尘污染管控工作。（4）城市建成区道路机械化清扫率达到90%以上。（5）工业固体废物资源化利用、无害化处置率100%；危险废物、医疗废物和放射性废物无害化处置率100%。（6）到2025年底，建立健全源头严防、过程严管、后果严惩的危险废物监管体系。危险废物利用处置能力充分保障，技术和运营水平进一步提升。（7）从事机动车修理、印刷、服装干洗、研发等排放挥发性有机污染物的生产作业，应当按照有关技术规范进行综合治理。推广机动车维修企业使用水性、紫外光固化涂料，禁止露天和敞开式喷漆作业；包装印刷业必须使用符合环保要求的油墨；餐饮服务业油烟必须经处理达到相应排放标准要求。（8）建材行业原料破碎、生产、运输、装卸等各环节严格落实抑尘措施，有效控制粉尘无组织排放。（9）到2023年底，地级以上城市具备厨余垃圾集中处理能力，县城生活垃圾无害化处理率保持95%以上，乡镇及行政村生活垃圾收转运处置体系基本实现全覆盖；生活垃圾处理设施信息化监管水平明显提升。（10）到2025年，城市和县城淤泥无害化、资源化利用水平进一步提升，城市淤泥无害化处置率达到90%以上。（11）到2022年，遂宁市中心城区基本建成生活垃圾分类处理系统。到2025年，地级及以上城市基本建成生活垃圾分类处理系统。县级城市、乡镇和农村生活垃圾分类工作取得成效，生活垃圾减量化、资源化、无害化水平显著提高。加快厨余垃圾处置设施建设，鼓励区域统筹规划建设厨余垃圾处置中心，力争2022年实现地级及以上城市厨余垃圾处置设施全覆盖。（12）定期对油烟净化设施进行维护保养，并保存维护保养记录，确保油烟稳定达标排放，设施正常使用率不低于90%。</w:t>
                  </w:r>
                </w:p>
                <w:p w14:paraId="56601DA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环境风险防控：</w:t>
                  </w:r>
                </w:p>
                <w:p w14:paraId="4641422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联防联控要求</w:t>
                  </w:r>
                </w:p>
                <w:p w14:paraId="4CED024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加强成都平原经济区信息共享和联动合作，协力推进产业和能源结构优化调整，加强大气污染源头防控，加强潼遂合作。</w:t>
                  </w:r>
                </w:p>
                <w:p w14:paraId="780A9D2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其他环境风险防控要求</w:t>
                  </w:r>
                </w:p>
                <w:p w14:paraId="286144C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1.企业环境风险防控要求：现有涉及五类重金属排放的企业，严控污染物排放，限时整治或搬迁。</w:t>
                  </w:r>
                </w:p>
                <w:p w14:paraId="6F077C8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2.用地环境风险防控要求：（1）工业企业退出用地，须经评估、修复满足相应用地功能后，方可改变用途。（2）列入建设用地土壤污染风险管控和修复名录的地块，不得作为住宅、公共管理与公共服务用地。</w:t>
                  </w:r>
                </w:p>
                <w:p w14:paraId="11C345B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资源开发利用效率要求：</w:t>
                  </w:r>
                </w:p>
                <w:p w14:paraId="0557FF5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水资源利用总量要求</w:t>
                  </w:r>
                </w:p>
                <w:p w14:paraId="064CD92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到2025年，全国地级及以上缺水城市再生水利用率达到25%。</w:t>
                  </w:r>
                </w:p>
                <w:p w14:paraId="679FDF0C">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地下水开采要求</w:t>
                  </w:r>
                </w:p>
                <w:p w14:paraId="33042402">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全面建设节水型社会，达到合理高效用水。</w:t>
                  </w:r>
                </w:p>
                <w:p w14:paraId="170FA70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能源利用总量及效率要求</w:t>
                  </w:r>
                </w:p>
                <w:p w14:paraId="3A69E7E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1.严控使用燃煤等高污染燃料，禁止焚烧垃圾。</w:t>
                  </w:r>
                </w:p>
                <w:p w14:paraId="6865A7DB">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2.全面淘汰每小时10蒸吨以下的燃煤锅炉；在供气管网覆盖不到的其他地区，改用电、新能源或洁净煤。</w:t>
                  </w:r>
                </w:p>
                <w:p w14:paraId="2E91019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地级以上城市建成区禁止新建每小时20蒸吨以下燃煤锅炉；对20蒸吨及以上燃煤锅炉实施脱硫改造，建设高效脱硫设施；对循环流化床锅炉以外的燃煤发电机组一律安装脱硫设施，对燃煤锅炉和工业锅炉现有除尘设施实施升级改造，确保达到新的排放标准和特别排放限值。</w:t>
                  </w:r>
                </w:p>
                <w:p w14:paraId="2EC4A40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禁燃区要求</w:t>
                  </w:r>
                </w:p>
                <w:p w14:paraId="7E3F19C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1.禁燃区内禁止燃烧以下高污染燃料：</w:t>
                  </w:r>
                </w:p>
                <w:p w14:paraId="4939B1FA">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（1）煤炭及其制品（包括原煤、散煤、煤矸石、煤泥、煤粉、水浆煤、型煤、焦炭、兰炭、油类等常规燃料）。</w:t>
                  </w:r>
                </w:p>
                <w:p w14:paraId="3E59A657">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（2）石油焦、油页岩、原油、重油、渣油、煤焦油。</w:t>
                  </w:r>
                </w:p>
                <w:p w14:paraId="74E252BE">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（3）非专用锅炉或未配置高效除尘设施的专用锅炉燃用的生物质成型燃料。</w:t>
                  </w:r>
                </w:p>
                <w:p w14:paraId="0A5E7424">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2.禁燃区内禁止新建、扩建燃用高污染燃料的锅炉、炉窑、炉灶等燃烧设施（集中供热、电厂锅炉除外）。</w:t>
                  </w:r>
                </w:p>
                <w:p w14:paraId="167C85BD">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3.自2020年1月1日起，禁燃区内禁止销售高污染燃料。</w:t>
                  </w:r>
                </w:p>
                <w:p w14:paraId="302C3493">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4.加强对集中供热、电厂锅炉、10蒸吨/时以上的在用燃煤锅炉以及改用清洁能源前的在用锅炉等燃烧设施的监管，确保达标排放。</w:t>
                  </w:r>
                </w:p>
                <w:p w14:paraId="374E8D06">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其他资源利用效率要求</w:t>
                  </w:r>
                </w:p>
                <w:p w14:paraId="57113A5F">
                  <w:pPr>
                    <w:pStyle w:val="71"/>
                    <w:keepNext w:val="0"/>
                    <w:keepLines w:val="0"/>
                    <w:pageBreakBefore w:val="0"/>
                    <w:widowControl w:val="0"/>
                    <w:kinsoku/>
                    <w:wordWrap/>
                    <w:overflowPunct/>
                    <w:topLinePunct w:val="0"/>
                    <w:autoSpaceDE/>
                    <w:autoSpaceDN/>
                    <w:bidi w:val="0"/>
                    <w:adjustRightInd/>
                    <w:snapToGrid/>
                    <w:spacing w:line="0" w:lineRule="atLeast"/>
                    <w:ind w:firstLine="0" w:firstLineChars="0"/>
                    <w:jc w:val="both"/>
                    <w:textAlignment w:val="auto"/>
                    <w:rPr>
                      <w:rStyle w:val="24"/>
                      <w:rFonts w:hint="eastAsia" w:ascii="宋体" w:hAnsi="宋体" w:eastAsia="宋体" w:cs="宋体"/>
                      <w:color w:val="000000"/>
                      <w:kern w:val="0"/>
                      <w:sz w:val="21"/>
                      <w:szCs w:val="21"/>
                      <w:lang w:val="en-US" w:eastAsia="zh-CN" w:bidi="ar-SA"/>
                    </w:rPr>
                  </w:pPr>
                  <w:r>
                    <w:rPr>
                      <w:rStyle w:val="24"/>
                      <w:rFonts w:hint="eastAsia" w:ascii="宋体" w:hAnsi="宋体" w:eastAsia="宋体" w:cs="宋体"/>
                      <w:color w:val="000000"/>
                      <w:kern w:val="0"/>
                      <w:sz w:val="21"/>
                      <w:szCs w:val="21"/>
                      <w:lang w:val="en-US" w:eastAsia="zh-CN" w:bidi="ar-SA"/>
                    </w:rPr>
                    <w:t>暂无</w:t>
                  </w:r>
                </w:p>
              </w:tc>
              <w:tc>
                <w:tcPr>
                  <w:tcW w:w="575" w:type="dxa"/>
                  <w:tcBorders>
                    <w:tl2br w:val="nil"/>
                    <w:tr2bl w:val="nil"/>
                  </w:tcBorders>
                  <w:noWrap w:val="0"/>
                  <w:vAlign w:val="center"/>
                </w:tcPr>
                <w:p w14:paraId="4C5ACF26">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资源开发效率要求</w:t>
                  </w:r>
                </w:p>
              </w:tc>
              <w:tc>
                <w:tcPr>
                  <w:tcW w:w="1488" w:type="dxa"/>
                  <w:tcBorders>
                    <w:tl2br w:val="nil"/>
                    <w:tr2bl w:val="nil"/>
                  </w:tcBorders>
                  <w:noWrap w:val="0"/>
                  <w:vAlign w:val="center"/>
                </w:tcPr>
                <w:p w14:paraId="5FA62A9D">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水资源利用效率要求</w:t>
                  </w:r>
                </w:p>
                <w:p w14:paraId="1F57F928">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34BC9463">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地下水开采要求</w:t>
                  </w:r>
                </w:p>
                <w:p w14:paraId="22288DAE">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（1）安居区2030年地下水开采控制量保持在0.08亿m</w:t>
                  </w:r>
                  <w:r>
                    <w:rPr>
                      <w:rStyle w:val="24"/>
                      <w:rFonts w:hint="default" w:ascii="Times New Roman" w:hAnsi="Times New Roman" w:eastAsia="宋体" w:cs="Times New Roman"/>
                      <w:kern w:val="2"/>
                      <w:sz w:val="21"/>
                      <w:szCs w:val="21"/>
                      <w:vertAlign w:val="superscript"/>
                      <w:lang w:val="en-US" w:eastAsia="zh-CN" w:bidi="ar-SA"/>
                    </w:rPr>
                    <w:t>3</w:t>
                  </w:r>
                  <w:r>
                    <w:rPr>
                      <w:rStyle w:val="24"/>
                      <w:rFonts w:hint="eastAsia" w:ascii="宋体" w:hAnsi="宋体" w:eastAsia="宋体" w:cs="Times New Roman"/>
                      <w:kern w:val="2"/>
                      <w:sz w:val="21"/>
                      <w:szCs w:val="21"/>
                      <w:lang w:val="en-US" w:eastAsia="zh-CN" w:bidi="ar-SA"/>
                    </w:rPr>
                    <w:t>以内。（2）全面建设节水型社会，达到合理高效用水。</w:t>
                  </w:r>
                </w:p>
                <w:p w14:paraId="53163F04">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能源利用效率要求</w:t>
                  </w:r>
                </w:p>
                <w:p w14:paraId="602C6CBC">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参照遂宁市总体准入要求-要素重点管控单元</w:t>
                  </w:r>
                </w:p>
                <w:p w14:paraId="4E930295">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其他资源利用效率要求</w:t>
                  </w:r>
                </w:p>
                <w:p w14:paraId="581DFE8E">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p>
              </w:tc>
              <w:tc>
                <w:tcPr>
                  <w:tcW w:w="832" w:type="dxa"/>
                  <w:tcBorders>
                    <w:tl2br w:val="nil"/>
                    <w:tr2bl w:val="nil"/>
                  </w:tcBorders>
                  <w:noWrap w:val="0"/>
                  <w:vAlign w:val="center"/>
                </w:tcPr>
                <w:p w14:paraId="3CCE7093">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b w:val="0"/>
                      <w:bCs w:val="0"/>
                      <w:color w:val="000000" w:themeColor="text1"/>
                      <w:kern w:val="2"/>
                      <w:sz w:val="21"/>
                      <w:szCs w:val="21"/>
                      <w:lang w:val="en-US" w:eastAsia="zh-CN" w:bidi="ar-SA"/>
                      <w14:textFill>
                        <w14:solidFill>
                          <w14:schemeClr w14:val="tx1"/>
                        </w14:solidFill>
                      </w14:textFill>
                    </w:rPr>
                    <w:t>本项目用水由东北侧小溪供给，不开采地下水，满足资源开发相关要求。</w:t>
                  </w:r>
                </w:p>
              </w:tc>
            </w:tr>
          </w:tbl>
          <w:p w14:paraId="03A3CF49">
            <w:pPr>
              <w:pStyle w:val="44"/>
              <w:ind w:firstLine="482"/>
              <w:rPr>
                <w:rFonts w:hint="eastAsia" w:ascii="Times New Roman" w:hAnsi="Times New Roman" w:cs="Times New Roman"/>
                <w:b/>
                <w:bCs/>
                <w:color w:val="FF0000"/>
                <w:lang w:eastAsia="zh-CN"/>
              </w:rPr>
            </w:pPr>
          </w:p>
          <w:p w14:paraId="20D7CF0F">
            <w:pPr>
              <w:pStyle w:val="44"/>
              <w:ind w:firstLine="482"/>
              <w:rPr>
                <w:rFonts w:hint="eastAsia" w:ascii="Times New Roman" w:hAnsi="Times New Roman" w:eastAsia="宋体" w:cs="Times New Roman"/>
                <w:b w:val="0"/>
                <w:bCs w:val="0"/>
                <w:color w:val="auto"/>
                <w:lang w:eastAsia="zh-CN"/>
              </w:rPr>
            </w:pPr>
            <w:r>
              <w:rPr>
                <w:rFonts w:hint="eastAsia" w:ascii="Times New Roman" w:hAnsi="Times New Roman" w:cs="Times New Roman"/>
                <w:b w:val="0"/>
                <w:bCs w:val="0"/>
                <w:color w:val="auto"/>
                <w:lang w:eastAsia="zh-CN"/>
              </w:rPr>
              <w:t>其他环境管控单元要求</w:t>
            </w:r>
          </w:p>
          <w:p w14:paraId="0D0FDF1F">
            <w:pPr>
              <w:pStyle w:val="45"/>
              <w:bidi w:val="0"/>
              <w:rPr>
                <w:rFonts w:hint="default"/>
                <w:lang w:val="en-US" w:eastAsia="zh-CN"/>
              </w:rPr>
            </w:pPr>
            <w:r>
              <w:rPr>
                <w:rFonts w:hint="eastAsia"/>
                <w:lang w:eastAsia="zh-CN"/>
              </w:rPr>
              <w:t>表</w:t>
            </w:r>
            <w:r>
              <w:rPr>
                <w:rFonts w:hint="eastAsia"/>
                <w:lang w:val="en-US" w:eastAsia="zh-CN"/>
              </w:rPr>
              <w:t>1-5项目与其他管控单元管控要求符合性</w:t>
            </w:r>
          </w:p>
          <w:tbl>
            <w:tblPr>
              <w:tblStyle w:val="70"/>
              <w:tblW w:w="85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1155"/>
              <w:gridCol w:w="1095"/>
              <w:gridCol w:w="3315"/>
              <w:gridCol w:w="1789"/>
            </w:tblGrid>
            <w:tr w14:paraId="21AE47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150" w:type="dxa"/>
                  <w:tcBorders>
                    <w:tl2br w:val="nil"/>
                    <w:tr2bl w:val="nil"/>
                  </w:tcBorders>
                  <w:noWrap w:val="0"/>
                  <w:vAlign w:val="center"/>
                </w:tcPr>
                <w:p w14:paraId="330251AD">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环境管控单元编码</w:t>
                  </w:r>
                </w:p>
              </w:tc>
              <w:tc>
                <w:tcPr>
                  <w:tcW w:w="1155" w:type="dxa"/>
                  <w:tcBorders>
                    <w:tl2br w:val="nil"/>
                    <w:tr2bl w:val="nil"/>
                  </w:tcBorders>
                  <w:noWrap w:val="0"/>
                  <w:vAlign w:val="center"/>
                </w:tcPr>
                <w:p w14:paraId="51149045">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环境管控单元名称</w:t>
                  </w:r>
                </w:p>
              </w:tc>
              <w:tc>
                <w:tcPr>
                  <w:tcW w:w="1095" w:type="dxa"/>
                  <w:tcBorders>
                    <w:tl2br w:val="nil"/>
                    <w:tr2bl w:val="nil"/>
                  </w:tcBorders>
                  <w:noWrap w:val="0"/>
                  <w:vAlign w:val="center"/>
                </w:tcPr>
                <w:p w14:paraId="6A8AE733">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管控类别</w:t>
                  </w:r>
                </w:p>
              </w:tc>
              <w:tc>
                <w:tcPr>
                  <w:tcW w:w="3315" w:type="dxa"/>
                  <w:tcBorders>
                    <w:tl2br w:val="nil"/>
                    <w:tr2bl w:val="nil"/>
                  </w:tcBorders>
                  <w:noWrap w:val="0"/>
                  <w:vAlign w:val="center"/>
                </w:tcPr>
                <w:p w14:paraId="21AAEB74">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Style w:val="24"/>
                      <w:rFonts w:hint="eastAsia" w:ascii="宋体" w:hAnsi="宋体" w:eastAsia="宋体" w:cs="Times New Roman"/>
                      <w:kern w:val="2"/>
                      <w:sz w:val="21"/>
                      <w:szCs w:val="21"/>
                      <w:lang w:val="en-US" w:eastAsia="zh-CN" w:bidi="ar-SA"/>
                    </w:rPr>
                  </w:pPr>
                  <w:r>
                    <w:rPr>
                      <w:rFonts w:hint="eastAsia" w:ascii="宋体" w:hAnsi="宋体" w:eastAsia="宋体" w:cs="宋体"/>
                      <w:b/>
                      <w:bCs/>
                      <w:color w:val="000000"/>
                      <w:kern w:val="0"/>
                      <w:sz w:val="21"/>
                      <w:szCs w:val="21"/>
                      <w:lang w:val="en-US" w:eastAsia="zh-CN" w:bidi="ar-SA"/>
                    </w:rPr>
                    <w:t>单元特性管控要求</w:t>
                  </w:r>
                </w:p>
              </w:tc>
              <w:tc>
                <w:tcPr>
                  <w:tcW w:w="1789" w:type="dxa"/>
                  <w:tcBorders>
                    <w:tl2br w:val="nil"/>
                    <w:tr2bl w:val="nil"/>
                  </w:tcBorders>
                  <w:noWrap w:val="0"/>
                  <w:vAlign w:val="center"/>
                </w:tcPr>
                <w:p w14:paraId="138550BD">
                  <w:pPr>
                    <w:keepNext w:val="0"/>
                    <w:keepLines w:val="0"/>
                    <w:pageBreakBefore w:val="0"/>
                    <w:widowControl/>
                    <w:kinsoku/>
                    <w:wordWrap/>
                    <w:overflowPunct/>
                    <w:topLinePunct w:val="0"/>
                    <w:autoSpaceDE/>
                    <w:autoSpaceDN/>
                    <w:bidi w:val="0"/>
                    <w:adjustRightInd/>
                    <w:snapToGrid/>
                    <w:spacing w:line="0" w:lineRule="atLeast"/>
                    <w:ind w:firstLine="0" w:firstLineChars="0"/>
                    <w:jc w:val="center"/>
                    <w:textAlignment w:val="auto"/>
                    <w:rPr>
                      <w:rFonts w:hint="eastAsia" w:ascii="宋体" w:hAnsi="宋体" w:eastAsia="宋体" w:cs="宋体"/>
                      <w:b/>
                      <w:bCs/>
                      <w:color w:val="000000"/>
                      <w:kern w:val="0"/>
                      <w:sz w:val="21"/>
                      <w:szCs w:val="21"/>
                      <w:lang w:val="en-US" w:eastAsia="zh-CN" w:bidi="ar-SA"/>
                    </w:rPr>
                  </w:pPr>
                  <w:r>
                    <w:rPr>
                      <w:rFonts w:hint="eastAsia" w:ascii="宋体" w:hAnsi="宋体" w:eastAsia="宋体" w:cs="宋体"/>
                      <w:b/>
                      <w:bCs/>
                      <w:color w:val="000000"/>
                      <w:kern w:val="0"/>
                      <w:sz w:val="21"/>
                      <w:szCs w:val="21"/>
                      <w:lang w:val="en-US" w:eastAsia="zh-CN" w:bidi="ar-SA"/>
                    </w:rPr>
                    <w:t>本项目符合性</w:t>
                  </w:r>
                </w:p>
              </w:tc>
            </w:tr>
            <w:tr w14:paraId="302011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restart"/>
                  <w:tcBorders>
                    <w:tl2br w:val="nil"/>
                    <w:tr2bl w:val="nil"/>
                  </w:tcBorders>
                  <w:noWrap w:val="0"/>
                  <w:vAlign w:val="center"/>
                </w:tcPr>
                <w:p w14:paraId="222222EC">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YS5109042230004</w:t>
                  </w:r>
                </w:p>
              </w:tc>
              <w:tc>
                <w:tcPr>
                  <w:tcW w:w="1155" w:type="dxa"/>
                  <w:vMerge w:val="restart"/>
                  <w:tcBorders>
                    <w:tl2br w:val="nil"/>
                    <w:tr2bl w:val="nil"/>
                  </w:tcBorders>
                  <w:noWrap w:val="0"/>
                  <w:vAlign w:val="center"/>
                </w:tcPr>
                <w:p w14:paraId="7CEC3B40">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琼江安居区跑马滩控制单元</w:t>
                  </w:r>
                </w:p>
              </w:tc>
              <w:tc>
                <w:tcPr>
                  <w:tcW w:w="1095" w:type="dxa"/>
                  <w:tcBorders>
                    <w:tl2br w:val="nil"/>
                    <w:tr2bl w:val="nil"/>
                  </w:tcBorders>
                  <w:noWrap w:val="0"/>
                  <w:vAlign w:val="center"/>
                </w:tcPr>
                <w:p w14:paraId="2F023D4E">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空间布局约束</w:t>
                  </w:r>
                </w:p>
              </w:tc>
              <w:tc>
                <w:tcPr>
                  <w:tcW w:w="3315" w:type="dxa"/>
                  <w:tcBorders>
                    <w:tl2br w:val="nil"/>
                    <w:tr2bl w:val="nil"/>
                  </w:tcBorders>
                  <w:noWrap w:val="0"/>
                  <w:vAlign w:val="center"/>
                </w:tcPr>
                <w:p w14:paraId="208C5110">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禁止开发建设活动的要求</w:t>
                  </w:r>
                </w:p>
                <w:p w14:paraId="25A0F231">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限制开发建设活动的要求</w:t>
                  </w:r>
                </w:p>
                <w:p w14:paraId="6C64BBFC">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允许开发建设活动的要求</w:t>
                  </w:r>
                </w:p>
                <w:p w14:paraId="6128DD11">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不符合空间布局要求活动的退出要求</w:t>
                  </w:r>
                </w:p>
                <w:p w14:paraId="7B8EA979">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其他空间布局约束要求</w:t>
                  </w:r>
                </w:p>
              </w:tc>
              <w:tc>
                <w:tcPr>
                  <w:tcW w:w="1789" w:type="dxa"/>
                  <w:tcBorders>
                    <w:tl2br w:val="nil"/>
                    <w:tr2bl w:val="nil"/>
                  </w:tcBorders>
                  <w:noWrap w:val="0"/>
                  <w:vAlign w:val="center"/>
                </w:tcPr>
                <w:p w14:paraId="3F8B32D7">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无实质性要求</w:t>
                  </w:r>
                </w:p>
              </w:tc>
            </w:tr>
            <w:tr w14:paraId="77B0DB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continue"/>
                  <w:tcBorders>
                    <w:tl2br w:val="nil"/>
                    <w:tr2bl w:val="nil"/>
                  </w:tcBorders>
                  <w:noWrap w:val="0"/>
                  <w:vAlign w:val="center"/>
                </w:tcPr>
                <w:p w14:paraId="5B520DBA">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YS5109032220006</w:t>
                  </w:r>
                </w:p>
              </w:tc>
              <w:tc>
                <w:tcPr>
                  <w:tcW w:w="1155" w:type="dxa"/>
                  <w:vMerge w:val="continue"/>
                  <w:tcBorders>
                    <w:tl2br w:val="nil"/>
                    <w:tr2bl w:val="nil"/>
                  </w:tcBorders>
                  <w:noWrap w:val="0"/>
                  <w:vAlign w:val="center"/>
                </w:tcPr>
                <w:p w14:paraId="775ED6D2">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涪江船山区米家桥控制单元</w:t>
                  </w:r>
                </w:p>
              </w:tc>
              <w:tc>
                <w:tcPr>
                  <w:tcW w:w="1095" w:type="dxa"/>
                  <w:tcBorders>
                    <w:tl2br w:val="nil"/>
                    <w:tr2bl w:val="nil"/>
                  </w:tcBorders>
                  <w:noWrap w:val="0"/>
                  <w:vAlign w:val="center"/>
                </w:tcPr>
                <w:p w14:paraId="0A45470C">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污染物排放管控</w:t>
                  </w:r>
                </w:p>
              </w:tc>
              <w:tc>
                <w:tcPr>
                  <w:tcW w:w="3315" w:type="dxa"/>
                  <w:tcBorders>
                    <w:tl2br w:val="nil"/>
                    <w:tr2bl w:val="nil"/>
                  </w:tcBorders>
                  <w:noWrap w:val="0"/>
                  <w:vAlign w:val="center"/>
                </w:tcPr>
                <w:p w14:paraId="57CC367A">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城镇污水污染控制措施要求</w:t>
                  </w:r>
                </w:p>
                <w:p w14:paraId="304A7DE3">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工业废水污染控制措施要求</w:t>
                  </w:r>
                </w:p>
                <w:p w14:paraId="3465253A">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农业面源水污染控制措施要求</w:t>
                  </w:r>
                </w:p>
                <w:p w14:paraId="1FA365EF">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控制畜禽养殖源污染，合理布局畜禽养殖规模，单位面积耕地的畜禽承载力不突破《四川省畜禽养殖污染防治技术指南》要求；强化畜禽养殖场污染治理，提高养殖粪污资源化利用率；开展高标准农田改造，减少水土流失，强化农业生产化肥农药施用管控。</w:t>
                  </w:r>
                </w:p>
                <w:p w14:paraId="36797E2A">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船舶港口水污染控制措施要求</w:t>
                  </w:r>
                </w:p>
                <w:p w14:paraId="72CAB892">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饮用水水源和其他特殊水体保护要求</w:t>
                  </w:r>
                </w:p>
              </w:tc>
              <w:tc>
                <w:tcPr>
                  <w:tcW w:w="1789" w:type="dxa"/>
                  <w:tcBorders>
                    <w:tl2br w:val="nil"/>
                    <w:tr2bl w:val="nil"/>
                  </w:tcBorders>
                  <w:noWrap w:val="0"/>
                  <w:vAlign w:val="center"/>
                </w:tcPr>
                <w:p w14:paraId="30FDC9A7">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本项目无生产废水排放，生活污水收集后用于周边农灌，生活垃圾收集后交由环卫部门统一处置</w:t>
                  </w:r>
                </w:p>
              </w:tc>
            </w:tr>
            <w:tr w14:paraId="5F9F69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continue"/>
                  <w:tcBorders>
                    <w:tl2br w:val="nil"/>
                    <w:tr2bl w:val="nil"/>
                  </w:tcBorders>
                  <w:noWrap w:val="0"/>
                  <w:vAlign w:val="center"/>
                </w:tcPr>
                <w:p w14:paraId="61DEE029">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YS5109032220006</w:t>
                  </w:r>
                </w:p>
              </w:tc>
              <w:tc>
                <w:tcPr>
                  <w:tcW w:w="1155" w:type="dxa"/>
                  <w:vMerge w:val="continue"/>
                  <w:tcBorders>
                    <w:tl2br w:val="nil"/>
                    <w:tr2bl w:val="nil"/>
                  </w:tcBorders>
                  <w:noWrap w:val="0"/>
                  <w:vAlign w:val="center"/>
                </w:tcPr>
                <w:p w14:paraId="41F32874">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涪江船山区米家桥控制单元</w:t>
                  </w:r>
                </w:p>
              </w:tc>
              <w:tc>
                <w:tcPr>
                  <w:tcW w:w="1095" w:type="dxa"/>
                  <w:tcBorders>
                    <w:tl2br w:val="nil"/>
                    <w:tr2bl w:val="nil"/>
                  </w:tcBorders>
                  <w:noWrap w:val="0"/>
                  <w:vAlign w:val="center"/>
                </w:tcPr>
                <w:p w14:paraId="2E48AB44">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环境风险防控</w:t>
                  </w:r>
                </w:p>
              </w:tc>
              <w:tc>
                <w:tcPr>
                  <w:tcW w:w="3315" w:type="dxa"/>
                  <w:tcBorders>
                    <w:tl2br w:val="nil"/>
                    <w:tr2bl w:val="nil"/>
                  </w:tcBorders>
                  <w:noWrap w:val="0"/>
                  <w:vAlign w:val="center"/>
                </w:tcPr>
                <w:p w14:paraId="5780A564">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c>
                <w:tcPr>
                  <w:tcW w:w="1789" w:type="dxa"/>
                  <w:tcBorders>
                    <w:tl2br w:val="nil"/>
                    <w:tr2bl w:val="nil"/>
                  </w:tcBorders>
                  <w:noWrap w:val="0"/>
                  <w:vAlign w:val="center"/>
                </w:tcPr>
                <w:p w14:paraId="43677DA3">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r>
            <w:tr w14:paraId="3F23BA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continue"/>
                  <w:tcBorders>
                    <w:tl2br w:val="nil"/>
                    <w:tr2bl w:val="nil"/>
                  </w:tcBorders>
                  <w:noWrap w:val="0"/>
                  <w:vAlign w:val="center"/>
                </w:tcPr>
                <w:p w14:paraId="33EBB35F">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YS5109032220006</w:t>
                  </w:r>
                </w:p>
              </w:tc>
              <w:tc>
                <w:tcPr>
                  <w:tcW w:w="1155" w:type="dxa"/>
                  <w:vMerge w:val="continue"/>
                  <w:tcBorders>
                    <w:tl2br w:val="nil"/>
                    <w:tr2bl w:val="nil"/>
                  </w:tcBorders>
                  <w:noWrap w:val="0"/>
                  <w:vAlign w:val="center"/>
                </w:tcPr>
                <w:p w14:paraId="5A8EF44C">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涪江船山区米家桥控制单元</w:t>
                  </w:r>
                </w:p>
              </w:tc>
              <w:tc>
                <w:tcPr>
                  <w:tcW w:w="1095" w:type="dxa"/>
                  <w:tcBorders>
                    <w:tl2br w:val="nil"/>
                    <w:tr2bl w:val="nil"/>
                  </w:tcBorders>
                  <w:noWrap w:val="0"/>
                  <w:vAlign w:val="center"/>
                </w:tcPr>
                <w:p w14:paraId="2708B8C4">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资源开发效率要求</w:t>
                  </w:r>
                </w:p>
              </w:tc>
              <w:tc>
                <w:tcPr>
                  <w:tcW w:w="3315" w:type="dxa"/>
                  <w:tcBorders>
                    <w:tl2br w:val="nil"/>
                    <w:tr2bl w:val="nil"/>
                  </w:tcBorders>
                  <w:noWrap w:val="0"/>
                  <w:vAlign w:val="center"/>
                </w:tcPr>
                <w:p w14:paraId="1ECA9A76">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c>
                <w:tcPr>
                  <w:tcW w:w="1789" w:type="dxa"/>
                  <w:tcBorders>
                    <w:tl2br w:val="nil"/>
                    <w:tr2bl w:val="nil"/>
                  </w:tcBorders>
                  <w:noWrap w:val="0"/>
                  <w:vAlign w:val="center"/>
                </w:tcPr>
                <w:p w14:paraId="680BF4FA">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default"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r>
            <w:tr w14:paraId="382B8C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restart"/>
                  <w:tcBorders>
                    <w:tl2br w:val="nil"/>
                    <w:tr2bl w:val="nil"/>
                  </w:tcBorders>
                  <w:noWrap w:val="0"/>
                  <w:vAlign w:val="center"/>
                </w:tcPr>
                <w:p w14:paraId="56D63692">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YS5109043310001</w:t>
                  </w:r>
                </w:p>
              </w:tc>
              <w:tc>
                <w:tcPr>
                  <w:tcW w:w="1155" w:type="dxa"/>
                  <w:vMerge w:val="restart"/>
                  <w:tcBorders>
                    <w:tl2br w:val="nil"/>
                    <w:tr2bl w:val="nil"/>
                  </w:tcBorders>
                  <w:noWrap w:val="0"/>
                  <w:vAlign w:val="center"/>
                </w:tcPr>
                <w:p w14:paraId="702AB047">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安居区大气环境一般管控区</w:t>
                  </w:r>
                </w:p>
              </w:tc>
              <w:tc>
                <w:tcPr>
                  <w:tcW w:w="1095" w:type="dxa"/>
                  <w:tcBorders>
                    <w:tl2br w:val="nil"/>
                    <w:tr2bl w:val="nil"/>
                  </w:tcBorders>
                  <w:noWrap w:val="0"/>
                  <w:vAlign w:val="center"/>
                </w:tcPr>
                <w:p w14:paraId="6AE7DE79">
                  <w:pPr>
                    <w:pStyle w:val="71"/>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空间布局约束</w:t>
                  </w:r>
                </w:p>
              </w:tc>
              <w:tc>
                <w:tcPr>
                  <w:tcW w:w="3315" w:type="dxa"/>
                  <w:tcBorders>
                    <w:tl2br w:val="nil"/>
                    <w:tr2bl w:val="nil"/>
                  </w:tcBorders>
                  <w:noWrap w:val="0"/>
                  <w:vAlign w:val="center"/>
                </w:tcPr>
                <w:p w14:paraId="3B3883C0">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禁止开发建设活动的要求</w:t>
                  </w:r>
                </w:p>
                <w:p w14:paraId="51842633">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限制开发建设活动的要求</w:t>
                  </w:r>
                </w:p>
                <w:p w14:paraId="14D9105C">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允许开发建设活动的要求</w:t>
                  </w:r>
                </w:p>
                <w:p w14:paraId="29657A95">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不符合空间布局要求活动的退出要求</w:t>
                  </w:r>
                </w:p>
                <w:p w14:paraId="63DED4A8">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其他空间布局约束要求</w:t>
                  </w:r>
                </w:p>
              </w:tc>
              <w:tc>
                <w:tcPr>
                  <w:tcW w:w="1789" w:type="dxa"/>
                  <w:tcBorders>
                    <w:tl2br w:val="nil"/>
                    <w:tr2bl w:val="nil"/>
                  </w:tcBorders>
                  <w:noWrap w:val="0"/>
                  <w:vAlign w:val="center"/>
                </w:tcPr>
                <w:p w14:paraId="3BE38BFC">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无实质性要求</w:t>
                  </w:r>
                </w:p>
              </w:tc>
            </w:tr>
            <w:tr w14:paraId="78CFC3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continue"/>
                  <w:tcBorders>
                    <w:tl2br w:val="nil"/>
                    <w:tr2bl w:val="nil"/>
                  </w:tcBorders>
                  <w:noWrap w:val="0"/>
                  <w:vAlign w:val="center"/>
                </w:tcPr>
                <w:p w14:paraId="04AFDA4A">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YS5109032340001</w:t>
                  </w:r>
                </w:p>
              </w:tc>
              <w:tc>
                <w:tcPr>
                  <w:tcW w:w="1155" w:type="dxa"/>
                  <w:vMerge w:val="continue"/>
                  <w:tcBorders>
                    <w:tl2br w:val="nil"/>
                    <w:tr2bl w:val="nil"/>
                  </w:tcBorders>
                  <w:noWrap w:val="0"/>
                  <w:vAlign w:val="center"/>
                </w:tcPr>
                <w:p w14:paraId="1ABE7A86">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船山区中心城区</w:t>
                  </w:r>
                </w:p>
              </w:tc>
              <w:tc>
                <w:tcPr>
                  <w:tcW w:w="1095" w:type="dxa"/>
                  <w:tcBorders>
                    <w:tl2br w:val="nil"/>
                    <w:tr2bl w:val="nil"/>
                  </w:tcBorders>
                  <w:noWrap w:val="0"/>
                  <w:vAlign w:val="center"/>
                </w:tcPr>
                <w:p w14:paraId="483510A3">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污染物排放管控</w:t>
                  </w:r>
                </w:p>
              </w:tc>
              <w:tc>
                <w:tcPr>
                  <w:tcW w:w="3315" w:type="dxa"/>
                  <w:tcBorders>
                    <w:tl2br w:val="nil"/>
                    <w:tr2bl w:val="nil"/>
                  </w:tcBorders>
                  <w:noWrap w:val="0"/>
                  <w:vAlign w:val="center"/>
                </w:tcPr>
                <w:p w14:paraId="04B2DD6E">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大气环境质量执行标准</w:t>
                  </w:r>
                </w:p>
                <w:p w14:paraId="37CA5FDC">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《环境空气质量标准》（GB3095-2012）：二级</w:t>
                  </w:r>
                </w:p>
                <w:p w14:paraId="794F91B5">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区域大气污染物削减/替代要求</w:t>
                  </w:r>
                </w:p>
                <w:p w14:paraId="6684AB8B">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燃煤和其他能源大气污染控制要求</w:t>
                  </w:r>
                </w:p>
                <w:p w14:paraId="2DA9C564">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工业废气污染控制要求</w:t>
                  </w:r>
                </w:p>
                <w:p w14:paraId="750E0FB6">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机动车船大气污染控制要求</w:t>
                  </w:r>
                </w:p>
                <w:p w14:paraId="3A42CDA3">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扬尘污染控制要求</w:t>
                  </w:r>
                </w:p>
                <w:p w14:paraId="106763EF">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农业生产经营活动大气污染控制要求</w:t>
                  </w:r>
                </w:p>
                <w:p w14:paraId="739AA3FE">
                  <w:pPr>
                    <w:pStyle w:val="71"/>
                    <w:keepNext w:val="0"/>
                    <w:keepLines w:val="0"/>
                    <w:pageBreakBefore w:val="0"/>
                    <w:widowControl/>
                    <w:shd w:val="clear" w:color="auto" w:fill="FFFFFF"/>
                    <w:kinsoku/>
                    <w:wordWrap/>
                    <w:overflowPunct/>
                    <w:topLinePunct w:val="0"/>
                    <w:autoSpaceDE/>
                    <w:autoSpaceDN/>
                    <w:bidi w:val="0"/>
                    <w:adjustRightInd/>
                    <w:snapToGrid/>
                    <w:spacing w:line="240" w:lineRule="auto"/>
                    <w:ind w:firstLine="0" w:firstLineChars="0"/>
                    <w:jc w:val="both"/>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重点行业企业专项治理要求</w:t>
                  </w:r>
                </w:p>
                <w:p w14:paraId="172ACD7B">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其他大气污染物排放管控要求</w:t>
                  </w:r>
                </w:p>
              </w:tc>
              <w:tc>
                <w:tcPr>
                  <w:tcW w:w="1789" w:type="dxa"/>
                  <w:tcBorders>
                    <w:tl2br w:val="nil"/>
                    <w:tr2bl w:val="nil"/>
                  </w:tcBorders>
                  <w:noWrap w:val="0"/>
                  <w:vAlign w:val="center"/>
                </w:tcPr>
                <w:p w14:paraId="40F6E0C2">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本项目所在区域环境空气质量满足《环境空气质量标准》（GB3095-2012）二级要求，其他要求对本项目无约束</w:t>
                  </w:r>
                </w:p>
              </w:tc>
            </w:tr>
            <w:tr w14:paraId="140A49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continue"/>
                  <w:tcBorders>
                    <w:tl2br w:val="nil"/>
                    <w:tr2bl w:val="nil"/>
                  </w:tcBorders>
                  <w:noWrap w:val="0"/>
                  <w:vAlign w:val="center"/>
                </w:tcPr>
                <w:p w14:paraId="0B127571">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YS5109032340001</w:t>
                  </w:r>
                </w:p>
              </w:tc>
              <w:tc>
                <w:tcPr>
                  <w:tcW w:w="1155" w:type="dxa"/>
                  <w:vMerge w:val="continue"/>
                  <w:tcBorders>
                    <w:tl2br w:val="nil"/>
                    <w:tr2bl w:val="nil"/>
                  </w:tcBorders>
                  <w:noWrap w:val="0"/>
                  <w:vAlign w:val="center"/>
                </w:tcPr>
                <w:p w14:paraId="42392948">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船山区中心城区</w:t>
                  </w:r>
                </w:p>
              </w:tc>
              <w:tc>
                <w:tcPr>
                  <w:tcW w:w="1095" w:type="dxa"/>
                  <w:tcBorders>
                    <w:tl2br w:val="nil"/>
                    <w:tr2bl w:val="nil"/>
                  </w:tcBorders>
                  <w:noWrap w:val="0"/>
                  <w:vAlign w:val="center"/>
                </w:tcPr>
                <w:p w14:paraId="410C2283">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环境风险防控</w:t>
                  </w:r>
                </w:p>
              </w:tc>
              <w:tc>
                <w:tcPr>
                  <w:tcW w:w="3315" w:type="dxa"/>
                  <w:tcBorders>
                    <w:tl2br w:val="nil"/>
                    <w:tr2bl w:val="nil"/>
                  </w:tcBorders>
                  <w:noWrap w:val="0"/>
                  <w:vAlign w:val="center"/>
                </w:tcPr>
                <w:p w14:paraId="4CED968E">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c>
                <w:tcPr>
                  <w:tcW w:w="1789" w:type="dxa"/>
                  <w:tcBorders>
                    <w:tl2br w:val="nil"/>
                    <w:tr2bl w:val="nil"/>
                  </w:tcBorders>
                  <w:noWrap w:val="0"/>
                  <w:vAlign w:val="center"/>
                </w:tcPr>
                <w:p w14:paraId="3891B5C9">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eastAsia"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r>
            <w:tr w14:paraId="6D8942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50" w:type="dxa"/>
                  <w:vMerge w:val="continue"/>
                  <w:tcBorders>
                    <w:tl2br w:val="nil"/>
                    <w:tr2bl w:val="nil"/>
                  </w:tcBorders>
                  <w:noWrap w:val="0"/>
                  <w:vAlign w:val="center"/>
                </w:tcPr>
                <w:p w14:paraId="206E2CB3">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YS5109032340001</w:t>
                  </w:r>
                </w:p>
              </w:tc>
              <w:tc>
                <w:tcPr>
                  <w:tcW w:w="1155" w:type="dxa"/>
                  <w:vMerge w:val="continue"/>
                  <w:tcBorders>
                    <w:tl2br w:val="nil"/>
                    <w:tr2bl w:val="nil"/>
                  </w:tcBorders>
                  <w:noWrap w:val="0"/>
                  <w:vAlign w:val="center"/>
                </w:tcPr>
                <w:p w14:paraId="328EE5E7">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船山区中心城区</w:t>
                  </w:r>
                </w:p>
              </w:tc>
              <w:tc>
                <w:tcPr>
                  <w:tcW w:w="1095" w:type="dxa"/>
                  <w:tcBorders>
                    <w:tl2br w:val="nil"/>
                    <w:tr2bl w:val="nil"/>
                  </w:tcBorders>
                  <w:noWrap w:val="0"/>
                  <w:vAlign w:val="center"/>
                </w:tcPr>
                <w:p w14:paraId="7C580FF8">
                  <w:pPr>
                    <w:pStyle w:val="71"/>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资源开发效率要求</w:t>
                  </w:r>
                </w:p>
              </w:tc>
              <w:tc>
                <w:tcPr>
                  <w:tcW w:w="3315" w:type="dxa"/>
                  <w:tcBorders>
                    <w:tl2br w:val="nil"/>
                    <w:tr2bl w:val="nil"/>
                  </w:tcBorders>
                  <w:noWrap w:val="0"/>
                  <w:vAlign w:val="center"/>
                </w:tcPr>
                <w:p w14:paraId="43D904CE">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c>
                <w:tcPr>
                  <w:tcW w:w="1789" w:type="dxa"/>
                  <w:tcBorders>
                    <w:tl2br w:val="nil"/>
                    <w:tr2bl w:val="nil"/>
                  </w:tcBorders>
                  <w:noWrap w:val="0"/>
                  <w:vAlign w:val="center"/>
                </w:tcPr>
                <w:p w14:paraId="596F73F5">
                  <w:pPr>
                    <w:pStyle w:val="71"/>
                    <w:keepNext w:val="0"/>
                    <w:keepLines w:val="0"/>
                    <w:pageBreakBefore w:val="0"/>
                    <w:widowControl/>
                    <w:shd w:val="clear" w:color="auto" w:fill="FFFFFF"/>
                    <w:kinsoku/>
                    <w:wordWrap/>
                    <w:overflowPunct/>
                    <w:topLinePunct w:val="0"/>
                    <w:autoSpaceDE/>
                    <w:autoSpaceDN/>
                    <w:bidi w:val="0"/>
                    <w:adjustRightInd/>
                    <w:snapToGrid/>
                    <w:spacing w:line="0" w:lineRule="atLeast"/>
                    <w:ind w:firstLine="0" w:firstLineChars="0"/>
                    <w:jc w:val="left"/>
                    <w:textAlignment w:val="auto"/>
                    <w:rPr>
                      <w:rStyle w:val="24"/>
                      <w:rFonts w:hint="default" w:ascii="宋体" w:hAnsi="宋体" w:eastAsia="宋体" w:cs="Times New Roman"/>
                      <w:kern w:val="2"/>
                      <w:sz w:val="21"/>
                      <w:szCs w:val="21"/>
                      <w:lang w:val="en-US" w:eastAsia="zh-CN" w:bidi="ar-SA"/>
                    </w:rPr>
                  </w:pPr>
                  <w:r>
                    <w:rPr>
                      <w:rStyle w:val="24"/>
                      <w:rFonts w:hint="eastAsia" w:ascii="宋体" w:hAnsi="宋体" w:eastAsia="宋体" w:cs="Times New Roman"/>
                      <w:kern w:val="2"/>
                      <w:sz w:val="21"/>
                      <w:szCs w:val="21"/>
                      <w:lang w:val="en-US" w:eastAsia="zh-CN" w:bidi="ar-SA"/>
                    </w:rPr>
                    <w:t>/</w:t>
                  </w:r>
                </w:p>
              </w:tc>
            </w:tr>
          </w:tbl>
          <w:p w14:paraId="42ACEC68">
            <w:pPr>
              <w:pStyle w:val="44"/>
              <w:ind w:firstLine="482"/>
              <w:rPr>
                <w:rFonts w:hint="default" w:ascii="Times New Roman" w:hAnsi="Times New Roman" w:eastAsia="宋体" w:cs="Times New Roman"/>
                <w:b/>
                <w:bCs/>
                <w:color w:val="auto"/>
                <w:lang w:val="en-US" w:eastAsia="zh-CN"/>
              </w:rPr>
            </w:pPr>
            <w:r>
              <w:rPr>
                <w:rFonts w:hint="eastAsia" w:ascii="Times New Roman" w:hAnsi="Times New Roman" w:cs="Times New Roman"/>
                <w:b/>
                <w:bCs/>
                <w:color w:val="auto"/>
                <w:lang w:val="en-US" w:eastAsia="zh-CN"/>
              </w:rPr>
              <w:t>本项目与“三线一单”环境分区管控位置关系图</w:t>
            </w:r>
          </w:p>
          <w:p w14:paraId="73097CA4">
            <w:pPr>
              <w:pStyle w:val="44"/>
              <w:ind w:left="0" w:leftChars="0" w:firstLine="0" w:firstLineChars="0"/>
              <w:jc w:val="center"/>
              <w:rPr>
                <w:rFonts w:hint="eastAsia" w:ascii="Times New Roman" w:hAnsi="Times New Roman" w:cs="Times New Roman"/>
                <w:lang w:val="zh-CN"/>
              </w:rPr>
            </w:pPr>
            <w:r>
              <w:rPr>
                <w:sz w:val="28"/>
              </w:rPr>
              <mc:AlternateContent>
                <mc:Choice Requires="wps">
                  <w:drawing>
                    <wp:anchor distT="0" distB="0" distL="114300" distR="114300" simplePos="0" relativeHeight="251664384" behindDoc="0" locked="0" layoutInCell="1" allowOverlap="1">
                      <wp:simplePos x="0" y="0"/>
                      <wp:positionH relativeFrom="column">
                        <wp:posOffset>2362835</wp:posOffset>
                      </wp:positionH>
                      <wp:positionV relativeFrom="paragraph">
                        <wp:posOffset>397510</wp:posOffset>
                      </wp:positionV>
                      <wp:extent cx="385445" cy="403860"/>
                      <wp:effectExtent l="0" t="4445" r="14605" b="10795"/>
                      <wp:wrapNone/>
                      <wp:docPr id="3" name="直线 284"/>
                      <wp:cNvGraphicFramePr/>
                      <a:graphic xmlns:a="http://schemas.openxmlformats.org/drawingml/2006/main">
                        <a:graphicData uri="http://schemas.microsoft.com/office/word/2010/wordprocessingShape">
                          <wps:wsp>
                            <wps:cNvCnPr/>
                            <wps:spPr>
                              <a:xfrm flipH="1">
                                <a:off x="0" y="0"/>
                                <a:ext cx="385445" cy="403860"/>
                              </a:xfrm>
                              <a:prstGeom prst="line">
                                <a:avLst/>
                              </a:prstGeom>
                              <a:ln w="12700" cap="flat" cmpd="sng">
                                <a:solidFill>
                                  <a:srgbClr val="000001"/>
                                </a:solidFill>
                                <a:prstDash val="solid"/>
                                <a:headEnd type="none" w="med" len="med"/>
                                <a:tailEnd type="arrow" w="med" len="med"/>
                              </a:ln>
                            </wps:spPr>
                            <wps:bodyPr upright="1"/>
                          </wps:wsp>
                        </a:graphicData>
                      </a:graphic>
                    </wp:anchor>
                  </w:drawing>
                </mc:Choice>
                <mc:Fallback>
                  <w:pict>
                    <v:line id="直线 284" o:spid="_x0000_s1026" o:spt="20" style="position:absolute;left:0pt;flip:x;margin-left:186.05pt;margin-top:31.3pt;height:31.8pt;width:30.35pt;z-index:251664384;mso-width-relative:page;mso-height-relative:page;" filled="f" stroked="t" coordsize="21600,21600" o:gfxdata="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WZ1ZQ2AAAAAoBAAAPAAAAAAAAAAEAIAAAACIAAABkcnMvZG93bnJl&#10;di54bWxQSwECFAAUAAAACACHTuJAHF9n1P0BAADtAwAADgAAAAAAAAABACAAAAAnAQAAZHJzL2Uy&#10;b0RvYy54bWxQSwUGAAAAAAYABgBZAQAAlgUAAAAA&#10;">
                      <v:fill on="f" focussize="0,0"/>
                      <v:stroke weight="1pt" color="#000001" joinstyle="round" endarrow="open"/>
                      <v:imagedata o:title=""/>
                      <o:lock v:ext="edit" aspectratio="f"/>
                    </v:line>
                  </w:pict>
                </mc:Fallback>
              </mc:AlternateContent>
            </w:r>
            <w:r>
              <w:rPr>
                <w:sz w:val="28"/>
              </w:rPr>
              <mc:AlternateContent>
                <mc:Choice Requires="wps">
                  <w:drawing>
                    <wp:anchor distT="0" distB="0" distL="114300" distR="114300" simplePos="0" relativeHeight="251663360" behindDoc="0" locked="0" layoutInCell="1" allowOverlap="1">
                      <wp:simplePos x="0" y="0"/>
                      <wp:positionH relativeFrom="column">
                        <wp:posOffset>2360295</wp:posOffset>
                      </wp:positionH>
                      <wp:positionV relativeFrom="paragraph">
                        <wp:posOffset>128905</wp:posOffset>
                      </wp:positionV>
                      <wp:extent cx="736600" cy="266700"/>
                      <wp:effectExtent l="4445" t="4445" r="20955" b="14605"/>
                      <wp:wrapNone/>
                      <wp:docPr id="2" name="文本框 283"/>
                      <wp:cNvGraphicFramePr/>
                      <a:graphic xmlns:a="http://schemas.openxmlformats.org/drawingml/2006/main">
                        <a:graphicData uri="http://schemas.microsoft.com/office/word/2010/wordprocessingShape">
                          <wps:wsp>
                            <wps:cNvSpPr txBox="1"/>
                            <wps:spPr>
                              <a:xfrm>
                                <a:off x="0" y="0"/>
                                <a:ext cx="736600" cy="2667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C65AC3">
                                  <w:pPr>
                                    <w:rPr>
                                      <w:rFonts w:hint="default" w:eastAsia="宋体"/>
                                      <w:lang w:val="en-US" w:eastAsia="zh-CN"/>
                                    </w:rPr>
                                  </w:pPr>
                                  <w:r>
                                    <w:rPr>
                                      <w:rFonts w:hint="eastAsia"/>
                                      <w:lang w:val="en-US" w:eastAsia="zh-CN"/>
                                    </w:rPr>
                                    <w:t>项目位置</w:t>
                                  </w:r>
                                </w:p>
                              </w:txbxContent>
                            </wps:txbx>
                            <wps:bodyPr vert="horz" wrap="square" anchor="t" anchorCtr="0" upright="1"/>
                          </wps:wsp>
                        </a:graphicData>
                      </a:graphic>
                    </wp:anchor>
                  </w:drawing>
                </mc:Choice>
                <mc:Fallback>
                  <w:pict>
                    <v:shape id="文本框 283" o:spid="_x0000_s1026" o:spt="202" type="#_x0000_t202" style="position:absolute;left:0pt;margin-left:185.85pt;margin-top:10.15pt;height:21pt;width:58pt;z-index:251663360;mso-width-relative:page;mso-height-relative:page;" fillcolor="#FFFFFF" filled="t" stroked="t" coordsize="21600,21600" o:gfxdata="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WLUXy2AAAAAkBAAAPAAAAAAAAAAEAIAAAACIAAABkcnMvZG93bnJldi54bWxQSwECFAAU&#10;AAAACACHTuJA2jnqxioCAABqBAAADgAAAAAAAAABACAAAAAnAQAAZHJzL2Uyb0RvYy54bWxQSwUG&#10;AAAAAAYABgBZAQAAwwUAAAAA&#10;">
                      <v:fill on="t" focussize="0,0"/>
                      <v:stroke color="#000000" joinstyle="miter"/>
                      <v:imagedata o:title=""/>
                      <o:lock v:ext="edit" aspectratio="f"/>
                      <v:textbox>
                        <w:txbxContent>
                          <w:p w14:paraId="77C65AC3">
                            <w:pPr>
                              <w:rPr>
                                <w:rFonts w:hint="default" w:eastAsia="宋体"/>
                                <w:lang w:val="en-US" w:eastAsia="zh-CN"/>
                              </w:rPr>
                            </w:pPr>
                            <w:r>
                              <w:rPr>
                                <w:rFonts w:hint="eastAsia"/>
                                <w:lang w:val="en-US" w:eastAsia="zh-CN"/>
                              </w:rPr>
                              <w:t>项目位置</w:t>
                            </w:r>
                          </w:p>
                        </w:txbxContent>
                      </v:textbox>
                    </v:shape>
                  </w:pict>
                </mc:Fallback>
              </mc:AlternateContent>
            </w:r>
            <w:r>
              <w:rPr>
                <w:rFonts w:hint="default" w:ascii="Helvetica" w:hAnsi="Helvetica" w:eastAsia="Helvetica"/>
                <w:sz w:val="28"/>
                <w:szCs w:val="24"/>
              </w:rPr>
              <w:drawing>
                <wp:inline distT="0" distB="0" distL="114300" distR="114300">
                  <wp:extent cx="4794885" cy="2877820"/>
                  <wp:effectExtent l="0" t="0" r="5715" b="17780"/>
                  <wp:docPr id="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3"/>
                          <pic:cNvPicPr>
                            <a:picLocks noChangeAspect="1"/>
                          </pic:cNvPicPr>
                        </pic:nvPicPr>
                        <pic:blipFill>
                          <a:blip r:embed="rId10"/>
                          <a:stretch>
                            <a:fillRect/>
                          </a:stretch>
                        </pic:blipFill>
                        <pic:spPr>
                          <a:xfrm>
                            <a:off x="0" y="0"/>
                            <a:ext cx="4794885" cy="2877820"/>
                          </a:xfrm>
                          <a:prstGeom prst="rect">
                            <a:avLst/>
                          </a:prstGeom>
                          <a:noFill/>
                          <a:ln>
                            <a:noFill/>
                          </a:ln>
                        </pic:spPr>
                      </pic:pic>
                    </a:graphicData>
                  </a:graphic>
                </wp:inline>
              </w:drawing>
            </w:r>
          </w:p>
          <w:p w14:paraId="38C80666">
            <w:pPr>
              <w:pStyle w:val="44"/>
              <w:ind w:firstLine="480"/>
              <w:rPr>
                <w:rFonts w:hint="default" w:ascii="Times New Roman" w:hAnsi="Times New Roman" w:cs="Times New Roman"/>
                <w:color w:val="auto"/>
                <w:lang w:val="zh-CN"/>
              </w:rPr>
            </w:pPr>
            <w:r>
              <w:rPr>
                <w:rFonts w:hint="eastAsia" w:ascii="Times New Roman" w:hAnsi="Times New Roman" w:cs="Times New Roman"/>
                <w:color w:val="auto"/>
                <w:lang w:val="zh-CN"/>
              </w:rPr>
              <w:t>根据以上分析，本项目的建设符合“三线一单”分区管控的相关要求。</w:t>
            </w:r>
          </w:p>
          <w:p w14:paraId="70CF1784">
            <w:pPr>
              <w:pStyle w:val="44"/>
              <w:ind w:firstLine="482"/>
              <w:rPr>
                <w:rFonts w:hint="default" w:ascii="Times New Roman" w:hAnsi="Times New Roman" w:cs="Times New Roman"/>
                <w:b/>
                <w:bCs/>
                <w:lang w:val="zh-CN"/>
              </w:rPr>
            </w:pPr>
            <w:r>
              <w:rPr>
                <w:rFonts w:hint="default" w:ascii="Times New Roman" w:hAnsi="Times New Roman" w:cs="Times New Roman"/>
                <w:b/>
                <w:bCs/>
                <w:lang w:val="zh-CN"/>
              </w:rPr>
              <w:t>（</w:t>
            </w:r>
            <w:r>
              <w:rPr>
                <w:rFonts w:hint="eastAsia" w:ascii="Times New Roman" w:hAnsi="Times New Roman" w:cs="Times New Roman"/>
                <w:b/>
                <w:bCs/>
                <w:lang w:val="en-US" w:eastAsia="zh-CN"/>
              </w:rPr>
              <w:t>5</w:t>
            </w:r>
            <w:r>
              <w:rPr>
                <w:rFonts w:hint="default" w:ascii="Times New Roman" w:hAnsi="Times New Roman" w:cs="Times New Roman"/>
                <w:b/>
                <w:bCs/>
                <w:lang w:val="zh-CN"/>
              </w:rPr>
              <w:t>）</w:t>
            </w:r>
            <w:r>
              <w:rPr>
                <w:rFonts w:hint="default" w:ascii="Times New Roman" w:hAnsi="Times New Roman" w:cs="Times New Roman"/>
                <w:b/>
                <w:bCs/>
              </w:rPr>
              <w:t>与大气污染防治等相关规划符合性分析</w:t>
            </w:r>
          </w:p>
          <w:p w14:paraId="7BE8EBF9">
            <w:pPr>
              <w:pStyle w:val="44"/>
              <w:ind w:firstLine="480"/>
              <w:rPr>
                <w:rFonts w:hint="default" w:ascii="Times New Roman" w:hAnsi="Times New Roman" w:cs="Times New Roman"/>
              </w:rPr>
            </w:pPr>
            <w:r>
              <w:rPr>
                <w:rFonts w:hint="default" w:ascii="Times New Roman" w:hAnsi="Times New Roman" w:cs="Times New Roman"/>
              </w:rPr>
              <w:t>本项目与《中华人民共和国大气污染防治法</w:t>
            </w:r>
            <w:r>
              <w:rPr>
                <w:rFonts w:hint="eastAsia" w:ascii="Times New Roman" w:hAnsi="Times New Roman" w:cs="Times New Roman"/>
                <w:lang w:eastAsia="zh-CN"/>
              </w:rPr>
              <w:t>》《</w:t>
            </w:r>
            <w:r>
              <w:rPr>
                <w:rFonts w:hint="default" w:ascii="Times New Roman" w:hAnsi="Times New Roman" w:cs="Times New Roman"/>
              </w:rPr>
              <w:t>大气污染防治行动计划》国发〔2013〕37号、《四川省打赢蓝天保卫战等九个实施方案的通知》（川府发〔2019〕4号）、《遂宁市大气污染防治行动计划实施细则》遂府函〔2014〕148号文件的符合性如下：</w:t>
            </w:r>
          </w:p>
          <w:p w14:paraId="49EF941F">
            <w:pPr>
              <w:spacing w:line="360" w:lineRule="auto"/>
              <w:jc w:val="center"/>
              <w:rPr>
                <w:rFonts w:hint="default" w:ascii="Times New Roman" w:hAnsi="Times New Roman" w:cs="Times New Roman"/>
                <w:b/>
                <w:bCs/>
                <w:sz w:val="24"/>
              </w:rPr>
            </w:pPr>
            <w:r>
              <w:rPr>
                <w:rFonts w:hint="default" w:ascii="Times New Roman" w:hAnsi="Times New Roman" w:cs="Times New Roman"/>
                <w:b/>
                <w:bCs/>
                <w:sz w:val="24"/>
              </w:rPr>
              <w:t>表1-</w:t>
            </w:r>
            <w:r>
              <w:rPr>
                <w:rFonts w:hint="eastAsia" w:ascii="Times New Roman" w:hAnsi="Times New Roman" w:cs="Times New Roman"/>
                <w:b/>
                <w:bCs/>
                <w:sz w:val="24"/>
                <w:lang w:val="en-US" w:eastAsia="zh-CN"/>
              </w:rPr>
              <w:t>6</w:t>
            </w:r>
            <w:r>
              <w:rPr>
                <w:rFonts w:hint="default" w:ascii="Times New Roman" w:hAnsi="Times New Roman" w:cs="Times New Roman"/>
                <w:b/>
                <w:bCs/>
                <w:sz w:val="24"/>
              </w:rPr>
              <w:t>项目与大气污染防治相关政策规划符合性一览表</w:t>
            </w:r>
          </w:p>
          <w:tbl>
            <w:tblPr>
              <w:tblStyle w:val="22"/>
              <w:tblW w:w="85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83"/>
              <w:gridCol w:w="4061"/>
              <w:gridCol w:w="2202"/>
              <w:gridCol w:w="758"/>
            </w:tblGrid>
            <w:tr w14:paraId="3DF3F6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483" w:type="dxa"/>
                  <w:noWrap w:val="0"/>
                  <w:vAlign w:val="center"/>
                </w:tcPr>
                <w:p w14:paraId="3CF58B26">
                  <w:pPr>
                    <w:ind w:left="-99" w:leftChars="-47" w:right="-160" w:rightChars="-76"/>
                    <w:jc w:val="center"/>
                    <w:rPr>
                      <w:rFonts w:hint="default" w:ascii="Times New Roman" w:hAnsi="Times New Roman" w:cs="Times New Roman"/>
                      <w:b/>
                      <w:bCs/>
                      <w:szCs w:val="21"/>
                    </w:rPr>
                  </w:pPr>
                  <w:r>
                    <w:rPr>
                      <w:rFonts w:hint="default" w:ascii="Times New Roman" w:hAnsi="Times New Roman" w:cs="Times New Roman"/>
                      <w:b/>
                      <w:bCs/>
                      <w:szCs w:val="21"/>
                    </w:rPr>
                    <w:t>名称</w:t>
                  </w:r>
                </w:p>
              </w:tc>
              <w:tc>
                <w:tcPr>
                  <w:tcW w:w="4061" w:type="dxa"/>
                  <w:noWrap w:val="0"/>
                  <w:vAlign w:val="center"/>
                </w:tcPr>
                <w:p w14:paraId="6693E277">
                  <w:pPr>
                    <w:jc w:val="center"/>
                    <w:rPr>
                      <w:rFonts w:hint="default" w:ascii="Times New Roman" w:hAnsi="Times New Roman" w:cs="Times New Roman"/>
                      <w:b/>
                      <w:bCs/>
                      <w:szCs w:val="21"/>
                    </w:rPr>
                  </w:pPr>
                  <w:r>
                    <w:rPr>
                      <w:rFonts w:hint="default" w:ascii="Times New Roman" w:hAnsi="Times New Roman" w:cs="Times New Roman"/>
                      <w:b/>
                      <w:bCs/>
                      <w:szCs w:val="21"/>
                    </w:rPr>
                    <w:t>政策要求</w:t>
                  </w:r>
                </w:p>
              </w:tc>
              <w:tc>
                <w:tcPr>
                  <w:tcW w:w="2202" w:type="dxa"/>
                  <w:noWrap w:val="0"/>
                  <w:vAlign w:val="center"/>
                </w:tcPr>
                <w:p w14:paraId="0D1AFAB6">
                  <w:pPr>
                    <w:jc w:val="center"/>
                    <w:rPr>
                      <w:rFonts w:hint="default" w:ascii="Times New Roman" w:hAnsi="Times New Roman" w:cs="Times New Roman"/>
                      <w:b/>
                      <w:bCs/>
                      <w:szCs w:val="21"/>
                    </w:rPr>
                  </w:pPr>
                  <w:r>
                    <w:rPr>
                      <w:rFonts w:hint="default" w:ascii="Times New Roman" w:hAnsi="Times New Roman" w:cs="Times New Roman"/>
                      <w:b/>
                      <w:bCs/>
                      <w:szCs w:val="21"/>
                    </w:rPr>
                    <w:t>项目情况</w:t>
                  </w:r>
                </w:p>
              </w:tc>
              <w:tc>
                <w:tcPr>
                  <w:tcW w:w="758" w:type="dxa"/>
                  <w:noWrap w:val="0"/>
                  <w:vAlign w:val="center"/>
                </w:tcPr>
                <w:p w14:paraId="7CA9E4A1">
                  <w:pPr>
                    <w:jc w:val="center"/>
                    <w:rPr>
                      <w:rFonts w:hint="default" w:ascii="Times New Roman" w:hAnsi="Times New Roman" w:cs="Times New Roman"/>
                      <w:b/>
                      <w:bCs/>
                      <w:szCs w:val="21"/>
                    </w:rPr>
                  </w:pPr>
                  <w:r>
                    <w:rPr>
                      <w:rFonts w:hint="default" w:ascii="Times New Roman" w:hAnsi="Times New Roman" w:cs="Times New Roman"/>
                      <w:b/>
                      <w:bCs/>
                      <w:szCs w:val="21"/>
                    </w:rPr>
                    <w:t>符合性</w:t>
                  </w:r>
                </w:p>
              </w:tc>
            </w:tr>
            <w:tr w14:paraId="25024D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83" w:type="dxa"/>
                  <w:noWrap w:val="0"/>
                  <w:vAlign w:val="center"/>
                </w:tcPr>
                <w:p w14:paraId="528B1BC4">
                  <w:pPr>
                    <w:spacing w:line="360" w:lineRule="auto"/>
                    <w:jc w:val="center"/>
                    <w:rPr>
                      <w:rFonts w:hint="default" w:ascii="Times New Roman" w:hAnsi="Times New Roman" w:cs="Times New Roman"/>
                      <w:szCs w:val="21"/>
                    </w:rPr>
                  </w:pPr>
                  <w:r>
                    <w:rPr>
                      <w:rFonts w:hint="default" w:ascii="Times New Roman" w:hAnsi="Times New Roman" w:cs="Times New Roman"/>
                      <w:szCs w:val="21"/>
                    </w:rPr>
                    <w:t>中华人民共和国大气污染防治法</w:t>
                  </w:r>
                </w:p>
              </w:tc>
              <w:tc>
                <w:tcPr>
                  <w:tcW w:w="4061" w:type="dxa"/>
                  <w:noWrap w:val="0"/>
                  <w:vAlign w:val="top"/>
                </w:tcPr>
                <w:p w14:paraId="595DD66E">
                  <w:pPr>
                    <w:spacing w:line="360" w:lineRule="auto"/>
                    <w:ind w:firstLine="420" w:firstLineChars="200"/>
                    <w:rPr>
                      <w:rFonts w:hint="default" w:ascii="Times New Roman" w:hAnsi="Times New Roman" w:cs="Times New Roman"/>
                      <w:szCs w:val="21"/>
                      <w:shd w:val="clear" w:color="auto" w:fill="FFFFFF"/>
                    </w:rPr>
                  </w:pPr>
                  <w:r>
                    <w:rPr>
                      <w:rFonts w:hint="default" w:ascii="Times New Roman" w:hAnsi="Times New Roman" w:cs="Times New Roman"/>
                      <w:szCs w:val="21"/>
                      <w:shd w:val="clear" w:color="auto" w:fill="FFFFFF"/>
                    </w:rPr>
                    <w:t>钢铁、建材、有色金属、石油、化工、制药、矿产开采等企业，应当加强精细化管理，采取集中收集处理等措施，严格控制粉尘和气态污染物的排放。</w:t>
                  </w:r>
                </w:p>
                <w:p w14:paraId="03CF0F93">
                  <w:pPr>
                    <w:spacing w:line="360" w:lineRule="auto"/>
                    <w:ind w:firstLine="422" w:firstLineChars="200"/>
                    <w:rPr>
                      <w:rFonts w:hint="default" w:ascii="Times New Roman" w:hAnsi="Times New Roman" w:cs="Times New Roman"/>
                      <w:szCs w:val="21"/>
                    </w:rPr>
                  </w:pPr>
                  <w:r>
                    <w:rPr>
                      <w:rFonts w:hint="default" w:ascii="Times New Roman" w:hAnsi="Times New Roman" w:cs="Times New Roman"/>
                      <w:b/>
                      <w:bCs/>
                      <w:szCs w:val="21"/>
                      <w:shd w:val="clear" w:color="auto" w:fill="FFFFFF"/>
                    </w:rPr>
                    <w:t>工业生产企业应当采取密闭、围挡、遮盖、清扫、洒水等措施，减少内部物料的堆存、传输、装卸等环节产生的粉尘和气态污染物的排放。</w:t>
                  </w:r>
                </w:p>
              </w:tc>
              <w:tc>
                <w:tcPr>
                  <w:tcW w:w="2202" w:type="dxa"/>
                  <w:noWrap w:val="0"/>
                  <w:vAlign w:val="center"/>
                </w:tcPr>
                <w:p w14:paraId="2243287B">
                  <w:pPr>
                    <w:spacing w:line="360" w:lineRule="auto"/>
                    <w:jc w:val="left"/>
                    <w:rPr>
                      <w:rFonts w:hint="default" w:ascii="Times New Roman" w:hAnsi="Times New Roman" w:eastAsia="宋体" w:cs="Times New Roman"/>
                      <w:szCs w:val="21"/>
                      <w:lang w:val="en-US" w:eastAsia="zh-CN"/>
                    </w:rPr>
                  </w:pPr>
                  <w:r>
                    <w:rPr>
                      <w:rFonts w:hint="default" w:ascii="Times New Roman" w:hAnsi="Times New Roman" w:cs="Times New Roman"/>
                      <w:szCs w:val="21"/>
                    </w:rPr>
                    <w:t>本项目</w:t>
                  </w:r>
                  <w:r>
                    <w:rPr>
                      <w:rFonts w:hint="eastAsia" w:ascii="Times New Roman" w:hAnsi="Times New Roman" w:cs="Times New Roman"/>
                      <w:szCs w:val="21"/>
                      <w:lang w:val="en-US" w:eastAsia="zh-CN"/>
                    </w:rPr>
                    <w:t>生产设施均</w:t>
                  </w:r>
                  <w:r>
                    <w:rPr>
                      <w:rFonts w:hint="eastAsia" w:ascii="Times New Roman" w:hAnsi="Times New Roman" w:cs="Times New Roman"/>
                      <w:szCs w:val="21"/>
                      <w:lang w:eastAsia="zh-CN"/>
                    </w:rPr>
                    <w:t>设置全封闭的厂房内</w:t>
                  </w:r>
                  <w:r>
                    <w:rPr>
                      <w:rFonts w:hint="default" w:ascii="Times New Roman" w:hAnsi="Times New Roman" w:cs="Times New Roman"/>
                      <w:szCs w:val="21"/>
                    </w:rPr>
                    <w:t>，厂</w:t>
                  </w:r>
                  <w:r>
                    <w:rPr>
                      <w:rFonts w:hint="eastAsia" w:ascii="Times New Roman" w:hAnsi="Times New Roman" w:cs="Times New Roman"/>
                      <w:szCs w:val="21"/>
                      <w:lang w:eastAsia="zh-CN"/>
                    </w:rPr>
                    <w:t>房顶部</w:t>
                  </w:r>
                  <w:r>
                    <w:rPr>
                      <w:rFonts w:hint="default" w:ascii="Times New Roman" w:hAnsi="Times New Roman" w:cs="Times New Roman"/>
                      <w:szCs w:val="21"/>
                    </w:rPr>
                    <w:t>设置水雾降尘喷头。</w:t>
                  </w:r>
                  <w:r>
                    <w:rPr>
                      <w:rFonts w:hint="eastAsia" w:ascii="Times New Roman" w:hAnsi="Times New Roman" w:cs="Times New Roman"/>
                      <w:szCs w:val="21"/>
                      <w:lang w:val="en-US" w:eastAsia="zh-CN"/>
                    </w:rPr>
                    <w:t>项目所采取的措施满足粉尘控制需要。</w:t>
                  </w:r>
                </w:p>
              </w:tc>
              <w:tc>
                <w:tcPr>
                  <w:tcW w:w="758" w:type="dxa"/>
                  <w:noWrap w:val="0"/>
                  <w:vAlign w:val="center"/>
                </w:tcPr>
                <w:p w14:paraId="199B4B88">
                  <w:pPr>
                    <w:jc w:val="center"/>
                    <w:rPr>
                      <w:rFonts w:hint="default" w:ascii="Times New Roman" w:hAnsi="Times New Roman" w:cs="Times New Roman"/>
                      <w:szCs w:val="21"/>
                    </w:rPr>
                  </w:pPr>
                  <w:r>
                    <w:rPr>
                      <w:rFonts w:hint="default" w:ascii="Times New Roman" w:hAnsi="Times New Roman" w:cs="Times New Roman"/>
                      <w:szCs w:val="21"/>
                    </w:rPr>
                    <w:t>符合</w:t>
                  </w:r>
                </w:p>
              </w:tc>
            </w:tr>
            <w:tr w14:paraId="141B66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83" w:type="dxa"/>
                  <w:noWrap w:val="0"/>
                  <w:vAlign w:val="center"/>
                </w:tcPr>
                <w:p w14:paraId="6212BFA6">
                  <w:pPr>
                    <w:widowControl/>
                    <w:spacing w:line="360" w:lineRule="auto"/>
                    <w:rPr>
                      <w:rFonts w:hint="default" w:ascii="Times New Roman" w:hAnsi="Times New Roman" w:cs="Times New Roman"/>
                      <w:bCs/>
                      <w:kern w:val="0"/>
                      <w:szCs w:val="21"/>
                    </w:rPr>
                  </w:pPr>
                  <w:r>
                    <w:rPr>
                      <w:rFonts w:hint="default" w:ascii="Times New Roman" w:hAnsi="Times New Roman" w:cs="Times New Roman"/>
                      <w:bCs/>
                      <w:kern w:val="0"/>
                      <w:szCs w:val="21"/>
                    </w:rPr>
                    <w:t>《大气污染防治行动计划》国发〔2013〕37号</w:t>
                  </w:r>
                </w:p>
                <w:p w14:paraId="13E27E4D">
                  <w:pPr>
                    <w:spacing w:line="360" w:lineRule="auto"/>
                    <w:jc w:val="center"/>
                    <w:rPr>
                      <w:rFonts w:hint="default" w:ascii="Times New Roman" w:hAnsi="Times New Roman" w:cs="Times New Roman"/>
                      <w:szCs w:val="21"/>
                    </w:rPr>
                  </w:pPr>
                </w:p>
              </w:tc>
              <w:tc>
                <w:tcPr>
                  <w:tcW w:w="4061" w:type="dxa"/>
                  <w:noWrap w:val="0"/>
                  <w:vAlign w:val="top"/>
                </w:tcPr>
                <w:p w14:paraId="6FB3DDBD">
                  <w:pPr>
                    <w:spacing w:line="360" w:lineRule="auto"/>
                    <w:ind w:firstLine="420" w:firstLineChars="200"/>
                    <w:rPr>
                      <w:rFonts w:hint="default" w:ascii="Times New Roman" w:hAnsi="Times New Roman" w:cs="Times New Roman"/>
                      <w:szCs w:val="21"/>
                    </w:rPr>
                  </w:pPr>
                  <w:r>
                    <w:rPr>
                      <w:rFonts w:hint="default" w:ascii="Times New Roman" w:hAnsi="Times New Roman" w:cs="Times New Roman"/>
                      <w:szCs w:val="21"/>
                      <w:shd w:val="clear" w:color="auto" w:fill="FFFFFF"/>
                    </w:rPr>
                    <w:t>深化面源污染治理。综合整治城市扬尘。加强施工扬尘监管，积极推进绿色施工，建设工程施工现场应全封闭设置围挡墙，严禁敞开式作业，施工现场道路应进行地面硬化。渣土运输车辆应采取密闭措施，并逐步安装卫星定位系统。推行道路机械化清扫等低尘作业方式。大型煤堆、</w:t>
                  </w:r>
                  <w:r>
                    <w:rPr>
                      <w:rFonts w:hint="default" w:ascii="Times New Roman" w:hAnsi="Times New Roman" w:cs="Times New Roman"/>
                      <w:b/>
                      <w:bCs/>
                      <w:szCs w:val="21"/>
                      <w:shd w:val="clear" w:color="auto" w:fill="FFFFFF"/>
                    </w:rPr>
                    <w:t>料堆要实现封闭储存或建设防风抑尘设施</w:t>
                  </w:r>
                  <w:r>
                    <w:rPr>
                      <w:rFonts w:hint="default" w:ascii="Times New Roman" w:hAnsi="Times New Roman" w:cs="Times New Roman"/>
                      <w:szCs w:val="21"/>
                      <w:shd w:val="clear" w:color="auto" w:fill="FFFFFF"/>
                    </w:rPr>
                    <w:t>。推进城市及周边绿化和防风防沙林建设，扩大城市建成区绿地规模。</w:t>
                  </w:r>
                </w:p>
              </w:tc>
              <w:tc>
                <w:tcPr>
                  <w:tcW w:w="2202" w:type="dxa"/>
                  <w:noWrap w:val="0"/>
                  <w:vAlign w:val="center"/>
                </w:tcPr>
                <w:p w14:paraId="490DC225">
                  <w:pPr>
                    <w:spacing w:line="360" w:lineRule="auto"/>
                    <w:jc w:val="left"/>
                    <w:rPr>
                      <w:rFonts w:hint="default" w:ascii="Times New Roman" w:hAnsi="Times New Roman" w:cs="Times New Roman"/>
                      <w:szCs w:val="21"/>
                    </w:rPr>
                  </w:pPr>
                  <w:r>
                    <w:rPr>
                      <w:rFonts w:hint="default" w:ascii="Times New Roman" w:hAnsi="Times New Roman" w:cs="Times New Roman"/>
                      <w:szCs w:val="21"/>
                    </w:rPr>
                    <w:t>本项目砂石料堆场</w:t>
                  </w:r>
                  <w:r>
                    <w:rPr>
                      <w:rFonts w:hint="eastAsia" w:ascii="Times New Roman" w:hAnsi="Times New Roman" w:cs="Times New Roman"/>
                      <w:szCs w:val="21"/>
                      <w:lang w:eastAsia="zh-CN"/>
                    </w:rPr>
                    <w:t>设置封闭的厂房内</w:t>
                  </w:r>
                  <w:r>
                    <w:rPr>
                      <w:rFonts w:hint="default" w:ascii="Times New Roman" w:hAnsi="Times New Roman" w:cs="Times New Roman"/>
                      <w:szCs w:val="21"/>
                    </w:rPr>
                    <w:t>，</w:t>
                  </w:r>
                  <w:r>
                    <w:rPr>
                      <w:rFonts w:hint="eastAsia" w:ascii="Times New Roman" w:hAnsi="Times New Roman" w:cs="Times New Roman"/>
                      <w:szCs w:val="21"/>
                      <w:lang w:val="en-US" w:eastAsia="zh-CN"/>
                    </w:rPr>
                    <w:t>并设置水雾喷头抑尘。</w:t>
                  </w:r>
                  <w:r>
                    <w:rPr>
                      <w:rFonts w:hint="default" w:ascii="Times New Roman" w:hAnsi="Times New Roman" w:cs="Times New Roman"/>
                      <w:szCs w:val="21"/>
                    </w:rPr>
                    <w:t>封闭式</w:t>
                  </w:r>
                  <w:r>
                    <w:rPr>
                      <w:rFonts w:hint="eastAsia" w:ascii="Times New Roman" w:hAnsi="Times New Roman" w:cs="Times New Roman"/>
                      <w:szCs w:val="21"/>
                      <w:lang w:eastAsia="zh-CN"/>
                    </w:rPr>
                    <w:t>厂房</w:t>
                  </w:r>
                  <w:r>
                    <w:rPr>
                      <w:rFonts w:hint="default" w:ascii="Times New Roman" w:hAnsi="Times New Roman" w:cs="Times New Roman"/>
                      <w:szCs w:val="21"/>
                    </w:rPr>
                    <w:t>具有防风抑尘的作用。</w:t>
                  </w:r>
                </w:p>
              </w:tc>
              <w:tc>
                <w:tcPr>
                  <w:tcW w:w="758" w:type="dxa"/>
                  <w:noWrap w:val="0"/>
                  <w:vAlign w:val="center"/>
                </w:tcPr>
                <w:p w14:paraId="6EFD801B">
                  <w:pPr>
                    <w:jc w:val="center"/>
                    <w:rPr>
                      <w:rFonts w:hint="default" w:ascii="Times New Roman" w:hAnsi="Times New Roman" w:cs="Times New Roman"/>
                      <w:szCs w:val="21"/>
                    </w:rPr>
                  </w:pPr>
                  <w:r>
                    <w:rPr>
                      <w:rFonts w:hint="default" w:ascii="Times New Roman" w:hAnsi="Times New Roman" w:cs="Times New Roman"/>
                      <w:szCs w:val="21"/>
                    </w:rPr>
                    <w:t>符合</w:t>
                  </w:r>
                </w:p>
              </w:tc>
            </w:tr>
            <w:tr w14:paraId="5A3C13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83" w:type="dxa"/>
                  <w:noWrap w:val="0"/>
                  <w:vAlign w:val="center"/>
                </w:tcPr>
                <w:p w14:paraId="500F9F66">
                  <w:pPr>
                    <w:spacing w:line="360" w:lineRule="auto"/>
                    <w:jc w:val="center"/>
                    <w:rPr>
                      <w:rFonts w:hint="default" w:ascii="Times New Roman" w:hAnsi="Times New Roman" w:cs="Times New Roman"/>
                      <w:szCs w:val="21"/>
                    </w:rPr>
                  </w:pPr>
                  <w:r>
                    <w:rPr>
                      <w:rFonts w:hint="default" w:ascii="Times New Roman" w:hAnsi="Times New Roman" w:cs="Times New Roman"/>
                    </w:rPr>
                    <w:t>《四川省打赢蓝天保卫战等九个实施方案的通知》（川府发〔2019〕4号）</w:t>
                  </w:r>
                </w:p>
              </w:tc>
              <w:tc>
                <w:tcPr>
                  <w:tcW w:w="4061" w:type="dxa"/>
                  <w:noWrap w:val="0"/>
                  <w:vAlign w:val="top"/>
                </w:tcPr>
                <w:p w14:paraId="49568FF4">
                  <w:pPr>
                    <w:spacing w:line="360" w:lineRule="auto"/>
                    <w:ind w:firstLine="420" w:firstLineChars="200"/>
                    <w:rPr>
                      <w:rFonts w:hint="default" w:ascii="Times New Roman" w:hAnsi="Times New Roman" w:cs="Times New Roman"/>
                    </w:rPr>
                  </w:pPr>
                  <w:r>
                    <w:rPr>
                      <w:rFonts w:hint="default" w:ascii="Times New Roman" w:hAnsi="Times New Roman" w:cs="Times New Roman"/>
                    </w:rPr>
                    <w:t>严格施工扬尘监管。大力推进装配式建筑，推广节能降耗的建筑新技术和新工艺，提高绿色施工水平。加强城市施工工地扬尘管控，建立扬尘控制责任制度。各地建立施工工地管理清单并定期进行更新。研究制定建筑施工扬尘防治技术导则。严格落实“六必须、六不准”管控要求，对违法违规的工地，依法停工整改。将扬尘管理工作不到位的不良信息纳入建筑市场信用管理体系，情节严重的，列入建筑市场主体“黑名单”。督促建设单位依法将防治扬尘污染费用列入工程造价。建立扬尘在线监测体系，加强现场检查力度。严禁露天焚烧建筑垃圾，排放有毒烟尘和气体。加强预拌混凝土和预拌混凝土搅拌站扬尘防治，严格执行《预拌混凝土绿色生产及技术管理规程》，研究制定预拌混凝土和预拌混凝土搅拌站绿色环保标准，严禁在禁搅区内现场搅拌混凝土、砂浆或设置移动式搅拌站，推进全省绿色搅拌站建设。</w:t>
                  </w:r>
                </w:p>
                <w:p w14:paraId="3459E11D">
                  <w:pPr>
                    <w:spacing w:line="360" w:lineRule="auto"/>
                    <w:ind w:firstLine="420" w:firstLineChars="200"/>
                    <w:rPr>
                      <w:rFonts w:hint="default" w:ascii="Times New Roman" w:hAnsi="Times New Roman" w:cs="Times New Roman"/>
                    </w:rPr>
                  </w:pPr>
                  <w:r>
                    <w:rPr>
                      <w:rFonts w:hint="default" w:ascii="Times New Roman" w:hAnsi="Times New Roman" w:cs="Times New Roman"/>
                    </w:rPr>
                    <w:t>强化堆场扬尘管控。工业企业堆场实施规范化全封闭管理。易产生扬尘的物料堆场采用封闭式库仓，不具备封闭式库仓改造条件的，应设置不低于料堆高度的严密围挡，并采取覆盖措施有效控制扬尘污染；堆场内进行搅拌、粉碎、筛分等作业时应喷水抑尘，遇重污染天气时禁止进行产生扬尘的作业。物料装卸配备喷淋等防尘设施，转运物料尽量采取封闭式皮带输送。厂区主要运输通道实施硬化并定期冲洗或湿式清扫，堆场进出口设置车辆冲洗设施，运输车辆实施密闭或全覆盖，及时收集清理堆场外道路上撒落的物料。建设工业企业堆场数据库，并组织安装工业堆场视频监控设施，实现工业企业堆场扬尘动态管理。加强砂石厂扬尘管控。</w:t>
                  </w:r>
                </w:p>
              </w:tc>
              <w:tc>
                <w:tcPr>
                  <w:tcW w:w="2202" w:type="dxa"/>
                  <w:noWrap w:val="0"/>
                  <w:vAlign w:val="center"/>
                </w:tcPr>
                <w:p w14:paraId="1BF9D706">
                  <w:pPr>
                    <w:spacing w:line="360" w:lineRule="auto"/>
                    <w:jc w:val="left"/>
                    <w:rPr>
                      <w:rFonts w:hint="default" w:ascii="Times New Roman" w:hAnsi="Times New Roman" w:cs="Times New Roman"/>
                      <w:kern w:val="0"/>
                      <w:szCs w:val="22"/>
                    </w:rPr>
                  </w:pPr>
                  <w:r>
                    <w:rPr>
                      <w:rFonts w:hint="default" w:ascii="Times New Roman" w:hAnsi="Times New Roman" w:cs="Times New Roman"/>
                      <w:kern w:val="0"/>
                      <w:szCs w:val="22"/>
                    </w:rPr>
                    <w:t>本次环评要求建设单位施工期严格施工扬尘监管。加强施工工地扬尘管控，建立扬尘控制责任制度。严格落实“六必须、六不准”管控要求，将防治扬尘污染费用列入工程造价。</w:t>
                  </w:r>
                  <w:r>
                    <w:rPr>
                      <w:rFonts w:hint="eastAsia" w:cs="Times New Roman"/>
                      <w:kern w:val="0"/>
                      <w:szCs w:val="22"/>
                      <w:lang w:eastAsia="zh-CN"/>
                    </w:rPr>
                    <w:t>加大</w:t>
                  </w:r>
                  <w:r>
                    <w:rPr>
                      <w:rFonts w:hint="default" w:ascii="Times New Roman" w:hAnsi="Times New Roman" w:cs="Times New Roman"/>
                      <w:kern w:val="0"/>
                      <w:szCs w:val="22"/>
                    </w:rPr>
                    <w:t>现场检查力度。</w:t>
                  </w:r>
                </w:p>
                <w:p w14:paraId="380D9BB8">
                  <w:pPr>
                    <w:spacing w:line="360" w:lineRule="auto"/>
                    <w:jc w:val="left"/>
                    <w:rPr>
                      <w:rFonts w:hint="default" w:ascii="Times New Roman" w:hAnsi="Times New Roman" w:cs="Times New Roman"/>
                      <w:szCs w:val="21"/>
                    </w:rPr>
                  </w:pPr>
                  <w:r>
                    <w:rPr>
                      <w:rFonts w:hint="default" w:ascii="Times New Roman" w:hAnsi="Times New Roman" w:cs="Times New Roman"/>
                      <w:kern w:val="0"/>
                      <w:szCs w:val="22"/>
                    </w:rPr>
                    <w:t>本次环评要求建设单位运营期强化堆场扬尘管控，实施规范化全封闭管理。易产生扬尘的物料堆场</w:t>
                  </w:r>
                  <w:r>
                    <w:rPr>
                      <w:rFonts w:hint="eastAsia" w:ascii="Times New Roman" w:hAnsi="Times New Roman" w:cs="Times New Roman"/>
                      <w:kern w:val="0"/>
                      <w:szCs w:val="22"/>
                      <w:lang w:eastAsia="zh-CN"/>
                    </w:rPr>
                    <w:t>均堆放于</w:t>
                  </w:r>
                  <w:r>
                    <w:rPr>
                      <w:rFonts w:hint="default" w:ascii="Times New Roman" w:hAnsi="Times New Roman" w:cs="Times New Roman"/>
                      <w:kern w:val="0"/>
                      <w:szCs w:val="22"/>
                    </w:rPr>
                    <w:t>封闭式</w:t>
                  </w:r>
                  <w:r>
                    <w:rPr>
                      <w:rFonts w:hint="eastAsia" w:ascii="Times New Roman" w:hAnsi="Times New Roman" w:cs="Times New Roman"/>
                      <w:kern w:val="0"/>
                      <w:szCs w:val="22"/>
                      <w:lang w:eastAsia="zh-CN"/>
                    </w:rPr>
                    <w:t>厂房内</w:t>
                  </w:r>
                  <w:r>
                    <w:rPr>
                      <w:rFonts w:hint="default" w:ascii="Times New Roman" w:hAnsi="Times New Roman" w:cs="Times New Roman"/>
                      <w:kern w:val="0"/>
                      <w:szCs w:val="22"/>
                    </w:rPr>
                    <w:t>；物料装卸配备喷淋等防尘设施。厂区主要运输通道实施硬化并加强清扫保洁，运输车辆实施密闭或全覆盖，及时收集清理堆场外道路上撒落的物料。</w:t>
                  </w:r>
                </w:p>
              </w:tc>
              <w:tc>
                <w:tcPr>
                  <w:tcW w:w="758" w:type="dxa"/>
                  <w:noWrap w:val="0"/>
                  <w:vAlign w:val="center"/>
                </w:tcPr>
                <w:p w14:paraId="65E20E1E">
                  <w:pPr>
                    <w:jc w:val="center"/>
                    <w:rPr>
                      <w:rFonts w:hint="default" w:ascii="Times New Roman" w:hAnsi="Times New Roman" w:cs="Times New Roman"/>
                      <w:szCs w:val="21"/>
                    </w:rPr>
                  </w:pPr>
                  <w:r>
                    <w:rPr>
                      <w:rFonts w:hint="default" w:ascii="Times New Roman" w:hAnsi="Times New Roman" w:cs="Times New Roman"/>
                      <w:szCs w:val="21"/>
                    </w:rPr>
                    <w:t>符合</w:t>
                  </w:r>
                </w:p>
              </w:tc>
            </w:tr>
            <w:tr w14:paraId="1FCF63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483" w:type="dxa"/>
                  <w:noWrap w:val="0"/>
                  <w:vAlign w:val="center"/>
                </w:tcPr>
                <w:p w14:paraId="56210BD1">
                  <w:pPr>
                    <w:spacing w:line="360" w:lineRule="auto"/>
                    <w:ind w:firstLine="420" w:firstLineChars="200"/>
                    <w:rPr>
                      <w:rFonts w:hint="default" w:ascii="Times New Roman" w:hAnsi="Times New Roman" w:cs="Times New Roman"/>
                      <w:szCs w:val="21"/>
                      <w:shd w:val="clear" w:color="auto" w:fill="FFFFFF"/>
                    </w:rPr>
                  </w:pPr>
                  <w:r>
                    <w:rPr>
                      <w:rFonts w:hint="default" w:ascii="Times New Roman" w:hAnsi="Times New Roman" w:cs="Times New Roman"/>
                      <w:szCs w:val="21"/>
                      <w:shd w:val="clear" w:color="auto" w:fill="FFFFFF"/>
                    </w:rPr>
                    <w:t>《遂宁市大气污染防治行动计划实施细则》遂府函〔2014〕148号</w:t>
                  </w:r>
                </w:p>
                <w:p w14:paraId="730C7A60">
                  <w:pPr>
                    <w:spacing w:line="360" w:lineRule="auto"/>
                    <w:ind w:firstLine="420" w:firstLineChars="200"/>
                    <w:rPr>
                      <w:rFonts w:hint="default" w:ascii="Times New Roman" w:hAnsi="Times New Roman" w:cs="Times New Roman"/>
                      <w:szCs w:val="21"/>
                      <w:shd w:val="clear" w:color="auto" w:fill="FFFFFF"/>
                    </w:rPr>
                  </w:pPr>
                </w:p>
              </w:tc>
              <w:tc>
                <w:tcPr>
                  <w:tcW w:w="4061" w:type="dxa"/>
                  <w:noWrap w:val="0"/>
                  <w:vAlign w:val="top"/>
                </w:tcPr>
                <w:p w14:paraId="7CDF8EC5">
                  <w:pPr>
                    <w:spacing w:line="360" w:lineRule="auto"/>
                    <w:ind w:firstLine="420" w:firstLineChars="200"/>
                    <w:rPr>
                      <w:rFonts w:hint="eastAsia" w:ascii="Times New Roman" w:hAnsi="Times New Roman" w:eastAsia="宋体" w:cs="Times New Roman"/>
                      <w:szCs w:val="21"/>
                      <w:shd w:val="clear" w:color="auto" w:fill="FFFFFF"/>
                      <w:lang w:eastAsia="zh-CN"/>
                    </w:rPr>
                  </w:pPr>
                  <w:r>
                    <w:rPr>
                      <w:rFonts w:hint="default" w:ascii="Times New Roman" w:hAnsi="Times New Roman" w:cs="Times New Roman"/>
                      <w:szCs w:val="21"/>
                      <w:shd w:val="clear" w:color="auto" w:fill="FFFFFF"/>
                    </w:rPr>
                    <w:t>（二）强化环境综合管理，重点控制面源污染</w:t>
                  </w:r>
                </w:p>
                <w:p w14:paraId="3940B57A">
                  <w:pPr>
                    <w:spacing w:line="360" w:lineRule="auto"/>
                    <w:ind w:firstLine="420" w:firstLineChars="200"/>
                    <w:rPr>
                      <w:rFonts w:hint="default" w:ascii="Times New Roman" w:hAnsi="Times New Roman" w:cs="Times New Roman"/>
                      <w:b/>
                      <w:bCs/>
                      <w:szCs w:val="21"/>
                      <w:shd w:val="clear" w:color="auto" w:fill="FFFFFF"/>
                    </w:rPr>
                  </w:pPr>
                  <w:r>
                    <w:rPr>
                      <w:rFonts w:hint="default" w:ascii="Times New Roman" w:hAnsi="Times New Roman" w:cs="Times New Roman"/>
                      <w:szCs w:val="21"/>
                      <w:shd w:val="clear" w:color="auto" w:fill="FFFFFF"/>
                    </w:rPr>
                    <w:t>3.</w:t>
                  </w:r>
                  <w:r>
                    <w:rPr>
                      <w:rFonts w:hint="default" w:ascii="Times New Roman" w:hAnsi="Times New Roman" w:cs="Times New Roman"/>
                      <w:b/>
                      <w:bCs/>
                      <w:szCs w:val="21"/>
                      <w:shd w:val="clear" w:color="auto" w:fill="FFFFFF"/>
                    </w:rPr>
                    <w:t>推进堆场扬尘综合治理中提出强化工业企业堆场管理，各类堆场应采用有效防风降尘措施。</w:t>
                  </w:r>
                </w:p>
                <w:p w14:paraId="1A53E965">
                  <w:pPr>
                    <w:spacing w:line="360" w:lineRule="auto"/>
                    <w:ind w:firstLine="420" w:firstLineChars="200"/>
                    <w:rPr>
                      <w:rFonts w:hint="default" w:ascii="Times New Roman" w:hAnsi="Times New Roman" w:cs="Times New Roman"/>
                      <w:szCs w:val="21"/>
                      <w:shd w:val="clear" w:color="auto" w:fill="FFFFFF"/>
                    </w:rPr>
                  </w:pPr>
                </w:p>
              </w:tc>
              <w:tc>
                <w:tcPr>
                  <w:tcW w:w="2202" w:type="dxa"/>
                  <w:noWrap w:val="0"/>
                  <w:vAlign w:val="center"/>
                </w:tcPr>
                <w:p w14:paraId="531664E2">
                  <w:pPr>
                    <w:spacing w:line="360" w:lineRule="auto"/>
                    <w:jc w:val="center"/>
                    <w:rPr>
                      <w:rFonts w:hint="default" w:ascii="Times New Roman" w:hAnsi="Times New Roman" w:cs="Times New Roman"/>
                      <w:szCs w:val="21"/>
                    </w:rPr>
                  </w:pPr>
                  <w:r>
                    <w:rPr>
                      <w:rFonts w:hint="default" w:ascii="Times New Roman" w:hAnsi="Times New Roman" w:cs="Times New Roman"/>
                      <w:szCs w:val="21"/>
                    </w:rPr>
                    <w:t>本项目砂石料堆场</w:t>
                  </w:r>
                  <w:r>
                    <w:rPr>
                      <w:rFonts w:hint="eastAsia" w:ascii="Times New Roman" w:hAnsi="Times New Roman" w:cs="Times New Roman"/>
                      <w:szCs w:val="21"/>
                      <w:lang w:eastAsia="zh-CN"/>
                    </w:rPr>
                    <w:t>设置全封闭的厂房内</w:t>
                  </w:r>
                  <w:r>
                    <w:rPr>
                      <w:rFonts w:hint="default" w:ascii="Times New Roman" w:hAnsi="Times New Roman" w:cs="Times New Roman"/>
                      <w:szCs w:val="21"/>
                    </w:rPr>
                    <w:t>，封闭式</w:t>
                  </w:r>
                  <w:r>
                    <w:rPr>
                      <w:rFonts w:hint="eastAsia" w:ascii="Times New Roman" w:hAnsi="Times New Roman" w:cs="Times New Roman"/>
                      <w:szCs w:val="21"/>
                      <w:lang w:eastAsia="zh-CN"/>
                    </w:rPr>
                    <w:t>厂房</w:t>
                  </w:r>
                  <w:r>
                    <w:rPr>
                      <w:rFonts w:hint="default" w:ascii="Times New Roman" w:hAnsi="Times New Roman" w:cs="Times New Roman"/>
                      <w:szCs w:val="21"/>
                    </w:rPr>
                    <w:t>具有防风抑尘的作用。</w:t>
                  </w:r>
                </w:p>
              </w:tc>
              <w:tc>
                <w:tcPr>
                  <w:tcW w:w="758" w:type="dxa"/>
                  <w:noWrap w:val="0"/>
                  <w:vAlign w:val="center"/>
                </w:tcPr>
                <w:p w14:paraId="1073B8E4">
                  <w:pPr>
                    <w:jc w:val="center"/>
                    <w:rPr>
                      <w:rFonts w:hint="default" w:ascii="Times New Roman" w:hAnsi="Times New Roman" w:cs="Times New Roman"/>
                      <w:szCs w:val="21"/>
                    </w:rPr>
                  </w:pPr>
                  <w:r>
                    <w:rPr>
                      <w:rFonts w:hint="default" w:ascii="Times New Roman" w:hAnsi="Times New Roman" w:cs="Times New Roman"/>
                      <w:szCs w:val="21"/>
                    </w:rPr>
                    <w:t>符合</w:t>
                  </w:r>
                </w:p>
              </w:tc>
            </w:tr>
          </w:tbl>
          <w:p w14:paraId="299E1DCF">
            <w:pPr>
              <w:pStyle w:val="44"/>
              <w:ind w:firstLine="480"/>
              <w:rPr>
                <w:rFonts w:hint="default" w:ascii="Times New Roman" w:hAnsi="Times New Roman" w:cs="Times New Roman"/>
              </w:rPr>
            </w:pPr>
            <w:r>
              <w:rPr>
                <w:rFonts w:hint="default" w:ascii="Times New Roman" w:hAnsi="Times New Roman" w:cs="Times New Roman"/>
                <w:lang w:val="zh-CN"/>
              </w:rPr>
              <w:t>根据以上分析，本项目的建设符合</w:t>
            </w:r>
            <w:r>
              <w:rPr>
                <w:rFonts w:hint="default" w:ascii="Times New Roman" w:hAnsi="Times New Roman" w:cs="Times New Roman"/>
              </w:rPr>
              <w:t>《中华人民共和国大气污染防治法</w:t>
            </w:r>
            <w:r>
              <w:rPr>
                <w:rFonts w:hint="eastAsia" w:ascii="Times New Roman" w:hAnsi="Times New Roman" w:cs="Times New Roman"/>
                <w:lang w:eastAsia="zh-CN"/>
              </w:rPr>
              <w:t>》《</w:t>
            </w:r>
            <w:r>
              <w:rPr>
                <w:rFonts w:hint="default" w:ascii="Times New Roman" w:hAnsi="Times New Roman" w:cs="Times New Roman"/>
              </w:rPr>
              <w:t>大气污染防治行动计划》国发〔2013〕37号、《四川省打赢蓝天保卫战等九个实施方案的通知》（川府发〔2019〕4号）、《遂宁市大气污染防治行动计划实施细则》遂府函〔2014〕148号文件</w:t>
            </w:r>
            <w:r>
              <w:rPr>
                <w:rFonts w:hint="default" w:ascii="Times New Roman" w:hAnsi="Times New Roman" w:cs="Times New Roman"/>
                <w:lang w:val="zh-CN"/>
              </w:rPr>
              <w:t>的政策要求。</w:t>
            </w:r>
          </w:p>
          <w:p w14:paraId="0F67EA1D">
            <w:pPr>
              <w:pStyle w:val="44"/>
              <w:ind w:firstLine="482"/>
              <w:rPr>
                <w:rFonts w:hint="default" w:ascii="Times New Roman" w:hAnsi="Times New Roman" w:cs="Times New Roman"/>
                <w:b/>
                <w:bCs/>
              </w:rPr>
            </w:pPr>
            <w:r>
              <w:rPr>
                <w:rFonts w:hint="default" w:ascii="Times New Roman" w:hAnsi="Times New Roman" w:cs="Times New Roman"/>
                <w:b/>
                <w:bCs/>
              </w:rPr>
              <w:t>（</w:t>
            </w:r>
            <w:r>
              <w:rPr>
                <w:rFonts w:hint="eastAsia" w:ascii="Times New Roman" w:hAnsi="Times New Roman" w:cs="Times New Roman"/>
                <w:b/>
                <w:bCs/>
                <w:lang w:val="en-US" w:eastAsia="zh-CN"/>
              </w:rPr>
              <w:t>6</w:t>
            </w:r>
            <w:r>
              <w:rPr>
                <w:rFonts w:hint="default" w:ascii="Times New Roman" w:hAnsi="Times New Roman" w:cs="Times New Roman"/>
                <w:b/>
                <w:bCs/>
              </w:rPr>
              <w:t>）与水污染防治符合性</w:t>
            </w:r>
          </w:p>
          <w:p w14:paraId="43643C9C">
            <w:pPr>
              <w:pStyle w:val="44"/>
              <w:ind w:firstLine="480"/>
              <w:rPr>
                <w:rFonts w:hint="default" w:ascii="Times New Roman" w:hAnsi="Times New Roman" w:cs="Times New Roman"/>
              </w:rPr>
            </w:pPr>
            <w:r>
              <w:rPr>
                <w:rFonts w:hint="default" w:ascii="Times New Roman" w:hAnsi="Times New Roman" w:cs="Times New Roman"/>
              </w:rPr>
              <w:t>项目与《国务院关于印发水污染防治行动计划的通知》（国发〔2015〕17号）、《四川省人民政府关于印发水污染防治行动计划四川省工作方案的通知》（川府发〔2015〕59号）</w:t>
            </w:r>
            <w:r>
              <w:rPr>
                <w:rFonts w:hint="eastAsia" w:ascii="Times New Roman" w:hAnsi="Times New Roman" w:cs="Times New Roman"/>
                <w:lang w:eastAsia="zh-CN"/>
              </w:rPr>
              <w:t>、</w:t>
            </w:r>
            <w:r>
              <w:rPr>
                <w:rFonts w:hint="default" w:ascii="Times New Roman" w:hAnsi="Times New Roman" w:cs="Times New Roman"/>
              </w:rPr>
              <w:t>《关于印发四川省打赢蓝天保卫战等九个实施方案的通知》川府发〔2019〕4号的符合性分析如下：</w:t>
            </w:r>
          </w:p>
          <w:p w14:paraId="078E48BB">
            <w:pPr>
              <w:pStyle w:val="45"/>
              <w:rPr>
                <w:rFonts w:hint="default" w:ascii="Times New Roman" w:hAnsi="Times New Roman" w:cs="Times New Roman"/>
              </w:rPr>
            </w:pPr>
            <w:r>
              <w:rPr>
                <w:rFonts w:hint="default" w:ascii="Times New Roman" w:hAnsi="Times New Roman" w:cs="Times New Roman"/>
              </w:rPr>
              <w:t>表1-</w:t>
            </w:r>
            <w:r>
              <w:rPr>
                <w:rFonts w:hint="eastAsia" w:ascii="Times New Roman" w:hAnsi="Times New Roman" w:cs="Times New Roman"/>
                <w:lang w:val="en-US" w:eastAsia="zh-CN"/>
              </w:rPr>
              <w:t>7</w:t>
            </w:r>
            <w:r>
              <w:rPr>
                <w:rFonts w:hint="default" w:ascii="Times New Roman" w:hAnsi="Times New Roman" w:cs="Times New Roman"/>
              </w:rPr>
              <w:t>与水污染防治符合性</w:t>
            </w:r>
          </w:p>
          <w:tbl>
            <w:tblPr>
              <w:tblStyle w:val="22"/>
              <w:tblW w:w="85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386"/>
              <w:gridCol w:w="4427"/>
              <w:gridCol w:w="1898"/>
              <w:gridCol w:w="793"/>
            </w:tblGrid>
            <w:tr w14:paraId="7310D5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blHeader/>
                <w:jc w:val="center"/>
              </w:trPr>
              <w:tc>
                <w:tcPr>
                  <w:tcW w:w="1386" w:type="dxa"/>
                  <w:noWrap w:val="0"/>
                  <w:vAlign w:val="center"/>
                </w:tcPr>
                <w:p w14:paraId="19994F78">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水污染防治文件</w:t>
                  </w:r>
                </w:p>
              </w:tc>
              <w:tc>
                <w:tcPr>
                  <w:tcW w:w="4427" w:type="dxa"/>
                  <w:noWrap w:val="0"/>
                  <w:vAlign w:val="center"/>
                </w:tcPr>
                <w:p w14:paraId="38037622">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政策要求</w:t>
                  </w:r>
                </w:p>
              </w:tc>
              <w:tc>
                <w:tcPr>
                  <w:tcW w:w="1898" w:type="dxa"/>
                  <w:noWrap w:val="0"/>
                  <w:vAlign w:val="center"/>
                </w:tcPr>
                <w:p w14:paraId="21A6FF54">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本项目情况</w:t>
                  </w:r>
                </w:p>
              </w:tc>
              <w:tc>
                <w:tcPr>
                  <w:tcW w:w="793" w:type="dxa"/>
                  <w:noWrap w:val="0"/>
                  <w:vAlign w:val="center"/>
                </w:tcPr>
                <w:p w14:paraId="608763C6">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符合性</w:t>
                  </w:r>
                </w:p>
              </w:tc>
            </w:tr>
            <w:tr w14:paraId="28F55B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386" w:type="dxa"/>
                  <w:vMerge w:val="restart"/>
                  <w:noWrap w:val="0"/>
                  <w:vAlign w:val="center"/>
                </w:tcPr>
                <w:p w14:paraId="03B99C48">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国务院关于印发水污染防治行动计划的通知“国发〔2015〕17号”</w:t>
                  </w:r>
                </w:p>
              </w:tc>
              <w:tc>
                <w:tcPr>
                  <w:tcW w:w="4427" w:type="dxa"/>
                  <w:noWrap w:val="0"/>
                  <w:vAlign w:val="center"/>
                </w:tcPr>
                <w:p w14:paraId="7D3EF454">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一）狠抓工业污染防治。取缔“十小”企业。全面排查装备水平低、环保设施差的小型工业企业。2016年底前，按照水污染防治法律法规要求，全部取缔不符合国家产业政策的小型造纸、制革、印染、染料、炼焦、炼硫、炼砷、炼油、电镀、农药等严重污染水环境的生产项目。</w:t>
                  </w:r>
                </w:p>
              </w:tc>
              <w:tc>
                <w:tcPr>
                  <w:tcW w:w="1898" w:type="dxa"/>
                  <w:noWrap w:val="0"/>
                  <w:vAlign w:val="center"/>
                </w:tcPr>
                <w:p w14:paraId="43D6624B">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项目均不属于“十小”企业，不属于取缔项目</w:t>
                  </w:r>
                </w:p>
              </w:tc>
              <w:tc>
                <w:tcPr>
                  <w:tcW w:w="793" w:type="dxa"/>
                  <w:noWrap w:val="0"/>
                  <w:vAlign w:val="center"/>
                </w:tcPr>
                <w:p w14:paraId="2755D0DF">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r w14:paraId="64845B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386" w:type="dxa"/>
                  <w:vMerge w:val="continue"/>
                  <w:noWrap w:val="0"/>
                  <w:vAlign w:val="center"/>
                </w:tcPr>
                <w:p w14:paraId="0C4CDD18">
                  <w:pPr>
                    <w:widowControl/>
                    <w:adjustRightInd w:val="0"/>
                    <w:snapToGrid w:val="0"/>
                    <w:spacing w:line="360" w:lineRule="auto"/>
                    <w:jc w:val="center"/>
                    <w:rPr>
                      <w:rFonts w:hint="default" w:ascii="Times New Roman" w:hAnsi="Times New Roman" w:cs="Times New Roman"/>
                      <w:bCs/>
                      <w:kern w:val="0"/>
                      <w:szCs w:val="21"/>
                    </w:rPr>
                  </w:pPr>
                </w:p>
              </w:tc>
              <w:tc>
                <w:tcPr>
                  <w:tcW w:w="4427" w:type="dxa"/>
                  <w:noWrap w:val="0"/>
                  <w:vAlign w:val="center"/>
                </w:tcPr>
                <w:p w14:paraId="6E7CA386">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六）优化空间布局。合理确定发展布局、结构和规模。充分考虑水资源、水环境承载能力，以水定城、以水定地、以水定人、以水定产。重大项目原则上布局在优化开发区和重点开发区，并符合城乡规划和土地利用总体规划。…，严格控制缺水地区、水污染严重地区和敏感区域高耗水、高污染行业发展，新建、改建、扩建重点行业建设项目实行主要污染物排放减量置换。</w:t>
                  </w:r>
                </w:p>
              </w:tc>
              <w:tc>
                <w:tcPr>
                  <w:tcW w:w="1898" w:type="dxa"/>
                  <w:noWrap w:val="0"/>
                  <w:vAlign w:val="center"/>
                </w:tcPr>
                <w:p w14:paraId="783EBF68">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项目厂址所在区域不属于缺水地区、水污染严重地区和敏感区域；项目</w:t>
                  </w:r>
                  <w:r>
                    <w:rPr>
                      <w:rFonts w:hint="eastAsia" w:cs="Times New Roman"/>
                      <w:bCs/>
                      <w:kern w:val="0"/>
                      <w:szCs w:val="21"/>
                      <w:lang w:val="en-US" w:eastAsia="zh-CN"/>
                    </w:rPr>
                    <w:t>属于</w:t>
                  </w:r>
                  <w:r>
                    <w:rPr>
                      <w:rFonts w:hint="default" w:ascii="Times New Roman" w:hAnsi="Times New Roman" w:cs="Times New Roman"/>
                    </w:rPr>
                    <w:t>C30</w:t>
                  </w:r>
                  <w:r>
                    <w:rPr>
                      <w:rFonts w:hint="eastAsia" w:ascii="Times New Roman" w:hAnsi="Times New Roman" w:cs="Times New Roman"/>
                      <w:lang w:val="en-US" w:eastAsia="zh-CN"/>
                    </w:rPr>
                    <w:t>39其他建筑材料制造</w:t>
                  </w:r>
                  <w:r>
                    <w:rPr>
                      <w:rFonts w:hint="default" w:ascii="Times New Roman" w:hAnsi="Times New Roman" w:eastAsia="宋体" w:cs="Times New Roman"/>
                      <w:bCs/>
                      <w:kern w:val="0"/>
                      <w:szCs w:val="21"/>
                    </w:rPr>
                    <w:t>，不属于高耗水、高污染行业，因此项目的</w:t>
                  </w:r>
                  <w:r>
                    <w:rPr>
                      <w:rFonts w:hint="default" w:ascii="Times New Roman" w:hAnsi="Times New Roman" w:cs="Times New Roman"/>
                      <w:bCs/>
                      <w:kern w:val="0"/>
                      <w:szCs w:val="21"/>
                    </w:rPr>
                    <w:t>建设符合政策要求</w:t>
                  </w:r>
                </w:p>
              </w:tc>
              <w:tc>
                <w:tcPr>
                  <w:tcW w:w="793" w:type="dxa"/>
                  <w:noWrap w:val="0"/>
                  <w:vAlign w:val="center"/>
                </w:tcPr>
                <w:p w14:paraId="3BA98645">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r w14:paraId="34D04B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386" w:type="dxa"/>
                  <w:noWrap w:val="0"/>
                  <w:vAlign w:val="center"/>
                </w:tcPr>
                <w:p w14:paraId="36EF6004">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rPr>
                    <w:t>《四川省人民政府关于印发水污染防治行动计划四川省工作方案的通知》（川府发〔2015〕59号）</w:t>
                  </w:r>
                </w:p>
              </w:tc>
              <w:tc>
                <w:tcPr>
                  <w:tcW w:w="4427" w:type="dxa"/>
                  <w:noWrap w:val="0"/>
                  <w:vAlign w:val="center"/>
                </w:tcPr>
                <w:p w14:paraId="05A4D238">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一）全面控制污染物排放（1）狠抓工业污染防治；…②专项整治十大重点行业。制定造纸、焦化、氮肥、有色金属、印染、农副食品加工、原料药制造、制革、农药、电镀等行业专项治理方案，实施清洁化改造。新建、改建、扩建上述行业建设项目实行主要污染物排放等量或减量置换。……</w:t>
                  </w:r>
                </w:p>
              </w:tc>
              <w:tc>
                <w:tcPr>
                  <w:tcW w:w="1898" w:type="dxa"/>
                  <w:noWrap w:val="0"/>
                  <w:vAlign w:val="center"/>
                </w:tcPr>
                <w:p w14:paraId="569F0703">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本项目为新建项目，不属于专项整治的十大重点行业，项目生产废水经处理后回用，不外排；生</w:t>
                  </w:r>
                </w:p>
                <w:p w14:paraId="3A26B811">
                  <w:pPr>
                    <w:widowControl/>
                    <w:adjustRightInd w:val="0"/>
                    <w:snapToGrid w:val="0"/>
                    <w:spacing w:line="360" w:lineRule="auto"/>
                    <w:jc w:val="left"/>
                    <w:rPr>
                      <w:rFonts w:hint="eastAsia" w:ascii="Times New Roman" w:hAnsi="Times New Roman" w:eastAsia="宋体" w:cs="Times New Roman"/>
                      <w:bCs/>
                      <w:kern w:val="0"/>
                      <w:szCs w:val="21"/>
                      <w:lang w:eastAsia="zh-CN"/>
                    </w:rPr>
                  </w:pPr>
                  <w:r>
                    <w:rPr>
                      <w:rFonts w:hint="default" w:ascii="Times New Roman" w:hAnsi="Times New Roman" w:cs="Times New Roman"/>
                      <w:bCs/>
                      <w:kern w:val="0"/>
                      <w:szCs w:val="21"/>
                    </w:rPr>
                    <w:t>活污水</w:t>
                  </w:r>
                  <w:r>
                    <w:rPr>
                      <w:rFonts w:hint="eastAsia" w:ascii="Times New Roman" w:hAnsi="Times New Roman" w:cs="Times New Roman"/>
                      <w:bCs/>
                      <w:kern w:val="0"/>
                      <w:szCs w:val="21"/>
                      <w:lang w:val="en-US" w:eastAsia="zh-CN"/>
                    </w:rPr>
                    <w:t>经化粪池</w:t>
                  </w:r>
                  <w:r>
                    <w:rPr>
                      <w:rFonts w:hint="default" w:ascii="Times New Roman" w:hAnsi="Times New Roman" w:cs="Times New Roman"/>
                      <w:bCs/>
                      <w:kern w:val="0"/>
                      <w:szCs w:val="21"/>
                    </w:rPr>
                    <w:t>处理后用作农肥，不外排</w:t>
                  </w:r>
                  <w:r>
                    <w:rPr>
                      <w:rFonts w:hint="eastAsia" w:cs="Times New Roman"/>
                      <w:bCs/>
                      <w:kern w:val="0"/>
                      <w:szCs w:val="21"/>
                      <w:lang w:eastAsia="zh-CN"/>
                    </w:rPr>
                    <w:t>。</w:t>
                  </w:r>
                </w:p>
              </w:tc>
              <w:tc>
                <w:tcPr>
                  <w:tcW w:w="793" w:type="dxa"/>
                  <w:noWrap w:val="0"/>
                  <w:vAlign w:val="center"/>
                </w:tcPr>
                <w:p w14:paraId="30B359E2">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r w14:paraId="64E8E2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386" w:type="dxa"/>
                  <w:noWrap w:val="0"/>
                  <w:vAlign w:val="center"/>
                </w:tcPr>
                <w:p w14:paraId="7172FC82">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《关于印发四川省打赢蓝天保卫战等九个实施方案的通知》川府发〔2019〕4号</w:t>
                  </w:r>
                </w:p>
              </w:tc>
              <w:tc>
                <w:tcPr>
                  <w:tcW w:w="4427" w:type="dxa"/>
                  <w:noWrap w:val="0"/>
                  <w:vAlign w:val="center"/>
                </w:tcPr>
                <w:p w14:paraId="7485CF84">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《四川省打赢碧水保卫战实施方案》</w:t>
                  </w:r>
                </w:p>
                <w:p w14:paraId="555C50A7">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三、重点任务</w:t>
                  </w:r>
                </w:p>
                <w:p w14:paraId="0119CB6B">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（三）实施工业污染治理工程。</w:t>
                  </w:r>
                </w:p>
                <w:p w14:paraId="325438E9">
                  <w:pPr>
                    <w:widowControl/>
                    <w:adjustRightInd w:val="0"/>
                    <w:snapToGrid w:val="0"/>
                    <w:spacing w:line="360" w:lineRule="auto"/>
                    <w:ind w:firstLine="420" w:firstLineChars="200"/>
                    <w:jc w:val="left"/>
                    <w:rPr>
                      <w:rFonts w:hint="default" w:ascii="Times New Roman" w:hAnsi="Times New Roman" w:cs="Times New Roman"/>
                      <w:bCs/>
                      <w:kern w:val="0"/>
                      <w:szCs w:val="21"/>
                    </w:rPr>
                  </w:pPr>
                  <w:r>
                    <w:rPr>
                      <w:rFonts w:hint="default" w:ascii="Times New Roman" w:hAnsi="Times New Roman" w:cs="Times New Roman"/>
                      <w:bCs/>
                      <w:kern w:val="0"/>
                      <w:szCs w:val="21"/>
                    </w:rPr>
                    <w:t>实施园区工业废水达标整治。落实《四川省工业园区（工业集聚区）工业废水处理设施建设三年行动计划》，倒排工期，落实责任，按照属地管理、辖区负责的原则，省直相关部门按照管理权限督促指导各地加快推进工业园区（工业集聚区）污水处理设施建设，确保污水处理设施按期建成投入使用和正常运行。…</w:t>
                  </w:r>
                </w:p>
                <w:p w14:paraId="1E034051">
                  <w:pPr>
                    <w:widowControl/>
                    <w:adjustRightInd w:val="0"/>
                    <w:snapToGrid w:val="0"/>
                    <w:spacing w:line="360" w:lineRule="auto"/>
                    <w:jc w:val="left"/>
                    <w:rPr>
                      <w:rFonts w:hint="eastAsia" w:ascii="Times New Roman" w:hAnsi="Times New Roman" w:eastAsia="宋体" w:cs="Times New Roman"/>
                      <w:bCs/>
                      <w:kern w:val="0"/>
                      <w:szCs w:val="21"/>
                      <w:lang w:eastAsia="zh-CN"/>
                    </w:rPr>
                  </w:pPr>
                </w:p>
              </w:tc>
              <w:tc>
                <w:tcPr>
                  <w:tcW w:w="1898" w:type="dxa"/>
                  <w:noWrap w:val="0"/>
                  <w:vAlign w:val="center"/>
                </w:tcPr>
                <w:p w14:paraId="72AE5B69">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本项目无生产废水排放。</w:t>
                  </w:r>
                </w:p>
              </w:tc>
              <w:tc>
                <w:tcPr>
                  <w:tcW w:w="793" w:type="dxa"/>
                  <w:noWrap w:val="0"/>
                  <w:vAlign w:val="center"/>
                </w:tcPr>
                <w:p w14:paraId="48A8B129">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bl>
          <w:p w14:paraId="517EBC18">
            <w:pPr>
              <w:pStyle w:val="44"/>
              <w:ind w:firstLine="480"/>
              <w:rPr>
                <w:rFonts w:hint="default" w:ascii="Times New Roman" w:hAnsi="Times New Roman" w:cs="Times New Roman"/>
                <w:lang w:val="zh-CN"/>
              </w:rPr>
            </w:pPr>
            <w:r>
              <w:rPr>
                <w:rFonts w:hint="default" w:ascii="Times New Roman" w:hAnsi="Times New Roman" w:cs="Times New Roman"/>
              </w:rPr>
              <w:t>综上所述，项目与《国务院关于印发水污染防治行动计划的通知》（国发〔2015〕17号）、《四川省人民政府关于印发水污染防治行动计划四川省工作方案的通知》（川府发〔2015〕59号）</w:t>
            </w:r>
            <w:r>
              <w:rPr>
                <w:rFonts w:hint="eastAsia" w:ascii="Times New Roman" w:hAnsi="Times New Roman" w:cs="Times New Roman"/>
                <w:lang w:eastAsia="zh-CN"/>
              </w:rPr>
              <w:t>、</w:t>
            </w:r>
            <w:r>
              <w:rPr>
                <w:rFonts w:hint="default" w:ascii="Times New Roman" w:hAnsi="Times New Roman" w:cs="Times New Roman"/>
              </w:rPr>
              <w:t>《关于印发四川省打赢蓝天保卫战等九个实施方案的通知》（川府发〔2019〕4号）要求相符。</w:t>
            </w:r>
          </w:p>
          <w:p w14:paraId="145F1176">
            <w:pPr>
              <w:pStyle w:val="44"/>
              <w:ind w:firstLine="482"/>
              <w:rPr>
                <w:rFonts w:hint="default" w:ascii="Times New Roman" w:hAnsi="Times New Roman" w:cs="Times New Roman"/>
                <w:lang w:val="zh-CN"/>
              </w:rPr>
            </w:pPr>
            <w:r>
              <w:rPr>
                <w:rFonts w:hint="default" w:ascii="Times New Roman" w:hAnsi="Times New Roman" w:cs="Times New Roman"/>
                <w:b/>
                <w:bCs/>
                <w:lang w:val="zh-CN"/>
              </w:rPr>
              <w:t>（</w:t>
            </w:r>
            <w:r>
              <w:rPr>
                <w:rFonts w:hint="eastAsia" w:ascii="Times New Roman" w:hAnsi="Times New Roman" w:cs="Times New Roman"/>
                <w:b/>
                <w:bCs/>
                <w:lang w:val="en-US" w:eastAsia="zh-CN"/>
              </w:rPr>
              <w:t>7</w:t>
            </w:r>
            <w:r>
              <w:rPr>
                <w:rFonts w:hint="default" w:ascii="Times New Roman" w:hAnsi="Times New Roman" w:cs="Times New Roman"/>
                <w:b/>
                <w:bCs/>
                <w:lang w:val="zh-CN"/>
              </w:rPr>
              <w:t>）项目与《土壤污染防治行动计划》“国发〔2016〕31号”符合性如下</w:t>
            </w:r>
            <w:r>
              <w:rPr>
                <w:rFonts w:hint="default" w:ascii="Times New Roman" w:hAnsi="Times New Roman" w:cs="Times New Roman"/>
                <w:lang w:val="zh-CN"/>
              </w:rPr>
              <w:t>：</w:t>
            </w:r>
          </w:p>
          <w:p w14:paraId="06AB65BE">
            <w:pPr>
              <w:pStyle w:val="45"/>
              <w:rPr>
                <w:rFonts w:hint="default" w:ascii="Times New Roman" w:hAnsi="Times New Roman" w:cs="Times New Roman"/>
              </w:rPr>
            </w:pPr>
            <w:r>
              <w:rPr>
                <w:rFonts w:hint="default" w:ascii="Times New Roman" w:hAnsi="Times New Roman" w:cs="Times New Roman"/>
              </w:rPr>
              <w:t>表1-</w:t>
            </w:r>
            <w:r>
              <w:rPr>
                <w:rFonts w:hint="eastAsia" w:ascii="Times New Roman" w:hAnsi="Times New Roman" w:cs="Times New Roman"/>
                <w:lang w:val="en-US" w:eastAsia="zh-CN"/>
              </w:rPr>
              <w:t>8</w:t>
            </w:r>
            <w:r>
              <w:rPr>
                <w:rFonts w:hint="default" w:ascii="Times New Roman" w:hAnsi="Times New Roman" w:cs="Times New Roman"/>
              </w:rPr>
              <w:t>与土壤污染防治行动计划符合性</w:t>
            </w:r>
          </w:p>
          <w:tbl>
            <w:tblPr>
              <w:tblStyle w:val="22"/>
              <w:tblW w:w="85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185"/>
              <w:gridCol w:w="4940"/>
              <w:gridCol w:w="1802"/>
              <w:gridCol w:w="577"/>
            </w:tblGrid>
            <w:tr w14:paraId="6DC0DD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07" w:hRule="atLeast"/>
                <w:jc w:val="center"/>
              </w:trPr>
              <w:tc>
                <w:tcPr>
                  <w:tcW w:w="1254" w:type="dxa"/>
                  <w:noWrap w:val="0"/>
                  <w:vAlign w:val="center"/>
                </w:tcPr>
                <w:p w14:paraId="4735F3C0">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土壤污染防治行动计划</w:t>
                  </w:r>
                </w:p>
              </w:tc>
              <w:tc>
                <w:tcPr>
                  <w:tcW w:w="5243" w:type="dxa"/>
                  <w:noWrap w:val="0"/>
                  <w:vAlign w:val="center"/>
                </w:tcPr>
                <w:p w14:paraId="11BD126A">
                  <w:pPr>
                    <w:widowControl/>
                    <w:adjustRightInd w:val="0"/>
                    <w:snapToGrid w:val="0"/>
                    <w:spacing w:line="360" w:lineRule="auto"/>
                    <w:jc w:val="center"/>
                    <w:rPr>
                      <w:rFonts w:hint="default" w:ascii="Times New Roman" w:hAnsi="Times New Roman" w:cs="Times New Roman"/>
                      <w:bCs/>
                      <w:kern w:val="0"/>
                      <w:szCs w:val="21"/>
                    </w:rPr>
                  </w:pPr>
                  <w:r>
                    <w:rPr>
                      <w:rFonts w:hint="default" w:ascii="Times New Roman" w:hAnsi="Times New Roman" w:cs="Times New Roman"/>
                      <w:bCs/>
                      <w:kern w:val="0"/>
                      <w:szCs w:val="21"/>
                    </w:rPr>
                    <w:t>相关要求</w:t>
                  </w:r>
                </w:p>
              </w:tc>
              <w:tc>
                <w:tcPr>
                  <w:tcW w:w="1909" w:type="dxa"/>
                  <w:noWrap w:val="0"/>
                  <w:vAlign w:val="center"/>
                </w:tcPr>
                <w:p w14:paraId="3FA01F7C">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本项目情况</w:t>
                  </w:r>
                </w:p>
              </w:tc>
              <w:tc>
                <w:tcPr>
                  <w:tcW w:w="608" w:type="dxa"/>
                  <w:noWrap w:val="0"/>
                  <w:vAlign w:val="center"/>
                </w:tcPr>
                <w:p w14:paraId="693FF6A3">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符合性</w:t>
                  </w:r>
                </w:p>
              </w:tc>
            </w:tr>
            <w:tr w14:paraId="3EFE33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254" w:type="dxa"/>
                  <w:vMerge w:val="restart"/>
                  <w:noWrap w:val="0"/>
                  <w:vAlign w:val="center"/>
                </w:tcPr>
                <w:p w14:paraId="094B112B">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土壤污染防治行动计划“国发〔2016〕31号”</w:t>
                  </w:r>
                </w:p>
              </w:tc>
              <w:tc>
                <w:tcPr>
                  <w:tcW w:w="5243" w:type="dxa"/>
                  <w:noWrap w:val="0"/>
                  <w:vAlign w:val="center"/>
                </w:tcPr>
                <w:p w14:paraId="45C2A65B">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（八）切实加大保护力度。</w:t>
                  </w:r>
                </w:p>
                <w:p w14:paraId="0F7B3006">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防控企业污染。严格控制在优先保护类耕地集中区域新建有色金属冶炼、石油加工、化工、焦化、电镀、制革等行业企业，现有相关行业企业要采用新技术、新工艺，加快提标升级改造+步伐。</w:t>
                  </w:r>
                </w:p>
              </w:tc>
              <w:tc>
                <w:tcPr>
                  <w:tcW w:w="1909" w:type="dxa"/>
                  <w:noWrap w:val="0"/>
                  <w:vAlign w:val="center"/>
                </w:tcPr>
                <w:p w14:paraId="0683FCE3">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项目为</w:t>
                  </w:r>
                  <w:r>
                    <w:rPr>
                      <w:rFonts w:hint="eastAsia" w:ascii="Times New Roman" w:hAnsi="Times New Roman" w:cs="Times New Roman"/>
                      <w:bCs/>
                      <w:kern w:val="0"/>
                      <w:szCs w:val="21"/>
                      <w:lang w:val="en-US" w:eastAsia="zh-CN"/>
                    </w:rPr>
                    <w:t>非金属矿物</w:t>
                  </w:r>
                  <w:r>
                    <w:rPr>
                      <w:rFonts w:hint="default" w:ascii="Times New Roman" w:hAnsi="Times New Roman" w:cs="Times New Roman"/>
                      <w:bCs/>
                      <w:kern w:val="0"/>
                      <w:szCs w:val="21"/>
                    </w:rPr>
                    <w:t>制造，不属于有色金属冶炼、石油加工、化工、焦化、电镀、制革等行业企业，项目用</w:t>
                  </w:r>
                  <w:r>
                    <w:rPr>
                      <w:rFonts w:hint="default" w:ascii="Times New Roman" w:hAnsi="Times New Roman" w:cs="Times New Roman"/>
                      <w:bCs/>
                      <w:color w:val="auto"/>
                      <w:kern w:val="0"/>
                      <w:szCs w:val="21"/>
                    </w:rPr>
                    <w:t>地属于</w:t>
                  </w:r>
                  <w:r>
                    <w:rPr>
                      <w:rFonts w:hint="eastAsia" w:ascii="Times New Roman" w:hAnsi="Times New Roman" w:cs="Times New Roman"/>
                      <w:bCs/>
                      <w:color w:val="auto"/>
                      <w:kern w:val="0"/>
                      <w:szCs w:val="21"/>
                      <w:lang w:val="en-US" w:eastAsia="zh-CN"/>
                    </w:rPr>
                    <w:t>公路用地（</w:t>
                  </w:r>
                  <w:r>
                    <w:rPr>
                      <w:rFonts w:hint="default" w:ascii="Times New Roman" w:hAnsi="Times New Roman" w:cs="Times New Roman"/>
                      <w:bCs/>
                      <w:color w:val="auto"/>
                      <w:kern w:val="0"/>
                      <w:szCs w:val="21"/>
                    </w:rPr>
                    <w:t>建设用地</w:t>
                  </w:r>
                  <w:r>
                    <w:rPr>
                      <w:rFonts w:hint="eastAsia" w:ascii="Times New Roman" w:hAnsi="Times New Roman" w:cs="Times New Roman"/>
                      <w:bCs/>
                      <w:color w:val="auto"/>
                      <w:kern w:val="0"/>
                      <w:szCs w:val="21"/>
                      <w:lang w:val="en-US" w:eastAsia="zh-CN"/>
                    </w:rPr>
                    <w:t>）</w:t>
                  </w:r>
                  <w:r>
                    <w:rPr>
                      <w:rFonts w:hint="default" w:ascii="Times New Roman" w:hAnsi="Times New Roman" w:cs="Times New Roman"/>
                      <w:bCs/>
                      <w:color w:val="auto"/>
                      <w:kern w:val="0"/>
                      <w:szCs w:val="21"/>
                    </w:rPr>
                    <w:t>，项目不占用耕地。</w:t>
                  </w:r>
                </w:p>
              </w:tc>
              <w:tc>
                <w:tcPr>
                  <w:tcW w:w="608" w:type="dxa"/>
                  <w:noWrap w:val="0"/>
                  <w:vAlign w:val="center"/>
                </w:tcPr>
                <w:p w14:paraId="799C5B5C">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r w14:paraId="2A3267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254" w:type="dxa"/>
                  <w:vMerge w:val="continue"/>
                  <w:noWrap w:val="0"/>
                  <w:vAlign w:val="center"/>
                </w:tcPr>
                <w:p w14:paraId="5A839669">
                  <w:pPr>
                    <w:widowControl/>
                    <w:adjustRightInd w:val="0"/>
                    <w:snapToGrid w:val="0"/>
                    <w:spacing w:line="360" w:lineRule="auto"/>
                    <w:jc w:val="left"/>
                    <w:rPr>
                      <w:rFonts w:hint="default" w:ascii="Times New Roman" w:hAnsi="Times New Roman" w:cs="Times New Roman"/>
                      <w:bCs/>
                      <w:kern w:val="0"/>
                      <w:szCs w:val="21"/>
                    </w:rPr>
                  </w:pPr>
                </w:p>
              </w:tc>
              <w:tc>
                <w:tcPr>
                  <w:tcW w:w="5243" w:type="dxa"/>
                  <w:noWrap w:val="0"/>
                  <w:vAlign w:val="center"/>
                </w:tcPr>
                <w:p w14:paraId="028AA86E">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十六）防范建设用地新增污染。排放重点污染物的建设项目，在开展环境影响评价时，要增加对土壤环境影响的评价内容，并提出防范土壤污染的具体措施；需要建设的土壤污染防治设施，要与主体工程同时设计、同时施工、同时投产使用；有关环境保护部门要做好有关措施落实情况的监督管理工作。</w:t>
                  </w:r>
                </w:p>
              </w:tc>
              <w:tc>
                <w:tcPr>
                  <w:tcW w:w="1909" w:type="dxa"/>
                  <w:noWrap w:val="0"/>
                  <w:vAlign w:val="center"/>
                </w:tcPr>
                <w:p w14:paraId="5B8DC0F7">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本项目生产期间仅存在粉尘排放，无重金属和其他污染物排放。</w:t>
                  </w:r>
                </w:p>
              </w:tc>
              <w:tc>
                <w:tcPr>
                  <w:tcW w:w="608" w:type="dxa"/>
                  <w:noWrap w:val="0"/>
                  <w:vAlign w:val="center"/>
                </w:tcPr>
                <w:p w14:paraId="44328E4C">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r w14:paraId="23E4DA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254" w:type="dxa"/>
                  <w:vMerge w:val="continue"/>
                  <w:noWrap w:val="0"/>
                  <w:vAlign w:val="center"/>
                </w:tcPr>
                <w:p w14:paraId="0B38E28B">
                  <w:pPr>
                    <w:widowControl/>
                    <w:adjustRightInd w:val="0"/>
                    <w:snapToGrid w:val="0"/>
                    <w:spacing w:line="360" w:lineRule="auto"/>
                    <w:jc w:val="left"/>
                    <w:rPr>
                      <w:rFonts w:hint="default" w:ascii="Times New Roman" w:hAnsi="Times New Roman" w:cs="Times New Roman"/>
                      <w:bCs/>
                      <w:kern w:val="0"/>
                      <w:szCs w:val="21"/>
                    </w:rPr>
                  </w:pPr>
                </w:p>
              </w:tc>
              <w:tc>
                <w:tcPr>
                  <w:tcW w:w="5243" w:type="dxa"/>
                  <w:noWrap w:val="0"/>
                  <w:vAlign w:val="center"/>
                </w:tcPr>
                <w:p w14:paraId="3BD61801">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十七）强化空间布局管控。……严格执行相关行业企业布局选址要求，禁止在居民区、学校、医疗和养老机构等周边新建有色金属冶炼、焦化等行业企业；结合区域功能定位和土壤污染防治需要，科学布局生活垃圾处理、危险废物处置、废旧资源再生利用等设施和场所，合理确定畜禽养殖布局和规模。</w:t>
                  </w:r>
                </w:p>
              </w:tc>
              <w:tc>
                <w:tcPr>
                  <w:tcW w:w="1909" w:type="dxa"/>
                  <w:noWrap w:val="0"/>
                  <w:vAlign w:val="center"/>
                </w:tcPr>
                <w:p w14:paraId="33BF12D4">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本项目不属于有色金属冶炼、焦化类项目。</w:t>
                  </w:r>
                </w:p>
              </w:tc>
              <w:tc>
                <w:tcPr>
                  <w:tcW w:w="608" w:type="dxa"/>
                  <w:noWrap w:val="0"/>
                  <w:vAlign w:val="center"/>
                </w:tcPr>
                <w:p w14:paraId="29E482FF">
                  <w:pPr>
                    <w:widowControl/>
                    <w:adjustRightInd w:val="0"/>
                    <w:snapToGrid w:val="0"/>
                    <w:spacing w:line="360" w:lineRule="auto"/>
                    <w:jc w:val="left"/>
                    <w:rPr>
                      <w:rFonts w:hint="default" w:ascii="Times New Roman" w:hAnsi="Times New Roman" w:cs="Times New Roman"/>
                      <w:bCs/>
                      <w:kern w:val="0"/>
                      <w:szCs w:val="21"/>
                    </w:rPr>
                  </w:pPr>
                  <w:r>
                    <w:rPr>
                      <w:rFonts w:hint="default" w:ascii="Times New Roman" w:hAnsi="Times New Roman" w:cs="Times New Roman"/>
                      <w:bCs/>
                      <w:kern w:val="0"/>
                      <w:szCs w:val="21"/>
                    </w:rPr>
                    <w:t>符合</w:t>
                  </w:r>
                </w:p>
              </w:tc>
            </w:tr>
          </w:tbl>
          <w:p w14:paraId="6A1FEF9A">
            <w:pPr>
              <w:spacing w:line="420" w:lineRule="auto"/>
              <w:ind w:firstLine="480" w:firstLineChars="200"/>
              <w:rPr>
                <w:rFonts w:hint="default" w:ascii="Times New Roman" w:hAnsi="Times New Roman" w:cs="Times New Roman"/>
                <w:sz w:val="24"/>
              </w:rPr>
            </w:pPr>
          </w:p>
          <w:p w14:paraId="5786D503">
            <w:pPr>
              <w:pStyle w:val="44"/>
              <w:ind w:firstLine="482"/>
              <w:rPr>
                <w:rFonts w:hint="default" w:ascii="Times New Roman" w:hAnsi="Times New Roman" w:cs="Times New Roman"/>
                <w:b/>
                <w:bCs/>
                <w:lang w:val="zh-CN"/>
              </w:rPr>
            </w:pPr>
            <w:r>
              <w:rPr>
                <w:rFonts w:hint="default" w:ascii="Times New Roman" w:hAnsi="Times New Roman" w:cs="Times New Roman"/>
                <w:b/>
                <w:bCs/>
                <w:lang w:val="zh-CN"/>
              </w:rPr>
              <w:t>（</w:t>
            </w:r>
            <w:r>
              <w:rPr>
                <w:rFonts w:hint="eastAsia" w:ascii="Times New Roman" w:hAnsi="Times New Roman" w:cs="Times New Roman"/>
                <w:b/>
                <w:bCs/>
                <w:lang w:val="en-US" w:eastAsia="zh-CN"/>
              </w:rPr>
              <w:t>8</w:t>
            </w:r>
            <w:r>
              <w:rPr>
                <w:rFonts w:hint="default" w:ascii="Times New Roman" w:hAnsi="Times New Roman" w:cs="Times New Roman"/>
                <w:b/>
                <w:bCs/>
                <w:lang w:val="zh-CN"/>
              </w:rPr>
              <w:t>）与《四川省发展和改革委员会等10部门关于加强重点项目建设砂石料供应保障有关问题的通知》（川发改项目〔2018〕228号）符合性分析</w:t>
            </w:r>
          </w:p>
          <w:p w14:paraId="3CC3014B">
            <w:pPr>
              <w:pStyle w:val="44"/>
              <w:ind w:firstLine="480"/>
              <w:rPr>
                <w:rFonts w:hint="default" w:ascii="Times New Roman" w:hAnsi="Times New Roman" w:cs="Times New Roman"/>
                <w:lang w:val="zh-CN"/>
              </w:rPr>
            </w:pPr>
            <w:r>
              <w:rPr>
                <w:rFonts w:hint="default" w:ascii="Times New Roman" w:hAnsi="Times New Roman" w:cs="Times New Roman"/>
                <w:lang w:val="zh-CN"/>
              </w:rPr>
              <w:t>根据《四川省发展和改革委员会等10部门关于加强重点项目建设砂石料供应保障有关问题的通知》（川发改项目〔2018〕228号）第五条“支持高速公路、铁路等建设施工临时采挖废弃的砂石综合利用于本工程建设，增加就地砂石料供应量。支持施工单位在红线或已使用的临时用地上自建符合环保要求的专用砂石加工场。”</w:t>
            </w:r>
          </w:p>
          <w:p w14:paraId="0CD674F5">
            <w:pPr>
              <w:pStyle w:val="44"/>
              <w:ind w:firstLine="480"/>
              <w:rPr>
                <w:rFonts w:hint="default" w:ascii="Times New Roman" w:hAnsi="Times New Roman" w:cs="Times New Roman"/>
                <w:lang w:val="zh-CN"/>
              </w:rPr>
            </w:pPr>
            <w:r>
              <w:rPr>
                <w:rFonts w:hint="default" w:ascii="Times New Roman" w:hAnsi="Times New Roman" w:cs="Times New Roman"/>
                <w:lang w:val="zh-CN"/>
              </w:rPr>
              <w:t>根据遂宁市</w:t>
            </w:r>
            <w:r>
              <w:rPr>
                <w:rFonts w:hint="eastAsia" w:ascii="Times New Roman" w:hAnsi="Times New Roman" w:cs="Times New Roman"/>
                <w:lang w:val="en-US" w:eastAsia="zh-CN"/>
              </w:rPr>
              <w:t>安居区白马镇人民政府出具的证明</w:t>
            </w:r>
            <w:r>
              <w:rPr>
                <w:rFonts w:hint="default" w:ascii="Times New Roman" w:hAnsi="Times New Roman" w:cs="Times New Roman"/>
                <w:lang w:val="zh-CN"/>
              </w:rPr>
              <w:t>，本项目选址于</w:t>
            </w:r>
            <w:r>
              <w:rPr>
                <w:rFonts w:hint="eastAsia" w:ascii="Times New Roman" w:hAnsi="Times New Roman" w:cs="Times New Roman"/>
                <w:lang w:val="en-US" w:eastAsia="zh-CN"/>
              </w:rPr>
              <w:t>卧龙桥村8社，项目用地属于公路用地（建设用地）</w:t>
            </w:r>
            <w:r>
              <w:rPr>
                <w:rFonts w:hint="default" w:ascii="Times New Roman" w:hAnsi="Times New Roman" w:cs="Times New Roman"/>
                <w:lang w:val="zh-CN"/>
              </w:rPr>
              <w:t>，</w:t>
            </w:r>
            <w:r>
              <w:rPr>
                <w:rFonts w:hint="eastAsia" w:ascii="Times New Roman" w:hAnsi="Times New Roman" w:cs="Times New Roman"/>
                <w:lang w:val="en-US" w:eastAsia="zh-CN"/>
              </w:rPr>
              <w:t>项目计划于该地块上</w:t>
            </w:r>
            <w:r>
              <w:rPr>
                <w:rFonts w:hint="default" w:ascii="Times New Roman" w:hAnsi="Times New Roman" w:cs="Times New Roman"/>
                <w:lang w:val="zh-CN"/>
              </w:rPr>
              <w:t>建设符合环保要求的专用碎石加工厂进行砂石料加工，项目用料外购自遂宁开祺资产管理有限公司</w:t>
            </w:r>
            <w:r>
              <w:rPr>
                <w:rFonts w:hint="eastAsia" w:ascii="Times New Roman" w:hAnsi="Times New Roman" w:cs="Times New Roman"/>
                <w:lang w:val="en-US" w:eastAsia="zh-CN"/>
              </w:rPr>
              <w:t>黄连沱砂石场</w:t>
            </w:r>
            <w:r>
              <w:rPr>
                <w:rFonts w:hint="default" w:ascii="Times New Roman" w:hAnsi="Times New Roman" w:cs="Times New Roman"/>
                <w:lang w:val="zh-CN"/>
              </w:rPr>
              <w:t>，产品</w:t>
            </w:r>
            <w:r>
              <w:rPr>
                <w:rFonts w:hint="eastAsia" w:ascii="Times New Roman" w:hAnsi="Times New Roman" w:cs="Times New Roman"/>
                <w:lang w:val="en-US" w:eastAsia="zh-CN"/>
              </w:rPr>
              <w:t>主要</w:t>
            </w:r>
            <w:r>
              <w:rPr>
                <w:rFonts w:hint="default" w:ascii="Times New Roman" w:hAnsi="Times New Roman" w:cs="Times New Roman"/>
                <w:lang w:val="zh-CN"/>
              </w:rPr>
              <w:t>用于</w:t>
            </w:r>
            <w:r>
              <w:rPr>
                <w:rFonts w:hint="eastAsia" w:ascii="Times New Roman" w:hAnsi="Times New Roman" w:cs="Times New Roman"/>
                <w:lang w:val="en-US" w:eastAsia="zh-CN"/>
              </w:rPr>
              <w:t>中铁八局成达万高铁搅拌站</w:t>
            </w:r>
            <w:r>
              <w:rPr>
                <w:rFonts w:hint="default" w:ascii="Times New Roman" w:hAnsi="Times New Roman" w:cs="Times New Roman"/>
                <w:lang w:val="zh-CN"/>
              </w:rPr>
              <w:t>，不外售。综上，本项目符合《四川省发展和改革委员会等10部门关于加强重点项目建设砂石料供应保障有关问题的通知》（川发改项目〔2018〕228号）要求。</w:t>
            </w:r>
          </w:p>
          <w:p w14:paraId="281DACDA">
            <w:pPr>
              <w:pStyle w:val="44"/>
              <w:ind w:firstLine="482"/>
              <w:rPr>
                <w:rFonts w:hint="default" w:ascii="Times New Roman" w:hAnsi="Times New Roman" w:cs="Times New Roman"/>
                <w:b/>
                <w:bCs/>
                <w:lang w:val="zh-CN"/>
              </w:rPr>
            </w:pPr>
            <w:r>
              <w:rPr>
                <w:rFonts w:hint="default" w:ascii="Times New Roman" w:hAnsi="Times New Roman" w:cs="Times New Roman"/>
                <w:b/>
                <w:bCs/>
                <w:lang w:val="zh-CN"/>
              </w:rPr>
              <w:t>（</w:t>
            </w:r>
            <w:r>
              <w:rPr>
                <w:rFonts w:hint="eastAsia" w:ascii="Times New Roman" w:hAnsi="Times New Roman" w:cs="Times New Roman"/>
                <w:b/>
                <w:bCs/>
                <w:lang w:val="en-US" w:eastAsia="zh-CN"/>
              </w:rPr>
              <w:t>9</w:t>
            </w:r>
            <w:r>
              <w:rPr>
                <w:rFonts w:hint="default" w:ascii="Times New Roman" w:hAnsi="Times New Roman" w:cs="Times New Roman"/>
                <w:b/>
                <w:bCs/>
                <w:lang w:val="zh-CN"/>
              </w:rPr>
              <w:t>）项目与《机制砂石骨料工厂设计规范》（GB51186-2016）符合性分析：</w:t>
            </w:r>
          </w:p>
          <w:p w14:paraId="4B53877E">
            <w:pPr>
              <w:pStyle w:val="45"/>
              <w:rPr>
                <w:rFonts w:hint="default" w:ascii="Times New Roman" w:hAnsi="Times New Roman" w:cs="Times New Roman"/>
              </w:rPr>
            </w:pPr>
            <w:r>
              <w:rPr>
                <w:rFonts w:hint="default" w:ascii="Times New Roman" w:hAnsi="Times New Roman" w:cs="Times New Roman"/>
              </w:rPr>
              <w:t>表1-</w:t>
            </w:r>
            <w:r>
              <w:rPr>
                <w:rFonts w:hint="eastAsia" w:ascii="Times New Roman" w:hAnsi="Times New Roman" w:cs="Times New Roman"/>
                <w:lang w:val="en-US" w:eastAsia="zh-CN"/>
              </w:rPr>
              <w:t>9</w:t>
            </w:r>
            <w:r>
              <w:rPr>
                <w:rFonts w:hint="default" w:ascii="Times New Roman" w:hAnsi="Times New Roman" w:cs="Times New Roman"/>
              </w:rPr>
              <w:t>项目与</w:t>
            </w:r>
            <w:r>
              <w:rPr>
                <w:rFonts w:hint="default" w:ascii="Times New Roman" w:hAnsi="Times New Roman" w:cs="Times New Roman"/>
                <w:b/>
                <w:bCs/>
                <w:lang w:val="zh-CN"/>
              </w:rPr>
              <w:t>机制砂石骨料工厂设计规范</w:t>
            </w:r>
            <w:r>
              <w:rPr>
                <w:rFonts w:hint="default" w:ascii="Times New Roman" w:hAnsi="Times New Roman" w:cs="Times New Roman"/>
              </w:rPr>
              <w:t>符合性分析对比表</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1"/>
              <w:gridCol w:w="3875"/>
              <w:gridCol w:w="2169"/>
              <w:gridCol w:w="1295"/>
            </w:tblGrid>
            <w:tr w14:paraId="41921B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49" w:hRule="atLeast"/>
                <w:jc w:val="center"/>
              </w:trPr>
              <w:tc>
                <w:tcPr>
                  <w:tcW w:w="881" w:type="dxa"/>
                  <w:noWrap w:val="0"/>
                  <w:vAlign w:val="center"/>
                </w:tcPr>
                <w:p w14:paraId="4B4411B4">
                  <w:pPr>
                    <w:pStyle w:val="14"/>
                    <w:spacing w:line="240" w:lineRule="auto"/>
                    <w:jc w:val="center"/>
                    <w:rPr>
                      <w:rFonts w:hint="eastAsia" w:ascii="Times New Roman" w:hAnsi="Times New Roman" w:eastAsia="宋体" w:cs="Times New Roman"/>
                      <w:b/>
                      <w:bCs/>
                      <w:szCs w:val="21"/>
                      <w:lang w:val="en-US" w:eastAsia="zh-CN"/>
                    </w:rPr>
                  </w:pPr>
                  <w:r>
                    <w:rPr>
                      <w:rFonts w:hint="eastAsia" w:ascii="Times New Roman" w:hAnsi="Times New Roman" w:cs="Times New Roman"/>
                      <w:b/>
                      <w:bCs/>
                      <w:szCs w:val="21"/>
                      <w:lang w:val="en-US" w:eastAsia="zh-CN"/>
                    </w:rPr>
                    <w:t>项目</w:t>
                  </w:r>
                </w:p>
              </w:tc>
              <w:tc>
                <w:tcPr>
                  <w:tcW w:w="3875" w:type="dxa"/>
                  <w:noWrap w:val="0"/>
                  <w:vAlign w:val="center"/>
                </w:tcPr>
                <w:p w14:paraId="0E6E728D">
                  <w:pPr>
                    <w:pStyle w:val="14"/>
                    <w:spacing w:line="240" w:lineRule="auto"/>
                    <w:jc w:val="center"/>
                    <w:rPr>
                      <w:rFonts w:hint="default" w:ascii="Times New Roman" w:hAnsi="Times New Roman" w:eastAsia="宋体" w:cs="Times New Roman"/>
                      <w:b/>
                      <w:bCs/>
                      <w:szCs w:val="21"/>
                      <w:lang w:val="en-US" w:eastAsia="zh-CN"/>
                    </w:rPr>
                  </w:pPr>
                  <w:r>
                    <w:rPr>
                      <w:rFonts w:hint="eastAsia" w:ascii="Times New Roman" w:hAnsi="Times New Roman" w:cs="Times New Roman"/>
                      <w:b/>
                      <w:bCs/>
                      <w:szCs w:val="21"/>
                      <w:lang w:val="en-US" w:eastAsia="zh-CN"/>
                    </w:rPr>
                    <w:t>规程要求</w:t>
                  </w:r>
                </w:p>
              </w:tc>
              <w:tc>
                <w:tcPr>
                  <w:tcW w:w="2169" w:type="dxa"/>
                  <w:noWrap w:val="0"/>
                  <w:vAlign w:val="center"/>
                </w:tcPr>
                <w:p w14:paraId="57928363">
                  <w:pPr>
                    <w:pStyle w:val="14"/>
                    <w:spacing w:line="240" w:lineRule="auto"/>
                    <w:jc w:val="center"/>
                    <w:rPr>
                      <w:rFonts w:hint="default" w:ascii="Times New Roman" w:hAnsi="Times New Roman" w:cs="Times New Roman"/>
                      <w:b/>
                      <w:bCs/>
                      <w:szCs w:val="21"/>
                    </w:rPr>
                  </w:pPr>
                  <w:r>
                    <w:rPr>
                      <w:rFonts w:hint="default" w:ascii="Times New Roman" w:hAnsi="Times New Roman" w:cs="Times New Roman"/>
                      <w:b/>
                      <w:bCs/>
                      <w:szCs w:val="21"/>
                    </w:rPr>
                    <w:t>本项目情况</w:t>
                  </w:r>
                </w:p>
              </w:tc>
              <w:tc>
                <w:tcPr>
                  <w:tcW w:w="1295" w:type="dxa"/>
                  <w:noWrap w:val="0"/>
                  <w:vAlign w:val="center"/>
                </w:tcPr>
                <w:p w14:paraId="11D4D0F6">
                  <w:pPr>
                    <w:pStyle w:val="14"/>
                    <w:spacing w:line="240" w:lineRule="auto"/>
                    <w:jc w:val="center"/>
                    <w:rPr>
                      <w:rFonts w:hint="default" w:ascii="Times New Roman" w:hAnsi="Times New Roman" w:cs="Times New Roman"/>
                      <w:b/>
                      <w:bCs/>
                      <w:szCs w:val="21"/>
                    </w:rPr>
                  </w:pPr>
                  <w:r>
                    <w:rPr>
                      <w:rFonts w:hint="default" w:ascii="Times New Roman" w:hAnsi="Times New Roman" w:cs="Times New Roman"/>
                      <w:b/>
                      <w:bCs/>
                      <w:szCs w:val="21"/>
                    </w:rPr>
                    <w:t>符合性分析</w:t>
                  </w:r>
                </w:p>
              </w:tc>
            </w:tr>
            <w:tr w14:paraId="3840DF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6" w:hRule="atLeast"/>
                <w:jc w:val="center"/>
              </w:trPr>
              <w:tc>
                <w:tcPr>
                  <w:tcW w:w="881" w:type="dxa"/>
                  <w:noWrap w:val="0"/>
                  <w:vAlign w:val="center"/>
                </w:tcPr>
                <w:p w14:paraId="4649BF9B">
                  <w:pPr>
                    <w:pStyle w:val="14"/>
                    <w:spacing w:line="360" w:lineRule="auto"/>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选址</w:t>
                  </w:r>
                </w:p>
              </w:tc>
              <w:tc>
                <w:tcPr>
                  <w:tcW w:w="3875" w:type="dxa"/>
                  <w:noWrap w:val="0"/>
                  <w:vAlign w:val="center"/>
                </w:tcPr>
                <w:p w14:paraId="14773952">
                  <w:pPr>
                    <w:pStyle w:val="14"/>
                    <w:spacing w:line="360" w:lineRule="auto"/>
                    <w:ind w:firstLine="210" w:firstLineChars="100"/>
                    <w:rPr>
                      <w:rFonts w:hint="default" w:ascii="Times New Roman" w:hAnsi="Times New Roman" w:cs="Times New Roman"/>
                      <w:szCs w:val="21"/>
                    </w:rPr>
                  </w:pPr>
                  <w:r>
                    <w:rPr>
                      <w:rFonts w:hint="default" w:ascii="Times New Roman" w:hAnsi="Times New Roman" w:cs="Times New Roman"/>
                      <w:szCs w:val="21"/>
                    </w:rPr>
                    <w:t>厂址选择应靠近资源所在地，并应远离居民区；厂址应选择在工程地质和水文地质较好的地带，并应避开山洪、滑坡、泥石流等地质灾害易发地段；厂址选择宜利用荒山地、山坡地，不占或少占农田、林地，不宜动迁村庄</w:t>
                  </w:r>
                </w:p>
              </w:tc>
              <w:tc>
                <w:tcPr>
                  <w:tcW w:w="2169" w:type="dxa"/>
                  <w:noWrap w:val="0"/>
                  <w:vAlign w:val="center"/>
                </w:tcPr>
                <w:p w14:paraId="18F20F7B">
                  <w:pPr>
                    <w:pStyle w:val="14"/>
                    <w:spacing w:line="360" w:lineRule="auto"/>
                    <w:rPr>
                      <w:rFonts w:hint="default" w:ascii="Times New Roman" w:hAnsi="Times New Roman" w:eastAsia="宋体" w:cs="Times New Roman"/>
                      <w:szCs w:val="21"/>
                      <w:lang w:val="en-US" w:eastAsia="zh-CN"/>
                    </w:rPr>
                  </w:pPr>
                  <w:r>
                    <w:rPr>
                      <w:rFonts w:hint="default" w:ascii="Times New Roman" w:hAnsi="Times New Roman" w:cs="Times New Roman"/>
                      <w:szCs w:val="21"/>
                    </w:rPr>
                    <w:t>本项目</w:t>
                  </w:r>
                  <w:r>
                    <w:rPr>
                      <w:rFonts w:hint="eastAsia" w:ascii="Times New Roman" w:hAnsi="Times New Roman" w:cs="Times New Roman"/>
                      <w:szCs w:val="21"/>
                      <w:lang w:val="en-US" w:eastAsia="zh-CN"/>
                    </w:rPr>
                    <w:t>选址已避开居民区，厂址工程地质和水文地质良好，厂址用地为公路用地，未占农田、林地，</w:t>
                  </w:r>
                  <w:r>
                    <w:rPr>
                      <w:rFonts w:hint="eastAsia" w:cs="Times New Roman"/>
                      <w:szCs w:val="21"/>
                      <w:lang w:val="en-US" w:eastAsia="zh-CN"/>
                    </w:rPr>
                    <w:t>不</w:t>
                  </w:r>
                  <w:r>
                    <w:rPr>
                      <w:rFonts w:hint="eastAsia" w:ascii="Times New Roman" w:hAnsi="Times New Roman" w:cs="Times New Roman"/>
                      <w:szCs w:val="21"/>
                      <w:lang w:val="en-US" w:eastAsia="zh-CN"/>
                    </w:rPr>
                    <w:t>动迁村庄</w:t>
                  </w:r>
                  <w:r>
                    <w:rPr>
                      <w:rFonts w:hint="eastAsia" w:cs="Times New Roman"/>
                      <w:szCs w:val="21"/>
                      <w:lang w:val="en-US" w:eastAsia="zh-CN"/>
                    </w:rPr>
                    <w:t>。</w:t>
                  </w:r>
                </w:p>
              </w:tc>
              <w:tc>
                <w:tcPr>
                  <w:tcW w:w="1295" w:type="dxa"/>
                  <w:noWrap w:val="0"/>
                  <w:vAlign w:val="center"/>
                </w:tcPr>
                <w:p w14:paraId="3E9C37A1">
                  <w:pPr>
                    <w:pStyle w:val="14"/>
                    <w:spacing w:line="360" w:lineRule="auto"/>
                    <w:jc w:val="center"/>
                    <w:rPr>
                      <w:rFonts w:hint="default" w:ascii="Times New Roman" w:hAnsi="Times New Roman" w:cs="Times New Roman"/>
                      <w:szCs w:val="21"/>
                    </w:rPr>
                  </w:pPr>
                </w:p>
                <w:p w14:paraId="459D49AB">
                  <w:pPr>
                    <w:pStyle w:val="14"/>
                    <w:spacing w:line="360" w:lineRule="auto"/>
                    <w:jc w:val="center"/>
                    <w:rPr>
                      <w:rFonts w:hint="default" w:ascii="Times New Roman" w:hAnsi="Times New Roman" w:cs="Times New Roman"/>
                      <w:szCs w:val="21"/>
                    </w:rPr>
                  </w:pPr>
                  <w:r>
                    <w:rPr>
                      <w:rFonts w:hint="default" w:ascii="Times New Roman" w:hAnsi="Times New Roman" w:cs="Times New Roman"/>
                      <w:szCs w:val="21"/>
                    </w:rPr>
                    <w:t>符合</w:t>
                  </w:r>
                </w:p>
              </w:tc>
            </w:tr>
            <w:tr w14:paraId="099A9B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881" w:type="dxa"/>
                  <w:noWrap w:val="0"/>
                  <w:vAlign w:val="center"/>
                </w:tcPr>
                <w:p w14:paraId="1B260972">
                  <w:pPr>
                    <w:pStyle w:val="14"/>
                    <w:spacing w:line="360" w:lineRule="auto"/>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平面布置</w:t>
                  </w:r>
                </w:p>
              </w:tc>
              <w:tc>
                <w:tcPr>
                  <w:tcW w:w="3875" w:type="dxa"/>
                  <w:noWrap w:val="0"/>
                  <w:vAlign w:val="center"/>
                </w:tcPr>
                <w:p w14:paraId="7B36A840">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总平面布置宜采用集中布置方式，并应按功能合理设置分区。</w:t>
                  </w:r>
                </w:p>
                <w:p w14:paraId="520D4540">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洗车台宜露天布置，可采用贯通式或尽头式。洗车台应设置排水沟，排水沟应与排水系统连通；</w:t>
                  </w:r>
                </w:p>
                <w:p w14:paraId="18EA9233">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成品库（堆场）设计应符合下列规定：</w:t>
                  </w:r>
                  <w:r>
                    <w:rPr>
                      <w:rFonts w:hint="default" w:ascii="Times New Roman" w:hAnsi="Times New Roman" w:eastAsia="宋体" w:cs="Times New Roman"/>
                      <w:kern w:val="2"/>
                      <w:sz w:val="21"/>
                      <w:szCs w:val="21"/>
                      <w:lang w:val="en-US" w:eastAsia="zh-CN" w:bidi="ar-SA"/>
                    </w:rPr>
                    <w:t>1</w:t>
                  </w:r>
                  <w:r>
                    <w:rPr>
                      <w:rFonts w:hint="eastAsia" w:ascii="Times New Roman" w:hAnsi="Times New Roman" w:eastAsia="宋体" w:cs="Times New Roman"/>
                      <w:kern w:val="2"/>
                      <w:sz w:val="21"/>
                      <w:szCs w:val="21"/>
                      <w:lang w:val="en-US" w:eastAsia="zh-CN" w:bidi="ar-SA"/>
                    </w:rPr>
                    <w:t>、成品库（堆场）的场地宜满足物料进行装（卸）车、倒堆储存及转运要求，并应具有满足装卸和储存要求的装（卸）车位及储存场地；</w:t>
                  </w:r>
                  <w:r>
                    <w:rPr>
                      <w:rFonts w:hint="default" w:ascii="Times New Roman" w:hAnsi="Times New Roman" w:eastAsia="宋体" w:cs="Times New Roman"/>
                      <w:kern w:val="2"/>
                      <w:sz w:val="21"/>
                      <w:szCs w:val="21"/>
                      <w:lang w:val="en-US" w:eastAsia="zh-CN" w:bidi="ar-SA"/>
                    </w:rPr>
                    <w:t>2</w:t>
                  </w:r>
                  <w:r>
                    <w:rPr>
                      <w:rFonts w:hint="eastAsia" w:ascii="Times New Roman" w:hAnsi="Times New Roman" w:eastAsia="宋体" w:cs="Times New Roman"/>
                      <w:kern w:val="2"/>
                      <w:sz w:val="21"/>
                      <w:szCs w:val="21"/>
                      <w:lang w:val="en-US" w:eastAsia="zh-CN" w:bidi="ar-SA"/>
                    </w:rPr>
                    <w:t>、成品库（堆场）设计储存能力应满足生产对储存期及装（卸）车长度要求；</w:t>
                  </w:r>
                  <w:r>
                    <w:rPr>
                      <w:rFonts w:hint="default" w:ascii="Times New Roman" w:hAnsi="Times New Roman" w:eastAsia="宋体" w:cs="Times New Roman"/>
                      <w:kern w:val="2"/>
                      <w:sz w:val="21"/>
                      <w:szCs w:val="21"/>
                      <w:lang w:val="en-US" w:eastAsia="zh-CN" w:bidi="ar-SA"/>
                    </w:rPr>
                    <w:t>3</w:t>
                  </w:r>
                  <w:r>
                    <w:rPr>
                      <w:rFonts w:hint="eastAsia" w:ascii="Times New Roman" w:hAnsi="Times New Roman" w:eastAsia="宋体" w:cs="Times New Roman"/>
                      <w:kern w:val="2"/>
                      <w:sz w:val="21"/>
                      <w:szCs w:val="21"/>
                      <w:lang w:val="en-US" w:eastAsia="zh-CN" w:bidi="ar-SA"/>
                    </w:rPr>
                    <w:t>、成品库（堆场）竖向设计及地表水排放宜与厂区竖向设计和排水系统协调一致；</w:t>
                  </w:r>
                </w:p>
                <w:p w14:paraId="574C3DAE">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cs="Times New Roman"/>
                      <w:szCs w:val="21"/>
                    </w:rPr>
                  </w:pPr>
                  <w:r>
                    <w:rPr>
                      <w:rFonts w:hint="eastAsia" w:ascii="Times New Roman" w:hAnsi="Times New Roman" w:eastAsia="宋体" w:cs="Times New Roman"/>
                      <w:kern w:val="2"/>
                      <w:sz w:val="21"/>
                      <w:szCs w:val="21"/>
                      <w:lang w:val="en-US" w:eastAsia="zh-CN" w:bidi="ar-SA"/>
                    </w:rPr>
                    <w:t>厂区道路设计应符合现行国家标准《厂矿道路设计规范》</w:t>
                  </w:r>
                  <w:r>
                    <w:rPr>
                      <w:rFonts w:hint="default" w:ascii="Times New Roman" w:hAnsi="Times New Roman" w:eastAsia="宋体" w:cs="Times New Roman"/>
                      <w:kern w:val="2"/>
                      <w:sz w:val="21"/>
                      <w:szCs w:val="21"/>
                      <w:lang w:val="en-US" w:eastAsia="zh-CN" w:bidi="ar-SA"/>
                    </w:rPr>
                    <w:t>GBJ22</w:t>
                  </w:r>
                  <w:r>
                    <w:rPr>
                      <w:rFonts w:hint="eastAsia" w:ascii="Times New Roman" w:hAnsi="Times New Roman" w:eastAsia="宋体" w:cs="Times New Roman"/>
                      <w:kern w:val="2"/>
                      <w:sz w:val="21"/>
                      <w:szCs w:val="21"/>
                      <w:lang w:val="en-US" w:eastAsia="zh-CN" w:bidi="ar-SA"/>
                    </w:rPr>
                    <w:t>的有关规定。消防通道路面宽度不应小于</w:t>
                  </w:r>
                  <w:r>
                    <w:rPr>
                      <w:rFonts w:hint="default" w:ascii="Times New Roman" w:hAnsi="Times New Roman" w:eastAsia="宋体" w:cs="Times New Roman"/>
                      <w:kern w:val="2"/>
                      <w:sz w:val="21"/>
                      <w:szCs w:val="21"/>
                      <w:lang w:val="en-US" w:eastAsia="zh-CN" w:bidi="ar-SA"/>
                    </w:rPr>
                    <w:t>4.0m</w:t>
                  </w:r>
                  <w:r>
                    <w:rPr>
                      <w:rFonts w:hint="eastAsia" w:ascii="Times New Roman" w:hAnsi="Times New Roman" w:eastAsia="宋体" w:cs="Times New Roman"/>
                      <w:kern w:val="2"/>
                      <w:sz w:val="21"/>
                      <w:szCs w:val="21"/>
                      <w:lang w:val="en-US" w:eastAsia="zh-CN" w:bidi="ar-SA"/>
                    </w:rPr>
                    <w:t>、通行净空高度不应小于</w:t>
                  </w:r>
                  <w:r>
                    <w:rPr>
                      <w:rFonts w:hint="default" w:ascii="Times New Roman" w:hAnsi="Times New Roman" w:eastAsia="宋体" w:cs="Times New Roman"/>
                      <w:kern w:val="2"/>
                      <w:sz w:val="21"/>
                      <w:szCs w:val="21"/>
                      <w:lang w:val="en-US" w:eastAsia="zh-CN" w:bidi="ar-SA"/>
                    </w:rPr>
                    <w:t>4.5m</w:t>
                  </w:r>
                  <w:r>
                    <w:rPr>
                      <w:rFonts w:hint="eastAsia" w:ascii="Times New Roman" w:hAnsi="Times New Roman" w:eastAsia="宋体" w:cs="Times New Roman"/>
                      <w:kern w:val="2"/>
                      <w:sz w:val="21"/>
                      <w:szCs w:val="21"/>
                      <w:lang w:val="en-US" w:eastAsia="zh-CN" w:bidi="ar-SA"/>
                    </w:rPr>
                    <w:t>；厂区生产运输道路可兼作消防通道，消防通道应全场贯通无障碍。断头路在道路尽头处应设置回车场地；厂区出入口设置应满足厂区消防要求。</w:t>
                  </w:r>
                </w:p>
              </w:tc>
              <w:tc>
                <w:tcPr>
                  <w:tcW w:w="2169" w:type="dxa"/>
                  <w:noWrap w:val="0"/>
                  <w:vAlign w:val="center"/>
                </w:tcPr>
                <w:p w14:paraId="6BD3C6D7">
                  <w:pPr>
                    <w:pStyle w:val="14"/>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本项目生产区域已按照功能分区设置；</w:t>
                  </w:r>
                </w:p>
                <w:p w14:paraId="2A9209F4">
                  <w:pPr>
                    <w:pStyle w:val="14"/>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洗车设施布置于厂区出入口处；</w:t>
                  </w:r>
                </w:p>
                <w:p w14:paraId="58C98F21">
                  <w:pPr>
                    <w:pStyle w:val="14"/>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成品堆场满足物料</w:t>
                  </w:r>
                  <w:r>
                    <w:rPr>
                      <w:rFonts w:hint="eastAsia" w:ascii="Times New Roman" w:hAnsi="Times New Roman" w:eastAsia="宋体" w:cs="Times New Roman"/>
                      <w:kern w:val="2"/>
                      <w:sz w:val="21"/>
                      <w:szCs w:val="21"/>
                      <w:lang w:val="en-US" w:eastAsia="zh-CN" w:bidi="ar-SA"/>
                    </w:rPr>
                    <w:t>（卸）车、倒堆储存及转运要求并应具有满足装卸和储存要求的装（卸）车位及储存场地；堆场长度满足装（卸）车长度要求，成品堆场外围设置有雨水沟渠截排地表径流。</w:t>
                  </w:r>
                </w:p>
                <w:p w14:paraId="5B3E5813">
                  <w:pPr>
                    <w:pStyle w:val="14"/>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厂区道路设计满足《厂矿道路设计规范》</w:t>
                  </w:r>
                  <w:r>
                    <w:rPr>
                      <w:rFonts w:hint="default" w:ascii="Times New Roman" w:hAnsi="Times New Roman" w:eastAsia="宋体" w:cs="Times New Roman"/>
                      <w:kern w:val="2"/>
                      <w:sz w:val="21"/>
                      <w:szCs w:val="21"/>
                      <w:lang w:val="en-US" w:eastAsia="zh-CN" w:bidi="ar-SA"/>
                    </w:rPr>
                    <w:t>GBJ22</w:t>
                  </w:r>
                  <w:r>
                    <w:rPr>
                      <w:rFonts w:hint="eastAsia" w:ascii="Times New Roman" w:hAnsi="Times New Roman" w:eastAsia="宋体" w:cs="Times New Roman"/>
                      <w:kern w:val="2"/>
                      <w:sz w:val="21"/>
                      <w:szCs w:val="21"/>
                      <w:lang w:val="en-US" w:eastAsia="zh-CN" w:bidi="ar-SA"/>
                    </w:rPr>
                    <w:t>的有关规定。</w:t>
                  </w:r>
                </w:p>
              </w:tc>
              <w:tc>
                <w:tcPr>
                  <w:tcW w:w="1295" w:type="dxa"/>
                  <w:noWrap w:val="0"/>
                  <w:vAlign w:val="center"/>
                </w:tcPr>
                <w:p w14:paraId="4F612D0B">
                  <w:pPr>
                    <w:pStyle w:val="14"/>
                    <w:spacing w:line="360" w:lineRule="auto"/>
                    <w:jc w:val="center"/>
                    <w:rPr>
                      <w:rFonts w:hint="default" w:ascii="Times New Roman" w:hAnsi="Times New Roman" w:cs="Times New Roman"/>
                      <w:szCs w:val="21"/>
                    </w:rPr>
                  </w:pPr>
                </w:p>
                <w:p w14:paraId="5248083B">
                  <w:pPr>
                    <w:pStyle w:val="14"/>
                    <w:spacing w:line="360" w:lineRule="auto"/>
                    <w:jc w:val="center"/>
                    <w:rPr>
                      <w:rFonts w:hint="default" w:ascii="Times New Roman" w:hAnsi="Times New Roman" w:cs="Times New Roman"/>
                      <w:szCs w:val="21"/>
                    </w:rPr>
                  </w:pPr>
                  <w:r>
                    <w:rPr>
                      <w:rFonts w:hint="default" w:ascii="Times New Roman" w:hAnsi="Times New Roman" w:cs="Times New Roman"/>
                      <w:szCs w:val="21"/>
                    </w:rPr>
                    <w:t>符合</w:t>
                  </w:r>
                </w:p>
              </w:tc>
            </w:tr>
            <w:tr w14:paraId="12E9B5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881" w:type="dxa"/>
                  <w:noWrap w:val="0"/>
                  <w:vAlign w:val="center"/>
                </w:tcPr>
                <w:p w14:paraId="76D59A73">
                  <w:pPr>
                    <w:pStyle w:val="14"/>
                    <w:spacing w:line="360" w:lineRule="auto"/>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工艺</w:t>
                  </w:r>
                </w:p>
              </w:tc>
              <w:tc>
                <w:tcPr>
                  <w:tcW w:w="3875" w:type="dxa"/>
                  <w:noWrap w:val="0"/>
                  <w:vAlign w:val="center"/>
                </w:tcPr>
                <w:p w14:paraId="18A8D9C5">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eastAsia" w:ascii="Times New Roman" w:hAnsi="Times New Roman" w:eastAsia="宋体" w:cs="Times New Roman"/>
                      <w:szCs w:val="21"/>
                      <w:lang w:eastAsia="zh-CN"/>
                    </w:rPr>
                  </w:pPr>
                  <w:r>
                    <w:rPr>
                      <w:rFonts w:hint="eastAsia" w:ascii="宋体" w:hAnsi="宋体" w:eastAsia="宋体" w:cs="宋体"/>
                      <w:color w:val="000000"/>
                      <w:kern w:val="0"/>
                      <w:sz w:val="20"/>
                      <w:szCs w:val="20"/>
                      <w:lang w:val="en-US" w:eastAsia="zh-CN" w:bidi="ar"/>
                    </w:rPr>
                    <w:t>对产品粒形、粒径有明确要求的基质骨料加工设计应增加整形工艺；制砂工艺流程设计应优先采用干法制砂工艺。干法制砂产品的含泥量、细度模数、颗粒级配应符合现行国家标准《建筑用砂》</w:t>
                  </w:r>
                  <w:r>
                    <w:rPr>
                      <w:rFonts w:hint="default" w:ascii="Times New Roman" w:hAnsi="Times New Roman" w:eastAsia="宋体" w:cs="Times New Roman"/>
                      <w:color w:val="000000"/>
                      <w:kern w:val="0"/>
                      <w:sz w:val="20"/>
                      <w:szCs w:val="20"/>
                      <w:lang w:val="en-US" w:eastAsia="zh-CN" w:bidi="ar"/>
                    </w:rPr>
                    <w:t>GB/T14684</w:t>
                  </w:r>
                  <w:r>
                    <w:rPr>
                      <w:rFonts w:hint="eastAsia" w:ascii="宋体" w:hAnsi="宋体" w:eastAsia="宋体" w:cs="宋体"/>
                      <w:color w:val="000000"/>
                      <w:kern w:val="0"/>
                      <w:sz w:val="20"/>
                      <w:szCs w:val="20"/>
                      <w:lang w:val="en-US" w:eastAsia="zh-CN" w:bidi="ar"/>
                    </w:rPr>
                    <w:t>的有关规定，但不能满足时，宜采用湿法制砂工艺；工艺布置时，应控制转运点数量，减少扬尘产生环节。</w:t>
                  </w:r>
                </w:p>
              </w:tc>
              <w:tc>
                <w:tcPr>
                  <w:tcW w:w="2169" w:type="dxa"/>
                  <w:noWrap w:val="0"/>
                  <w:vAlign w:val="center"/>
                </w:tcPr>
                <w:p w14:paraId="7230066D">
                  <w:pPr>
                    <w:pStyle w:val="14"/>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项目设置有制砂机；制砂工艺为湿法制砂；各转运点设置喷淋降尘措施。</w:t>
                  </w:r>
                </w:p>
                <w:p w14:paraId="6A6CEC48">
                  <w:pPr>
                    <w:pStyle w:val="14"/>
                    <w:spacing w:line="360" w:lineRule="auto"/>
                    <w:rPr>
                      <w:rFonts w:hint="default" w:ascii="Times New Roman" w:hAnsi="Times New Roman" w:cs="Times New Roman"/>
                      <w:szCs w:val="21"/>
                    </w:rPr>
                  </w:pPr>
                </w:p>
              </w:tc>
              <w:tc>
                <w:tcPr>
                  <w:tcW w:w="1295" w:type="dxa"/>
                  <w:noWrap w:val="0"/>
                  <w:vAlign w:val="center"/>
                </w:tcPr>
                <w:p w14:paraId="3B0ACA95">
                  <w:pPr>
                    <w:pStyle w:val="14"/>
                    <w:spacing w:line="360" w:lineRule="auto"/>
                    <w:jc w:val="center"/>
                    <w:rPr>
                      <w:rFonts w:hint="default" w:ascii="Times New Roman" w:hAnsi="Times New Roman" w:cs="Times New Roman"/>
                      <w:szCs w:val="21"/>
                    </w:rPr>
                  </w:pPr>
                  <w:r>
                    <w:rPr>
                      <w:rFonts w:hint="default" w:ascii="Times New Roman" w:hAnsi="Times New Roman" w:cs="Times New Roman"/>
                      <w:szCs w:val="21"/>
                    </w:rPr>
                    <w:t>符合</w:t>
                  </w:r>
                </w:p>
              </w:tc>
            </w:tr>
            <w:tr w14:paraId="7DE728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881" w:type="dxa"/>
                  <w:vMerge w:val="restart"/>
                  <w:noWrap w:val="0"/>
                  <w:vAlign w:val="center"/>
                </w:tcPr>
                <w:p w14:paraId="01E3709B">
                  <w:pPr>
                    <w:pStyle w:val="14"/>
                    <w:spacing w:line="360" w:lineRule="auto"/>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环境保护</w:t>
                  </w:r>
                </w:p>
              </w:tc>
              <w:tc>
                <w:tcPr>
                  <w:tcW w:w="3875" w:type="dxa"/>
                  <w:noWrap w:val="0"/>
                  <w:vAlign w:val="center"/>
                </w:tcPr>
                <w:p w14:paraId="701E018A">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eastAsia" w:ascii="Times New Roman" w:hAnsi="Times New Roman" w:eastAsia="宋体" w:cs="Times New Roman"/>
                      <w:szCs w:val="21"/>
                      <w:lang w:eastAsia="zh-CN"/>
                    </w:rPr>
                  </w:pPr>
                  <w:r>
                    <w:rPr>
                      <w:rFonts w:hint="eastAsia" w:ascii="宋体" w:hAnsi="宋体" w:eastAsia="宋体" w:cs="宋体"/>
                      <w:color w:val="000000"/>
                      <w:kern w:val="0"/>
                      <w:sz w:val="20"/>
                      <w:szCs w:val="20"/>
                      <w:lang w:val="en-US" w:eastAsia="zh-CN" w:bidi="ar"/>
                    </w:rPr>
                    <w:t>机制砂石骨料工厂应对破碎、筛分及输送等生产环节采取封闭措施；机制砂石骨料工厂应对破碎、筛分及输送转运站等扬尘点设置收尘装置，粉尘排放浓度应符合现行国家《大气污染物综合排放标准》</w:t>
                  </w:r>
                  <w:r>
                    <w:rPr>
                      <w:rFonts w:hint="default" w:ascii="Times New Roman" w:hAnsi="Times New Roman" w:eastAsia="宋体" w:cs="Times New Roman"/>
                      <w:color w:val="000000"/>
                      <w:kern w:val="0"/>
                      <w:sz w:val="20"/>
                      <w:szCs w:val="20"/>
                      <w:lang w:val="en-US" w:eastAsia="zh-CN" w:bidi="ar"/>
                    </w:rPr>
                    <w:t>GB16297</w:t>
                  </w:r>
                  <w:r>
                    <w:rPr>
                      <w:rFonts w:hint="eastAsia" w:ascii="宋体" w:hAnsi="宋体" w:eastAsia="宋体" w:cs="宋体"/>
                      <w:color w:val="000000"/>
                      <w:kern w:val="0"/>
                      <w:sz w:val="20"/>
                      <w:szCs w:val="20"/>
                      <w:lang w:val="en-US" w:eastAsia="zh-CN" w:bidi="ar"/>
                    </w:rPr>
                    <w:t>的有关规定，并应满足厂区所在地区的环保要求；对于无组织排放的扬尘场所，应采取喷雾、洒水、封闭等防尘措施。</w:t>
                  </w:r>
                </w:p>
              </w:tc>
              <w:tc>
                <w:tcPr>
                  <w:tcW w:w="2169" w:type="dxa"/>
                  <w:noWrap w:val="0"/>
                  <w:vAlign w:val="center"/>
                </w:tcPr>
                <w:p w14:paraId="2E62B6EE">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项目破碎、筛分、输送等生产环境均在密闭车间内，采取湿法作业，喷雾降尘等措施后对大气环境影响可接受；原料、成品堆场及生产车间、道路设置喷雾、喷淋及洒水等措施抑尘。</w:t>
                  </w:r>
                </w:p>
                <w:p w14:paraId="01D80E10">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default" w:ascii="宋体" w:hAnsi="宋体" w:eastAsia="宋体" w:cs="宋体"/>
                      <w:color w:val="000000"/>
                      <w:kern w:val="0"/>
                      <w:sz w:val="20"/>
                      <w:szCs w:val="20"/>
                      <w:lang w:val="en-US" w:eastAsia="zh-CN" w:bidi="ar"/>
                    </w:rPr>
                  </w:pPr>
                </w:p>
              </w:tc>
              <w:tc>
                <w:tcPr>
                  <w:tcW w:w="1295" w:type="dxa"/>
                  <w:noWrap w:val="0"/>
                  <w:vAlign w:val="center"/>
                </w:tcPr>
                <w:p w14:paraId="793C718C">
                  <w:pPr>
                    <w:pStyle w:val="14"/>
                    <w:spacing w:line="360" w:lineRule="auto"/>
                    <w:jc w:val="center"/>
                    <w:rPr>
                      <w:rFonts w:hint="default" w:ascii="Times New Roman" w:hAnsi="Times New Roman" w:cs="Times New Roman"/>
                      <w:szCs w:val="21"/>
                    </w:rPr>
                  </w:pPr>
                </w:p>
              </w:tc>
            </w:tr>
            <w:tr w14:paraId="2A17B1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881" w:type="dxa"/>
                  <w:vMerge w:val="continue"/>
                  <w:noWrap w:val="0"/>
                  <w:vAlign w:val="center"/>
                </w:tcPr>
                <w:p w14:paraId="126EEF7D">
                  <w:pPr>
                    <w:pStyle w:val="14"/>
                    <w:spacing w:line="360" w:lineRule="auto"/>
                    <w:rPr>
                      <w:rFonts w:hint="eastAsia" w:ascii="Times New Roman" w:hAnsi="Times New Roman" w:cs="Times New Roman"/>
                      <w:szCs w:val="21"/>
                      <w:lang w:val="en-US" w:eastAsia="zh-CN"/>
                    </w:rPr>
                  </w:pPr>
                </w:p>
              </w:tc>
              <w:tc>
                <w:tcPr>
                  <w:tcW w:w="3875" w:type="dxa"/>
                  <w:noWrap w:val="0"/>
                  <w:vAlign w:val="center"/>
                </w:tcPr>
                <w:p w14:paraId="5C27AF25">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eastAsia" w:ascii="Times New Roman" w:hAnsi="Times New Roman" w:eastAsia="宋体" w:cs="Times New Roman"/>
                      <w:szCs w:val="21"/>
                      <w:lang w:eastAsia="zh-CN"/>
                    </w:rPr>
                  </w:pPr>
                  <w:r>
                    <w:rPr>
                      <w:rFonts w:hint="eastAsia" w:ascii="宋体" w:hAnsi="宋体" w:eastAsia="宋体" w:cs="宋体"/>
                      <w:color w:val="000000"/>
                      <w:kern w:val="0"/>
                      <w:sz w:val="20"/>
                      <w:szCs w:val="20"/>
                      <w:lang w:val="en-US" w:eastAsia="zh-CN" w:bidi="ar"/>
                    </w:rPr>
                    <w:t>收尘设备收下的粉尘经处理后应运到固定地点堆放，并应采取防止二次污染的措施；固体废弃物宜综合利用。</w:t>
                  </w:r>
                </w:p>
              </w:tc>
              <w:tc>
                <w:tcPr>
                  <w:tcW w:w="2169" w:type="dxa"/>
                  <w:noWrap w:val="0"/>
                  <w:vAlign w:val="center"/>
                </w:tcPr>
                <w:p w14:paraId="07365ADC">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项目不设置收尘设备，采用喷雾抑尘措施抑尘，项目产生的生活垃圾收集后交由白马镇环卫部门处置，项目</w:t>
                  </w:r>
                  <w:r>
                    <w:rPr>
                      <w:rFonts w:hint="eastAsia" w:ascii="宋体" w:hAnsi="宋体" w:eastAsia="宋体" w:cs="宋体"/>
                      <w:color w:val="000000" w:themeColor="text1"/>
                      <w:kern w:val="0"/>
                      <w:sz w:val="20"/>
                      <w:szCs w:val="20"/>
                      <w:lang w:val="en-US" w:eastAsia="zh-CN" w:bidi="ar"/>
                      <w14:textFill>
                        <w14:solidFill>
                          <w14:schemeClr w14:val="tx1"/>
                        </w14:solidFill>
                      </w14:textFill>
                    </w:rPr>
                    <w:t>产生的淤泥经压滤并符合相关标准后用于筑路回填、土地复耕、绿化等。</w:t>
                  </w:r>
                </w:p>
              </w:tc>
              <w:tc>
                <w:tcPr>
                  <w:tcW w:w="1295" w:type="dxa"/>
                  <w:noWrap w:val="0"/>
                  <w:vAlign w:val="center"/>
                </w:tcPr>
                <w:p w14:paraId="094C009C">
                  <w:pPr>
                    <w:pStyle w:val="14"/>
                    <w:spacing w:line="360" w:lineRule="auto"/>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符合</w:t>
                  </w:r>
                </w:p>
              </w:tc>
            </w:tr>
            <w:tr w14:paraId="3923E7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881" w:type="dxa"/>
                  <w:vMerge w:val="continue"/>
                  <w:noWrap w:val="0"/>
                  <w:vAlign w:val="center"/>
                </w:tcPr>
                <w:p w14:paraId="65241D78">
                  <w:pPr>
                    <w:pStyle w:val="14"/>
                    <w:spacing w:line="360" w:lineRule="auto"/>
                    <w:rPr>
                      <w:rFonts w:hint="eastAsia" w:ascii="Times New Roman" w:hAnsi="Times New Roman" w:cs="Times New Roman"/>
                      <w:szCs w:val="21"/>
                      <w:lang w:val="en-US" w:eastAsia="zh-CN"/>
                    </w:rPr>
                  </w:pPr>
                </w:p>
              </w:tc>
              <w:tc>
                <w:tcPr>
                  <w:tcW w:w="3875" w:type="dxa"/>
                  <w:noWrap w:val="0"/>
                  <w:vAlign w:val="center"/>
                </w:tcPr>
                <w:p w14:paraId="693355DF">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eastAsia" w:ascii="Times New Roman" w:hAnsi="Times New Roman" w:eastAsia="宋体" w:cs="Times New Roman"/>
                      <w:szCs w:val="21"/>
                      <w:lang w:eastAsia="zh-CN"/>
                    </w:rPr>
                  </w:pPr>
                  <w:r>
                    <w:rPr>
                      <w:rFonts w:hint="eastAsia" w:ascii="宋体" w:hAnsi="宋体" w:eastAsia="宋体" w:cs="宋体"/>
                      <w:color w:val="000000"/>
                      <w:kern w:val="0"/>
                      <w:sz w:val="20"/>
                      <w:szCs w:val="20"/>
                      <w:lang w:val="en-US" w:eastAsia="zh-CN" w:bidi="ar"/>
                    </w:rPr>
                    <w:t>生产排水、雨水和生活污水，应清污分流；设备冷却用水应采用循环水冷却系统；污水排放标准应符合现行国家标准《污水综合排放标准》</w:t>
                  </w:r>
                  <w:r>
                    <w:rPr>
                      <w:rFonts w:hint="default" w:ascii="Times New Roman" w:hAnsi="Times New Roman" w:eastAsia="宋体" w:cs="Times New Roman"/>
                      <w:color w:val="000000"/>
                      <w:kern w:val="0"/>
                      <w:sz w:val="20"/>
                      <w:szCs w:val="20"/>
                      <w:lang w:val="en-US" w:eastAsia="zh-CN" w:bidi="ar"/>
                    </w:rPr>
                    <w:t>GB8978</w:t>
                  </w:r>
                  <w:r>
                    <w:rPr>
                      <w:rFonts w:hint="eastAsia" w:ascii="宋体" w:hAnsi="宋体" w:eastAsia="宋体" w:cs="宋体"/>
                      <w:color w:val="000000"/>
                      <w:kern w:val="0"/>
                      <w:sz w:val="20"/>
                      <w:szCs w:val="20"/>
                      <w:lang w:val="en-US" w:eastAsia="zh-CN" w:bidi="ar"/>
                    </w:rPr>
                    <w:t>的有关规定；生产废水应经自然沉淀或机械脱水，固液分离后的清水应回用于生产系统。</w:t>
                  </w:r>
                </w:p>
              </w:tc>
              <w:tc>
                <w:tcPr>
                  <w:tcW w:w="2169" w:type="dxa"/>
                  <w:noWrap w:val="0"/>
                  <w:vAlign w:val="center"/>
                </w:tcPr>
                <w:p w14:paraId="65FA407B">
                  <w:pPr>
                    <w:pStyle w:val="14"/>
                    <w:keepNext w:val="0"/>
                    <w:keepLines w:val="0"/>
                    <w:pageBreakBefore w:val="0"/>
                    <w:widowControl w:val="0"/>
                    <w:kinsoku/>
                    <w:wordWrap/>
                    <w:overflowPunct/>
                    <w:topLinePunct w:val="0"/>
                    <w:autoSpaceDE/>
                    <w:autoSpaceDN/>
                    <w:bidi w:val="0"/>
                    <w:adjustRightInd/>
                    <w:snapToGrid/>
                    <w:spacing w:line="360" w:lineRule="auto"/>
                    <w:ind w:firstLine="200" w:firstLineChars="100"/>
                    <w:textAlignment w:val="auto"/>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本项目无生产废水排放，生产废水经过强化沉淀，固液分离后回用于生产系统。</w:t>
                  </w:r>
                  <w:r>
                    <w:rPr>
                      <w:rFonts w:hint="eastAsia" w:ascii="宋体" w:hAnsi="宋体" w:cs="宋体"/>
                      <w:color w:val="000000"/>
                      <w:kern w:val="0"/>
                      <w:sz w:val="20"/>
                      <w:szCs w:val="20"/>
                      <w:lang w:val="en-US" w:eastAsia="zh-CN" w:bidi="ar"/>
                    </w:rPr>
                    <w:t>生活污水</w:t>
                  </w:r>
                  <w:r>
                    <w:rPr>
                      <w:rFonts w:hint="eastAsia" w:ascii="宋体" w:hAnsi="宋体" w:eastAsia="宋体" w:cs="宋体"/>
                      <w:color w:val="000000"/>
                      <w:kern w:val="0"/>
                      <w:sz w:val="20"/>
                      <w:szCs w:val="20"/>
                      <w:lang w:val="en-US" w:eastAsia="zh-CN" w:bidi="ar"/>
                    </w:rPr>
                    <w:t>经化粪池收集处理后用于农灌。</w:t>
                  </w:r>
                </w:p>
              </w:tc>
              <w:tc>
                <w:tcPr>
                  <w:tcW w:w="1295" w:type="dxa"/>
                  <w:noWrap w:val="0"/>
                  <w:vAlign w:val="center"/>
                </w:tcPr>
                <w:p w14:paraId="34DD00E3">
                  <w:pPr>
                    <w:pStyle w:val="14"/>
                    <w:spacing w:line="360" w:lineRule="auto"/>
                    <w:jc w:val="center"/>
                    <w:rPr>
                      <w:rFonts w:hint="default" w:ascii="Times New Roman" w:hAnsi="Times New Roman" w:cs="Times New Roman"/>
                      <w:szCs w:val="21"/>
                    </w:rPr>
                  </w:pPr>
                  <w:r>
                    <w:rPr>
                      <w:rFonts w:hint="eastAsia" w:ascii="Times New Roman" w:hAnsi="Times New Roman" w:cs="Times New Roman"/>
                      <w:szCs w:val="21"/>
                      <w:lang w:val="en-US" w:eastAsia="zh-CN"/>
                    </w:rPr>
                    <w:t>符合</w:t>
                  </w:r>
                </w:p>
              </w:tc>
            </w:tr>
            <w:tr w14:paraId="7F8A0F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881" w:type="dxa"/>
                  <w:vMerge w:val="continue"/>
                  <w:noWrap w:val="0"/>
                  <w:vAlign w:val="center"/>
                </w:tcPr>
                <w:p w14:paraId="4AEE5467">
                  <w:pPr>
                    <w:pStyle w:val="14"/>
                    <w:spacing w:line="360" w:lineRule="auto"/>
                    <w:rPr>
                      <w:rFonts w:hint="eastAsia" w:ascii="Times New Roman" w:hAnsi="Times New Roman" w:cs="Times New Roman"/>
                      <w:szCs w:val="21"/>
                      <w:lang w:val="en-US" w:eastAsia="zh-CN"/>
                    </w:rPr>
                  </w:pPr>
                </w:p>
              </w:tc>
              <w:tc>
                <w:tcPr>
                  <w:tcW w:w="3875" w:type="dxa"/>
                  <w:noWrap w:val="0"/>
                  <w:vAlign w:val="center"/>
                </w:tcPr>
                <w:p w14:paraId="77F2ECC6">
                  <w:pPr>
                    <w:keepNext w:val="0"/>
                    <w:keepLines w:val="0"/>
                    <w:pageBreakBefore w:val="0"/>
                    <w:widowControl/>
                    <w:suppressLineNumbers w:val="0"/>
                    <w:kinsoku/>
                    <w:wordWrap/>
                    <w:overflowPunct/>
                    <w:topLinePunct w:val="0"/>
                    <w:autoSpaceDE/>
                    <w:autoSpaceDN/>
                    <w:bidi w:val="0"/>
                    <w:adjustRightInd/>
                    <w:snapToGrid/>
                    <w:spacing w:line="360" w:lineRule="auto"/>
                    <w:ind w:firstLine="200" w:firstLineChars="100"/>
                    <w:jc w:val="left"/>
                    <w:textAlignment w:val="auto"/>
                    <w:rPr>
                      <w:rFonts w:hint="eastAsia" w:ascii="Times New Roman" w:hAnsi="Times New Roman" w:eastAsia="宋体" w:cs="Times New Roman"/>
                      <w:szCs w:val="21"/>
                      <w:lang w:eastAsia="zh-CN"/>
                    </w:rPr>
                  </w:pPr>
                  <w:r>
                    <w:rPr>
                      <w:rFonts w:hint="eastAsia" w:ascii="宋体" w:hAnsi="宋体" w:eastAsia="宋体" w:cs="宋体"/>
                      <w:color w:val="000000"/>
                      <w:kern w:val="0"/>
                      <w:sz w:val="20"/>
                      <w:szCs w:val="20"/>
                      <w:lang w:val="en-US" w:eastAsia="zh-CN" w:bidi="ar"/>
                    </w:rPr>
                    <w:t>工厂厂界噪声限值应符合现行国家标准《工业企业厂界环境噪声排放标准》</w:t>
                  </w:r>
                  <w:r>
                    <w:rPr>
                      <w:rFonts w:hint="default" w:ascii="Times New Roman" w:hAnsi="Times New Roman" w:eastAsia="宋体" w:cs="Times New Roman"/>
                      <w:color w:val="000000"/>
                      <w:kern w:val="0"/>
                      <w:sz w:val="20"/>
                      <w:szCs w:val="20"/>
                      <w:lang w:val="en-US" w:eastAsia="zh-CN" w:bidi="ar"/>
                    </w:rPr>
                    <w:t>GB12348</w:t>
                  </w:r>
                  <w:r>
                    <w:rPr>
                      <w:rFonts w:hint="eastAsia" w:ascii="宋体" w:hAnsi="宋体" w:eastAsia="宋体" w:cs="宋体"/>
                      <w:color w:val="000000"/>
                      <w:kern w:val="0"/>
                      <w:sz w:val="20"/>
                      <w:szCs w:val="20"/>
                      <w:lang w:val="en-US" w:eastAsia="zh-CN" w:bidi="ar"/>
                    </w:rPr>
                    <w:t>的有关规定；设备选型时应选用低噪声生产设备，工艺布置应采取控制噪声传播的措施；对高噪强振的设备·应采取消声、减振措施；高强噪声源车间，应采取隔声围护结构等措施。</w:t>
                  </w:r>
                </w:p>
              </w:tc>
              <w:tc>
                <w:tcPr>
                  <w:tcW w:w="2169" w:type="dxa"/>
                  <w:noWrap w:val="0"/>
                  <w:vAlign w:val="center"/>
                </w:tcPr>
                <w:p w14:paraId="330A6C6B">
                  <w:pPr>
                    <w:pStyle w:val="14"/>
                    <w:keepNext w:val="0"/>
                    <w:keepLines w:val="0"/>
                    <w:pageBreakBefore w:val="0"/>
                    <w:widowControl w:val="0"/>
                    <w:kinsoku/>
                    <w:wordWrap/>
                    <w:overflowPunct/>
                    <w:topLinePunct w:val="0"/>
                    <w:autoSpaceDE/>
                    <w:autoSpaceDN/>
                    <w:bidi w:val="0"/>
                    <w:adjustRightInd/>
                    <w:snapToGrid/>
                    <w:spacing w:line="360" w:lineRule="auto"/>
                    <w:ind w:firstLine="200" w:firstLineChars="100"/>
                    <w:textAlignment w:val="auto"/>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根据后文预测，本项目噪声满足</w:t>
                  </w:r>
                  <w:r>
                    <w:rPr>
                      <w:rFonts w:hint="default" w:ascii="Times New Roman" w:hAnsi="Times New Roman" w:eastAsia="宋体" w:cs="Times New Roman"/>
                      <w:color w:val="000000"/>
                      <w:kern w:val="0"/>
                      <w:sz w:val="20"/>
                      <w:szCs w:val="20"/>
                      <w:lang w:val="en-US" w:eastAsia="zh-CN" w:bidi="ar"/>
                    </w:rPr>
                    <w:t>GB12348</w:t>
                  </w:r>
                  <w:r>
                    <w:rPr>
                      <w:rFonts w:hint="eastAsia" w:ascii="宋体" w:hAnsi="宋体" w:eastAsia="宋体" w:cs="宋体"/>
                      <w:color w:val="000000"/>
                      <w:kern w:val="0"/>
                      <w:sz w:val="20"/>
                      <w:szCs w:val="20"/>
                      <w:lang w:val="en-US" w:eastAsia="zh-CN" w:bidi="ar"/>
                    </w:rPr>
                    <w:t>的有关规定；项目主要</w:t>
                  </w:r>
                  <w:r>
                    <w:rPr>
                      <w:rFonts w:hint="eastAsia" w:ascii="宋体" w:hAnsi="宋体" w:cs="宋体"/>
                      <w:color w:val="000000"/>
                      <w:kern w:val="0"/>
                      <w:sz w:val="20"/>
                      <w:szCs w:val="20"/>
                      <w:lang w:val="en-US" w:eastAsia="zh-CN" w:bidi="ar"/>
                    </w:rPr>
                    <w:t>振动设备</w:t>
                  </w:r>
                  <w:r>
                    <w:rPr>
                      <w:rFonts w:hint="eastAsia" w:ascii="宋体" w:hAnsi="宋体" w:eastAsia="宋体" w:cs="宋体"/>
                      <w:color w:val="000000"/>
                      <w:kern w:val="0"/>
                      <w:sz w:val="20"/>
                      <w:szCs w:val="20"/>
                      <w:lang w:val="en-US" w:eastAsia="zh-CN" w:bidi="ar"/>
                    </w:rPr>
                    <w:t>已设置减振措施，高强噪声源均设置于封闭的车间内，利用车间围护隔声。</w:t>
                  </w:r>
                </w:p>
              </w:tc>
              <w:tc>
                <w:tcPr>
                  <w:tcW w:w="1295" w:type="dxa"/>
                  <w:noWrap w:val="0"/>
                  <w:vAlign w:val="center"/>
                </w:tcPr>
                <w:p w14:paraId="2893E9E9">
                  <w:pPr>
                    <w:pStyle w:val="14"/>
                    <w:spacing w:line="360" w:lineRule="auto"/>
                    <w:jc w:val="center"/>
                    <w:rPr>
                      <w:rFonts w:hint="default" w:ascii="Times New Roman" w:hAnsi="Times New Roman" w:cs="Times New Roman"/>
                      <w:szCs w:val="21"/>
                    </w:rPr>
                  </w:pPr>
                  <w:r>
                    <w:rPr>
                      <w:rFonts w:hint="eastAsia" w:ascii="Times New Roman" w:hAnsi="Times New Roman" w:cs="Times New Roman"/>
                      <w:szCs w:val="21"/>
                      <w:lang w:val="en-US" w:eastAsia="zh-CN"/>
                    </w:rPr>
                    <w:t>符合</w:t>
                  </w:r>
                </w:p>
              </w:tc>
            </w:tr>
          </w:tbl>
          <w:p w14:paraId="534927BB">
            <w:pPr>
              <w:spacing w:line="420" w:lineRule="auto"/>
              <w:ind w:firstLine="480" w:firstLineChars="200"/>
              <w:rPr>
                <w:rFonts w:hint="default" w:ascii="Times New Roman" w:hAnsi="Times New Roman" w:cs="Times New Roman"/>
                <w:sz w:val="24"/>
              </w:rPr>
            </w:pPr>
          </w:p>
          <w:p w14:paraId="4B743722">
            <w:pPr>
              <w:pStyle w:val="44"/>
              <w:keepNext w:val="0"/>
              <w:keepLines w:val="0"/>
              <w:pageBreakBefore w:val="0"/>
              <w:widowControl w:val="0"/>
              <w:numPr>
                <w:ilvl w:val="0"/>
                <w:numId w:val="0"/>
              </w:numPr>
              <w:kinsoku/>
              <w:wordWrap/>
              <w:overflowPunct/>
              <w:topLinePunct w:val="0"/>
              <w:autoSpaceDE/>
              <w:autoSpaceDN/>
              <w:bidi w:val="0"/>
              <w:adjustRightInd w:val="0"/>
              <w:snapToGrid w:val="0"/>
              <w:ind w:firstLine="482" w:firstLineChars="200"/>
              <w:textAlignment w:val="auto"/>
              <w:rPr>
                <w:rFonts w:hint="default" w:ascii="Times New Roman" w:hAnsi="Times New Roman" w:cs="Times New Roman"/>
                <w:b/>
                <w:bCs/>
                <w:color w:val="000000"/>
                <w:highlight w:val="none"/>
              </w:rPr>
            </w:pPr>
            <w:r>
              <w:rPr>
                <w:rFonts w:hint="eastAsia" w:ascii="Times New Roman" w:hAnsi="Times New Roman" w:cs="Times New Roman"/>
                <w:b/>
                <w:bCs/>
                <w:color w:val="000000"/>
                <w:highlight w:val="none"/>
                <w:lang w:eastAsia="zh-CN"/>
              </w:rPr>
              <w:t>（</w:t>
            </w:r>
            <w:r>
              <w:rPr>
                <w:rFonts w:hint="eastAsia" w:ascii="Times New Roman" w:hAnsi="Times New Roman" w:cs="Times New Roman"/>
                <w:b/>
                <w:bCs/>
                <w:color w:val="000000"/>
                <w:highlight w:val="none"/>
                <w:lang w:val="en-US" w:eastAsia="zh-CN"/>
              </w:rPr>
              <w:t>10</w:t>
            </w:r>
            <w:r>
              <w:rPr>
                <w:rFonts w:hint="eastAsia" w:ascii="Times New Roman" w:hAnsi="Times New Roman" w:cs="Times New Roman"/>
                <w:b/>
                <w:bCs/>
                <w:color w:val="000000"/>
                <w:highlight w:val="none"/>
                <w:lang w:eastAsia="zh-CN"/>
              </w:rPr>
              <w:t>）</w:t>
            </w:r>
            <w:r>
              <w:rPr>
                <w:rFonts w:hint="default" w:ascii="Times New Roman" w:hAnsi="Times New Roman" w:cs="Times New Roman"/>
                <w:b/>
                <w:bCs/>
                <w:color w:val="000000"/>
                <w:highlight w:val="none"/>
              </w:rPr>
              <w:t>项目与《四川省嘉陵江流域生态环境保护条例》符合性分析</w:t>
            </w:r>
          </w:p>
          <w:p w14:paraId="6B0E61BB">
            <w:pPr>
              <w:pStyle w:val="45"/>
              <w:rPr>
                <w:rFonts w:hint="default" w:ascii="Times New Roman" w:hAnsi="Times New Roman"/>
                <w:color w:val="000000"/>
                <w:highlight w:val="none"/>
              </w:rPr>
            </w:pPr>
            <w:r>
              <w:rPr>
                <w:rFonts w:hint="default" w:ascii="Times New Roman" w:hAnsi="Times New Roman"/>
                <w:color w:val="000000"/>
                <w:highlight w:val="none"/>
              </w:rPr>
              <w:t>表1-1</w:t>
            </w:r>
            <w:r>
              <w:rPr>
                <w:rFonts w:ascii="Times New Roman" w:hAnsi="Times New Roman"/>
                <w:color w:val="000000"/>
                <w:highlight w:val="none"/>
              </w:rPr>
              <w:t>2</w:t>
            </w:r>
            <w:r>
              <w:rPr>
                <w:rFonts w:hint="default" w:ascii="Times New Roman" w:hAnsi="Times New Roman"/>
                <w:color w:val="000000"/>
                <w:highlight w:val="none"/>
              </w:rPr>
              <w:t>项目与四川省嘉陵江流域生态环境保护条例符合性分析</w:t>
            </w:r>
          </w:p>
          <w:tbl>
            <w:tblPr>
              <w:tblStyle w:val="22"/>
              <w:tblW w:w="79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108"/>
              <w:gridCol w:w="4020"/>
              <w:gridCol w:w="2109"/>
              <w:gridCol w:w="700"/>
            </w:tblGrid>
            <w:tr w14:paraId="7B432C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243" w:hRule="atLeast"/>
                <w:jc w:val="center"/>
              </w:trPr>
              <w:tc>
                <w:tcPr>
                  <w:tcW w:w="1108" w:type="dxa"/>
                  <w:noWrap w:val="0"/>
                  <w:vAlign w:val="center"/>
                </w:tcPr>
                <w:p w14:paraId="0BCD4A1E">
                  <w:pPr>
                    <w:keepNext w:val="0"/>
                    <w:keepLines w:val="0"/>
                    <w:pageBreakBefore w:val="0"/>
                    <w:widowControl/>
                    <w:kinsoku/>
                    <w:wordWrap/>
                    <w:overflowPunct/>
                    <w:topLinePunct w:val="0"/>
                    <w:autoSpaceDE/>
                    <w:autoSpaceDN/>
                    <w:bidi w:val="0"/>
                    <w:adjustRightInd w:val="0"/>
                    <w:snapToGrid w:val="0"/>
                    <w:spacing w:line="288" w:lineRule="auto"/>
                    <w:jc w:val="center"/>
                    <w:textAlignment w:val="auto"/>
                    <w:rPr>
                      <w:b/>
                      <w:color w:val="000000"/>
                      <w:kern w:val="0"/>
                      <w:szCs w:val="21"/>
                      <w:highlight w:val="none"/>
                    </w:rPr>
                  </w:pPr>
                  <w:r>
                    <w:rPr>
                      <w:b/>
                      <w:color w:val="000000"/>
                      <w:kern w:val="0"/>
                      <w:szCs w:val="21"/>
                      <w:highlight w:val="none"/>
                    </w:rPr>
                    <w:t>文件名称</w:t>
                  </w:r>
                </w:p>
              </w:tc>
              <w:tc>
                <w:tcPr>
                  <w:tcW w:w="4020" w:type="dxa"/>
                  <w:noWrap w:val="0"/>
                  <w:vAlign w:val="center"/>
                </w:tcPr>
                <w:p w14:paraId="1A2D242E">
                  <w:pPr>
                    <w:keepNext w:val="0"/>
                    <w:keepLines w:val="0"/>
                    <w:pageBreakBefore w:val="0"/>
                    <w:widowControl/>
                    <w:kinsoku/>
                    <w:wordWrap/>
                    <w:overflowPunct/>
                    <w:topLinePunct w:val="0"/>
                    <w:autoSpaceDE/>
                    <w:autoSpaceDN/>
                    <w:bidi w:val="0"/>
                    <w:adjustRightInd w:val="0"/>
                    <w:snapToGrid w:val="0"/>
                    <w:spacing w:line="288" w:lineRule="auto"/>
                    <w:jc w:val="center"/>
                    <w:textAlignment w:val="auto"/>
                    <w:rPr>
                      <w:b/>
                      <w:color w:val="000000"/>
                      <w:kern w:val="0"/>
                      <w:szCs w:val="21"/>
                      <w:highlight w:val="none"/>
                    </w:rPr>
                  </w:pPr>
                  <w:r>
                    <w:rPr>
                      <w:b/>
                      <w:color w:val="000000"/>
                      <w:kern w:val="0"/>
                      <w:szCs w:val="21"/>
                      <w:highlight w:val="none"/>
                    </w:rPr>
                    <w:t>相关要求</w:t>
                  </w:r>
                </w:p>
              </w:tc>
              <w:tc>
                <w:tcPr>
                  <w:tcW w:w="2109" w:type="dxa"/>
                  <w:noWrap w:val="0"/>
                  <w:vAlign w:val="center"/>
                </w:tcPr>
                <w:p w14:paraId="602E113D">
                  <w:pPr>
                    <w:keepNext w:val="0"/>
                    <w:keepLines w:val="0"/>
                    <w:pageBreakBefore w:val="0"/>
                    <w:widowControl/>
                    <w:kinsoku/>
                    <w:wordWrap/>
                    <w:overflowPunct/>
                    <w:topLinePunct w:val="0"/>
                    <w:autoSpaceDE/>
                    <w:autoSpaceDN/>
                    <w:bidi w:val="0"/>
                    <w:adjustRightInd w:val="0"/>
                    <w:snapToGrid w:val="0"/>
                    <w:spacing w:line="288" w:lineRule="auto"/>
                    <w:jc w:val="left"/>
                    <w:textAlignment w:val="auto"/>
                    <w:rPr>
                      <w:b/>
                      <w:color w:val="000000"/>
                      <w:kern w:val="0"/>
                      <w:szCs w:val="21"/>
                      <w:highlight w:val="none"/>
                    </w:rPr>
                  </w:pPr>
                  <w:r>
                    <w:rPr>
                      <w:b/>
                      <w:color w:val="000000"/>
                      <w:kern w:val="0"/>
                      <w:szCs w:val="21"/>
                      <w:highlight w:val="none"/>
                    </w:rPr>
                    <w:t>本项目情况</w:t>
                  </w:r>
                </w:p>
              </w:tc>
              <w:tc>
                <w:tcPr>
                  <w:tcW w:w="700" w:type="dxa"/>
                  <w:noWrap w:val="0"/>
                  <w:vAlign w:val="center"/>
                </w:tcPr>
                <w:p w14:paraId="348373CC">
                  <w:pPr>
                    <w:keepNext w:val="0"/>
                    <w:keepLines w:val="0"/>
                    <w:pageBreakBefore w:val="0"/>
                    <w:widowControl/>
                    <w:kinsoku/>
                    <w:wordWrap/>
                    <w:overflowPunct/>
                    <w:topLinePunct w:val="0"/>
                    <w:autoSpaceDE/>
                    <w:autoSpaceDN/>
                    <w:bidi w:val="0"/>
                    <w:adjustRightInd w:val="0"/>
                    <w:snapToGrid w:val="0"/>
                    <w:spacing w:line="288" w:lineRule="auto"/>
                    <w:jc w:val="left"/>
                    <w:textAlignment w:val="auto"/>
                    <w:rPr>
                      <w:b/>
                      <w:color w:val="000000"/>
                      <w:kern w:val="0"/>
                      <w:szCs w:val="21"/>
                      <w:highlight w:val="none"/>
                    </w:rPr>
                  </w:pPr>
                  <w:r>
                    <w:rPr>
                      <w:b/>
                      <w:color w:val="000000"/>
                      <w:kern w:val="0"/>
                      <w:szCs w:val="21"/>
                      <w:highlight w:val="none"/>
                    </w:rPr>
                    <w:t>符合性</w:t>
                  </w:r>
                </w:p>
              </w:tc>
            </w:tr>
            <w:tr w14:paraId="15E2F7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108" w:type="dxa"/>
                  <w:vMerge w:val="restart"/>
                  <w:noWrap w:val="0"/>
                  <w:vAlign w:val="center"/>
                </w:tcPr>
                <w:p w14:paraId="0A65C45B">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四川省嘉陵江流域生态环境保护条例</w:t>
                  </w:r>
                </w:p>
              </w:tc>
              <w:tc>
                <w:tcPr>
                  <w:tcW w:w="4020" w:type="dxa"/>
                  <w:noWrap w:val="0"/>
                  <w:vAlign w:val="center"/>
                </w:tcPr>
                <w:p w14:paraId="64285C65">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第十七条……</w:t>
                  </w:r>
                </w:p>
                <w:p w14:paraId="2C1FEB18">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　　禁止在嘉陵江干支流岸线一公里范围内新建、扩建化工园区和化工项目。</w:t>
                  </w:r>
                </w:p>
              </w:tc>
              <w:tc>
                <w:tcPr>
                  <w:tcW w:w="2109" w:type="dxa"/>
                  <w:noWrap w:val="0"/>
                  <w:vAlign w:val="center"/>
                </w:tcPr>
                <w:p w14:paraId="3863BA67">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本项目不属于化工项目。</w:t>
                  </w:r>
                </w:p>
              </w:tc>
              <w:tc>
                <w:tcPr>
                  <w:tcW w:w="700" w:type="dxa"/>
                  <w:noWrap w:val="0"/>
                  <w:vAlign w:val="center"/>
                </w:tcPr>
                <w:p w14:paraId="41B358A7">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符合</w:t>
                  </w:r>
                </w:p>
              </w:tc>
            </w:tr>
            <w:tr w14:paraId="319557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108" w:type="dxa"/>
                  <w:vMerge w:val="continue"/>
                  <w:noWrap w:val="0"/>
                  <w:vAlign w:val="center"/>
                </w:tcPr>
                <w:p w14:paraId="36096AFB">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p>
              </w:tc>
              <w:tc>
                <w:tcPr>
                  <w:tcW w:w="4020" w:type="dxa"/>
                  <w:noWrap w:val="0"/>
                  <w:vAlign w:val="center"/>
                </w:tcPr>
                <w:p w14:paraId="3300AF98">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第十九条嘉陵江流域实行重点水污染物排放总量控制制度。……对超过重点水污染物排放总量控制指标或者未完成水环境质量改善目标的区域，省人民政府生态环境主管部门应当会同有关部门约谈该地区人民政府的主要负责人，并暂停审批新增重点水污染物排放总量的建设项目的环境影响评价文件。约谈情况应当向社会公开。</w:t>
                  </w:r>
                </w:p>
              </w:tc>
              <w:tc>
                <w:tcPr>
                  <w:tcW w:w="2109" w:type="dxa"/>
                  <w:noWrap w:val="0"/>
                  <w:vAlign w:val="center"/>
                </w:tcPr>
                <w:p w14:paraId="2A89EC3D">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本项目位于嘉陵江</w:t>
                  </w:r>
                  <w:r>
                    <w:rPr>
                      <w:rFonts w:hint="eastAsia"/>
                      <w:bCs/>
                      <w:color w:val="000000"/>
                      <w:kern w:val="0"/>
                      <w:sz w:val="20"/>
                      <w:szCs w:val="20"/>
                      <w:highlight w:val="none"/>
                      <w:lang w:val="en-US" w:eastAsia="zh-CN"/>
                    </w:rPr>
                    <w:t>二</w:t>
                  </w:r>
                  <w:r>
                    <w:rPr>
                      <w:bCs/>
                      <w:color w:val="000000"/>
                      <w:kern w:val="0"/>
                      <w:sz w:val="20"/>
                      <w:szCs w:val="20"/>
                      <w:highlight w:val="none"/>
                    </w:rPr>
                    <w:t>级支流</w:t>
                  </w:r>
                  <w:r>
                    <w:rPr>
                      <w:rFonts w:hint="eastAsia"/>
                      <w:bCs/>
                      <w:color w:val="000000"/>
                      <w:kern w:val="0"/>
                      <w:sz w:val="20"/>
                      <w:szCs w:val="20"/>
                      <w:highlight w:val="none"/>
                      <w:lang w:val="en-US" w:eastAsia="zh-CN"/>
                    </w:rPr>
                    <w:t>琼江</w:t>
                  </w:r>
                  <w:r>
                    <w:rPr>
                      <w:bCs/>
                      <w:color w:val="000000"/>
                      <w:kern w:val="0"/>
                      <w:sz w:val="20"/>
                      <w:szCs w:val="20"/>
                      <w:highlight w:val="none"/>
                    </w:rPr>
                    <w:t>流域，</w:t>
                  </w:r>
                  <w:r>
                    <w:rPr>
                      <w:rFonts w:hint="eastAsia"/>
                      <w:bCs/>
                      <w:color w:val="000000"/>
                      <w:kern w:val="0"/>
                      <w:sz w:val="20"/>
                      <w:szCs w:val="20"/>
                      <w:highlight w:val="none"/>
                      <w:lang w:val="en-US" w:eastAsia="zh-CN"/>
                    </w:rPr>
                    <w:t>琼江</w:t>
                  </w:r>
                  <w:r>
                    <w:rPr>
                      <w:bCs/>
                      <w:color w:val="000000"/>
                      <w:kern w:val="0"/>
                      <w:sz w:val="20"/>
                      <w:szCs w:val="20"/>
                      <w:highlight w:val="none"/>
                    </w:rPr>
                    <w:t>水质满足法定的III类水质标准。</w:t>
                  </w:r>
                </w:p>
              </w:tc>
              <w:tc>
                <w:tcPr>
                  <w:tcW w:w="700" w:type="dxa"/>
                  <w:noWrap w:val="0"/>
                  <w:vAlign w:val="center"/>
                </w:tcPr>
                <w:p w14:paraId="271D3F53">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符合</w:t>
                  </w:r>
                </w:p>
              </w:tc>
            </w:tr>
            <w:tr w14:paraId="30D4E7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412" w:hRule="atLeast"/>
                <w:jc w:val="center"/>
              </w:trPr>
              <w:tc>
                <w:tcPr>
                  <w:tcW w:w="1108" w:type="dxa"/>
                  <w:vMerge w:val="continue"/>
                  <w:noWrap w:val="0"/>
                  <w:vAlign w:val="center"/>
                </w:tcPr>
                <w:p w14:paraId="66154BDE">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p>
              </w:tc>
              <w:tc>
                <w:tcPr>
                  <w:tcW w:w="4020" w:type="dxa"/>
                  <w:noWrap w:val="0"/>
                  <w:vAlign w:val="center"/>
                </w:tcPr>
                <w:p w14:paraId="4BADCD6C">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第二十一条排污单位排放污染物不得超过国家和省污染物排放标准，不得超过重点水污染物排放总量控制指标。</w:t>
                  </w:r>
                </w:p>
              </w:tc>
              <w:tc>
                <w:tcPr>
                  <w:tcW w:w="2109" w:type="dxa"/>
                  <w:noWrap w:val="0"/>
                  <w:vAlign w:val="center"/>
                </w:tcPr>
                <w:p w14:paraId="0E8901BB">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本项目无生产废水排放，项目废气及噪声根据后文预测均可实现达标排放。</w:t>
                  </w:r>
                </w:p>
              </w:tc>
              <w:tc>
                <w:tcPr>
                  <w:tcW w:w="700" w:type="dxa"/>
                  <w:noWrap w:val="0"/>
                  <w:vAlign w:val="center"/>
                </w:tcPr>
                <w:p w14:paraId="34604CAE">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符合</w:t>
                  </w:r>
                </w:p>
              </w:tc>
            </w:tr>
            <w:tr w14:paraId="34B3A3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jc w:val="center"/>
              </w:trPr>
              <w:tc>
                <w:tcPr>
                  <w:tcW w:w="1108" w:type="dxa"/>
                  <w:vMerge w:val="continue"/>
                  <w:noWrap w:val="0"/>
                  <w:vAlign w:val="center"/>
                </w:tcPr>
                <w:p w14:paraId="043B6A03">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p>
              </w:tc>
              <w:tc>
                <w:tcPr>
                  <w:tcW w:w="4020" w:type="dxa"/>
                  <w:noWrap w:val="0"/>
                  <w:vAlign w:val="center"/>
                </w:tcPr>
                <w:p w14:paraId="108CE045">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第五十八条嘉陵江流域县级以上地方人民政府应当按照有关规定，组织建设城乡污水集中处理设施，并配套建设排水管网，保证城乡污水集中处理设施的收集、处理能力与城乡污水产生量相适应，逐步实现城乡生活污水全收集、全处理。新建城镇排水管网应当实施雨水、污水分流；改建、扩建排水管网不得将雨水管网、污水管网相互混接；现有排水设施因地制宜实施雨水、污水分流改造。</w:t>
                  </w:r>
                </w:p>
              </w:tc>
              <w:tc>
                <w:tcPr>
                  <w:tcW w:w="2109" w:type="dxa"/>
                  <w:noWrap w:val="0"/>
                  <w:vAlign w:val="center"/>
                </w:tcPr>
                <w:p w14:paraId="4E559E76">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本项目所在区域已实现雨污分流，</w:t>
                  </w:r>
                  <w:r>
                    <w:rPr>
                      <w:rFonts w:hint="eastAsia"/>
                      <w:bCs/>
                      <w:color w:val="000000"/>
                      <w:kern w:val="0"/>
                      <w:sz w:val="20"/>
                      <w:szCs w:val="20"/>
                      <w:highlight w:val="none"/>
                      <w:lang w:eastAsia="zh-CN"/>
                    </w:rPr>
                    <w:t>生活污水</w:t>
                  </w:r>
                  <w:r>
                    <w:rPr>
                      <w:bCs/>
                      <w:color w:val="000000"/>
                      <w:kern w:val="0"/>
                      <w:sz w:val="20"/>
                      <w:szCs w:val="20"/>
                      <w:highlight w:val="none"/>
                    </w:rPr>
                    <w:t>经预处理池处理后</w:t>
                  </w:r>
                  <w:r>
                    <w:rPr>
                      <w:rFonts w:hint="eastAsia"/>
                      <w:bCs/>
                      <w:color w:val="000000"/>
                      <w:kern w:val="0"/>
                      <w:sz w:val="20"/>
                      <w:szCs w:val="20"/>
                      <w:highlight w:val="none"/>
                      <w:lang w:val="en-US" w:eastAsia="zh-CN"/>
                    </w:rPr>
                    <w:t>用于农灌</w:t>
                  </w:r>
                  <w:r>
                    <w:rPr>
                      <w:bCs/>
                      <w:color w:val="000000"/>
                      <w:kern w:val="0"/>
                      <w:sz w:val="20"/>
                      <w:szCs w:val="20"/>
                      <w:highlight w:val="none"/>
                    </w:rPr>
                    <w:t>。项目生产废水</w:t>
                  </w:r>
                  <w:r>
                    <w:rPr>
                      <w:rFonts w:hint="eastAsia"/>
                      <w:bCs/>
                      <w:color w:val="000000"/>
                      <w:kern w:val="0"/>
                      <w:sz w:val="20"/>
                      <w:szCs w:val="20"/>
                      <w:highlight w:val="none"/>
                      <w:lang w:val="en-US" w:eastAsia="zh-CN"/>
                    </w:rPr>
                    <w:t>经处理后回用于生产，不</w:t>
                  </w:r>
                  <w:r>
                    <w:rPr>
                      <w:bCs/>
                      <w:color w:val="000000"/>
                      <w:kern w:val="0"/>
                      <w:sz w:val="20"/>
                      <w:szCs w:val="20"/>
                      <w:highlight w:val="none"/>
                    </w:rPr>
                    <w:t>排放。</w:t>
                  </w:r>
                </w:p>
              </w:tc>
              <w:tc>
                <w:tcPr>
                  <w:tcW w:w="700" w:type="dxa"/>
                  <w:noWrap w:val="0"/>
                  <w:vAlign w:val="center"/>
                </w:tcPr>
                <w:p w14:paraId="40EB2C97">
                  <w:pPr>
                    <w:keepNext w:val="0"/>
                    <w:keepLines w:val="0"/>
                    <w:pageBreakBefore w:val="0"/>
                    <w:widowControl/>
                    <w:kinsoku/>
                    <w:wordWrap/>
                    <w:overflowPunct/>
                    <w:topLinePunct w:val="0"/>
                    <w:autoSpaceDE/>
                    <w:autoSpaceDN/>
                    <w:bidi w:val="0"/>
                    <w:adjustRightInd w:val="0"/>
                    <w:snapToGrid w:val="0"/>
                    <w:spacing w:line="360" w:lineRule="auto"/>
                    <w:jc w:val="left"/>
                    <w:textAlignment w:val="auto"/>
                    <w:rPr>
                      <w:bCs/>
                      <w:color w:val="000000"/>
                      <w:kern w:val="0"/>
                      <w:sz w:val="20"/>
                      <w:szCs w:val="20"/>
                      <w:highlight w:val="none"/>
                    </w:rPr>
                  </w:pPr>
                  <w:r>
                    <w:rPr>
                      <w:bCs/>
                      <w:color w:val="000000"/>
                      <w:kern w:val="0"/>
                      <w:sz w:val="20"/>
                      <w:szCs w:val="20"/>
                      <w:highlight w:val="none"/>
                    </w:rPr>
                    <w:t>符合</w:t>
                  </w:r>
                </w:p>
              </w:tc>
            </w:tr>
          </w:tbl>
          <w:p w14:paraId="1ABF1C26">
            <w:pPr>
              <w:pStyle w:val="2"/>
              <w:rPr>
                <w:color w:val="000000"/>
                <w:highlight w:val="none"/>
              </w:rPr>
            </w:pPr>
          </w:p>
          <w:p w14:paraId="7F6D9C9F">
            <w:pPr>
              <w:rPr>
                <w:color w:val="000000"/>
                <w:highlight w:val="none"/>
              </w:rPr>
            </w:pPr>
          </w:p>
          <w:p w14:paraId="70104779">
            <w:pPr>
              <w:pStyle w:val="44"/>
              <w:spacing w:line="240" w:lineRule="auto"/>
              <w:ind w:firstLine="0" w:firstLineChars="0"/>
              <w:rPr>
                <w:rFonts w:hint="default" w:ascii="Times New Roman" w:hAnsi="Times New Roman" w:cs="Times New Roman"/>
              </w:rPr>
            </w:pPr>
          </w:p>
          <w:p w14:paraId="1451D6BA">
            <w:pPr>
              <w:pStyle w:val="44"/>
              <w:spacing w:line="240" w:lineRule="auto"/>
              <w:ind w:firstLine="0" w:firstLineChars="0"/>
              <w:rPr>
                <w:rFonts w:hint="default" w:ascii="Times New Roman" w:hAnsi="Times New Roman" w:cs="Times New Roman"/>
              </w:rPr>
            </w:pPr>
          </w:p>
          <w:p w14:paraId="1DDC2C0A">
            <w:pPr>
              <w:pStyle w:val="44"/>
              <w:spacing w:line="240" w:lineRule="auto"/>
              <w:ind w:firstLine="0" w:firstLineChars="0"/>
              <w:rPr>
                <w:rFonts w:hint="default" w:ascii="Times New Roman" w:hAnsi="Times New Roman" w:cs="Times New Roman"/>
              </w:rPr>
            </w:pPr>
          </w:p>
          <w:p w14:paraId="66F44ECE">
            <w:pPr>
              <w:pStyle w:val="44"/>
              <w:spacing w:line="240" w:lineRule="auto"/>
              <w:ind w:firstLine="0" w:firstLineChars="0"/>
              <w:rPr>
                <w:rFonts w:hint="default" w:ascii="Times New Roman" w:hAnsi="Times New Roman" w:cs="Times New Roman"/>
              </w:rPr>
            </w:pPr>
          </w:p>
          <w:p w14:paraId="4AB514A7">
            <w:pPr>
              <w:pStyle w:val="44"/>
              <w:spacing w:line="240" w:lineRule="auto"/>
              <w:ind w:firstLine="0" w:firstLineChars="0"/>
              <w:rPr>
                <w:rFonts w:hint="default" w:ascii="Times New Roman" w:hAnsi="Times New Roman" w:cs="Times New Roman"/>
              </w:rPr>
            </w:pPr>
          </w:p>
        </w:tc>
      </w:tr>
    </w:tbl>
    <w:p w14:paraId="5EAEC48D">
      <w:pPr>
        <w:spacing w:line="360" w:lineRule="auto"/>
        <w:outlineLvl w:val="0"/>
        <w:rPr>
          <w:rFonts w:hint="default" w:ascii="Times New Roman" w:hAnsi="Times New Roman" w:eastAsia="黑体" w:cs="Times New Roman"/>
          <w:sz w:val="30"/>
        </w:rPr>
        <w:sectPr>
          <w:footerReference r:id="rId5" w:type="default"/>
          <w:pgSz w:w="11906" w:h="16838"/>
          <w:pgMar w:top="1701" w:right="1531" w:bottom="1701" w:left="1531" w:header="851" w:footer="1077" w:gutter="0"/>
          <w:pgBorders>
            <w:top w:val="none" w:sz="0" w:space="0"/>
            <w:left w:val="none" w:sz="0" w:space="0"/>
            <w:bottom w:val="none" w:sz="0" w:space="0"/>
            <w:right w:val="none" w:sz="0" w:space="0"/>
          </w:pgBorders>
          <w:pgNumType w:start="1"/>
          <w:cols w:space="720" w:num="1"/>
          <w:docGrid w:linePitch="312" w:charSpace="0"/>
        </w:sectPr>
      </w:pPr>
    </w:p>
    <w:p w14:paraId="7500245F">
      <w:pPr>
        <w:pStyle w:val="19"/>
        <w:spacing w:before="0" w:beforeAutospacing="0" w:after="0" w:afterAutospacing="0"/>
        <w:outlineLvl w:val="0"/>
        <w:rPr>
          <w:rFonts w:hint="default" w:ascii="Times New Roman" w:hAnsi="Times New Roman" w:eastAsia="黑体" w:cs="Times New Roman"/>
          <w:snapToGrid w:val="0"/>
          <w:sz w:val="30"/>
          <w:szCs w:val="30"/>
        </w:rPr>
      </w:pPr>
      <w:r>
        <w:rPr>
          <w:rFonts w:hint="default" w:ascii="Times New Roman" w:hAnsi="Times New Roman" w:eastAsia="黑体" w:cs="Times New Roman"/>
          <w:snapToGrid w:val="0"/>
          <w:sz w:val="30"/>
          <w:szCs w:val="30"/>
        </w:rPr>
        <w:t>二、建设项目工程分析</w:t>
      </w:r>
    </w:p>
    <w:tbl>
      <w:tblPr>
        <w:tblStyle w:val="2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75"/>
        <w:gridCol w:w="8609"/>
      </w:tblGrid>
      <w:tr w14:paraId="1FB5A7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07" w:hRule="atLeast"/>
          <w:jc w:val="center"/>
        </w:trPr>
        <w:tc>
          <w:tcPr>
            <w:tcW w:w="375" w:type="dxa"/>
            <w:noWrap w:val="0"/>
            <w:vAlign w:val="center"/>
          </w:tcPr>
          <w:p w14:paraId="16AF119E">
            <w:pPr>
              <w:pStyle w:val="19"/>
              <w:adjustRightInd w:val="0"/>
              <w:snapToGrid w:val="0"/>
              <w:spacing w:before="0" w:beforeAutospacing="0" w:after="0" w:afterAutospacing="0"/>
              <w:jc w:val="center"/>
              <w:rPr>
                <w:rFonts w:hint="default" w:ascii="Times New Roman" w:hAnsi="Times New Roman" w:cs="Times New Roman"/>
                <w:color w:val="auto"/>
                <w:sz w:val="21"/>
                <w:szCs w:val="21"/>
              </w:rPr>
            </w:pPr>
            <w:r>
              <w:rPr>
                <w:rFonts w:hint="default" w:ascii="Times New Roman" w:hAnsi="Times New Roman" w:cs="Times New Roman"/>
                <w:color w:val="auto"/>
                <w:szCs w:val="24"/>
              </w:rPr>
              <w:t>建设内容</w:t>
            </w:r>
          </w:p>
        </w:tc>
        <w:tc>
          <w:tcPr>
            <w:tcW w:w="8609" w:type="dxa"/>
            <w:noWrap w:val="0"/>
            <w:vAlign w:val="top"/>
          </w:tcPr>
          <w:p w14:paraId="244BDF02">
            <w:pPr>
              <w:pStyle w:val="44"/>
              <w:spacing w:before="120" w:beforeLines="50"/>
              <w:ind w:firstLine="482"/>
              <w:rPr>
                <w:rFonts w:hint="default" w:ascii="Times New Roman" w:hAnsi="Times New Roman" w:eastAsia="宋体" w:cs="Times New Roman"/>
                <w:b/>
                <w:bCs/>
                <w:color w:val="auto"/>
                <w:lang w:val="en-US" w:eastAsia="zh-CN"/>
              </w:rPr>
            </w:pPr>
            <w:r>
              <w:rPr>
                <w:rFonts w:hint="eastAsia" w:ascii="Times New Roman" w:hAnsi="Times New Roman" w:cs="Times New Roman"/>
                <w:b/>
                <w:bCs/>
                <w:color w:val="auto"/>
                <w:lang w:val="en-US" w:eastAsia="zh-CN"/>
              </w:rPr>
              <w:t>项目由来介绍：</w:t>
            </w:r>
          </w:p>
          <w:p w14:paraId="2D14A9A7">
            <w:pPr>
              <w:pStyle w:val="44"/>
              <w:ind w:firstLine="480"/>
              <w:rPr>
                <w:rFonts w:hint="eastAsia" w:ascii="Times New Roman" w:hAnsi="Times New Roman" w:eastAsia="宋体" w:cs="Times New Roman"/>
                <w:color w:val="000000"/>
                <w:lang w:val="en-US" w:eastAsia="zh-CN"/>
              </w:rPr>
            </w:pPr>
            <w:r>
              <w:rPr>
                <w:rFonts w:hint="eastAsia" w:ascii="Times New Roman" w:hAnsi="Times New Roman" w:eastAsia="宋体" w:cs="Times New Roman"/>
                <w:color w:val="000000"/>
                <w:lang w:eastAsia="zh-CN"/>
              </w:rPr>
              <w:t>成都至达州至万州铁路</w:t>
            </w:r>
            <w:r>
              <w:rPr>
                <w:rFonts w:hint="default" w:ascii="Times New Roman" w:hAnsi="Times New Roman" w:eastAsia="宋体" w:cs="Times New Roman"/>
                <w:color w:val="000000"/>
              </w:rPr>
              <w:t>线路起自重庆市万州北站，经重庆市万州区、开州区，四川省达州市，接入拟建成达万铁路成都至达州南段，线路全长78.333公里。全线设3座车站，其中，利用既有1座，新建2座；新建牵引变电所1座。正线按高速铁路标准建设，为双线电气化客运铁路，设计时速350公里/小时，近期（2035年）运行列车对数43对/日。</w:t>
            </w:r>
            <w:r>
              <w:rPr>
                <w:rFonts w:hint="eastAsia" w:ascii="Times New Roman" w:hAnsi="Times New Roman" w:eastAsia="宋体" w:cs="Times New Roman"/>
                <w:color w:val="000000"/>
                <w:lang w:eastAsia="zh-CN"/>
              </w:rPr>
              <w:t>《</w:t>
            </w:r>
            <w:r>
              <w:rPr>
                <w:rFonts w:hint="eastAsia" w:ascii="Times New Roman" w:hAnsi="Times New Roman" w:eastAsia="宋体" w:cs="Times New Roman"/>
                <w:color w:val="000000"/>
                <w:lang w:val="en-US" w:eastAsia="zh-CN"/>
              </w:rPr>
              <w:t>新建</w:t>
            </w:r>
            <w:r>
              <w:rPr>
                <w:rFonts w:hint="default" w:ascii="Times New Roman" w:hAnsi="Times New Roman" w:eastAsia="宋体" w:cs="Times New Roman"/>
                <w:color w:val="000000"/>
              </w:rPr>
              <w:t>成都至达州至万州铁路达州南（不含）至万州段环境影响报告书</w:t>
            </w:r>
            <w:r>
              <w:rPr>
                <w:rFonts w:hint="eastAsia" w:ascii="Times New Roman" w:hAnsi="Times New Roman" w:eastAsia="宋体" w:cs="Times New Roman"/>
                <w:color w:val="000000"/>
                <w:lang w:eastAsia="zh-CN"/>
              </w:rPr>
              <w:t>》</w:t>
            </w:r>
            <w:r>
              <w:rPr>
                <w:rFonts w:hint="eastAsia" w:ascii="Times New Roman" w:hAnsi="Times New Roman" w:eastAsia="宋体" w:cs="Times New Roman"/>
                <w:color w:val="000000"/>
                <w:lang w:val="en-US" w:eastAsia="zh-CN"/>
              </w:rPr>
              <w:t>于2022年6月17日取得生态环境部的批复（</w:t>
            </w:r>
            <w:r>
              <w:rPr>
                <w:rFonts w:hint="default" w:ascii="Times New Roman" w:hAnsi="Times New Roman" w:eastAsia="宋体" w:cs="Times New Roman"/>
                <w:color w:val="000000"/>
              </w:rPr>
              <w:t>环审〔2022〕78号</w:t>
            </w:r>
            <w:r>
              <w:rPr>
                <w:rFonts w:hint="eastAsia" w:ascii="Times New Roman" w:hAnsi="Times New Roman" w:eastAsia="宋体" w:cs="Times New Roman"/>
                <w:color w:val="000000"/>
                <w:lang w:val="en-US" w:eastAsia="zh-CN"/>
              </w:rPr>
              <w:t>）。</w:t>
            </w:r>
          </w:p>
          <w:p w14:paraId="65A0AEB8">
            <w:pPr>
              <w:pStyle w:val="44"/>
              <w:ind w:firstLine="480"/>
              <w:rPr>
                <w:rFonts w:hint="default" w:ascii="Times New Roman" w:hAnsi="Times New Roman" w:eastAsia="宋体" w:cs="Times New Roman"/>
                <w:color w:val="000000"/>
                <w:lang w:val="en-US" w:eastAsia="zh-CN"/>
              </w:rPr>
            </w:pPr>
            <w:r>
              <w:rPr>
                <w:rFonts w:hint="eastAsia" w:ascii="Times New Roman" w:hAnsi="Times New Roman" w:eastAsia="宋体" w:cs="Times New Roman"/>
                <w:color w:val="000000"/>
                <w:lang w:val="en-US" w:eastAsia="zh-CN"/>
              </w:rPr>
              <w:t>为供应中建八局成达万铁路5标遂宁段搅拌站的砂石需求，经请示，</w:t>
            </w:r>
            <w:r>
              <w:rPr>
                <w:rFonts w:hint="eastAsia" w:ascii="Times New Roman" w:hAnsi="Times New Roman" w:cs="Times New Roman"/>
                <w:color w:val="000000"/>
                <w:lang w:eastAsia="zh-CN"/>
              </w:rPr>
              <w:t>遂宁市安居区盛达运航建材厂</w:t>
            </w:r>
            <w:r>
              <w:rPr>
                <w:rFonts w:hint="eastAsia" w:ascii="Times New Roman" w:hAnsi="Times New Roman" w:cs="Times New Roman"/>
                <w:color w:val="000000"/>
                <w:lang w:val="en-US" w:eastAsia="zh-CN"/>
              </w:rPr>
              <w:t>决定在白马镇卧龙桥村8社建设砂石加工线一处，专门生产机制砂和级配碎石供中建八局成万达铁路建设使用。</w:t>
            </w:r>
            <w:r>
              <w:rPr>
                <w:rFonts w:hint="eastAsia" w:ascii="Times New Roman" w:hAnsi="Times New Roman" w:cs="Times New Roman"/>
                <w:b/>
                <w:bCs/>
                <w:color w:val="000000"/>
                <w:lang w:val="en-US" w:eastAsia="zh-CN"/>
              </w:rPr>
              <w:t>项目所需原料砂石从遂宁开祺资产管理有限公司黄连沱砂石场购买，项目不从事砂石开采活动。</w:t>
            </w:r>
          </w:p>
          <w:p w14:paraId="66599176">
            <w:pPr>
              <w:pStyle w:val="44"/>
              <w:spacing w:before="120" w:beforeLines="50"/>
              <w:ind w:firstLine="482"/>
              <w:rPr>
                <w:rFonts w:hint="default" w:ascii="Times New Roman" w:hAnsi="Times New Roman" w:cs="Times New Roman"/>
                <w:b/>
                <w:bCs/>
                <w:color w:val="auto"/>
              </w:rPr>
            </w:pPr>
            <w:r>
              <w:rPr>
                <w:rFonts w:hint="default" w:ascii="Times New Roman" w:hAnsi="Times New Roman" w:cs="Times New Roman"/>
                <w:b/>
                <w:bCs/>
                <w:color w:val="auto"/>
              </w:rPr>
              <w:t>1、项目名称、建设性质、建设单位、建设地点、建设投资</w:t>
            </w:r>
          </w:p>
          <w:p w14:paraId="7F7FAEC0">
            <w:pPr>
              <w:pStyle w:val="44"/>
              <w:ind w:firstLine="480"/>
              <w:rPr>
                <w:rFonts w:hint="eastAsia" w:ascii="Times New Roman" w:hAnsi="Times New Roman" w:eastAsia="宋体" w:cs="Times New Roman"/>
                <w:color w:val="auto"/>
                <w:lang w:eastAsia="zh-CN"/>
              </w:rPr>
            </w:pPr>
            <w:r>
              <w:rPr>
                <w:rFonts w:hint="default" w:ascii="Times New Roman" w:hAnsi="Times New Roman" w:cs="Times New Roman"/>
                <w:color w:val="auto"/>
              </w:rPr>
              <w:t>项目名称：</w:t>
            </w:r>
            <w:r>
              <w:rPr>
                <w:rFonts w:hint="eastAsia" w:ascii="Times New Roman" w:hAnsi="Times New Roman" w:cs="Times New Roman"/>
                <w:color w:val="auto"/>
                <w:lang w:eastAsia="zh-CN"/>
              </w:rPr>
              <w:t>遂宁市安居区高铁附属工程建设项目</w:t>
            </w:r>
          </w:p>
          <w:p w14:paraId="0620823E">
            <w:pPr>
              <w:pStyle w:val="44"/>
              <w:ind w:firstLine="480"/>
              <w:rPr>
                <w:rFonts w:hint="default" w:ascii="Times New Roman" w:hAnsi="Times New Roman" w:cs="Times New Roman"/>
                <w:color w:val="auto"/>
              </w:rPr>
            </w:pPr>
            <w:r>
              <w:rPr>
                <w:rFonts w:hint="default" w:ascii="Times New Roman" w:hAnsi="Times New Roman" w:cs="Times New Roman"/>
                <w:color w:val="auto"/>
              </w:rPr>
              <w:t>建设性质：新建</w:t>
            </w:r>
          </w:p>
          <w:p w14:paraId="149BC41B">
            <w:pPr>
              <w:pStyle w:val="44"/>
              <w:ind w:firstLine="480"/>
              <w:rPr>
                <w:rFonts w:hint="eastAsia" w:ascii="Times New Roman" w:hAnsi="Times New Roman" w:eastAsia="宋体" w:cs="Times New Roman"/>
                <w:color w:val="auto"/>
                <w:lang w:eastAsia="zh-CN"/>
              </w:rPr>
            </w:pPr>
            <w:r>
              <w:rPr>
                <w:rFonts w:hint="default" w:ascii="Times New Roman" w:hAnsi="Times New Roman" w:cs="Times New Roman"/>
                <w:color w:val="auto"/>
              </w:rPr>
              <w:t>建设单位：</w:t>
            </w:r>
            <w:r>
              <w:rPr>
                <w:rFonts w:hint="eastAsia" w:ascii="Times New Roman" w:hAnsi="Times New Roman" w:cs="Times New Roman"/>
                <w:color w:val="auto"/>
                <w:lang w:eastAsia="zh-CN"/>
              </w:rPr>
              <w:t>遂宁市安居区盛达运航建材厂</w:t>
            </w:r>
          </w:p>
          <w:p w14:paraId="7D55106B">
            <w:pPr>
              <w:pStyle w:val="44"/>
              <w:ind w:firstLine="480"/>
              <w:rPr>
                <w:rFonts w:hint="eastAsia" w:ascii="Times New Roman" w:hAnsi="Times New Roman" w:eastAsia="宋体" w:cs="Times New Roman"/>
                <w:color w:val="auto"/>
                <w:lang w:eastAsia="zh-CN"/>
              </w:rPr>
            </w:pPr>
            <w:r>
              <w:rPr>
                <w:rFonts w:hint="default" w:ascii="Times New Roman" w:hAnsi="Times New Roman" w:cs="Times New Roman"/>
                <w:color w:val="auto"/>
              </w:rPr>
              <w:t>建设地点：</w:t>
            </w:r>
            <w:r>
              <w:rPr>
                <w:rFonts w:hint="eastAsia" w:ascii="Times New Roman" w:hAnsi="Times New Roman" w:cs="Times New Roman"/>
                <w:color w:val="auto"/>
                <w:lang w:eastAsia="zh-CN"/>
              </w:rPr>
              <w:t>遂宁市</w:t>
            </w:r>
            <w:r>
              <w:rPr>
                <w:rFonts w:hint="eastAsia" w:ascii="Times New Roman" w:hAnsi="Times New Roman" w:cs="Times New Roman"/>
                <w:color w:val="auto"/>
                <w:lang w:val="en-US" w:eastAsia="zh-CN"/>
              </w:rPr>
              <w:t>安居区</w:t>
            </w:r>
            <w:r>
              <w:rPr>
                <w:rFonts w:hint="eastAsia" w:ascii="Times New Roman" w:hAnsi="Times New Roman" w:cs="Times New Roman"/>
                <w:color w:val="auto"/>
                <w:lang w:eastAsia="zh-CN"/>
              </w:rPr>
              <w:t>白马镇卧龙桥村8社</w:t>
            </w:r>
          </w:p>
          <w:p w14:paraId="0D097D4C">
            <w:pPr>
              <w:pStyle w:val="44"/>
              <w:ind w:firstLine="480"/>
              <w:rPr>
                <w:rFonts w:hint="default" w:ascii="Times New Roman" w:hAnsi="Times New Roman" w:cs="Times New Roman"/>
                <w:b/>
                <w:bCs/>
                <w:color w:val="auto"/>
              </w:rPr>
            </w:pPr>
            <w:r>
              <w:rPr>
                <w:rFonts w:hint="default" w:ascii="Times New Roman" w:hAnsi="Times New Roman" w:cs="Times New Roman"/>
                <w:b/>
                <w:bCs/>
                <w:color w:val="auto"/>
              </w:rPr>
              <w:t>2、建设内容及规模</w:t>
            </w:r>
          </w:p>
          <w:p w14:paraId="567CC335">
            <w:pPr>
              <w:pStyle w:val="44"/>
              <w:ind w:firstLine="480"/>
              <w:jc w:val="both"/>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本项目</w:t>
            </w:r>
            <w:r>
              <w:rPr>
                <w:rFonts w:hint="eastAsia" w:ascii="Times New Roman" w:hAnsi="Times New Roman" w:eastAsia="宋体" w:cs="Times New Roman"/>
                <w:color w:val="auto"/>
                <w:lang w:val="en-US" w:eastAsia="zh-CN"/>
              </w:rPr>
              <w:t>选址于</w:t>
            </w:r>
            <w:r>
              <w:rPr>
                <w:rFonts w:hint="eastAsia" w:ascii="Times New Roman" w:hAnsi="Times New Roman" w:eastAsia="宋体" w:cs="Times New Roman"/>
                <w:color w:val="auto"/>
                <w:lang w:eastAsia="zh-CN"/>
              </w:rPr>
              <w:t>遂宁市</w:t>
            </w:r>
            <w:r>
              <w:rPr>
                <w:rFonts w:hint="eastAsia" w:ascii="Times New Roman" w:hAnsi="Times New Roman" w:eastAsia="宋体" w:cs="Times New Roman"/>
                <w:color w:val="auto"/>
                <w:lang w:val="en-US" w:eastAsia="zh-CN"/>
              </w:rPr>
              <w:t>安居区</w:t>
            </w:r>
            <w:r>
              <w:rPr>
                <w:rFonts w:hint="eastAsia" w:ascii="Times New Roman" w:hAnsi="Times New Roman" w:eastAsia="宋体" w:cs="Times New Roman"/>
                <w:color w:val="auto"/>
                <w:lang w:eastAsia="zh-CN"/>
              </w:rPr>
              <w:t>白马镇卧龙桥村8社，</w:t>
            </w:r>
            <w:r>
              <w:rPr>
                <w:rFonts w:hint="eastAsia" w:ascii="Times New Roman" w:hAnsi="Times New Roman" w:eastAsia="宋体" w:cs="Times New Roman"/>
                <w:color w:val="auto"/>
                <w:lang w:val="en-US" w:eastAsia="zh-CN"/>
              </w:rPr>
              <w:t>主要设置鄂破机、圆锥破、冲击破碎机、振动筛、脱水筛、洗砂机等设施设备建设砂石生产设施一处</w:t>
            </w:r>
            <w:r>
              <w:rPr>
                <w:rFonts w:hint="eastAsia" w:ascii="Times New Roman" w:hAnsi="Times New Roman" w:eastAsia="宋体" w:cs="Times New Roman"/>
                <w:color w:val="auto"/>
                <w:lang w:eastAsia="zh-CN"/>
              </w:rPr>
              <w:t>。项目建成后具备生产</w:t>
            </w:r>
            <w:r>
              <w:rPr>
                <w:rFonts w:hint="eastAsia" w:ascii="Times New Roman" w:hAnsi="Times New Roman" w:eastAsia="宋体" w:cs="Times New Roman"/>
                <w:color w:val="auto"/>
                <w:lang w:val="en-US" w:eastAsia="zh-CN"/>
              </w:rPr>
              <w:t>机制砂40</w:t>
            </w:r>
            <w:r>
              <w:rPr>
                <w:rFonts w:hint="eastAsia" w:ascii="Times New Roman" w:hAnsi="Times New Roman" w:eastAsia="宋体" w:cs="Times New Roman"/>
                <w:color w:val="auto"/>
                <w:lang w:eastAsia="zh-CN"/>
              </w:rPr>
              <w:t>万</w:t>
            </w:r>
            <w:r>
              <w:rPr>
                <w:rFonts w:hint="eastAsia" w:ascii="Times New Roman" w:hAnsi="Times New Roman" w:eastAsia="宋体" w:cs="Times New Roman"/>
                <w:color w:val="auto"/>
                <w:lang w:val="en-US" w:eastAsia="zh-CN"/>
              </w:rPr>
              <w:t>吨</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000000"/>
                <w:lang w:eastAsia="zh-CN"/>
              </w:rPr>
              <w:t>年，</w:t>
            </w:r>
            <w:r>
              <w:rPr>
                <w:rFonts w:hint="eastAsia" w:ascii="Times New Roman" w:hAnsi="Times New Roman" w:eastAsia="宋体" w:cs="Times New Roman"/>
                <w:color w:val="000000"/>
                <w:lang w:val="en-US" w:eastAsia="zh-CN"/>
              </w:rPr>
              <w:t>级配碎石60万吨/年，</w:t>
            </w:r>
            <w:r>
              <w:rPr>
                <w:rFonts w:hint="eastAsia" w:ascii="Times New Roman" w:hAnsi="Times New Roman" w:eastAsia="宋体" w:cs="Times New Roman"/>
                <w:color w:val="000000"/>
                <w:lang w:eastAsia="zh-CN"/>
              </w:rPr>
              <w:t>项目</w:t>
            </w:r>
            <w:r>
              <w:rPr>
                <w:rFonts w:hint="eastAsia" w:ascii="Times New Roman" w:hAnsi="Times New Roman" w:eastAsia="宋体" w:cs="Times New Roman"/>
                <w:color w:val="000000"/>
                <w:lang w:val="en-US" w:eastAsia="zh-CN"/>
              </w:rPr>
              <w:t>砂石</w:t>
            </w:r>
            <w:r>
              <w:rPr>
                <w:rFonts w:hint="eastAsia" w:ascii="Times New Roman" w:hAnsi="Times New Roman" w:eastAsia="宋体" w:cs="Times New Roman"/>
                <w:color w:val="000000"/>
                <w:lang w:eastAsia="zh-CN"/>
              </w:rPr>
              <w:t>专供</w:t>
            </w:r>
            <w:r>
              <w:rPr>
                <w:rFonts w:hint="eastAsia" w:ascii="Times New Roman" w:hAnsi="Times New Roman" w:eastAsia="宋体" w:cs="Times New Roman"/>
                <w:color w:val="000000"/>
                <w:lang w:val="en-US" w:eastAsia="zh-CN"/>
              </w:rPr>
              <w:t>中建八局</w:t>
            </w:r>
            <w:r>
              <w:rPr>
                <w:rFonts w:hint="eastAsia" w:ascii="Times New Roman" w:hAnsi="Times New Roman" w:eastAsia="宋体" w:cs="Times New Roman"/>
                <w:color w:val="000000"/>
                <w:lang w:eastAsia="zh-CN"/>
              </w:rPr>
              <w:t>成达万高铁建设</w:t>
            </w:r>
            <w:r>
              <w:rPr>
                <w:rFonts w:hint="eastAsia" w:ascii="Times New Roman" w:hAnsi="Times New Roman" w:eastAsia="宋体" w:cs="Times New Roman"/>
                <w:color w:val="000000"/>
                <w:lang w:val="en-US" w:eastAsia="zh-CN"/>
              </w:rPr>
              <w:t>搅拌站</w:t>
            </w:r>
            <w:r>
              <w:rPr>
                <w:rFonts w:hint="eastAsia" w:ascii="Times New Roman" w:hAnsi="Times New Roman" w:eastAsia="宋体" w:cs="Times New Roman"/>
                <w:color w:val="000000"/>
                <w:lang w:eastAsia="zh-CN"/>
              </w:rPr>
              <w:t>使用，不</w:t>
            </w:r>
            <w:r>
              <w:rPr>
                <w:rFonts w:hint="eastAsia" w:ascii="Times New Roman" w:hAnsi="Times New Roman" w:eastAsia="宋体" w:cs="Times New Roman"/>
                <w:color w:val="000000"/>
                <w:lang w:val="en-US" w:eastAsia="zh-CN"/>
              </w:rPr>
              <w:t>对外销</w:t>
            </w:r>
            <w:r>
              <w:rPr>
                <w:rFonts w:hint="eastAsia" w:ascii="Times New Roman" w:hAnsi="Times New Roman" w:eastAsia="宋体" w:cs="Times New Roman"/>
                <w:color w:val="000000"/>
                <w:lang w:eastAsia="zh-CN"/>
              </w:rPr>
              <w:t>售。</w:t>
            </w:r>
          </w:p>
          <w:p w14:paraId="73BC676B">
            <w:pPr>
              <w:pStyle w:val="44"/>
              <w:ind w:firstLine="482"/>
              <w:rPr>
                <w:rFonts w:hint="eastAsia" w:ascii="Times New Roman" w:hAnsi="Times New Roman" w:eastAsia="宋体" w:cs="Times New Roman"/>
                <w:b/>
                <w:bCs/>
                <w:color w:val="auto"/>
                <w:lang w:eastAsia="zh-CN"/>
              </w:rPr>
            </w:pPr>
            <w:r>
              <w:rPr>
                <w:rFonts w:hint="default" w:ascii="Times New Roman" w:hAnsi="Times New Roman" w:cs="Times New Roman"/>
                <w:b/>
                <w:bCs/>
                <w:color w:val="auto"/>
              </w:rPr>
              <w:t>3、项目组成及主要环境问题</w:t>
            </w:r>
          </w:p>
          <w:p w14:paraId="0E37C796">
            <w:pPr>
              <w:pStyle w:val="44"/>
              <w:ind w:firstLine="480"/>
              <w:rPr>
                <w:rFonts w:hint="default" w:ascii="Times New Roman" w:hAnsi="Times New Roman" w:cs="Times New Roman"/>
                <w:color w:val="auto"/>
              </w:rPr>
            </w:pPr>
            <w:r>
              <w:rPr>
                <w:rFonts w:hint="default" w:ascii="Times New Roman" w:hAnsi="Times New Roman" w:cs="Times New Roman"/>
                <w:color w:val="auto"/>
              </w:rPr>
              <w:t>本项目建设内容及项目组成见表2-1。</w:t>
            </w:r>
          </w:p>
          <w:p w14:paraId="7F6DBC7C">
            <w:pPr>
              <w:pStyle w:val="45"/>
              <w:rPr>
                <w:rFonts w:hint="default" w:ascii="Times New Roman" w:hAnsi="Times New Roman" w:cs="Times New Roman"/>
                <w:color w:val="auto"/>
              </w:rPr>
            </w:pPr>
            <w:r>
              <w:rPr>
                <w:rFonts w:hint="default" w:ascii="Times New Roman" w:hAnsi="Times New Roman" w:cs="Times New Roman"/>
                <w:color w:val="auto"/>
              </w:rPr>
              <w:t>表2-1项目建设主要组成一览表</w:t>
            </w:r>
          </w:p>
          <w:tbl>
            <w:tblPr>
              <w:tblStyle w:val="22"/>
              <w:tblW w:w="8166"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54"/>
              <w:gridCol w:w="4877"/>
              <w:gridCol w:w="1204"/>
              <w:gridCol w:w="1231"/>
            </w:tblGrid>
            <w:tr w14:paraId="5A0B8B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18" w:hRule="exact"/>
                <w:jc w:val="center"/>
              </w:trPr>
              <w:tc>
                <w:tcPr>
                  <w:tcW w:w="854" w:type="dxa"/>
                  <w:vMerge w:val="restart"/>
                  <w:noWrap w:val="0"/>
                  <w:vAlign w:val="center"/>
                </w:tcPr>
                <w:p w14:paraId="3F25B2BE">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工程类别</w:t>
                  </w:r>
                </w:p>
              </w:tc>
              <w:tc>
                <w:tcPr>
                  <w:tcW w:w="4877" w:type="dxa"/>
                  <w:vMerge w:val="restart"/>
                  <w:noWrap w:val="0"/>
                  <w:vAlign w:val="center"/>
                </w:tcPr>
                <w:p w14:paraId="4CF54721">
                  <w:pPr>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建设内容及规模</w:t>
                  </w:r>
                </w:p>
              </w:tc>
              <w:tc>
                <w:tcPr>
                  <w:tcW w:w="2435" w:type="dxa"/>
                  <w:gridSpan w:val="2"/>
                  <w:noWrap w:val="0"/>
                  <w:vAlign w:val="center"/>
                </w:tcPr>
                <w:p w14:paraId="4B193822">
                  <w:pPr>
                    <w:jc w:val="left"/>
                    <w:rPr>
                      <w:rFonts w:hint="default" w:ascii="Times New Roman" w:hAnsi="Times New Roman" w:cs="Times New Roman"/>
                      <w:b/>
                      <w:bCs/>
                      <w:color w:val="auto"/>
                      <w:szCs w:val="21"/>
                    </w:rPr>
                  </w:pPr>
                  <w:r>
                    <w:rPr>
                      <w:rFonts w:hint="default" w:ascii="Times New Roman" w:hAnsi="Times New Roman" w:cs="Times New Roman"/>
                      <w:b/>
                      <w:bCs/>
                      <w:color w:val="auto"/>
                      <w:szCs w:val="21"/>
                    </w:rPr>
                    <w:t>可能产生的环境问题</w:t>
                  </w:r>
                </w:p>
              </w:tc>
            </w:tr>
            <w:tr w14:paraId="549530B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62" w:hRule="exact"/>
                <w:jc w:val="center"/>
              </w:trPr>
              <w:tc>
                <w:tcPr>
                  <w:tcW w:w="854" w:type="dxa"/>
                  <w:vMerge w:val="continue"/>
                  <w:noWrap w:val="0"/>
                  <w:vAlign w:val="center"/>
                </w:tcPr>
                <w:p w14:paraId="57CF8FD6">
                  <w:pPr>
                    <w:jc w:val="center"/>
                    <w:rPr>
                      <w:rFonts w:hint="default" w:ascii="Times New Roman" w:hAnsi="Times New Roman" w:cs="Times New Roman"/>
                      <w:b/>
                      <w:color w:val="auto"/>
                      <w:kern w:val="0"/>
                      <w:szCs w:val="21"/>
                      <w:lang w:val="en-GB"/>
                    </w:rPr>
                  </w:pPr>
                </w:p>
              </w:tc>
              <w:tc>
                <w:tcPr>
                  <w:tcW w:w="4877" w:type="dxa"/>
                  <w:vMerge w:val="continue"/>
                  <w:noWrap w:val="0"/>
                  <w:vAlign w:val="center"/>
                </w:tcPr>
                <w:p w14:paraId="1137F454">
                  <w:pPr>
                    <w:rPr>
                      <w:rFonts w:hint="default" w:ascii="Times New Roman" w:hAnsi="Times New Roman" w:cs="Times New Roman"/>
                      <w:b/>
                      <w:color w:val="auto"/>
                      <w:kern w:val="0"/>
                      <w:szCs w:val="21"/>
                    </w:rPr>
                  </w:pPr>
                </w:p>
              </w:tc>
              <w:tc>
                <w:tcPr>
                  <w:tcW w:w="1204" w:type="dxa"/>
                  <w:noWrap w:val="0"/>
                  <w:vAlign w:val="center"/>
                </w:tcPr>
                <w:p w14:paraId="5E7B0F93">
                  <w:pPr>
                    <w:jc w:val="center"/>
                    <w:rPr>
                      <w:rFonts w:hint="default" w:ascii="Times New Roman" w:hAnsi="Times New Roman" w:cs="Times New Roman"/>
                      <w:b/>
                      <w:color w:val="auto"/>
                      <w:lang w:val="en-GB"/>
                    </w:rPr>
                  </w:pPr>
                  <w:r>
                    <w:rPr>
                      <w:rFonts w:hint="default" w:ascii="Times New Roman" w:hAnsi="Times New Roman" w:cs="Times New Roman"/>
                      <w:b/>
                      <w:color w:val="auto"/>
                      <w:lang w:val="en-GB"/>
                    </w:rPr>
                    <w:t>施工期</w:t>
                  </w:r>
                </w:p>
              </w:tc>
              <w:tc>
                <w:tcPr>
                  <w:tcW w:w="1231" w:type="dxa"/>
                  <w:noWrap w:val="0"/>
                  <w:vAlign w:val="center"/>
                </w:tcPr>
                <w:p w14:paraId="7088A53F">
                  <w:pPr>
                    <w:jc w:val="center"/>
                    <w:rPr>
                      <w:rFonts w:hint="default" w:ascii="Times New Roman" w:hAnsi="Times New Roman" w:cs="Times New Roman"/>
                      <w:b/>
                      <w:color w:val="auto"/>
                      <w:lang w:val="en-GB"/>
                    </w:rPr>
                  </w:pPr>
                  <w:r>
                    <w:rPr>
                      <w:rFonts w:hint="default" w:ascii="Times New Roman" w:hAnsi="Times New Roman" w:cs="Times New Roman"/>
                      <w:b/>
                      <w:color w:val="auto"/>
                      <w:lang w:val="en-GB"/>
                    </w:rPr>
                    <w:t>营运期</w:t>
                  </w:r>
                </w:p>
              </w:tc>
            </w:tr>
            <w:tr w14:paraId="28DEE80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057" w:hRule="atLeast"/>
                <w:jc w:val="center"/>
              </w:trPr>
              <w:tc>
                <w:tcPr>
                  <w:tcW w:w="854" w:type="dxa"/>
                  <w:noWrap w:val="0"/>
                  <w:vAlign w:val="center"/>
                </w:tcPr>
                <w:p w14:paraId="62BE6AED">
                  <w:pPr>
                    <w:rPr>
                      <w:rFonts w:hint="default" w:ascii="Times New Roman" w:hAnsi="Times New Roman" w:cs="Times New Roman"/>
                      <w:b/>
                      <w:color w:val="auto"/>
                      <w:lang w:val="en-GB"/>
                    </w:rPr>
                  </w:pPr>
                  <w:r>
                    <w:rPr>
                      <w:rFonts w:hint="default" w:ascii="Times New Roman" w:hAnsi="Times New Roman" w:cs="Times New Roman"/>
                      <w:b/>
                      <w:color w:val="auto"/>
                      <w:lang w:val="en-GB"/>
                    </w:rPr>
                    <w:t>主体工程</w:t>
                  </w:r>
                </w:p>
              </w:tc>
              <w:tc>
                <w:tcPr>
                  <w:tcW w:w="4877" w:type="dxa"/>
                  <w:noWrap w:val="0"/>
                  <w:vAlign w:val="center"/>
                </w:tcPr>
                <w:p w14:paraId="7D698FAE">
                  <w:pPr>
                    <w:spacing w:line="360" w:lineRule="auto"/>
                    <w:rPr>
                      <w:rFonts w:hint="default" w:eastAsia="宋体"/>
                      <w:lang w:val="en-US" w:eastAsia="zh-CN"/>
                    </w:rPr>
                  </w:pPr>
                  <w:r>
                    <w:rPr>
                      <w:rFonts w:hint="eastAsia" w:ascii="Times New Roman" w:hAnsi="Times New Roman" w:eastAsia="宋体" w:cs="Times New Roman"/>
                      <w:lang w:val="en-US" w:eastAsia="zh-CN"/>
                    </w:rPr>
                    <w:t>建设钢结构封闭式生产厂房一处，面积约</w:t>
                  </w:r>
                  <w:r>
                    <w:rPr>
                      <w:rFonts w:hint="eastAsia" w:cs="Times New Roman"/>
                      <w:lang w:val="en-US" w:eastAsia="zh-CN"/>
                    </w:rPr>
                    <w:t>15</w:t>
                  </w:r>
                  <w:r>
                    <w:rPr>
                      <w:rFonts w:hint="eastAsia" w:ascii="Times New Roman" w:hAnsi="Times New Roman" w:eastAsia="宋体" w:cs="Times New Roman"/>
                      <w:lang w:val="en-US" w:eastAsia="zh-CN"/>
                    </w:rPr>
                    <w:t>00平方米，主要设置</w:t>
                  </w:r>
                  <w:r>
                    <w:rPr>
                      <w:rFonts w:hint="eastAsia" w:ascii="Times New Roman" w:hAnsi="Times New Roman" w:eastAsia="宋体" w:cs="Times New Roman"/>
                      <w:color w:val="auto"/>
                      <w:lang w:val="en-US" w:eastAsia="zh-CN"/>
                    </w:rPr>
                    <w:t>鄂破机、圆锥破、冲击破碎机、振动筛、脱水筛、洗砂机等设施设备。</w:t>
                  </w:r>
                </w:p>
              </w:tc>
              <w:tc>
                <w:tcPr>
                  <w:tcW w:w="1204" w:type="dxa"/>
                  <w:vMerge w:val="restart"/>
                  <w:noWrap w:val="0"/>
                  <w:vAlign w:val="center"/>
                </w:tcPr>
                <w:p w14:paraId="018C6113">
                  <w:pPr>
                    <w:jc w:val="center"/>
                    <w:rPr>
                      <w:rFonts w:hint="default" w:ascii="Times New Roman" w:hAnsi="Times New Roman" w:cs="Times New Roman"/>
                      <w:color w:val="auto"/>
                    </w:rPr>
                  </w:pPr>
                  <w:r>
                    <w:rPr>
                      <w:rFonts w:hint="default" w:ascii="Times New Roman" w:hAnsi="Times New Roman" w:cs="Times New Roman"/>
                      <w:color w:val="auto"/>
                    </w:rPr>
                    <w:t>废水、粉尘、噪声、固废</w:t>
                  </w:r>
                </w:p>
                <w:p w14:paraId="69FA769C">
                  <w:pPr>
                    <w:jc w:val="center"/>
                    <w:rPr>
                      <w:rFonts w:hint="default" w:ascii="Times New Roman" w:hAnsi="Times New Roman" w:cs="Times New Roman"/>
                      <w:color w:val="auto"/>
                    </w:rPr>
                  </w:pPr>
                </w:p>
              </w:tc>
              <w:tc>
                <w:tcPr>
                  <w:tcW w:w="1231" w:type="dxa"/>
                  <w:noWrap w:val="0"/>
                  <w:vAlign w:val="center"/>
                </w:tcPr>
                <w:p w14:paraId="189C25FD">
                  <w:pPr>
                    <w:jc w:val="center"/>
                    <w:rPr>
                      <w:rFonts w:hint="default" w:ascii="Times New Roman" w:hAnsi="Times New Roman" w:cs="Times New Roman"/>
                      <w:color w:val="auto"/>
                      <w:lang w:val="en-GB"/>
                    </w:rPr>
                  </w:pPr>
                  <w:r>
                    <w:rPr>
                      <w:rFonts w:hint="default" w:ascii="Times New Roman" w:hAnsi="Times New Roman" w:cs="Times New Roman"/>
                      <w:color w:val="auto"/>
                    </w:rPr>
                    <w:t>废气、噪声、废水</w:t>
                  </w:r>
                </w:p>
              </w:tc>
            </w:tr>
            <w:tr w14:paraId="6A33797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30" w:hRule="atLeast"/>
                <w:jc w:val="center"/>
              </w:trPr>
              <w:tc>
                <w:tcPr>
                  <w:tcW w:w="854" w:type="dxa"/>
                  <w:vMerge w:val="restart"/>
                  <w:noWrap w:val="0"/>
                  <w:vAlign w:val="center"/>
                </w:tcPr>
                <w:p w14:paraId="52D071DD">
                  <w:pPr>
                    <w:rPr>
                      <w:rFonts w:hint="default" w:ascii="Times New Roman" w:hAnsi="Times New Roman" w:cs="Times New Roman"/>
                      <w:b/>
                      <w:color w:val="auto"/>
                      <w:lang w:val="en-GB"/>
                    </w:rPr>
                  </w:pPr>
                  <w:r>
                    <w:rPr>
                      <w:rFonts w:hint="default" w:ascii="Times New Roman" w:hAnsi="Times New Roman" w:cs="Times New Roman"/>
                      <w:b/>
                      <w:color w:val="auto"/>
                      <w:lang w:val="en-GB"/>
                    </w:rPr>
                    <w:t>储运工程</w:t>
                  </w:r>
                </w:p>
              </w:tc>
              <w:tc>
                <w:tcPr>
                  <w:tcW w:w="4877" w:type="dxa"/>
                  <w:noWrap w:val="0"/>
                  <w:vAlign w:val="center"/>
                </w:tcPr>
                <w:p w14:paraId="2160F333">
                  <w:pPr>
                    <w:spacing w:line="360" w:lineRule="auto"/>
                    <w:rPr>
                      <w:rFonts w:hint="eastAsia" w:ascii="Times New Roman" w:hAnsi="Times New Roman" w:eastAsia="宋体" w:cs="Times New Roman"/>
                      <w:color w:val="auto"/>
                      <w:szCs w:val="21"/>
                      <w:lang w:val="en-US" w:eastAsia="zh-CN"/>
                    </w:rPr>
                  </w:pPr>
                  <w:r>
                    <w:rPr>
                      <w:rFonts w:hint="default" w:ascii="Times New Roman" w:hAnsi="Times New Roman" w:cs="Times New Roman"/>
                      <w:color w:val="auto"/>
                      <w:szCs w:val="21"/>
                    </w:rPr>
                    <w:t>设置</w:t>
                  </w:r>
                  <w:r>
                    <w:rPr>
                      <w:rFonts w:hint="eastAsia" w:ascii="Times New Roman" w:hAnsi="Times New Roman" w:cs="Times New Roman"/>
                      <w:color w:val="auto"/>
                      <w:szCs w:val="21"/>
                      <w:lang w:val="en-US" w:eastAsia="zh-CN"/>
                    </w:rPr>
                    <w:t>成品</w:t>
                  </w:r>
                  <w:r>
                    <w:rPr>
                      <w:rFonts w:hint="default" w:ascii="Times New Roman" w:hAnsi="Times New Roman" w:cs="Times New Roman"/>
                      <w:color w:val="auto"/>
                      <w:szCs w:val="21"/>
                    </w:rPr>
                    <w:t>堆场1处，</w:t>
                  </w:r>
                  <w:r>
                    <w:rPr>
                      <w:rFonts w:hint="eastAsia" w:ascii="Times New Roman" w:hAnsi="Times New Roman" w:cs="Times New Roman"/>
                      <w:color w:val="auto"/>
                      <w:szCs w:val="21"/>
                      <w:lang w:val="en-US" w:eastAsia="zh-CN"/>
                    </w:rPr>
                    <w:t>占地面积约</w:t>
                  </w:r>
                  <w:r>
                    <w:rPr>
                      <w:rFonts w:hint="eastAsia" w:cs="Times New Roman"/>
                      <w:color w:val="auto"/>
                      <w:szCs w:val="21"/>
                      <w:lang w:val="en-US" w:eastAsia="zh-CN"/>
                    </w:rPr>
                    <w:t>13</w:t>
                  </w:r>
                  <w:r>
                    <w:rPr>
                      <w:rFonts w:hint="eastAsia" w:ascii="Times New Roman" w:hAnsi="Times New Roman" w:cs="Times New Roman"/>
                      <w:color w:val="auto"/>
                      <w:szCs w:val="21"/>
                      <w:lang w:val="en-US" w:eastAsia="zh-CN"/>
                    </w:rPr>
                    <w:t>00平方米，堆场为封闭结构，并设置喷雾除尘装置系统除尘.</w:t>
                  </w:r>
                </w:p>
              </w:tc>
              <w:tc>
                <w:tcPr>
                  <w:tcW w:w="1204" w:type="dxa"/>
                  <w:vMerge w:val="continue"/>
                  <w:noWrap w:val="0"/>
                  <w:vAlign w:val="center"/>
                </w:tcPr>
                <w:p w14:paraId="7402A0A5">
                  <w:pPr>
                    <w:jc w:val="center"/>
                    <w:rPr>
                      <w:rFonts w:hint="default" w:ascii="Times New Roman" w:hAnsi="Times New Roman" w:cs="Times New Roman"/>
                      <w:color w:val="auto"/>
                    </w:rPr>
                  </w:pPr>
                </w:p>
              </w:tc>
              <w:tc>
                <w:tcPr>
                  <w:tcW w:w="1231" w:type="dxa"/>
                  <w:noWrap w:val="0"/>
                  <w:vAlign w:val="center"/>
                </w:tcPr>
                <w:p w14:paraId="3324129D">
                  <w:pPr>
                    <w:jc w:val="center"/>
                    <w:rPr>
                      <w:rFonts w:hint="default" w:ascii="Times New Roman" w:hAnsi="Times New Roman" w:cs="Times New Roman"/>
                      <w:color w:val="auto"/>
                    </w:rPr>
                  </w:pPr>
                  <w:r>
                    <w:rPr>
                      <w:rFonts w:hint="default" w:ascii="Times New Roman" w:hAnsi="Times New Roman" w:cs="Times New Roman"/>
                      <w:color w:val="auto"/>
                    </w:rPr>
                    <w:t>粉尘</w:t>
                  </w:r>
                </w:p>
              </w:tc>
            </w:tr>
            <w:tr w14:paraId="5219AB3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59" w:hRule="atLeast"/>
                <w:jc w:val="center"/>
              </w:trPr>
              <w:tc>
                <w:tcPr>
                  <w:tcW w:w="854" w:type="dxa"/>
                  <w:vMerge w:val="continue"/>
                  <w:noWrap w:val="0"/>
                  <w:vAlign w:val="center"/>
                </w:tcPr>
                <w:p w14:paraId="0C608297">
                  <w:pPr>
                    <w:rPr>
                      <w:rFonts w:hint="default" w:ascii="Times New Roman" w:hAnsi="Times New Roman" w:cs="Times New Roman"/>
                      <w:b/>
                      <w:color w:val="auto"/>
                      <w:lang w:val="en-GB"/>
                    </w:rPr>
                  </w:pPr>
                </w:p>
              </w:tc>
              <w:tc>
                <w:tcPr>
                  <w:tcW w:w="4877" w:type="dxa"/>
                  <w:noWrap w:val="0"/>
                  <w:vAlign w:val="center"/>
                </w:tcPr>
                <w:p w14:paraId="0C07565B">
                  <w:pPr>
                    <w:spacing w:line="360" w:lineRule="auto"/>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设置原料堆场1处</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占地面积约1</w:t>
                  </w:r>
                  <w:r>
                    <w:rPr>
                      <w:rFonts w:hint="eastAsia" w:cs="Times New Roman"/>
                      <w:color w:val="auto"/>
                      <w:szCs w:val="21"/>
                      <w:lang w:val="en-US" w:eastAsia="zh-CN"/>
                    </w:rPr>
                    <w:t>2</w:t>
                  </w:r>
                  <w:r>
                    <w:rPr>
                      <w:rFonts w:hint="eastAsia" w:ascii="Times New Roman" w:hAnsi="Times New Roman" w:cs="Times New Roman"/>
                      <w:color w:val="auto"/>
                      <w:szCs w:val="21"/>
                      <w:lang w:val="en-US" w:eastAsia="zh-CN"/>
                    </w:rPr>
                    <w:t>00平方米，原料堆场采用钢结构厂房封闭</w:t>
                  </w:r>
                  <w:r>
                    <w:rPr>
                      <w:rFonts w:hint="eastAsia" w:ascii="Times New Roman" w:hAnsi="Times New Roman" w:cs="Times New Roman"/>
                      <w:color w:val="auto"/>
                      <w:szCs w:val="21"/>
                      <w:lang w:eastAsia="zh-CN"/>
                    </w:rPr>
                    <w:t>。</w:t>
                  </w:r>
                </w:p>
              </w:tc>
              <w:tc>
                <w:tcPr>
                  <w:tcW w:w="1204" w:type="dxa"/>
                  <w:vMerge w:val="continue"/>
                  <w:noWrap w:val="0"/>
                  <w:vAlign w:val="center"/>
                </w:tcPr>
                <w:p w14:paraId="6AA087DA">
                  <w:pPr>
                    <w:jc w:val="center"/>
                    <w:rPr>
                      <w:rFonts w:hint="default" w:ascii="Times New Roman" w:hAnsi="Times New Roman" w:cs="Times New Roman"/>
                      <w:color w:val="auto"/>
                    </w:rPr>
                  </w:pPr>
                </w:p>
              </w:tc>
              <w:tc>
                <w:tcPr>
                  <w:tcW w:w="1231" w:type="dxa"/>
                  <w:noWrap w:val="0"/>
                  <w:vAlign w:val="center"/>
                </w:tcPr>
                <w:p w14:paraId="51FFECE1">
                  <w:pPr>
                    <w:jc w:val="center"/>
                    <w:rPr>
                      <w:rFonts w:hint="default" w:ascii="Times New Roman" w:hAnsi="Times New Roman" w:cs="Times New Roman"/>
                      <w:color w:val="auto"/>
                    </w:rPr>
                  </w:pPr>
                  <w:r>
                    <w:rPr>
                      <w:rFonts w:hint="default" w:ascii="Times New Roman" w:hAnsi="Times New Roman" w:cs="Times New Roman"/>
                      <w:color w:val="auto"/>
                    </w:rPr>
                    <w:t>粉尘</w:t>
                  </w:r>
                </w:p>
              </w:tc>
            </w:tr>
            <w:tr w14:paraId="4DAB2E2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0" w:hRule="atLeast"/>
                <w:jc w:val="center"/>
              </w:trPr>
              <w:tc>
                <w:tcPr>
                  <w:tcW w:w="854" w:type="dxa"/>
                  <w:vMerge w:val="restart"/>
                  <w:noWrap w:val="0"/>
                  <w:vAlign w:val="center"/>
                </w:tcPr>
                <w:p w14:paraId="13183588">
                  <w:pPr>
                    <w:rPr>
                      <w:rFonts w:hint="default" w:ascii="Times New Roman" w:hAnsi="Times New Roman" w:cs="Times New Roman"/>
                      <w:b/>
                      <w:color w:val="auto"/>
                      <w:lang w:val="en-GB"/>
                    </w:rPr>
                  </w:pPr>
                  <w:r>
                    <w:rPr>
                      <w:rFonts w:hint="default" w:ascii="Times New Roman" w:hAnsi="Times New Roman" w:cs="Times New Roman"/>
                      <w:b/>
                      <w:color w:val="auto"/>
                      <w:lang w:val="en-GB"/>
                    </w:rPr>
                    <w:t>公用工程</w:t>
                  </w:r>
                </w:p>
              </w:tc>
              <w:tc>
                <w:tcPr>
                  <w:tcW w:w="4877" w:type="dxa"/>
                  <w:noWrap w:val="0"/>
                  <w:vAlign w:val="center"/>
                </w:tcPr>
                <w:p w14:paraId="1D8241C1">
                  <w:pPr>
                    <w:spacing w:line="360" w:lineRule="auto"/>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rPr>
                    <w:t>供电：由国家电</w:t>
                  </w:r>
                  <w:r>
                    <w:rPr>
                      <w:rFonts w:hint="default" w:ascii="Times New Roman" w:hAnsi="Times New Roman" w:cs="Times New Roman"/>
                      <w:color w:val="000000" w:themeColor="text1"/>
                      <w:szCs w:val="21"/>
                      <w14:textFill>
                        <w14:solidFill>
                          <w14:schemeClr w14:val="tx1"/>
                        </w14:solidFill>
                      </w14:textFill>
                    </w:rPr>
                    <w:t>网供电</w:t>
                  </w:r>
                  <w:r>
                    <w:rPr>
                      <w:rFonts w:hint="eastAsia" w:ascii="Times New Roman" w:hAnsi="Times New Roman" w:cs="Times New Roman"/>
                      <w:color w:val="000000" w:themeColor="text1"/>
                      <w:szCs w:val="21"/>
                      <w:lang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厂区</w:t>
                  </w:r>
                  <w:r>
                    <w:rPr>
                      <w:rFonts w:hint="eastAsia" w:cs="Times New Roman"/>
                      <w:color w:val="000000" w:themeColor="text1"/>
                      <w:szCs w:val="21"/>
                      <w:lang w:val="en-US" w:eastAsia="zh-CN"/>
                      <w14:textFill>
                        <w14:solidFill>
                          <w14:schemeClr w14:val="tx1"/>
                        </w14:solidFill>
                      </w14:textFill>
                    </w:rPr>
                    <w:t>北</w:t>
                  </w:r>
                  <w:r>
                    <w:rPr>
                      <w:rFonts w:hint="eastAsia" w:ascii="Times New Roman" w:hAnsi="Times New Roman" w:cs="Times New Roman"/>
                      <w:color w:val="000000" w:themeColor="text1"/>
                      <w:szCs w:val="21"/>
                      <w:lang w:val="en-US" w:eastAsia="zh-CN"/>
                      <w14:textFill>
                        <w14:solidFill>
                          <w14:schemeClr w14:val="tx1"/>
                        </w14:solidFill>
                      </w14:textFill>
                    </w:rPr>
                    <w:t>侧设置变压器</w:t>
                  </w:r>
                  <w:r>
                    <w:rPr>
                      <w:rFonts w:hint="eastAsia" w:cs="Times New Roman"/>
                      <w:color w:val="000000" w:themeColor="text1"/>
                      <w:szCs w:val="21"/>
                      <w:lang w:val="en-US" w:eastAsia="zh-CN"/>
                      <w14:textFill>
                        <w14:solidFill>
                          <w14:schemeClr w14:val="tx1"/>
                        </w14:solidFill>
                      </w14:textFill>
                    </w:rPr>
                    <w:t>供配电设施一处</w:t>
                  </w:r>
                  <w:r>
                    <w:rPr>
                      <w:rFonts w:hint="eastAsia" w:ascii="Times New Roman" w:hAnsi="Times New Roman" w:cs="Times New Roman"/>
                      <w:color w:val="000000" w:themeColor="text1"/>
                      <w:szCs w:val="21"/>
                      <w:lang w:val="en-US" w:eastAsia="zh-CN"/>
                      <w14:textFill>
                        <w14:solidFill>
                          <w14:schemeClr w14:val="tx1"/>
                        </w14:solidFill>
                      </w14:textFill>
                    </w:rPr>
                    <w:t>。</w:t>
                  </w:r>
                </w:p>
              </w:tc>
              <w:tc>
                <w:tcPr>
                  <w:tcW w:w="1204" w:type="dxa"/>
                  <w:noWrap w:val="0"/>
                  <w:vAlign w:val="center"/>
                </w:tcPr>
                <w:p w14:paraId="1EF1696D">
                  <w:pPr>
                    <w:jc w:val="center"/>
                    <w:rPr>
                      <w:rFonts w:hint="default" w:ascii="Times New Roman" w:hAnsi="Times New Roman" w:cs="Times New Roman"/>
                      <w:color w:val="auto"/>
                      <w:lang w:val="en-GB"/>
                    </w:rPr>
                  </w:pPr>
                  <w:r>
                    <w:rPr>
                      <w:rFonts w:hint="default" w:ascii="Times New Roman" w:hAnsi="Times New Roman" w:cs="Times New Roman"/>
                      <w:color w:val="auto"/>
                    </w:rPr>
                    <w:t>/</w:t>
                  </w:r>
                </w:p>
              </w:tc>
              <w:tc>
                <w:tcPr>
                  <w:tcW w:w="1231" w:type="dxa"/>
                  <w:noWrap w:val="0"/>
                  <w:vAlign w:val="center"/>
                </w:tcPr>
                <w:p w14:paraId="09A22914">
                  <w:pPr>
                    <w:jc w:val="center"/>
                    <w:rPr>
                      <w:rFonts w:hint="default" w:ascii="Times New Roman" w:hAnsi="Times New Roman" w:cs="Times New Roman"/>
                      <w:color w:val="auto"/>
                    </w:rPr>
                  </w:pPr>
                  <w:r>
                    <w:rPr>
                      <w:rFonts w:hint="default" w:ascii="Times New Roman" w:hAnsi="Times New Roman" w:cs="Times New Roman"/>
                      <w:color w:val="auto"/>
                    </w:rPr>
                    <w:t>/</w:t>
                  </w:r>
                </w:p>
              </w:tc>
            </w:tr>
            <w:tr w14:paraId="776745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38" w:hRule="atLeast"/>
                <w:jc w:val="center"/>
              </w:trPr>
              <w:tc>
                <w:tcPr>
                  <w:tcW w:w="854" w:type="dxa"/>
                  <w:vMerge w:val="continue"/>
                  <w:noWrap w:val="0"/>
                  <w:vAlign w:val="center"/>
                </w:tcPr>
                <w:p w14:paraId="7EB347B0">
                  <w:pPr>
                    <w:rPr>
                      <w:rFonts w:hint="default" w:ascii="Times New Roman" w:hAnsi="Times New Roman" w:cs="Times New Roman"/>
                      <w:b/>
                      <w:color w:val="auto"/>
                      <w:lang w:val="en-GB"/>
                    </w:rPr>
                  </w:pPr>
                </w:p>
              </w:tc>
              <w:tc>
                <w:tcPr>
                  <w:tcW w:w="4877" w:type="dxa"/>
                  <w:noWrap w:val="0"/>
                  <w:vAlign w:val="center"/>
                </w:tcPr>
                <w:p w14:paraId="5FD01848">
                  <w:pPr>
                    <w:spacing w:line="360" w:lineRule="auto"/>
                    <w:rPr>
                      <w:rFonts w:hint="default" w:ascii="Times New Roman" w:hAnsi="Times New Roman" w:cs="Times New Roman"/>
                      <w:color w:val="auto"/>
                      <w:szCs w:val="21"/>
                    </w:rPr>
                  </w:pPr>
                  <w:r>
                    <w:rPr>
                      <w:rFonts w:hint="default" w:ascii="Times New Roman" w:hAnsi="Times New Roman" w:cs="Times New Roman"/>
                      <w:color w:val="auto"/>
                      <w:szCs w:val="21"/>
                    </w:rPr>
                    <w:t>供水：</w:t>
                  </w:r>
                  <w:r>
                    <w:rPr>
                      <w:rFonts w:hint="eastAsia" w:ascii="Times New Roman" w:hAnsi="Times New Roman" w:cs="Times New Roman"/>
                      <w:color w:val="auto"/>
                      <w:szCs w:val="21"/>
                      <w:lang w:val="en-US" w:eastAsia="zh-CN"/>
                    </w:rPr>
                    <w:t>项目生产</w:t>
                  </w:r>
                  <w:r>
                    <w:rPr>
                      <w:rFonts w:hint="eastAsia" w:cs="Times New Roman"/>
                      <w:color w:val="auto"/>
                      <w:szCs w:val="21"/>
                      <w:lang w:val="en-US" w:eastAsia="zh-CN"/>
                    </w:rPr>
                    <w:t>水</w:t>
                  </w:r>
                  <w:r>
                    <w:rPr>
                      <w:rFonts w:hint="eastAsia" w:ascii="Times New Roman" w:hAnsi="Times New Roman" w:cs="Times New Roman"/>
                      <w:color w:val="auto"/>
                      <w:szCs w:val="21"/>
                      <w:lang w:val="en-US" w:eastAsia="zh-CN"/>
                    </w:rPr>
                    <w:t>用于取自于</w:t>
                  </w:r>
                  <w:r>
                    <w:rPr>
                      <w:rFonts w:hint="eastAsia" w:cs="Times New Roman"/>
                      <w:color w:val="auto"/>
                      <w:szCs w:val="21"/>
                      <w:lang w:val="en-US" w:eastAsia="zh-CN"/>
                    </w:rPr>
                    <w:t>东</w:t>
                  </w:r>
                  <w:r>
                    <w:rPr>
                      <w:rFonts w:hint="eastAsia" w:ascii="Times New Roman" w:hAnsi="Times New Roman" w:cs="Times New Roman"/>
                      <w:color w:val="auto"/>
                      <w:szCs w:val="21"/>
                      <w:lang w:val="en-US" w:eastAsia="zh-CN"/>
                    </w:rPr>
                    <w:t>侧小</w:t>
                  </w:r>
                  <w:r>
                    <w:rPr>
                      <w:rFonts w:hint="eastAsia" w:cs="Times New Roman"/>
                      <w:color w:val="auto"/>
                      <w:szCs w:val="21"/>
                      <w:lang w:val="en-US" w:eastAsia="zh-CN"/>
                    </w:rPr>
                    <w:t>河沟</w:t>
                  </w:r>
                  <w:r>
                    <w:rPr>
                      <w:rFonts w:hint="default" w:ascii="Times New Roman" w:hAnsi="Times New Roman" w:cs="Times New Roman"/>
                      <w:color w:val="auto"/>
                      <w:szCs w:val="21"/>
                    </w:rPr>
                    <w:t>。</w:t>
                  </w:r>
                </w:p>
              </w:tc>
              <w:tc>
                <w:tcPr>
                  <w:tcW w:w="1204" w:type="dxa"/>
                  <w:noWrap w:val="0"/>
                  <w:vAlign w:val="center"/>
                </w:tcPr>
                <w:p w14:paraId="3DC273D4">
                  <w:pPr>
                    <w:jc w:val="center"/>
                    <w:rPr>
                      <w:rFonts w:hint="default" w:ascii="Times New Roman" w:hAnsi="Times New Roman" w:cs="Times New Roman"/>
                      <w:color w:val="auto"/>
                    </w:rPr>
                  </w:pPr>
                  <w:r>
                    <w:rPr>
                      <w:rFonts w:hint="default" w:ascii="Times New Roman" w:hAnsi="Times New Roman" w:cs="Times New Roman"/>
                      <w:color w:val="auto"/>
                    </w:rPr>
                    <w:t>/</w:t>
                  </w:r>
                </w:p>
              </w:tc>
              <w:tc>
                <w:tcPr>
                  <w:tcW w:w="1231" w:type="dxa"/>
                  <w:noWrap w:val="0"/>
                  <w:vAlign w:val="center"/>
                </w:tcPr>
                <w:p w14:paraId="22241C13">
                  <w:pPr>
                    <w:jc w:val="center"/>
                    <w:rPr>
                      <w:rFonts w:hint="default" w:ascii="Times New Roman" w:hAnsi="Times New Roman" w:cs="Times New Roman"/>
                      <w:color w:val="auto"/>
                    </w:rPr>
                  </w:pPr>
                  <w:r>
                    <w:rPr>
                      <w:rFonts w:hint="default" w:ascii="Times New Roman" w:hAnsi="Times New Roman" w:cs="Times New Roman"/>
                      <w:color w:val="auto"/>
                    </w:rPr>
                    <w:t>/</w:t>
                  </w:r>
                </w:p>
              </w:tc>
            </w:tr>
            <w:tr w14:paraId="5EC5677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854" w:type="dxa"/>
                  <w:vMerge w:val="continue"/>
                  <w:noWrap w:val="0"/>
                  <w:vAlign w:val="center"/>
                </w:tcPr>
                <w:p w14:paraId="3C92133F">
                  <w:pPr>
                    <w:rPr>
                      <w:rFonts w:hint="default" w:ascii="Times New Roman" w:hAnsi="Times New Roman" w:cs="Times New Roman"/>
                      <w:b/>
                      <w:color w:val="auto"/>
                      <w:lang w:val="en-GB"/>
                    </w:rPr>
                  </w:pPr>
                </w:p>
              </w:tc>
              <w:tc>
                <w:tcPr>
                  <w:tcW w:w="4877" w:type="dxa"/>
                  <w:noWrap w:val="0"/>
                  <w:vAlign w:val="center"/>
                </w:tcPr>
                <w:p w14:paraId="327178A4">
                  <w:pPr>
                    <w:spacing w:line="360" w:lineRule="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排水</w:t>
                  </w:r>
                  <w:r>
                    <w:rPr>
                      <w:rFonts w:hint="default" w:ascii="Times New Roman" w:hAnsi="Times New Roman" w:cs="Times New Roman"/>
                      <w:color w:val="auto"/>
                      <w:szCs w:val="21"/>
                    </w:rPr>
                    <w:t>：</w:t>
                  </w:r>
                  <w:r>
                    <w:rPr>
                      <w:rFonts w:hint="eastAsia" w:ascii="Times New Roman" w:hAnsi="Times New Roman" w:cs="Times New Roman"/>
                      <w:color w:val="auto"/>
                      <w:szCs w:val="21"/>
                      <w:lang w:val="en-US" w:eastAsia="zh-CN"/>
                    </w:rPr>
                    <w:t>项目设置</w:t>
                  </w:r>
                  <w:r>
                    <w:rPr>
                      <w:rFonts w:hint="eastAsia" w:cs="Times New Roman"/>
                      <w:color w:val="auto"/>
                      <w:szCs w:val="21"/>
                      <w:lang w:val="en-US" w:eastAsia="zh-CN"/>
                    </w:rPr>
                    <w:t>生活污水</w:t>
                  </w:r>
                  <w:r>
                    <w:rPr>
                      <w:rFonts w:hint="eastAsia" w:ascii="Times New Roman" w:hAnsi="Times New Roman" w:cs="Times New Roman"/>
                      <w:color w:val="auto"/>
                      <w:szCs w:val="21"/>
                      <w:lang w:val="en-US" w:eastAsia="zh-CN"/>
                    </w:rPr>
                    <w:t>化粪池一处，</w:t>
                  </w:r>
                  <w:r>
                    <w:rPr>
                      <w:rFonts w:hint="eastAsia" w:cs="Times New Roman"/>
                      <w:color w:val="auto"/>
                      <w:szCs w:val="21"/>
                      <w:lang w:val="en-US" w:eastAsia="zh-CN"/>
                    </w:rPr>
                    <w:t>生活污水</w:t>
                  </w:r>
                  <w:r>
                    <w:rPr>
                      <w:rFonts w:hint="eastAsia" w:ascii="Times New Roman" w:hAnsi="Times New Roman" w:cs="Times New Roman"/>
                      <w:color w:val="auto"/>
                      <w:szCs w:val="21"/>
                      <w:lang w:val="en-US" w:eastAsia="zh-CN"/>
                    </w:rPr>
                    <w:t>经化粪池处理后用于农灌；生产废水经过生产废水处理系统处理后回用；雨水收集进入沉淀池处理后作为生产用水使用；车辆清洗废水经过洗车设施沉淀池处理后循环使用不排放</w:t>
                  </w:r>
                  <w:r>
                    <w:rPr>
                      <w:rFonts w:hint="default" w:ascii="Times New Roman" w:hAnsi="Times New Roman" w:cs="Times New Roman"/>
                      <w:color w:val="auto"/>
                      <w:szCs w:val="21"/>
                    </w:rPr>
                    <w:t>。</w:t>
                  </w:r>
                </w:p>
              </w:tc>
              <w:tc>
                <w:tcPr>
                  <w:tcW w:w="1204" w:type="dxa"/>
                  <w:noWrap w:val="0"/>
                  <w:vAlign w:val="center"/>
                </w:tcPr>
                <w:p w14:paraId="19045C81">
                  <w:pPr>
                    <w:jc w:val="center"/>
                    <w:rPr>
                      <w:rFonts w:hint="default" w:ascii="Times New Roman" w:hAnsi="Times New Roman" w:cs="Times New Roman"/>
                      <w:color w:val="auto"/>
                    </w:rPr>
                  </w:pPr>
                  <w:r>
                    <w:rPr>
                      <w:rFonts w:hint="default" w:ascii="Times New Roman" w:hAnsi="Times New Roman" w:cs="Times New Roman"/>
                      <w:color w:val="auto"/>
                    </w:rPr>
                    <w:t>/</w:t>
                  </w:r>
                </w:p>
              </w:tc>
              <w:tc>
                <w:tcPr>
                  <w:tcW w:w="1231" w:type="dxa"/>
                  <w:noWrap w:val="0"/>
                  <w:vAlign w:val="center"/>
                </w:tcPr>
                <w:p w14:paraId="595430CB">
                  <w:pPr>
                    <w:rPr>
                      <w:rFonts w:hint="default" w:ascii="Times New Roman" w:hAnsi="Times New Roman" w:cs="Times New Roman"/>
                      <w:color w:val="auto"/>
                    </w:rPr>
                  </w:pPr>
                  <w:r>
                    <w:rPr>
                      <w:rFonts w:hint="default" w:ascii="Times New Roman" w:hAnsi="Times New Roman" w:cs="Times New Roman"/>
                      <w:color w:val="auto"/>
                      <w:lang w:val="en-GB"/>
                    </w:rPr>
                    <w:t>固废，噪声</w:t>
                  </w:r>
                  <w:r>
                    <w:rPr>
                      <w:rStyle w:val="28"/>
                      <w:rFonts w:hint="default" w:ascii="Times New Roman" w:hAnsi="Times New Roman" w:cs="Times New Roman"/>
                      <w:color w:val="auto"/>
                    </w:rPr>
                    <w:t>、</w:t>
                  </w:r>
                  <w:r>
                    <w:rPr>
                      <w:rStyle w:val="28"/>
                      <w:rFonts w:hint="eastAsia" w:cs="Times New Roman"/>
                      <w:color w:val="auto"/>
                      <w:lang w:eastAsia="zh-CN"/>
                    </w:rPr>
                    <w:t>生活污水</w:t>
                  </w:r>
                </w:p>
              </w:tc>
            </w:tr>
            <w:tr w14:paraId="06248CB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32" w:hRule="atLeast"/>
                <w:jc w:val="center"/>
              </w:trPr>
              <w:tc>
                <w:tcPr>
                  <w:tcW w:w="854" w:type="dxa"/>
                  <w:vMerge w:val="restart"/>
                  <w:noWrap w:val="0"/>
                  <w:vAlign w:val="center"/>
                </w:tcPr>
                <w:p w14:paraId="001CE0BC">
                  <w:pPr>
                    <w:rPr>
                      <w:rFonts w:hint="default" w:ascii="Times New Roman" w:hAnsi="Times New Roman" w:cs="Times New Roman"/>
                      <w:b/>
                      <w:color w:val="auto"/>
                      <w:lang w:val="en-GB"/>
                    </w:rPr>
                  </w:pPr>
                  <w:r>
                    <w:rPr>
                      <w:rFonts w:hint="default" w:ascii="Times New Roman" w:hAnsi="Times New Roman" w:cs="Times New Roman"/>
                      <w:b/>
                      <w:color w:val="auto"/>
                      <w:lang w:val="en-GB"/>
                    </w:rPr>
                    <w:t>辅助工程</w:t>
                  </w:r>
                </w:p>
              </w:tc>
              <w:tc>
                <w:tcPr>
                  <w:tcW w:w="4877" w:type="dxa"/>
                  <w:noWrap w:val="0"/>
                  <w:vAlign w:val="center"/>
                </w:tcPr>
                <w:p w14:paraId="2C529291">
                  <w:pPr>
                    <w:spacing w:line="360" w:lineRule="auto"/>
                    <w:jc w:val="left"/>
                    <w:rPr>
                      <w:rFonts w:hint="default" w:ascii="Times New Roman" w:hAnsi="Times New Roman" w:cs="Times New Roman"/>
                      <w:color w:val="auto"/>
                      <w:szCs w:val="21"/>
                    </w:rPr>
                  </w:pPr>
                  <w:r>
                    <w:rPr>
                      <w:rFonts w:hint="default" w:ascii="Times New Roman" w:hAnsi="Times New Roman" w:cs="Times New Roman"/>
                      <w:color w:val="auto"/>
                      <w:szCs w:val="21"/>
                    </w:rPr>
                    <w:t>设置</w:t>
                  </w:r>
                  <w:r>
                    <w:rPr>
                      <w:rFonts w:hint="eastAsia" w:ascii="Times New Roman" w:hAnsi="Times New Roman" w:cs="Times New Roman"/>
                      <w:color w:val="auto"/>
                      <w:szCs w:val="21"/>
                      <w:lang w:val="en-US" w:eastAsia="zh-CN"/>
                    </w:rPr>
                    <w:t>生产废水沉淀池1</w:t>
                  </w:r>
                  <w:r>
                    <w:rPr>
                      <w:rFonts w:hint="default" w:ascii="Times New Roman" w:hAnsi="Times New Roman" w:cs="Times New Roman"/>
                      <w:color w:val="auto"/>
                      <w:szCs w:val="21"/>
                    </w:rPr>
                    <w:t>座，容积约</w:t>
                  </w:r>
                  <w:r>
                    <w:rPr>
                      <w:rFonts w:hint="eastAsia" w:ascii="Times New Roman" w:hAnsi="Times New Roman" w:cs="Times New Roman"/>
                      <w:color w:val="auto"/>
                      <w:szCs w:val="21"/>
                      <w:lang w:val="en-US" w:eastAsia="zh-CN"/>
                    </w:rPr>
                    <w:t>250</w:t>
                  </w:r>
                  <w:r>
                    <w:rPr>
                      <w:rFonts w:hint="default" w:ascii="Times New Roman" w:hAnsi="Times New Roman" w:cs="Times New Roman"/>
                      <w:color w:val="auto"/>
                      <w:szCs w:val="21"/>
                    </w:rPr>
                    <w:t>立方米。</w:t>
                  </w:r>
                </w:p>
              </w:tc>
              <w:tc>
                <w:tcPr>
                  <w:tcW w:w="1204" w:type="dxa"/>
                  <w:noWrap w:val="0"/>
                  <w:vAlign w:val="center"/>
                </w:tcPr>
                <w:p w14:paraId="63103576">
                  <w:pPr>
                    <w:jc w:val="center"/>
                    <w:rPr>
                      <w:rFonts w:hint="default" w:ascii="Times New Roman" w:hAnsi="Times New Roman" w:cs="Times New Roman"/>
                      <w:color w:val="auto"/>
                    </w:rPr>
                  </w:pPr>
                  <w:r>
                    <w:rPr>
                      <w:rFonts w:hint="default" w:ascii="Times New Roman" w:hAnsi="Times New Roman" w:cs="Times New Roman"/>
                      <w:color w:val="auto"/>
                    </w:rPr>
                    <w:t>粉尘、噪声、固废</w:t>
                  </w:r>
                </w:p>
                <w:p w14:paraId="5DD9E0EA">
                  <w:pPr>
                    <w:rPr>
                      <w:rFonts w:hint="default" w:ascii="Times New Roman" w:hAnsi="Times New Roman" w:cs="Times New Roman"/>
                      <w:color w:val="auto"/>
                    </w:rPr>
                  </w:pPr>
                </w:p>
              </w:tc>
              <w:tc>
                <w:tcPr>
                  <w:tcW w:w="1231" w:type="dxa"/>
                  <w:noWrap w:val="0"/>
                  <w:vAlign w:val="center"/>
                </w:tcPr>
                <w:p w14:paraId="1FC6197D">
                  <w:pPr>
                    <w:rPr>
                      <w:rFonts w:hint="default" w:ascii="Times New Roman" w:hAnsi="Times New Roman" w:cs="Times New Roman"/>
                      <w:color w:val="auto"/>
                      <w:lang w:val="en-GB"/>
                    </w:rPr>
                  </w:pPr>
                  <w:r>
                    <w:rPr>
                      <w:rFonts w:hint="default" w:ascii="Times New Roman" w:hAnsi="Times New Roman" w:cs="Times New Roman"/>
                      <w:color w:val="auto"/>
                    </w:rPr>
                    <w:t>/</w:t>
                  </w:r>
                </w:p>
              </w:tc>
            </w:tr>
            <w:tr w14:paraId="16538CE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32" w:hRule="atLeast"/>
                <w:jc w:val="center"/>
              </w:trPr>
              <w:tc>
                <w:tcPr>
                  <w:tcW w:w="854" w:type="dxa"/>
                  <w:vMerge w:val="continue"/>
                  <w:noWrap w:val="0"/>
                  <w:vAlign w:val="center"/>
                </w:tcPr>
                <w:p w14:paraId="4778EFE4">
                  <w:pPr>
                    <w:rPr>
                      <w:rFonts w:hint="default" w:ascii="Times New Roman" w:hAnsi="Times New Roman" w:cs="Times New Roman"/>
                      <w:b/>
                      <w:color w:val="auto"/>
                      <w:lang w:val="en-GB"/>
                    </w:rPr>
                  </w:pPr>
                </w:p>
              </w:tc>
              <w:tc>
                <w:tcPr>
                  <w:tcW w:w="4877" w:type="dxa"/>
                  <w:noWrap w:val="0"/>
                  <w:vAlign w:val="center"/>
                </w:tcPr>
                <w:p w14:paraId="279C935C">
                  <w:pPr>
                    <w:spacing w:line="360" w:lineRule="auto"/>
                    <w:jc w:val="left"/>
                    <w:rPr>
                      <w:rFonts w:hint="default" w:ascii="Times New Roman" w:hAnsi="Times New Roman" w:cs="Times New Roman"/>
                      <w:color w:val="FF0000"/>
                      <w:szCs w:val="21"/>
                    </w:rPr>
                  </w:pPr>
                  <w:r>
                    <w:rPr>
                      <w:rFonts w:hint="eastAsia" w:ascii="Times New Roman" w:hAnsi="Times New Roman" w:cs="Times New Roman"/>
                      <w:color w:val="000000" w:themeColor="text1"/>
                      <w:szCs w:val="21"/>
                      <w:lang w:val="en-US" w:eastAsia="zh-CN"/>
                      <w14:textFill>
                        <w14:solidFill>
                          <w14:schemeClr w14:val="tx1"/>
                        </w14:solidFill>
                      </w14:textFill>
                    </w:rPr>
                    <w:t>厂区</w:t>
                  </w:r>
                  <w:r>
                    <w:rPr>
                      <w:rFonts w:hint="eastAsia" w:cs="Times New Roman"/>
                      <w:color w:val="000000" w:themeColor="text1"/>
                      <w:szCs w:val="21"/>
                      <w:lang w:val="en-US" w:eastAsia="zh-CN"/>
                      <w14:textFill>
                        <w14:solidFill>
                          <w14:schemeClr w14:val="tx1"/>
                        </w14:solidFill>
                      </w14:textFill>
                    </w:rPr>
                    <w:t>西南侧</w:t>
                  </w:r>
                  <w:r>
                    <w:rPr>
                      <w:rFonts w:hint="eastAsia" w:ascii="Times New Roman" w:hAnsi="Times New Roman" w:cs="Times New Roman"/>
                      <w:color w:val="000000" w:themeColor="text1"/>
                      <w:szCs w:val="21"/>
                      <w:lang w:val="en-US" w:eastAsia="zh-CN"/>
                      <w14:textFill>
                        <w14:solidFill>
                          <w14:schemeClr w14:val="tx1"/>
                        </w14:solidFill>
                      </w14:textFill>
                    </w:rPr>
                    <w:t>处设置地磅一台，占地面积约48平方米</w:t>
                  </w:r>
                  <w:r>
                    <w:rPr>
                      <w:rFonts w:hint="default" w:ascii="Times New Roman" w:hAnsi="Times New Roman" w:cs="Times New Roman"/>
                      <w:color w:val="000000" w:themeColor="text1"/>
                      <w:szCs w:val="21"/>
                      <w14:textFill>
                        <w14:solidFill>
                          <w14:schemeClr w14:val="tx1"/>
                        </w14:solidFill>
                      </w14:textFill>
                    </w:rPr>
                    <w:t>。</w:t>
                  </w:r>
                </w:p>
              </w:tc>
              <w:tc>
                <w:tcPr>
                  <w:tcW w:w="1204" w:type="dxa"/>
                  <w:noWrap w:val="0"/>
                  <w:vAlign w:val="center"/>
                </w:tcPr>
                <w:p w14:paraId="6C2EE485">
                  <w:pPr>
                    <w:jc w:val="center"/>
                    <w:rPr>
                      <w:rFonts w:hint="default" w:ascii="Times New Roman" w:hAnsi="Times New Roman" w:cs="Times New Roman"/>
                      <w:color w:val="auto"/>
                    </w:rPr>
                  </w:pPr>
                  <w:r>
                    <w:rPr>
                      <w:rFonts w:hint="default" w:ascii="Times New Roman" w:hAnsi="Times New Roman" w:cs="Times New Roman"/>
                      <w:color w:val="auto"/>
                    </w:rPr>
                    <w:t>噪声</w:t>
                  </w:r>
                </w:p>
              </w:tc>
              <w:tc>
                <w:tcPr>
                  <w:tcW w:w="1231" w:type="dxa"/>
                  <w:noWrap w:val="0"/>
                  <w:vAlign w:val="center"/>
                </w:tcPr>
                <w:p w14:paraId="45AC4D63">
                  <w:pPr>
                    <w:jc w:val="center"/>
                    <w:rPr>
                      <w:rFonts w:hint="default" w:ascii="Times New Roman" w:hAnsi="Times New Roman" w:cs="Times New Roman"/>
                      <w:color w:val="auto"/>
                    </w:rPr>
                  </w:pPr>
                  <w:r>
                    <w:rPr>
                      <w:rFonts w:hint="default" w:ascii="Times New Roman" w:hAnsi="Times New Roman" w:cs="Times New Roman"/>
                      <w:color w:val="auto"/>
                    </w:rPr>
                    <w:t>噪声</w:t>
                  </w:r>
                </w:p>
              </w:tc>
            </w:tr>
            <w:tr w14:paraId="551E5DB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54" w:type="dxa"/>
                  <w:vMerge w:val="restart"/>
                  <w:noWrap w:val="0"/>
                  <w:vAlign w:val="center"/>
                </w:tcPr>
                <w:p w14:paraId="274C24C4">
                  <w:pPr>
                    <w:rPr>
                      <w:rFonts w:hint="default" w:ascii="Times New Roman" w:hAnsi="Times New Roman" w:cs="Times New Roman"/>
                      <w:b/>
                      <w:color w:val="auto"/>
                      <w:lang w:val="en-GB"/>
                    </w:rPr>
                  </w:pPr>
                  <w:r>
                    <w:rPr>
                      <w:rFonts w:hint="default" w:ascii="Times New Roman" w:hAnsi="Times New Roman" w:cs="Times New Roman"/>
                      <w:b/>
                      <w:color w:val="auto"/>
                      <w:lang w:val="en-GB"/>
                    </w:rPr>
                    <w:t>环保工程</w:t>
                  </w:r>
                </w:p>
              </w:tc>
              <w:tc>
                <w:tcPr>
                  <w:tcW w:w="4877" w:type="dxa"/>
                  <w:noWrap w:val="0"/>
                  <w:vAlign w:val="center"/>
                </w:tcPr>
                <w:p w14:paraId="5CDE8AB3">
                  <w:pPr>
                    <w:spacing w:line="360" w:lineRule="auto"/>
                    <w:jc w:val="left"/>
                    <w:rPr>
                      <w:rFonts w:hint="default"/>
                    </w:rPr>
                  </w:pPr>
                  <w:r>
                    <w:rPr>
                      <w:rFonts w:hint="default"/>
                    </w:rPr>
                    <w:t>废气</w:t>
                  </w:r>
                  <w:r>
                    <w:rPr>
                      <w:rFonts w:hint="eastAsia"/>
                      <w:lang w:val="en-US" w:eastAsia="zh-CN"/>
                    </w:rPr>
                    <w:t>治理设施</w:t>
                  </w:r>
                  <w:r>
                    <w:rPr>
                      <w:rFonts w:hint="default"/>
                    </w:rPr>
                    <w:t>：</w:t>
                  </w:r>
                </w:p>
                <w:p w14:paraId="36898874">
                  <w:pPr>
                    <w:pStyle w:val="14"/>
                    <w:ind w:firstLine="210" w:firstLineChars="100"/>
                    <w:rPr>
                      <w:rFonts w:hint="default" w:eastAsia="宋体"/>
                      <w:lang w:val="en-US" w:eastAsia="zh-CN"/>
                    </w:rPr>
                  </w:pPr>
                  <w:r>
                    <w:rPr>
                      <w:rFonts w:hint="eastAsia" w:ascii="Times New Roman" w:hAnsi="Times New Roman" w:cs="Times New Roman"/>
                      <w:color w:val="auto"/>
                      <w:szCs w:val="21"/>
                      <w:lang w:val="en-US" w:eastAsia="zh-CN"/>
                    </w:rPr>
                    <w:t>项目生产区域、堆场均设置于封闭厂房内并配置水雾除尘装置进行除尘。厂区内分散布置雾炮装置2台对厂区进行除尘。破碎、筛分、制砂采取湿法作业以最大程度的控制粉尘。</w:t>
                  </w:r>
                </w:p>
              </w:tc>
              <w:tc>
                <w:tcPr>
                  <w:tcW w:w="1204" w:type="dxa"/>
                  <w:noWrap w:val="0"/>
                  <w:vAlign w:val="center"/>
                </w:tcPr>
                <w:p w14:paraId="6BFAA314">
                  <w:pPr>
                    <w:jc w:val="center"/>
                    <w:rPr>
                      <w:rFonts w:hint="default" w:ascii="Times New Roman" w:hAnsi="Times New Roman" w:cs="Times New Roman"/>
                      <w:color w:val="auto"/>
                    </w:rPr>
                  </w:pPr>
                  <w:r>
                    <w:rPr>
                      <w:rFonts w:hint="default" w:ascii="Times New Roman" w:hAnsi="Times New Roman" w:cs="Times New Roman"/>
                      <w:color w:val="auto"/>
                    </w:rPr>
                    <w:t>/</w:t>
                  </w:r>
                </w:p>
              </w:tc>
              <w:tc>
                <w:tcPr>
                  <w:tcW w:w="1231" w:type="dxa"/>
                  <w:noWrap w:val="0"/>
                  <w:vAlign w:val="center"/>
                </w:tcPr>
                <w:p w14:paraId="02D2448F">
                  <w:pPr>
                    <w:jc w:val="center"/>
                    <w:rPr>
                      <w:rFonts w:hint="default" w:ascii="Times New Roman" w:hAnsi="Times New Roman" w:cs="Times New Roman"/>
                      <w:color w:val="auto"/>
                    </w:rPr>
                  </w:pPr>
                  <w:r>
                    <w:rPr>
                      <w:rFonts w:hint="default" w:ascii="Times New Roman" w:hAnsi="Times New Roman" w:cs="Times New Roman"/>
                      <w:color w:val="auto"/>
                      <w:lang w:val="en-GB"/>
                    </w:rPr>
                    <w:t>粉尘</w:t>
                  </w:r>
                </w:p>
              </w:tc>
            </w:tr>
            <w:tr w14:paraId="373C075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9" w:hRule="atLeast"/>
                <w:jc w:val="center"/>
              </w:trPr>
              <w:tc>
                <w:tcPr>
                  <w:tcW w:w="854" w:type="dxa"/>
                  <w:vMerge w:val="continue"/>
                  <w:noWrap w:val="0"/>
                  <w:vAlign w:val="center"/>
                </w:tcPr>
                <w:p w14:paraId="7F39D21D">
                  <w:pPr>
                    <w:rPr>
                      <w:rFonts w:hint="default" w:ascii="Times New Roman" w:hAnsi="Times New Roman" w:cs="Times New Roman"/>
                      <w:b/>
                      <w:color w:val="auto"/>
                      <w:lang w:val="en-GB"/>
                    </w:rPr>
                  </w:pPr>
                </w:p>
              </w:tc>
              <w:tc>
                <w:tcPr>
                  <w:tcW w:w="4877" w:type="dxa"/>
                  <w:noWrap w:val="0"/>
                  <w:vAlign w:val="center"/>
                </w:tcPr>
                <w:p w14:paraId="5005DB9C">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生产</w:t>
                  </w:r>
                  <w:r>
                    <w:rPr>
                      <w:rFonts w:hint="default" w:ascii="Times New Roman" w:hAnsi="Times New Roman" w:cs="Times New Roman"/>
                      <w:color w:val="auto"/>
                      <w:szCs w:val="21"/>
                    </w:rPr>
                    <w:t>废水：</w:t>
                  </w:r>
                  <w:r>
                    <w:rPr>
                      <w:rFonts w:hint="eastAsia" w:hAnsi="宋体"/>
                      <w:color w:val="000000"/>
                      <w:kern w:val="0"/>
                      <w:szCs w:val="21"/>
                    </w:rPr>
                    <w:t>设置</w:t>
                  </w:r>
                  <w:r>
                    <w:rPr>
                      <w:rFonts w:hint="eastAsia" w:hAnsi="宋体"/>
                      <w:color w:val="000000"/>
                      <w:kern w:val="0"/>
                      <w:szCs w:val="21"/>
                      <w:lang w:val="en-US" w:eastAsia="zh-CN"/>
                    </w:rPr>
                    <w:t>三级沉淀池一处，容积约25</w:t>
                  </w:r>
                  <w:r>
                    <w:rPr>
                      <w:rFonts w:hint="eastAsia" w:hAnsi="宋体"/>
                      <w:color w:val="000000" w:themeColor="text1"/>
                      <w:kern w:val="0"/>
                      <w:szCs w:val="21"/>
                      <w:lang w:val="en-US" w:eastAsia="zh-CN"/>
                      <w14:textFill>
                        <w14:solidFill>
                          <w14:schemeClr w14:val="tx1"/>
                        </w14:solidFill>
                      </w14:textFill>
                    </w:rPr>
                    <w:t>0</w:t>
                  </w:r>
                  <w:r>
                    <w:rPr>
                      <w:rStyle w:val="28"/>
                      <w:rFonts w:hint="eastAsia"/>
                      <w:color w:val="000000" w:themeColor="text1"/>
                      <w14:textFill>
                        <w14:solidFill>
                          <w14:schemeClr w14:val="tx1"/>
                        </w14:solidFill>
                      </w14:textFill>
                    </w:rPr>
                    <w:t>m</w:t>
                  </w:r>
                  <w:r>
                    <w:rPr>
                      <w:rStyle w:val="28"/>
                      <w:color w:val="000000" w:themeColor="text1"/>
                      <w14:textFill>
                        <w14:solidFill>
                          <w14:schemeClr w14:val="tx1"/>
                        </w14:solidFill>
                      </w14:textFill>
                    </w:rPr>
                    <w:t>³</w:t>
                  </w:r>
                  <w:r>
                    <w:rPr>
                      <w:rStyle w:val="28"/>
                      <w:rFonts w:hint="eastAsia"/>
                      <w:color w:val="000000" w:themeColor="text1"/>
                      <w:lang w:eastAsia="zh-CN"/>
                      <w14:textFill>
                        <w14:solidFill>
                          <w14:schemeClr w14:val="tx1"/>
                        </w14:solidFill>
                      </w14:textFill>
                    </w:rPr>
                    <w:t>；</w:t>
                  </w:r>
                  <w:r>
                    <w:rPr>
                      <w:rStyle w:val="28"/>
                      <w:rFonts w:hint="eastAsia"/>
                      <w:color w:val="000000" w:themeColor="text1"/>
                      <w:lang w:val="en-US" w:eastAsia="zh-CN"/>
                      <w14:textFill>
                        <w14:solidFill>
                          <w14:schemeClr w14:val="tx1"/>
                        </w14:solidFill>
                      </w14:textFill>
                    </w:rPr>
                    <w:t>设置中水回用罐（泥浆絮凝罐，规模200t）一个；设置250型板框压滤机两个</w:t>
                  </w:r>
                  <w:r>
                    <w:rPr>
                      <w:rFonts w:hint="default" w:ascii="Times New Roman" w:hAnsi="Times New Roman" w:cs="Times New Roman"/>
                      <w:color w:val="000000" w:themeColor="text1"/>
                      <w:szCs w:val="21"/>
                      <w:lang w:val="en-US" w:eastAsia="zh-CN"/>
                      <w14:textFill>
                        <w14:solidFill>
                          <w14:schemeClr w14:val="tx1"/>
                        </w14:solidFill>
                      </w14:textFill>
                    </w:rPr>
                    <w:t>。</w:t>
                  </w:r>
                  <w:r>
                    <w:rPr>
                      <w:rFonts w:hint="eastAsia" w:ascii="Times New Roman" w:hAnsi="Times New Roman" w:cs="Times New Roman"/>
                      <w:color w:val="auto"/>
                      <w:szCs w:val="21"/>
                      <w:lang w:val="en-US" w:eastAsia="zh-CN"/>
                    </w:rPr>
                    <w:t>生产废水经过三级沉淀+中水回用</w:t>
                  </w:r>
                  <w:r>
                    <w:rPr>
                      <w:rFonts w:hint="eastAsia" w:cs="Times New Roman"/>
                      <w:color w:val="auto"/>
                      <w:szCs w:val="21"/>
                      <w:lang w:val="en-US" w:eastAsia="zh-CN"/>
                    </w:rPr>
                    <w:t>处理</w:t>
                  </w:r>
                  <w:r>
                    <w:rPr>
                      <w:rFonts w:hint="eastAsia" w:ascii="Times New Roman" w:hAnsi="Times New Roman" w:cs="Times New Roman"/>
                      <w:color w:val="auto"/>
                      <w:szCs w:val="21"/>
                      <w:lang w:val="en-US" w:eastAsia="zh-CN"/>
                    </w:rPr>
                    <w:t>后回用于生产，不排放。</w:t>
                  </w:r>
                </w:p>
                <w:p w14:paraId="38514888">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cs="Times New Roman"/>
                      <w:color w:val="auto"/>
                      <w:szCs w:val="21"/>
                    </w:rPr>
                  </w:pPr>
                  <w:r>
                    <w:rPr>
                      <w:rFonts w:hint="eastAsia" w:cs="Times New Roman"/>
                      <w:color w:val="auto"/>
                      <w:szCs w:val="21"/>
                      <w:lang w:eastAsia="zh-CN"/>
                    </w:rPr>
                    <w:t>生活污水</w:t>
                  </w:r>
                  <w:r>
                    <w:rPr>
                      <w:rFonts w:hint="eastAsia" w:ascii="Times New Roman" w:hAnsi="Times New Roman" w:cs="Times New Roman"/>
                      <w:color w:val="auto"/>
                      <w:szCs w:val="21"/>
                      <w:lang w:eastAsia="zh-CN"/>
                    </w:rPr>
                    <w:t>：</w:t>
                  </w:r>
                  <w:r>
                    <w:rPr>
                      <w:rFonts w:hint="eastAsia" w:cs="Times New Roman"/>
                      <w:color w:val="auto"/>
                      <w:szCs w:val="21"/>
                      <w:lang w:eastAsia="zh-CN"/>
                    </w:rPr>
                    <w:t>生活污水</w:t>
                  </w:r>
                  <w:r>
                    <w:rPr>
                      <w:rFonts w:hint="eastAsia" w:ascii="Times New Roman" w:hAnsi="Times New Roman" w:cs="Times New Roman"/>
                      <w:color w:val="auto"/>
                      <w:szCs w:val="21"/>
                      <w:lang w:val="en-US" w:eastAsia="zh-CN"/>
                    </w:rPr>
                    <w:t>设置化粪池收集处理后用于周边农灌</w:t>
                  </w:r>
                  <w:r>
                    <w:rPr>
                      <w:rFonts w:hint="default" w:ascii="Times New Roman" w:hAnsi="Times New Roman" w:cs="Times New Roman"/>
                      <w:color w:val="auto"/>
                      <w:szCs w:val="21"/>
                    </w:rPr>
                    <w:t>。</w:t>
                  </w:r>
                </w:p>
                <w:p w14:paraId="72F452AE">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初期雨</w:t>
                  </w:r>
                  <w:r>
                    <w:rPr>
                      <w:rFonts w:hint="eastAsia" w:ascii="Times New Roman" w:hAnsi="Times New Roman" w:eastAsia="宋体" w:cs="Times New Roman"/>
                      <w:color w:val="auto"/>
                      <w:szCs w:val="21"/>
                      <w:lang w:eastAsia="zh-CN"/>
                    </w:rPr>
                    <w:t>水：经过厂区</w:t>
                  </w:r>
                  <w:r>
                    <w:rPr>
                      <w:rFonts w:hint="eastAsia" w:ascii="Times New Roman" w:hAnsi="Times New Roman" w:eastAsia="宋体" w:cs="Times New Roman"/>
                      <w:color w:val="auto"/>
                      <w:szCs w:val="21"/>
                      <w:lang w:val="en-US" w:eastAsia="zh-CN"/>
                    </w:rPr>
                    <w:t>雨水沟收集进入三级沉淀池沉淀处理后回用于生产</w:t>
                  </w:r>
                  <w:r>
                    <w:rPr>
                      <w:rFonts w:hint="eastAsia" w:ascii="Times New Roman" w:hAnsi="Times New Roman" w:eastAsia="宋体" w:cs="Times New Roman"/>
                      <w:color w:val="auto"/>
                      <w:szCs w:val="21"/>
                      <w:lang w:eastAsia="zh-CN"/>
                    </w:rPr>
                    <w:t>。</w:t>
                  </w:r>
                </w:p>
                <w:p w14:paraId="0C8DAE29">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ascii="Times New Roman" w:hAnsi="Times New Roman" w:eastAsia="宋体" w:cs="Times New Roman"/>
                      <w:color w:val="auto"/>
                      <w:szCs w:val="21"/>
                      <w:lang w:val="en-US" w:eastAsia="zh-CN"/>
                    </w:rPr>
                    <w:t>洗车废水：洗车废水经过洗车废水沉淀池处理后循环使用不排放，洗车废水沉淀池循环至不能再循环后泵入中水回用罐进行处理。</w:t>
                  </w:r>
                </w:p>
              </w:tc>
              <w:tc>
                <w:tcPr>
                  <w:tcW w:w="1204" w:type="dxa"/>
                  <w:noWrap w:val="0"/>
                  <w:vAlign w:val="center"/>
                </w:tcPr>
                <w:p w14:paraId="200666E6">
                  <w:pPr>
                    <w:jc w:val="center"/>
                    <w:rPr>
                      <w:rFonts w:hint="default" w:ascii="Times New Roman" w:hAnsi="Times New Roman" w:cs="Times New Roman"/>
                      <w:color w:val="auto"/>
                    </w:rPr>
                  </w:pPr>
                  <w:r>
                    <w:rPr>
                      <w:rFonts w:hint="default" w:ascii="Times New Roman" w:hAnsi="Times New Roman" w:cs="Times New Roman"/>
                      <w:color w:val="auto"/>
                    </w:rPr>
                    <w:t>/</w:t>
                  </w:r>
                </w:p>
              </w:tc>
              <w:tc>
                <w:tcPr>
                  <w:tcW w:w="1231" w:type="dxa"/>
                  <w:noWrap w:val="0"/>
                  <w:vAlign w:val="center"/>
                </w:tcPr>
                <w:p w14:paraId="59B03A44">
                  <w:pPr>
                    <w:jc w:val="center"/>
                    <w:rPr>
                      <w:rFonts w:hint="default" w:ascii="Times New Roman" w:hAnsi="Times New Roman" w:cs="Times New Roman"/>
                      <w:color w:val="auto"/>
                      <w:lang w:val="en-GB"/>
                    </w:rPr>
                  </w:pPr>
                  <w:r>
                    <w:rPr>
                      <w:rFonts w:hint="default" w:ascii="Times New Roman" w:hAnsi="Times New Roman" w:cs="Times New Roman"/>
                      <w:color w:val="auto"/>
                      <w:lang w:val="en-GB"/>
                    </w:rPr>
                    <w:t>废水、固废</w:t>
                  </w:r>
                </w:p>
              </w:tc>
            </w:tr>
            <w:tr w14:paraId="2521874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66" w:hRule="atLeast"/>
                <w:jc w:val="center"/>
              </w:trPr>
              <w:tc>
                <w:tcPr>
                  <w:tcW w:w="854" w:type="dxa"/>
                  <w:vMerge w:val="continue"/>
                  <w:noWrap w:val="0"/>
                  <w:vAlign w:val="center"/>
                </w:tcPr>
                <w:p w14:paraId="55BF921E">
                  <w:pPr>
                    <w:rPr>
                      <w:rFonts w:hint="default" w:ascii="Times New Roman" w:hAnsi="Times New Roman" w:cs="Times New Roman"/>
                      <w:color w:val="auto"/>
                      <w:lang w:val="en-GB"/>
                    </w:rPr>
                  </w:pPr>
                </w:p>
              </w:tc>
              <w:tc>
                <w:tcPr>
                  <w:tcW w:w="4877" w:type="dxa"/>
                  <w:noWrap w:val="0"/>
                  <w:vAlign w:val="center"/>
                </w:tcPr>
                <w:p w14:paraId="7274433C">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噪声：设置减震设施，合理总平面布局，利用建筑结构和距离衰减降低噪声对外环境的影响。</w:t>
                  </w:r>
                </w:p>
              </w:tc>
              <w:tc>
                <w:tcPr>
                  <w:tcW w:w="1204" w:type="dxa"/>
                  <w:noWrap w:val="0"/>
                  <w:vAlign w:val="center"/>
                </w:tcPr>
                <w:p w14:paraId="00F02F34">
                  <w:pPr>
                    <w:jc w:val="center"/>
                    <w:rPr>
                      <w:rFonts w:hint="default" w:ascii="Times New Roman" w:hAnsi="Times New Roman" w:cs="Times New Roman"/>
                      <w:color w:val="auto"/>
                      <w:szCs w:val="21"/>
                    </w:rPr>
                  </w:pPr>
                  <w:r>
                    <w:rPr>
                      <w:rFonts w:hint="default" w:ascii="Times New Roman" w:hAnsi="Times New Roman" w:cs="Times New Roman"/>
                      <w:color w:val="auto"/>
                      <w:szCs w:val="21"/>
                    </w:rPr>
                    <w:t>/</w:t>
                  </w:r>
                </w:p>
              </w:tc>
              <w:tc>
                <w:tcPr>
                  <w:tcW w:w="1231" w:type="dxa"/>
                  <w:noWrap w:val="0"/>
                  <w:vAlign w:val="center"/>
                </w:tcPr>
                <w:p w14:paraId="2C06379B">
                  <w:pPr>
                    <w:jc w:val="center"/>
                    <w:rPr>
                      <w:rFonts w:hint="default" w:ascii="Times New Roman" w:hAnsi="Times New Roman" w:cs="Times New Roman"/>
                      <w:color w:val="auto"/>
                      <w:szCs w:val="21"/>
                    </w:rPr>
                  </w:pPr>
                  <w:r>
                    <w:rPr>
                      <w:rFonts w:hint="default" w:ascii="Times New Roman" w:hAnsi="Times New Roman" w:cs="Times New Roman"/>
                      <w:color w:val="auto"/>
                      <w:szCs w:val="21"/>
                      <w:lang w:val="en-GB"/>
                    </w:rPr>
                    <w:t>噪声</w:t>
                  </w:r>
                </w:p>
              </w:tc>
            </w:tr>
            <w:tr w14:paraId="4E837BB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7" w:hRule="atLeast"/>
                <w:jc w:val="center"/>
              </w:trPr>
              <w:tc>
                <w:tcPr>
                  <w:tcW w:w="854" w:type="dxa"/>
                  <w:vMerge w:val="continue"/>
                  <w:noWrap w:val="0"/>
                  <w:vAlign w:val="center"/>
                </w:tcPr>
                <w:p w14:paraId="47B4E562">
                  <w:pPr>
                    <w:rPr>
                      <w:rFonts w:hint="default" w:ascii="Times New Roman" w:hAnsi="Times New Roman" w:cs="Times New Roman"/>
                      <w:color w:val="auto"/>
                      <w:lang w:val="en-GB"/>
                    </w:rPr>
                  </w:pPr>
                </w:p>
              </w:tc>
              <w:tc>
                <w:tcPr>
                  <w:tcW w:w="4877" w:type="dxa"/>
                  <w:noWrap w:val="0"/>
                  <w:vAlign w:val="center"/>
                </w:tcPr>
                <w:p w14:paraId="7E4E7B60">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auto"/>
                      <w:szCs w:val="21"/>
                      <w:lang w:eastAsia="zh-CN"/>
                    </w:rPr>
                  </w:pPr>
                  <w:r>
                    <w:rPr>
                      <w:rFonts w:hint="default" w:ascii="Times New Roman" w:hAnsi="Times New Roman" w:cs="Times New Roman"/>
                      <w:color w:val="auto"/>
                      <w:szCs w:val="21"/>
                    </w:rPr>
                    <w:t>固废：建设危险废物暂存间1处，面积约5平方米，用于收</w:t>
                  </w:r>
                  <w:r>
                    <w:rPr>
                      <w:rFonts w:hint="default" w:ascii="Times New Roman" w:hAnsi="Times New Roman" w:eastAsia="宋体" w:cs="Times New Roman"/>
                      <w:color w:val="auto"/>
                      <w:szCs w:val="21"/>
                    </w:rPr>
                    <w:t>集本</w:t>
                  </w:r>
                  <w:r>
                    <w:rPr>
                      <w:rFonts w:hint="default" w:ascii="Times New Roman" w:hAnsi="Times New Roman" w:eastAsia="宋体" w:cs="Times New Roman"/>
                      <w:color w:val="auto"/>
                      <w:szCs w:val="21"/>
                      <w:lang w:eastAsia="zh-CN"/>
                    </w:rPr>
                    <w:t>项目产生废润滑油油桶、废含油手套和抹布、废矿物油。</w:t>
                  </w:r>
                </w:p>
                <w:p w14:paraId="7B1F5154">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eastAsia="宋体"/>
                      <w:lang w:val="en-US" w:eastAsia="zh-CN"/>
                    </w:rPr>
                  </w:pPr>
                  <w:r>
                    <w:rPr>
                      <w:rFonts w:hint="eastAsia" w:cs="Times New Roman"/>
                      <w:color w:val="000000" w:themeColor="text1"/>
                      <w:szCs w:val="21"/>
                      <w:lang w:val="en-US" w:eastAsia="zh-CN"/>
                      <w14:textFill>
                        <w14:solidFill>
                          <w14:schemeClr w14:val="tx1"/>
                        </w14:solidFill>
                      </w14:textFill>
                    </w:rPr>
                    <w:t>泥饼</w:t>
                  </w:r>
                  <w:r>
                    <w:rPr>
                      <w:rFonts w:hint="eastAsia" w:ascii="Times New Roman" w:hAnsi="Times New Roman" w:eastAsia="宋体" w:cs="Times New Roman"/>
                      <w:color w:val="000000" w:themeColor="text1"/>
                      <w:szCs w:val="21"/>
                      <w:lang w:val="en-US" w:eastAsia="zh-CN"/>
                      <w14:textFill>
                        <w14:solidFill>
                          <w14:schemeClr w14:val="tx1"/>
                        </w14:solidFill>
                      </w14:textFill>
                    </w:rPr>
                    <w:t>暂存点：项目设置</w:t>
                  </w:r>
                  <w:r>
                    <w:rPr>
                      <w:rFonts w:hint="eastAsia" w:cs="Times New Roman"/>
                      <w:color w:val="000000" w:themeColor="text1"/>
                      <w:szCs w:val="21"/>
                      <w:lang w:val="en-US" w:eastAsia="zh-CN"/>
                      <w14:textFill>
                        <w14:solidFill>
                          <w14:schemeClr w14:val="tx1"/>
                        </w14:solidFill>
                      </w14:textFill>
                    </w:rPr>
                    <w:t>泥饼</w:t>
                  </w:r>
                  <w:r>
                    <w:rPr>
                      <w:rFonts w:hint="eastAsia" w:ascii="Times New Roman" w:hAnsi="Times New Roman" w:eastAsia="宋体" w:cs="Times New Roman"/>
                      <w:color w:val="000000" w:themeColor="text1"/>
                      <w:szCs w:val="21"/>
                      <w:lang w:val="en-US" w:eastAsia="zh-CN"/>
                      <w14:textFill>
                        <w14:solidFill>
                          <w14:schemeClr w14:val="tx1"/>
                        </w14:solidFill>
                      </w14:textFill>
                    </w:rPr>
                    <w:t>暂存点一处，位于厂区</w:t>
                  </w:r>
                  <w:r>
                    <w:rPr>
                      <w:rFonts w:hint="eastAsia" w:cs="Times New Roman"/>
                      <w:color w:val="000000" w:themeColor="text1"/>
                      <w:szCs w:val="21"/>
                      <w:lang w:val="en-US" w:eastAsia="zh-CN"/>
                      <w14:textFill>
                        <w14:solidFill>
                          <w14:schemeClr w14:val="tx1"/>
                        </w14:solidFill>
                      </w14:textFill>
                    </w:rPr>
                    <w:t>东侧</w:t>
                  </w:r>
                  <w:r>
                    <w:rPr>
                      <w:rFonts w:hint="eastAsia" w:ascii="Times New Roman" w:hAnsi="Times New Roman" w:eastAsia="宋体" w:cs="Times New Roman"/>
                      <w:color w:val="000000" w:themeColor="text1"/>
                      <w:szCs w:val="21"/>
                      <w:lang w:val="en-US" w:eastAsia="zh-CN"/>
                      <w14:textFill>
                        <w14:solidFill>
                          <w14:schemeClr w14:val="tx1"/>
                        </w14:solidFill>
                      </w14:textFill>
                    </w:rPr>
                    <w:t>，用于暂存项目</w:t>
                  </w:r>
                  <w:r>
                    <w:rPr>
                      <w:rFonts w:hint="eastAsia" w:cs="Times New Roman"/>
                      <w:color w:val="000000" w:themeColor="text1"/>
                      <w:szCs w:val="21"/>
                      <w:lang w:val="en-US" w:eastAsia="zh-CN"/>
                      <w14:textFill>
                        <w14:solidFill>
                          <w14:schemeClr w14:val="tx1"/>
                        </w14:solidFill>
                      </w14:textFill>
                    </w:rPr>
                    <w:t>泥浆罐</w:t>
                  </w:r>
                  <w:r>
                    <w:rPr>
                      <w:rFonts w:hint="eastAsia" w:ascii="Times New Roman" w:hAnsi="Times New Roman" w:eastAsia="宋体" w:cs="Times New Roman"/>
                      <w:color w:val="000000" w:themeColor="text1"/>
                      <w:szCs w:val="21"/>
                      <w:lang w:val="en-US" w:eastAsia="zh-CN"/>
                      <w14:textFill>
                        <w14:solidFill>
                          <w14:schemeClr w14:val="tx1"/>
                        </w14:solidFill>
                      </w14:textFill>
                    </w:rPr>
                    <w:t>压滤</w:t>
                  </w:r>
                  <w:r>
                    <w:rPr>
                      <w:rFonts w:hint="eastAsia" w:cs="Times New Roman"/>
                      <w:color w:val="000000" w:themeColor="text1"/>
                      <w:szCs w:val="21"/>
                      <w:lang w:val="en-US" w:eastAsia="zh-CN"/>
                      <w14:textFill>
                        <w14:solidFill>
                          <w14:schemeClr w14:val="tx1"/>
                        </w14:solidFill>
                      </w14:textFill>
                    </w:rPr>
                    <w:t>产生的</w:t>
                  </w:r>
                  <w:r>
                    <w:rPr>
                      <w:rFonts w:hint="eastAsia" w:ascii="Times New Roman" w:hAnsi="Times New Roman" w:eastAsia="宋体" w:cs="Times New Roman"/>
                      <w:color w:val="000000" w:themeColor="text1"/>
                      <w:szCs w:val="21"/>
                      <w:lang w:val="en-US" w:eastAsia="zh-CN"/>
                      <w14:textFill>
                        <w14:solidFill>
                          <w14:schemeClr w14:val="tx1"/>
                        </w14:solidFill>
                      </w14:textFill>
                    </w:rPr>
                    <w:t>泥</w:t>
                  </w:r>
                  <w:r>
                    <w:rPr>
                      <w:rFonts w:hint="eastAsia" w:cs="Times New Roman"/>
                      <w:color w:val="000000" w:themeColor="text1"/>
                      <w:szCs w:val="21"/>
                      <w:lang w:val="en-US" w:eastAsia="zh-CN"/>
                      <w14:textFill>
                        <w14:solidFill>
                          <w14:schemeClr w14:val="tx1"/>
                        </w14:solidFill>
                      </w14:textFill>
                    </w:rPr>
                    <w:t>饼</w:t>
                  </w:r>
                  <w:r>
                    <w:rPr>
                      <w:rFonts w:hint="eastAsia" w:ascii="Times New Roman" w:hAnsi="Times New Roman" w:eastAsia="宋体" w:cs="Times New Roman"/>
                      <w:color w:val="000000" w:themeColor="text1"/>
                      <w:szCs w:val="21"/>
                      <w:lang w:val="en-US" w:eastAsia="zh-CN"/>
                      <w14:textFill>
                        <w14:solidFill>
                          <w14:schemeClr w14:val="tx1"/>
                        </w14:solidFill>
                      </w14:textFill>
                    </w:rPr>
                    <w:t>。</w:t>
                  </w:r>
                </w:p>
              </w:tc>
              <w:tc>
                <w:tcPr>
                  <w:tcW w:w="1204" w:type="dxa"/>
                  <w:noWrap w:val="0"/>
                  <w:vAlign w:val="center"/>
                </w:tcPr>
                <w:p w14:paraId="2B1B7651">
                  <w:pPr>
                    <w:jc w:val="center"/>
                    <w:rPr>
                      <w:rFonts w:hint="default" w:ascii="Times New Roman" w:hAnsi="Times New Roman" w:cs="Times New Roman"/>
                      <w:color w:val="auto"/>
                      <w:szCs w:val="21"/>
                    </w:rPr>
                  </w:pPr>
                  <w:r>
                    <w:rPr>
                      <w:rFonts w:hint="default" w:ascii="Times New Roman" w:hAnsi="Times New Roman" w:cs="Times New Roman"/>
                      <w:color w:val="auto"/>
                      <w:szCs w:val="21"/>
                    </w:rPr>
                    <w:t>/</w:t>
                  </w:r>
                </w:p>
              </w:tc>
              <w:tc>
                <w:tcPr>
                  <w:tcW w:w="1231" w:type="dxa"/>
                  <w:noWrap w:val="0"/>
                  <w:vAlign w:val="center"/>
                </w:tcPr>
                <w:p w14:paraId="22F98E58">
                  <w:pPr>
                    <w:jc w:val="center"/>
                    <w:rPr>
                      <w:rFonts w:hint="default" w:ascii="Times New Roman" w:hAnsi="Times New Roman" w:cs="Times New Roman"/>
                      <w:bCs/>
                      <w:color w:val="auto"/>
                      <w:szCs w:val="21"/>
                    </w:rPr>
                  </w:pPr>
                  <w:r>
                    <w:rPr>
                      <w:rFonts w:hint="default" w:ascii="Times New Roman" w:hAnsi="Times New Roman" w:cs="Times New Roman"/>
                      <w:color w:val="auto"/>
                      <w:szCs w:val="21"/>
                    </w:rPr>
                    <w:t>固废</w:t>
                  </w:r>
                </w:p>
              </w:tc>
            </w:tr>
          </w:tbl>
          <w:p w14:paraId="24DB7D0F">
            <w:pPr>
              <w:pStyle w:val="44"/>
              <w:ind w:firstLine="480"/>
              <w:rPr>
                <w:rFonts w:hint="default" w:ascii="Times New Roman" w:hAnsi="Times New Roman" w:cs="Times New Roman"/>
                <w:color w:val="auto"/>
              </w:rPr>
            </w:pPr>
          </w:p>
          <w:p w14:paraId="4CF08058">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4、主要设备清单</w:t>
            </w:r>
          </w:p>
          <w:p w14:paraId="06A5C1F8">
            <w:pPr>
              <w:pStyle w:val="44"/>
              <w:ind w:firstLine="480"/>
              <w:rPr>
                <w:rFonts w:hint="default" w:ascii="Times New Roman" w:hAnsi="Times New Roman" w:cs="Times New Roman"/>
                <w:color w:val="auto"/>
              </w:rPr>
            </w:pPr>
            <w:r>
              <w:rPr>
                <w:rFonts w:hint="default" w:ascii="Times New Roman" w:hAnsi="Times New Roman" w:cs="Times New Roman"/>
                <w:color w:val="auto"/>
              </w:rPr>
              <w:t>本项目主要从事</w:t>
            </w:r>
            <w:r>
              <w:rPr>
                <w:rFonts w:hint="eastAsia" w:ascii="Times New Roman" w:hAnsi="Times New Roman" w:cs="Times New Roman"/>
                <w:color w:val="auto"/>
                <w:lang w:eastAsia="zh-CN"/>
              </w:rPr>
              <w:t>机制砂、级配碎石生产</w:t>
            </w:r>
            <w:r>
              <w:rPr>
                <w:rFonts w:hint="default" w:ascii="Times New Roman" w:hAnsi="Times New Roman" w:cs="Times New Roman"/>
                <w:color w:val="auto"/>
              </w:rPr>
              <w:t>，生产过程中主要生产设备如下：</w:t>
            </w:r>
          </w:p>
          <w:p w14:paraId="4FA44F36">
            <w:pPr>
              <w:pStyle w:val="45"/>
              <w:rPr>
                <w:rFonts w:hint="default" w:ascii="Times New Roman" w:hAnsi="Times New Roman" w:cs="Times New Roman"/>
                <w:color w:val="auto"/>
              </w:rPr>
            </w:pPr>
            <w:r>
              <w:rPr>
                <w:rFonts w:hint="default" w:ascii="Times New Roman" w:hAnsi="Times New Roman" w:cs="Times New Roman"/>
                <w:color w:val="auto"/>
                <w:lang w:val="zh-CN"/>
              </w:rPr>
              <w:t>表</w:t>
            </w:r>
            <w:r>
              <w:rPr>
                <w:rFonts w:hint="default" w:ascii="Times New Roman" w:hAnsi="Times New Roman" w:cs="Times New Roman"/>
                <w:color w:val="auto"/>
              </w:rPr>
              <w:t>2-2</w:t>
            </w:r>
            <w:r>
              <w:rPr>
                <w:rFonts w:hint="default" w:ascii="Times New Roman" w:hAnsi="Times New Roman" w:cs="Times New Roman"/>
                <w:color w:val="auto"/>
                <w:lang w:val="zh-CN"/>
              </w:rPr>
              <w:t>主要生产设备明细表</w:t>
            </w:r>
          </w:p>
          <w:tbl>
            <w:tblPr>
              <w:tblStyle w:val="22"/>
              <w:tblW w:w="807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84"/>
              <w:gridCol w:w="1323"/>
              <w:gridCol w:w="2440"/>
              <w:gridCol w:w="1125"/>
              <w:gridCol w:w="1125"/>
              <w:gridCol w:w="1274"/>
            </w:tblGrid>
            <w:tr w14:paraId="189FDA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784" w:type="dxa"/>
                  <w:noWrap w:val="0"/>
                  <w:vAlign w:val="center"/>
                </w:tcPr>
                <w:p w14:paraId="5E71E973">
                  <w:pPr>
                    <w:jc w:val="center"/>
                    <w:rPr>
                      <w:rFonts w:hint="default" w:ascii="Times New Roman" w:hAnsi="Times New Roman" w:cs="Times New Roman"/>
                      <w:b/>
                      <w:bCs/>
                      <w:color w:val="auto"/>
                    </w:rPr>
                  </w:pPr>
                  <w:r>
                    <w:rPr>
                      <w:rFonts w:hint="default" w:ascii="Times New Roman" w:hAnsi="Times New Roman" w:cs="Times New Roman"/>
                      <w:b/>
                      <w:bCs/>
                      <w:color w:val="auto"/>
                    </w:rPr>
                    <w:t>序号</w:t>
                  </w:r>
                </w:p>
              </w:tc>
              <w:tc>
                <w:tcPr>
                  <w:tcW w:w="1323" w:type="dxa"/>
                  <w:noWrap w:val="0"/>
                  <w:vAlign w:val="center"/>
                </w:tcPr>
                <w:p w14:paraId="173E0A9E">
                  <w:pPr>
                    <w:jc w:val="center"/>
                    <w:rPr>
                      <w:rFonts w:hint="default" w:ascii="Times New Roman" w:hAnsi="Times New Roman" w:cs="Times New Roman"/>
                      <w:b/>
                      <w:bCs/>
                      <w:color w:val="auto"/>
                    </w:rPr>
                  </w:pPr>
                  <w:r>
                    <w:rPr>
                      <w:rFonts w:hint="default" w:ascii="Times New Roman" w:hAnsi="Times New Roman" w:cs="Times New Roman"/>
                      <w:b/>
                      <w:bCs/>
                      <w:color w:val="auto"/>
                    </w:rPr>
                    <w:t>生产线</w:t>
                  </w:r>
                </w:p>
              </w:tc>
              <w:tc>
                <w:tcPr>
                  <w:tcW w:w="2440" w:type="dxa"/>
                  <w:noWrap w:val="0"/>
                  <w:vAlign w:val="center"/>
                </w:tcPr>
                <w:p w14:paraId="7F204CEA">
                  <w:pPr>
                    <w:jc w:val="center"/>
                    <w:rPr>
                      <w:rFonts w:hint="default" w:ascii="Times New Roman" w:hAnsi="Times New Roman" w:cs="Times New Roman"/>
                      <w:b/>
                      <w:bCs/>
                      <w:color w:val="auto"/>
                    </w:rPr>
                  </w:pPr>
                  <w:r>
                    <w:rPr>
                      <w:rFonts w:hint="default" w:ascii="Times New Roman" w:hAnsi="Times New Roman" w:cs="Times New Roman"/>
                      <w:b/>
                      <w:bCs/>
                      <w:color w:val="auto"/>
                    </w:rPr>
                    <w:t>设备名称</w:t>
                  </w:r>
                </w:p>
              </w:tc>
              <w:tc>
                <w:tcPr>
                  <w:tcW w:w="1125" w:type="dxa"/>
                  <w:noWrap w:val="0"/>
                  <w:vAlign w:val="center"/>
                </w:tcPr>
                <w:p w14:paraId="73FE9E72">
                  <w:pPr>
                    <w:jc w:val="center"/>
                    <w:rPr>
                      <w:rFonts w:hint="eastAsia" w:ascii="Times New Roman" w:hAnsi="Times New Roman" w:eastAsia="宋体" w:cs="Times New Roman"/>
                      <w:b/>
                      <w:bCs/>
                      <w:color w:val="auto"/>
                      <w:lang w:val="en-US" w:eastAsia="zh-CN"/>
                    </w:rPr>
                  </w:pPr>
                  <w:r>
                    <w:rPr>
                      <w:rFonts w:hint="eastAsia" w:ascii="Times New Roman" w:hAnsi="Times New Roman" w:cs="Times New Roman"/>
                      <w:b/>
                      <w:bCs/>
                      <w:color w:val="auto"/>
                      <w:lang w:val="en-US" w:eastAsia="zh-CN"/>
                    </w:rPr>
                    <w:t>型号</w:t>
                  </w:r>
                </w:p>
              </w:tc>
              <w:tc>
                <w:tcPr>
                  <w:tcW w:w="1125" w:type="dxa"/>
                  <w:noWrap w:val="0"/>
                  <w:vAlign w:val="center"/>
                </w:tcPr>
                <w:p w14:paraId="51BEE160">
                  <w:pPr>
                    <w:jc w:val="center"/>
                    <w:rPr>
                      <w:rFonts w:hint="default" w:ascii="Times New Roman" w:hAnsi="Times New Roman" w:cs="Times New Roman"/>
                      <w:b/>
                      <w:bCs/>
                      <w:color w:val="auto"/>
                    </w:rPr>
                  </w:pPr>
                  <w:r>
                    <w:rPr>
                      <w:rFonts w:hint="default" w:ascii="Times New Roman" w:hAnsi="Times New Roman" w:cs="Times New Roman"/>
                      <w:b/>
                      <w:bCs/>
                      <w:color w:val="auto"/>
                    </w:rPr>
                    <w:t>数量</w:t>
                  </w:r>
                </w:p>
              </w:tc>
              <w:tc>
                <w:tcPr>
                  <w:tcW w:w="1274" w:type="dxa"/>
                  <w:noWrap w:val="0"/>
                  <w:vAlign w:val="center"/>
                </w:tcPr>
                <w:p w14:paraId="4029D44A">
                  <w:pPr>
                    <w:jc w:val="center"/>
                    <w:rPr>
                      <w:rFonts w:hint="default" w:ascii="Times New Roman" w:hAnsi="Times New Roman" w:cs="Times New Roman"/>
                      <w:b/>
                      <w:bCs/>
                      <w:color w:val="auto"/>
                    </w:rPr>
                  </w:pPr>
                  <w:r>
                    <w:rPr>
                      <w:rFonts w:hint="default" w:ascii="Times New Roman" w:hAnsi="Times New Roman" w:cs="Times New Roman"/>
                      <w:b/>
                      <w:bCs/>
                      <w:color w:val="auto"/>
                    </w:rPr>
                    <w:t>单位</w:t>
                  </w:r>
                </w:p>
              </w:tc>
            </w:tr>
            <w:tr w14:paraId="1312B9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08A1E007">
                  <w:pPr>
                    <w:jc w:val="center"/>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1323" w:type="dxa"/>
                  <w:vMerge w:val="restart"/>
                  <w:noWrap w:val="0"/>
                  <w:vAlign w:val="center"/>
                </w:tcPr>
                <w:p w14:paraId="7D08BE43">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lang w:eastAsia="zh-CN"/>
                    </w:rPr>
                    <w:t>机制砂、级配碎石生产</w:t>
                  </w:r>
                  <w:r>
                    <w:rPr>
                      <w:rFonts w:hint="eastAsia" w:ascii="Times New Roman" w:hAnsi="Times New Roman" w:cs="Times New Roman"/>
                      <w:color w:val="auto"/>
                      <w:szCs w:val="21"/>
                      <w:lang w:val="en-US" w:eastAsia="zh-CN"/>
                    </w:rPr>
                    <w:t>线</w:t>
                  </w:r>
                </w:p>
              </w:tc>
              <w:tc>
                <w:tcPr>
                  <w:tcW w:w="2440" w:type="dxa"/>
                  <w:noWrap w:val="0"/>
                  <w:vAlign w:val="center"/>
                </w:tcPr>
                <w:p w14:paraId="42D4CC55">
                  <w:pPr>
                    <w:jc w:val="center"/>
                    <w:rPr>
                      <w:rFonts w:hint="default" w:ascii="Times New Roman" w:hAnsi="Times New Roman" w:cs="Times New Roman"/>
                      <w:color w:val="auto"/>
                      <w:szCs w:val="21"/>
                    </w:rPr>
                  </w:pPr>
                  <w:r>
                    <w:rPr>
                      <w:rFonts w:hint="default" w:ascii="Times New Roman" w:hAnsi="Times New Roman" w:cs="Times New Roman"/>
                      <w:color w:val="auto"/>
                      <w:szCs w:val="21"/>
                    </w:rPr>
                    <w:t>颚式破碎机</w:t>
                  </w:r>
                </w:p>
              </w:tc>
              <w:tc>
                <w:tcPr>
                  <w:tcW w:w="1125" w:type="dxa"/>
                  <w:noWrap w:val="0"/>
                  <w:vAlign w:val="center"/>
                </w:tcPr>
                <w:p w14:paraId="3AFC680F">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600*900</w:t>
                  </w:r>
                </w:p>
              </w:tc>
              <w:tc>
                <w:tcPr>
                  <w:tcW w:w="1125" w:type="dxa"/>
                  <w:noWrap w:val="0"/>
                  <w:vAlign w:val="center"/>
                </w:tcPr>
                <w:p w14:paraId="588E2AE1">
                  <w:pPr>
                    <w:jc w:val="center"/>
                    <w:rPr>
                      <w:rFonts w:hint="default" w:ascii="Times New Roman" w:hAnsi="Times New Roman" w:cs="Times New Roman"/>
                      <w:color w:val="auto"/>
                      <w:szCs w:val="21"/>
                    </w:rPr>
                  </w:pPr>
                  <w:r>
                    <w:rPr>
                      <w:rFonts w:hint="default" w:ascii="Times New Roman" w:hAnsi="Times New Roman" w:cs="Times New Roman"/>
                      <w:color w:val="auto"/>
                      <w:szCs w:val="21"/>
                    </w:rPr>
                    <w:t>台</w:t>
                  </w:r>
                </w:p>
              </w:tc>
              <w:tc>
                <w:tcPr>
                  <w:tcW w:w="1274" w:type="dxa"/>
                  <w:noWrap w:val="0"/>
                  <w:vAlign w:val="center"/>
                </w:tcPr>
                <w:p w14:paraId="4AD2E9B6">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0799A1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44E987A7">
                  <w:pPr>
                    <w:jc w:val="center"/>
                    <w:rPr>
                      <w:rFonts w:hint="default" w:ascii="Times New Roman" w:hAnsi="Times New Roman" w:cs="Times New Roman"/>
                      <w:color w:val="auto"/>
                      <w:szCs w:val="21"/>
                    </w:rPr>
                  </w:pPr>
                  <w:r>
                    <w:rPr>
                      <w:rFonts w:hint="default" w:ascii="Times New Roman" w:hAnsi="Times New Roman" w:cs="Times New Roman"/>
                      <w:color w:val="auto"/>
                      <w:szCs w:val="21"/>
                    </w:rPr>
                    <w:t>2</w:t>
                  </w:r>
                </w:p>
              </w:tc>
              <w:tc>
                <w:tcPr>
                  <w:tcW w:w="1323" w:type="dxa"/>
                  <w:vMerge w:val="continue"/>
                  <w:noWrap w:val="0"/>
                  <w:vAlign w:val="center"/>
                </w:tcPr>
                <w:p w14:paraId="4371FD37">
                  <w:pPr>
                    <w:jc w:val="center"/>
                    <w:rPr>
                      <w:rFonts w:hint="default" w:ascii="Times New Roman" w:hAnsi="Times New Roman" w:cs="Times New Roman"/>
                      <w:color w:val="auto"/>
                      <w:szCs w:val="21"/>
                    </w:rPr>
                  </w:pPr>
                </w:p>
              </w:tc>
              <w:tc>
                <w:tcPr>
                  <w:tcW w:w="2440" w:type="dxa"/>
                  <w:noWrap w:val="0"/>
                  <w:vAlign w:val="center"/>
                </w:tcPr>
                <w:p w14:paraId="36DF9A46">
                  <w:pPr>
                    <w:jc w:val="center"/>
                    <w:rPr>
                      <w:rFonts w:hint="default" w:ascii="Times New Roman" w:hAnsi="Times New Roman" w:cs="Times New Roman"/>
                      <w:color w:val="auto"/>
                      <w:szCs w:val="21"/>
                    </w:rPr>
                  </w:pPr>
                  <w:r>
                    <w:rPr>
                      <w:rFonts w:hint="eastAsia" w:ascii="Times New Roman" w:hAnsi="Times New Roman" w:eastAsia="宋体" w:cs="Times New Roman"/>
                      <w:lang w:val="en-US" w:eastAsia="zh-CN"/>
                    </w:rPr>
                    <w:t>圆锥破碎机</w:t>
                  </w:r>
                </w:p>
              </w:tc>
              <w:tc>
                <w:tcPr>
                  <w:tcW w:w="1125" w:type="dxa"/>
                  <w:noWrap w:val="0"/>
                  <w:vAlign w:val="center"/>
                </w:tcPr>
                <w:p w14:paraId="635C81DA">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140型</w:t>
                  </w:r>
                </w:p>
              </w:tc>
              <w:tc>
                <w:tcPr>
                  <w:tcW w:w="1125" w:type="dxa"/>
                  <w:noWrap w:val="0"/>
                  <w:vAlign w:val="center"/>
                </w:tcPr>
                <w:p w14:paraId="1BCC6ECE">
                  <w:pPr>
                    <w:jc w:val="center"/>
                    <w:rPr>
                      <w:rFonts w:hint="default" w:ascii="Times New Roman" w:hAnsi="Times New Roman" w:cs="Times New Roman"/>
                      <w:color w:val="auto"/>
                      <w:szCs w:val="21"/>
                    </w:rPr>
                  </w:pPr>
                  <w:r>
                    <w:rPr>
                      <w:rFonts w:hint="default" w:ascii="Times New Roman" w:hAnsi="Times New Roman" w:cs="Times New Roman"/>
                      <w:color w:val="auto"/>
                      <w:szCs w:val="21"/>
                    </w:rPr>
                    <w:t>台</w:t>
                  </w:r>
                </w:p>
              </w:tc>
              <w:tc>
                <w:tcPr>
                  <w:tcW w:w="1274" w:type="dxa"/>
                  <w:noWrap w:val="0"/>
                  <w:vAlign w:val="center"/>
                </w:tcPr>
                <w:p w14:paraId="63AE3F81">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1E1ECB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784" w:type="dxa"/>
                  <w:noWrap w:val="0"/>
                  <w:vAlign w:val="center"/>
                </w:tcPr>
                <w:p w14:paraId="7932DFFB">
                  <w:pPr>
                    <w:jc w:val="center"/>
                    <w:rPr>
                      <w:rFonts w:hint="default" w:ascii="Times New Roman" w:hAnsi="Times New Roman" w:cs="Times New Roman"/>
                      <w:color w:val="auto"/>
                      <w:szCs w:val="21"/>
                    </w:rPr>
                  </w:pPr>
                  <w:r>
                    <w:rPr>
                      <w:rFonts w:hint="default" w:ascii="Times New Roman" w:hAnsi="Times New Roman" w:cs="Times New Roman"/>
                      <w:color w:val="auto"/>
                      <w:szCs w:val="21"/>
                    </w:rPr>
                    <w:t>3</w:t>
                  </w:r>
                </w:p>
              </w:tc>
              <w:tc>
                <w:tcPr>
                  <w:tcW w:w="1323" w:type="dxa"/>
                  <w:vMerge w:val="continue"/>
                  <w:noWrap w:val="0"/>
                  <w:vAlign w:val="center"/>
                </w:tcPr>
                <w:p w14:paraId="407FC9F0">
                  <w:pPr>
                    <w:jc w:val="center"/>
                    <w:rPr>
                      <w:rFonts w:hint="default" w:ascii="Times New Roman" w:hAnsi="Times New Roman" w:cs="Times New Roman"/>
                      <w:color w:val="auto"/>
                      <w:szCs w:val="21"/>
                    </w:rPr>
                  </w:pPr>
                </w:p>
              </w:tc>
              <w:tc>
                <w:tcPr>
                  <w:tcW w:w="2440" w:type="dxa"/>
                  <w:noWrap w:val="0"/>
                  <w:vAlign w:val="center"/>
                </w:tcPr>
                <w:p w14:paraId="46C913D4">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制砂机</w:t>
                  </w:r>
                </w:p>
              </w:tc>
              <w:tc>
                <w:tcPr>
                  <w:tcW w:w="1125" w:type="dxa"/>
                  <w:noWrap w:val="0"/>
                  <w:vAlign w:val="center"/>
                </w:tcPr>
                <w:p w14:paraId="7C4D41DC">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9500型</w:t>
                  </w:r>
                </w:p>
              </w:tc>
              <w:tc>
                <w:tcPr>
                  <w:tcW w:w="1125" w:type="dxa"/>
                  <w:noWrap w:val="0"/>
                  <w:vAlign w:val="center"/>
                </w:tcPr>
                <w:p w14:paraId="5CCD0587">
                  <w:pPr>
                    <w:jc w:val="center"/>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台</w:t>
                  </w:r>
                </w:p>
              </w:tc>
              <w:tc>
                <w:tcPr>
                  <w:tcW w:w="1274" w:type="dxa"/>
                  <w:noWrap w:val="0"/>
                  <w:vAlign w:val="center"/>
                </w:tcPr>
                <w:p w14:paraId="5ED25D8A">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34BA8C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3E7ECB29">
                  <w:pPr>
                    <w:jc w:val="center"/>
                    <w:rPr>
                      <w:rFonts w:hint="default" w:ascii="Times New Roman" w:hAnsi="Times New Roman" w:cs="Times New Roman"/>
                      <w:color w:val="auto"/>
                      <w:szCs w:val="21"/>
                    </w:rPr>
                  </w:pPr>
                  <w:r>
                    <w:rPr>
                      <w:rFonts w:hint="default" w:ascii="Times New Roman" w:hAnsi="Times New Roman" w:cs="Times New Roman"/>
                      <w:color w:val="auto"/>
                      <w:szCs w:val="21"/>
                    </w:rPr>
                    <w:t>4</w:t>
                  </w:r>
                </w:p>
              </w:tc>
              <w:tc>
                <w:tcPr>
                  <w:tcW w:w="1323" w:type="dxa"/>
                  <w:vMerge w:val="continue"/>
                  <w:noWrap w:val="0"/>
                  <w:vAlign w:val="center"/>
                </w:tcPr>
                <w:p w14:paraId="4EE98EF5">
                  <w:pPr>
                    <w:jc w:val="center"/>
                    <w:rPr>
                      <w:rFonts w:hint="default" w:ascii="Times New Roman" w:hAnsi="Times New Roman" w:cs="Times New Roman"/>
                      <w:color w:val="auto"/>
                      <w:szCs w:val="21"/>
                    </w:rPr>
                  </w:pPr>
                </w:p>
              </w:tc>
              <w:tc>
                <w:tcPr>
                  <w:tcW w:w="2440" w:type="dxa"/>
                  <w:noWrap w:val="0"/>
                  <w:vAlign w:val="center"/>
                </w:tcPr>
                <w:p w14:paraId="75215A03">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振动筛</w:t>
                  </w:r>
                </w:p>
              </w:tc>
              <w:tc>
                <w:tcPr>
                  <w:tcW w:w="1125" w:type="dxa"/>
                  <w:noWrap w:val="0"/>
                  <w:vAlign w:val="center"/>
                </w:tcPr>
                <w:p w14:paraId="700E06F8">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c>
                <w:tcPr>
                  <w:tcW w:w="1125" w:type="dxa"/>
                  <w:noWrap w:val="0"/>
                  <w:vAlign w:val="center"/>
                </w:tcPr>
                <w:p w14:paraId="5304E949">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台</w:t>
                  </w:r>
                </w:p>
              </w:tc>
              <w:tc>
                <w:tcPr>
                  <w:tcW w:w="1274" w:type="dxa"/>
                  <w:noWrap w:val="0"/>
                  <w:vAlign w:val="center"/>
                </w:tcPr>
                <w:p w14:paraId="612ADD42">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3</w:t>
                  </w:r>
                </w:p>
              </w:tc>
            </w:tr>
            <w:tr w14:paraId="415A6D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3B337A86">
                  <w:pPr>
                    <w:jc w:val="center"/>
                    <w:rPr>
                      <w:rFonts w:hint="default" w:ascii="Times New Roman" w:hAnsi="Times New Roman" w:cs="Times New Roman"/>
                      <w:color w:val="auto"/>
                      <w:szCs w:val="21"/>
                    </w:rPr>
                  </w:pPr>
                  <w:r>
                    <w:rPr>
                      <w:rFonts w:hint="default" w:ascii="Times New Roman" w:hAnsi="Times New Roman" w:cs="Times New Roman"/>
                      <w:color w:val="auto"/>
                      <w:szCs w:val="21"/>
                    </w:rPr>
                    <w:t>5</w:t>
                  </w:r>
                </w:p>
              </w:tc>
              <w:tc>
                <w:tcPr>
                  <w:tcW w:w="1323" w:type="dxa"/>
                  <w:vMerge w:val="continue"/>
                  <w:noWrap w:val="0"/>
                  <w:vAlign w:val="center"/>
                </w:tcPr>
                <w:p w14:paraId="3DF0E0EC">
                  <w:pPr>
                    <w:jc w:val="center"/>
                    <w:rPr>
                      <w:rFonts w:hint="default" w:ascii="Times New Roman" w:hAnsi="Times New Roman" w:cs="Times New Roman"/>
                      <w:color w:val="auto"/>
                      <w:szCs w:val="21"/>
                    </w:rPr>
                  </w:pPr>
                </w:p>
              </w:tc>
              <w:tc>
                <w:tcPr>
                  <w:tcW w:w="2440" w:type="dxa"/>
                  <w:noWrap w:val="0"/>
                  <w:vAlign w:val="center"/>
                </w:tcPr>
                <w:p w14:paraId="6FDC4639">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脱水筛</w:t>
                  </w:r>
                </w:p>
              </w:tc>
              <w:tc>
                <w:tcPr>
                  <w:tcW w:w="1125" w:type="dxa"/>
                  <w:noWrap w:val="0"/>
                  <w:vAlign w:val="center"/>
                </w:tcPr>
                <w:p w14:paraId="286C8AB6">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c>
                <w:tcPr>
                  <w:tcW w:w="1125" w:type="dxa"/>
                  <w:noWrap w:val="0"/>
                  <w:vAlign w:val="center"/>
                </w:tcPr>
                <w:p w14:paraId="3C4D5F4C">
                  <w:pPr>
                    <w:jc w:val="center"/>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台</w:t>
                  </w:r>
                </w:p>
              </w:tc>
              <w:tc>
                <w:tcPr>
                  <w:tcW w:w="1274" w:type="dxa"/>
                  <w:noWrap w:val="0"/>
                  <w:vAlign w:val="center"/>
                </w:tcPr>
                <w:p w14:paraId="14A8E207">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6ED2E4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243FD43C">
                  <w:pPr>
                    <w:jc w:val="center"/>
                    <w:rPr>
                      <w:rFonts w:hint="default" w:ascii="Times New Roman" w:hAnsi="Times New Roman" w:cs="Times New Roman"/>
                      <w:color w:val="auto"/>
                      <w:szCs w:val="21"/>
                    </w:rPr>
                  </w:pPr>
                  <w:r>
                    <w:rPr>
                      <w:rFonts w:hint="default" w:ascii="Times New Roman" w:hAnsi="Times New Roman" w:cs="Times New Roman"/>
                      <w:color w:val="auto"/>
                      <w:szCs w:val="21"/>
                    </w:rPr>
                    <w:t>6</w:t>
                  </w:r>
                </w:p>
              </w:tc>
              <w:tc>
                <w:tcPr>
                  <w:tcW w:w="1323" w:type="dxa"/>
                  <w:vMerge w:val="continue"/>
                  <w:noWrap w:val="0"/>
                  <w:vAlign w:val="center"/>
                </w:tcPr>
                <w:p w14:paraId="44127C02">
                  <w:pPr>
                    <w:jc w:val="center"/>
                    <w:rPr>
                      <w:rFonts w:hint="default" w:ascii="Times New Roman" w:hAnsi="Times New Roman" w:cs="Times New Roman"/>
                      <w:color w:val="auto"/>
                      <w:szCs w:val="21"/>
                    </w:rPr>
                  </w:pPr>
                </w:p>
              </w:tc>
              <w:tc>
                <w:tcPr>
                  <w:tcW w:w="2440" w:type="dxa"/>
                  <w:noWrap w:val="0"/>
                  <w:vAlign w:val="center"/>
                </w:tcPr>
                <w:p w14:paraId="135835EC">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洗砂机</w:t>
                  </w:r>
                </w:p>
              </w:tc>
              <w:tc>
                <w:tcPr>
                  <w:tcW w:w="1125" w:type="dxa"/>
                  <w:noWrap w:val="0"/>
                  <w:vAlign w:val="center"/>
                </w:tcPr>
                <w:p w14:paraId="552CEA3E">
                  <w:pPr>
                    <w:jc w:val="center"/>
                    <w:rPr>
                      <w:rFonts w:hint="default" w:ascii="Times New Roman" w:hAnsi="Times New Roman" w:cs="Times New Roman"/>
                      <w:color w:val="auto"/>
                      <w:szCs w:val="21"/>
                    </w:rPr>
                  </w:pPr>
                </w:p>
              </w:tc>
              <w:tc>
                <w:tcPr>
                  <w:tcW w:w="1125" w:type="dxa"/>
                  <w:noWrap w:val="0"/>
                  <w:vAlign w:val="center"/>
                </w:tcPr>
                <w:p w14:paraId="0CF30F44">
                  <w:pPr>
                    <w:jc w:val="center"/>
                    <w:rPr>
                      <w:rFonts w:hint="default" w:ascii="Times New Roman" w:hAnsi="Times New Roman" w:cs="Times New Roman"/>
                      <w:color w:val="auto"/>
                      <w:szCs w:val="21"/>
                    </w:rPr>
                  </w:pPr>
                  <w:r>
                    <w:rPr>
                      <w:rFonts w:hint="default" w:ascii="Times New Roman" w:hAnsi="Times New Roman" w:cs="Times New Roman"/>
                      <w:color w:val="auto"/>
                      <w:szCs w:val="21"/>
                    </w:rPr>
                    <w:t>台</w:t>
                  </w:r>
                </w:p>
              </w:tc>
              <w:tc>
                <w:tcPr>
                  <w:tcW w:w="1274" w:type="dxa"/>
                  <w:noWrap w:val="0"/>
                  <w:vAlign w:val="center"/>
                </w:tcPr>
                <w:p w14:paraId="046E6552">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3</w:t>
                  </w:r>
                </w:p>
              </w:tc>
            </w:tr>
            <w:tr w14:paraId="0C1C2D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5D60A7B5">
                  <w:pPr>
                    <w:jc w:val="center"/>
                    <w:rPr>
                      <w:rFonts w:hint="default" w:ascii="Times New Roman" w:hAnsi="Times New Roman" w:cs="Times New Roman"/>
                      <w:color w:val="auto"/>
                      <w:szCs w:val="21"/>
                    </w:rPr>
                  </w:pPr>
                  <w:r>
                    <w:rPr>
                      <w:rFonts w:hint="default" w:ascii="Times New Roman" w:hAnsi="Times New Roman" w:cs="Times New Roman"/>
                      <w:color w:val="auto"/>
                      <w:szCs w:val="21"/>
                    </w:rPr>
                    <w:t>7</w:t>
                  </w:r>
                </w:p>
              </w:tc>
              <w:tc>
                <w:tcPr>
                  <w:tcW w:w="1323" w:type="dxa"/>
                  <w:vMerge w:val="continue"/>
                  <w:noWrap w:val="0"/>
                  <w:vAlign w:val="center"/>
                </w:tcPr>
                <w:p w14:paraId="224186D4">
                  <w:pPr>
                    <w:jc w:val="center"/>
                    <w:rPr>
                      <w:rFonts w:hint="default" w:ascii="Times New Roman" w:hAnsi="Times New Roman" w:cs="Times New Roman"/>
                      <w:color w:val="auto"/>
                      <w:szCs w:val="21"/>
                    </w:rPr>
                  </w:pPr>
                </w:p>
              </w:tc>
              <w:tc>
                <w:tcPr>
                  <w:tcW w:w="2440" w:type="dxa"/>
                  <w:noWrap w:val="0"/>
                  <w:vAlign w:val="center"/>
                </w:tcPr>
                <w:p w14:paraId="294C7D9F">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板框压滤机</w:t>
                  </w:r>
                </w:p>
              </w:tc>
              <w:tc>
                <w:tcPr>
                  <w:tcW w:w="1125" w:type="dxa"/>
                  <w:noWrap w:val="0"/>
                  <w:vAlign w:val="center"/>
                </w:tcPr>
                <w:p w14:paraId="44CB32F0">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250型</w:t>
                  </w:r>
                </w:p>
              </w:tc>
              <w:tc>
                <w:tcPr>
                  <w:tcW w:w="1125" w:type="dxa"/>
                  <w:noWrap w:val="0"/>
                  <w:vAlign w:val="center"/>
                </w:tcPr>
                <w:p w14:paraId="76034060">
                  <w:pPr>
                    <w:jc w:val="center"/>
                    <w:rPr>
                      <w:rFonts w:hint="default" w:ascii="Times New Roman" w:hAnsi="Times New Roman" w:cs="Times New Roman"/>
                      <w:color w:val="auto"/>
                      <w:szCs w:val="21"/>
                    </w:rPr>
                  </w:pPr>
                  <w:r>
                    <w:rPr>
                      <w:rFonts w:hint="default" w:ascii="Times New Roman" w:hAnsi="Times New Roman" w:cs="Times New Roman"/>
                      <w:color w:val="auto"/>
                      <w:szCs w:val="21"/>
                    </w:rPr>
                    <w:t>台</w:t>
                  </w:r>
                </w:p>
              </w:tc>
              <w:tc>
                <w:tcPr>
                  <w:tcW w:w="1274" w:type="dxa"/>
                  <w:noWrap w:val="0"/>
                  <w:vAlign w:val="center"/>
                </w:tcPr>
                <w:p w14:paraId="45731751">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2</w:t>
                  </w:r>
                </w:p>
              </w:tc>
            </w:tr>
            <w:tr w14:paraId="5F153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5FB0DF5B">
                  <w:pPr>
                    <w:jc w:val="center"/>
                    <w:rPr>
                      <w:rFonts w:hint="default" w:ascii="Times New Roman" w:hAnsi="Times New Roman" w:cs="Times New Roman"/>
                      <w:color w:val="auto"/>
                      <w:szCs w:val="21"/>
                    </w:rPr>
                  </w:pPr>
                  <w:r>
                    <w:rPr>
                      <w:rFonts w:hint="default" w:ascii="Times New Roman" w:hAnsi="Times New Roman" w:cs="Times New Roman"/>
                      <w:color w:val="auto"/>
                      <w:szCs w:val="21"/>
                    </w:rPr>
                    <w:t>8</w:t>
                  </w:r>
                </w:p>
              </w:tc>
              <w:tc>
                <w:tcPr>
                  <w:tcW w:w="1323" w:type="dxa"/>
                  <w:vMerge w:val="continue"/>
                  <w:noWrap w:val="0"/>
                  <w:vAlign w:val="center"/>
                </w:tcPr>
                <w:p w14:paraId="23A410B2">
                  <w:pPr>
                    <w:jc w:val="center"/>
                    <w:rPr>
                      <w:rFonts w:hint="default" w:ascii="Times New Roman" w:hAnsi="Times New Roman" w:cs="Times New Roman"/>
                      <w:color w:val="auto"/>
                      <w:szCs w:val="21"/>
                    </w:rPr>
                  </w:pPr>
                </w:p>
              </w:tc>
              <w:tc>
                <w:tcPr>
                  <w:tcW w:w="2440" w:type="dxa"/>
                  <w:noWrap w:val="0"/>
                  <w:vAlign w:val="center"/>
                </w:tcPr>
                <w:p w14:paraId="23E4CD7A">
                  <w:pPr>
                    <w:jc w:val="center"/>
                    <w:rPr>
                      <w:rStyle w:val="28"/>
                      <w:rFonts w:hint="eastAsia"/>
                      <w:color w:val="auto"/>
                      <w:lang w:val="en-US" w:eastAsia="zh-CN"/>
                    </w:rPr>
                  </w:pPr>
                  <w:r>
                    <w:rPr>
                      <w:rStyle w:val="28"/>
                      <w:rFonts w:hint="eastAsia"/>
                      <w:color w:val="auto"/>
                      <w:lang w:val="en-US" w:eastAsia="zh-CN"/>
                    </w:rPr>
                    <w:t>中水回用罐</w:t>
                  </w:r>
                </w:p>
                <w:p w14:paraId="446E0182">
                  <w:pPr>
                    <w:jc w:val="center"/>
                    <w:rPr>
                      <w:rFonts w:hint="default" w:ascii="Times New Roman" w:hAnsi="Times New Roman" w:cs="Times New Roman"/>
                      <w:color w:val="auto"/>
                      <w:szCs w:val="21"/>
                    </w:rPr>
                  </w:pPr>
                  <w:r>
                    <w:rPr>
                      <w:rStyle w:val="28"/>
                      <w:rFonts w:hint="eastAsia"/>
                      <w:color w:val="auto"/>
                      <w:lang w:val="en-US" w:eastAsia="zh-CN"/>
                    </w:rPr>
                    <w:t>（泥浆絮凝罐）</w:t>
                  </w:r>
                </w:p>
              </w:tc>
              <w:tc>
                <w:tcPr>
                  <w:tcW w:w="1125" w:type="dxa"/>
                  <w:noWrap w:val="0"/>
                  <w:vAlign w:val="center"/>
                </w:tcPr>
                <w:p w14:paraId="50990642">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200t</w:t>
                  </w:r>
                </w:p>
              </w:tc>
              <w:tc>
                <w:tcPr>
                  <w:tcW w:w="1125" w:type="dxa"/>
                  <w:noWrap w:val="0"/>
                  <w:vAlign w:val="center"/>
                </w:tcPr>
                <w:p w14:paraId="763A6D78">
                  <w:pPr>
                    <w:jc w:val="center"/>
                    <w:rPr>
                      <w:rFonts w:hint="default" w:ascii="Times New Roman" w:hAnsi="Times New Roman" w:cs="Times New Roman"/>
                      <w:color w:val="auto"/>
                      <w:szCs w:val="21"/>
                    </w:rPr>
                  </w:pPr>
                  <w:r>
                    <w:rPr>
                      <w:rFonts w:hint="default" w:ascii="Times New Roman" w:hAnsi="Times New Roman" w:cs="Times New Roman"/>
                      <w:color w:val="auto"/>
                      <w:szCs w:val="21"/>
                    </w:rPr>
                    <w:t>台</w:t>
                  </w:r>
                </w:p>
              </w:tc>
              <w:tc>
                <w:tcPr>
                  <w:tcW w:w="1274" w:type="dxa"/>
                  <w:noWrap w:val="0"/>
                  <w:vAlign w:val="center"/>
                </w:tcPr>
                <w:p w14:paraId="5D15CA2B">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0AE3DE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47C006BB">
                  <w:pPr>
                    <w:jc w:val="center"/>
                    <w:rPr>
                      <w:rFonts w:hint="default" w:ascii="Times New Roman" w:hAnsi="Times New Roman" w:cs="Times New Roman"/>
                      <w:color w:val="auto"/>
                      <w:szCs w:val="21"/>
                    </w:rPr>
                  </w:pPr>
                  <w:r>
                    <w:rPr>
                      <w:rFonts w:hint="default" w:ascii="Times New Roman" w:hAnsi="Times New Roman" w:cs="Times New Roman"/>
                      <w:color w:val="auto"/>
                      <w:szCs w:val="21"/>
                    </w:rPr>
                    <w:t>9</w:t>
                  </w:r>
                </w:p>
              </w:tc>
              <w:tc>
                <w:tcPr>
                  <w:tcW w:w="1323" w:type="dxa"/>
                  <w:vMerge w:val="continue"/>
                  <w:noWrap w:val="0"/>
                  <w:vAlign w:val="center"/>
                </w:tcPr>
                <w:p w14:paraId="1E91B8EA">
                  <w:pPr>
                    <w:jc w:val="center"/>
                    <w:rPr>
                      <w:rFonts w:hint="default" w:ascii="Times New Roman" w:hAnsi="Times New Roman" w:cs="Times New Roman"/>
                      <w:color w:val="auto"/>
                      <w:szCs w:val="21"/>
                    </w:rPr>
                  </w:pPr>
                </w:p>
              </w:tc>
              <w:tc>
                <w:tcPr>
                  <w:tcW w:w="2440" w:type="dxa"/>
                  <w:noWrap w:val="0"/>
                  <w:vAlign w:val="center"/>
                </w:tcPr>
                <w:p w14:paraId="7B84D03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絮凝剂</w:t>
                  </w:r>
                  <w:r>
                    <w:rPr>
                      <w:rFonts w:hint="default" w:ascii="Times New Roman" w:hAnsi="Times New Roman" w:eastAsia="宋体" w:cs="Times New Roman"/>
                      <w:color w:val="auto"/>
                      <w:szCs w:val="21"/>
                      <w:lang w:val="en-US" w:eastAsia="zh-CN"/>
                    </w:rPr>
                    <w:t>计量装置</w:t>
                  </w:r>
                </w:p>
              </w:tc>
              <w:tc>
                <w:tcPr>
                  <w:tcW w:w="1125" w:type="dxa"/>
                  <w:noWrap w:val="0"/>
                  <w:vAlign w:val="center"/>
                </w:tcPr>
                <w:p w14:paraId="4CB6EB14">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c>
                <w:tcPr>
                  <w:tcW w:w="1125" w:type="dxa"/>
                  <w:noWrap w:val="0"/>
                  <w:vAlign w:val="center"/>
                </w:tcPr>
                <w:p w14:paraId="6596634A">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套</w:t>
                  </w:r>
                </w:p>
              </w:tc>
              <w:tc>
                <w:tcPr>
                  <w:tcW w:w="1274" w:type="dxa"/>
                  <w:noWrap w:val="0"/>
                  <w:vAlign w:val="center"/>
                </w:tcPr>
                <w:p w14:paraId="49FDAF3E">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7B7162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4D1FB09F">
                  <w:pPr>
                    <w:jc w:val="center"/>
                    <w:rPr>
                      <w:rFonts w:hint="default" w:ascii="Times New Roman" w:hAnsi="Times New Roman" w:cs="Times New Roman"/>
                      <w:color w:val="auto"/>
                      <w:szCs w:val="21"/>
                    </w:rPr>
                  </w:pPr>
                  <w:r>
                    <w:rPr>
                      <w:rFonts w:hint="default" w:ascii="Times New Roman" w:hAnsi="Times New Roman" w:cs="Times New Roman"/>
                      <w:color w:val="auto"/>
                      <w:szCs w:val="21"/>
                    </w:rPr>
                    <w:t>10</w:t>
                  </w:r>
                </w:p>
              </w:tc>
              <w:tc>
                <w:tcPr>
                  <w:tcW w:w="1323" w:type="dxa"/>
                  <w:vMerge w:val="continue"/>
                  <w:noWrap w:val="0"/>
                  <w:vAlign w:val="center"/>
                </w:tcPr>
                <w:p w14:paraId="5F1A00D9">
                  <w:pPr>
                    <w:jc w:val="center"/>
                    <w:rPr>
                      <w:rFonts w:hint="default" w:ascii="Times New Roman" w:hAnsi="Times New Roman" w:cs="Times New Roman"/>
                      <w:color w:val="auto"/>
                      <w:szCs w:val="21"/>
                    </w:rPr>
                  </w:pPr>
                </w:p>
              </w:tc>
              <w:tc>
                <w:tcPr>
                  <w:tcW w:w="2440" w:type="dxa"/>
                  <w:noWrap w:val="0"/>
                  <w:vAlign w:val="center"/>
                </w:tcPr>
                <w:p w14:paraId="5917D4A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洗车设施</w:t>
                  </w:r>
                </w:p>
              </w:tc>
              <w:tc>
                <w:tcPr>
                  <w:tcW w:w="1125" w:type="dxa"/>
                  <w:noWrap w:val="0"/>
                  <w:vAlign w:val="center"/>
                </w:tcPr>
                <w:p w14:paraId="6A8C3058">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w:t>
                  </w:r>
                </w:p>
              </w:tc>
              <w:tc>
                <w:tcPr>
                  <w:tcW w:w="1125" w:type="dxa"/>
                  <w:noWrap w:val="0"/>
                  <w:vAlign w:val="center"/>
                </w:tcPr>
                <w:p w14:paraId="3217170F">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处</w:t>
                  </w:r>
                </w:p>
              </w:tc>
              <w:tc>
                <w:tcPr>
                  <w:tcW w:w="1274" w:type="dxa"/>
                  <w:noWrap w:val="0"/>
                  <w:vAlign w:val="center"/>
                </w:tcPr>
                <w:p w14:paraId="53C1D668">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p>
              </w:tc>
            </w:tr>
            <w:tr w14:paraId="28B327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2C43BBAF">
                  <w:pPr>
                    <w:jc w:val="center"/>
                    <w:rPr>
                      <w:rFonts w:hint="default" w:ascii="Times New Roman" w:hAnsi="Times New Roman" w:cs="Times New Roman"/>
                      <w:color w:val="auto"/>
                      <w:kern w:val="2"/>
                      <w:sz w:val="21"/>
                      <w:szCs w:val="21"/>
                      <w:lang w:val="en-US" w:eastAsia="zh-CN" w:bidi="ar-SA"/>
                    </w:rPr>
                  </w:pPr>
                  <w:r>
                    <w:rPr>
                      <w:rFonts w:hint="default" w:ascii="Times New Roman" w:hAnsi="Times New Roman" w:cs="Times New Roman"/>
                      <w:color w:val="auto"/>
                      <w:szCs w:val="21"/>
                    </w:rPr>
                    <w:t>11</w:t>
                  </w:r>
                </w:p>
              </w:tc>
              <w:tc>
                <w:tcPr>
                  <w:tcW w:w="1323" w:type="dxa"/>
                  <w:vMerge w:val="continue"/>
                  <w:noWrap w:val="0"/>
                  <w:vAlign w:val="center"/>
                </w:tcPr>
                <w:p w14:paraId="599EDAB2">
                  <w:pPr>
                    <w:jc w:val="center"/>
                    <w:rPr>
                      <w:rFonts w:hint="default" w:ascii="Times New Roman" w:hAnsi="Times New Roman" w:cs="Times New Roman"/>
                      <w:color w:val="auto"/>
                      <w:szCs w:val="21"/>
                    </w:rPr>
                  </w:pPr>
                </w:p>
              </w:tc>
              <w:tc>
                <w:tcPr>
                  <w:tcW w:w="2440" w:type="dxa"/>
                  <w:noWrap w:val="0"/>
                  <w:vAlign w:val="center"/>
                </w:tcPr>
                <w:p w14:paraId="05056284">
                  <w:pPr>
                    <w:jc w:val="center"/>
                    <w:rPr>
                      <w:rFonts w:hint="eastAsia" w:ascii="Times New Roman" w:hAnsi="Times New Roman" w:eastAsia="宋体" w:cs="Times New Roman"/>
                      <w:color w:val="auto"/>
                      <w:lang w:eastAsia="zh-CN"/>
                    </w:rPr>
                  </w:pPr>
                  <w:r>
                    <w:rPr>
                      <w:rFonts w:hint="eastAsia" w:ascii="Times New Roman" w:hAnsi="Times New Roman" w:cs="Times New Roman"/>
                      <w:color w:val="auto"/>
                      <w:szCs w:val="21"/>
                      <w:lang w:val="en-US" w:eastAsia="zh-CN"/>
                    </w:rPr>
                    <w:t>喷淋系统</w:t>
                  </w:r>
                  <w:r>
                    <w:rPr>
                      <w:rFonts w:hint="eastAsia" w:ascii="Times New Roman" w:hAnsi="Times New Roman" w:cs="Times New Roman"/>
                      <w:color w:val="auto"/>
                      <w:szCs w:val="21"/>
                      <w:lang w:eastAsia="zh-CN"/>
                    </w:rPr>
                    <w:t xml:space="preserve"> </w:t>
                  </w:r>
                </w:p>
              </w:tc>
              <w:tc>
                <w:tcPr>
                  <w:tcW w:w="1125" w:type="dxa"/>
                  <w:noWrap w:val="0"/>
                  <w:vAlign w:val="center"/>
                </w:tcPr>
                <w:p w14:paraId="339A18E1">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w:t>
                  </w:r>
                </w:p>
              </w:tc>
              <w:tc>
                <w:tcPr>
                  <w:tcW w:w="1125" w:type="dxa"/>
                  <w:noWrap w:val="0"/>
                  <w:vAlign w:val="center"/>
                </w:tcPr>
                <w:p w14:paraId="41278055">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套</w:t>
                  </w:r>
                </w:p>
              </w:tc>
              <w:tc>
                <w:tcPr>
                  <w:tcW w:w="1274" w:type="dxa"/>
                  <w:noWrap w:val="0"/>
                  <w:vAlign w:val="center"/>
                </w:tcPr>
                <w:p w14:paraId="02C33750">
                  <w:pPr>
                    <w:jc w:val="center"/>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val="en-US" w:eastAsia="zh-CN"/>
                    </w:rPr>
                    <w:t>1</w:t>
                  </w:r>
                </w:p>
              </w:tc>
            </w:tr>
            <w:tr w14:paraId="18850A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58F77E1C">
                  <w:pPr>
                    <w:jc w:val="center"/>
                    <w:rPr>
                      <w:rFonts w:hint="default" w:ascii="Times New Roman" w:hAnsi="Times New Roman" w:cs="Times New Roman"/>
                      <w:color w:val="auto"/>
                      <w:kern w:val="2"/>
                      <w:sz w:val="21"/>
                      <w:szCs w:val="21"/>
                      <w:lang w:val="en-US" w:eastAsia="zh-CN" w:bidi="ar-SA"/>
                    </w:rPr>
                  </w:pPr>
                  <w:r>
                    <w:rPr>
                      <w:rFonts w:hint="default" w:ascii="Times New Roman" w:hAnsi="Times New Roman" w:cs="Times New Roman"/>
                      <w:color w:val="auto"/>
                      <w:szCs w:val="21"/>
                    </w:rPr>
                    <w:t>12</w:t>
                  </w:r>
                </w:p>
              </w:tc>
              <w:tc>
                <w:tcPr>
                  <w:tcW w:w="1323" w:type="dxa"/>
                  <w:vMerge w:val="continue"/>
                  <w:noWrap w:val="0"/>
                  <w:vAlign w:val="center"/>
                </w:tcPr>
                <w:p w14:paraId="22798DF0">
                  <w:pPr>
                    <w:jc w:val="center"/>
                    <w:rPr>
                      <w:rFonts w:hint="default" w:ascii="Times New Roman" w:hAnsi="Times New Roman" w:cs="Times New Roman"/>
                      <w:color w:val="auto"/>
                      <w:szCs w:val="21"/>
                    </w:rPr>
                  </w:pPr>
                </w:p>
              </w:tc>
              <w:tc>
                <w:tcPr>
                  <w:tcW w:w="2440" w:type="dxa"/>
                  <w:noWrap w:val="0"/>
                  <w:vAlign w:val="center"/>
                </w:tcPr>
                <w:p w14:paraId="6317E4E7">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 xml:space="preserve"> 雾炮除尘器</w:t>
                  </w:r>
                </w:p>
              </w:tc>
              <w:tc>
                <w:tcPr>
                  <w:tcW w:w="1125" w:type="dxa"/>
                  <w:noWrap w:val="0"/>
                  <w:vAlign w:val="center"/>
                </w:tcPr>
                <w:p w14:paraId="20A89FC6">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w:t>
                  </w:r>
                </w:p>
              </w:tc>
              <w:tc>
                <w:tcPr>
                  <w:tcW w:w="1125" w:type="dxa"/>
                  <w:noWrap w:val="0"/>
                  <w:vAlign w:val="center"/>
                </w:tcPr>
                <w:p w14:paraId="3B3DEE96">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台</w:t>
                  </w:r>
                </w:p>
              </w:tc>
              <w:tc>
                <w:tcPr>
                  <w:tcW w:w="1274" w:type="dxa"/>
                  <w:noWrap w:val="0"/>
                  <w:vAlign w:val="center"/>
                </w:tcPr>
                <w:p w14:paraId="66FEBD31">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w:t>
                  </w:r>
                </w:p>
              </w:tc>
            </w:tr>
            <w:tr w14:paraId="32B054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784" w:type="dxa"/>
                  <w:noWrap w:val="0"/>
                  <w:vAlign w:val="center"/>
                </w:tcPr>
                <w:p w14:paraId="290D36BE">
                  <w:pPr>
                    <w:jc w:val="center"/>
                    <w:rPr>
                      <w:rFonts w:hint="default" w:ascii="Times New Roman" w:hAnsi="Times New Roman" w:cs="Times New Roman"/>
                      <w:color w:val="auto"/>
                      <w:kern w:val="2"/>
                      <w:sz w:val="21"/>
                      <w:szCs w:val="21"/>
                      <w:lang w:val="en-US" w:eastAsia="zh-CN" w:bidi="ar-SA"/>
                    </w:rPr>
                  </w:pPr>
                  <w:r>
                    <w:rPr>
                      <w:rFonts w:hint="default" w:ascii="Times New Roman" w:hAnsi="Times New Roman" w:cs="Times New Roman"/>
                      <w:color w:val="auto"/>
                      <w:szCs w:val="21"/>
                    </w:rPr>
                    <w:t>13</w:t>
                  </w:r>
                </w:p>
              </w:tc>
              <w:tc>
                <w:tcPr>
                  <w:tcW w:w="1323" w:type="dxa"/>
                  <w:vMerge w:val="continue"/>
                  <w:noWrap w:val="0"/>
                  <w:vAlign w:val="center"/>
                </w:tcPr>
                <w:p w14:paraId="6B2CF90D">
                  <w:pPr>
                    <w:jc w:val="center"/>
                    <w:rPr>
                      <w:rFonts w:hint="default" w:ascii="Times New Roman" w:hAnsi="Times New Roman" w:cs="Times New Roman"/>
                      <w:color w:val="auto"/>
                      <w:szCs w:val="21"/>
                    </w:rPr>
                  </w:pPr>
                </w:p>
              </w:tc>
              <w:tc>
                <w:tcPr>
                  <w:tcW w:w="2440" w:type="dxa"/>
                  <w:noWrap w:val="0"/>
                  <w:vAlign w:val="center"/>
                </w:tcPr>
                <w:p w14:paraId="0B823A26">
                  <w:pPr>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 xml:space="preserve"> 地磅</w:t>
                  </w:r>
                </w:p>
              </w:tc>
              <w:tc>
                <w:tcPr>
                  <w:tcW w:w="1125" w:type="dxa"/>
                  <w:noWrap w:val="0"/>
                  <w:vAlign w:val="center"/>
                </w:tcPr>
                <w:p w14:paraId="551D3E60">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80T</w:t>
                  </w:r>
                </w:p>
              </w:tc>
              <w:tc>
                <w:tcPr>
                  <w:tcW w:w="1125" w:type="dxa"/>
                  <w:noWrap w:val="0"/>
                  <w:vAlign w:val="center"/>
                </w:tcPr>
                <w:p w14:paraId="7FA738E6">
                  <w:pPr>
                    <w:jc w:val="center"/>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台</w:t>
                  </w:r>
                </w:p>
              </w:tc>
              <w:tc>
                <w:tcPr>
                  <w:tcW w:w="1274" w:type="dxa"/>
                  <w:noWrap w:val="0"/>
                  <w:vAlign w:val="center"/>
                </w:tcPr>
                <w:p w14:paraId="6C43C206">
                  <w:pPr>
                    <w:jc w:val="center"/>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bl>
          <w:p w14:paraId="07DD87D0">
            <w:pPr>
              <w:ind w:firstLine="482"/>
              <w:jc w:val="left"/>
              <w:rPr>
                <w:rFonts w:hint="default" w:ascii="Times New Roman" w:hAnsi="Times New Roman" w:cs="Times New Roman"/>
                <w:b/>
                <w:bCs/>
                <w:color w:val="auto"/>
                <w:kern w:val="0"/>
              </w:rPr>
            </w:pPr>
          </w:p>
          <w:p w14:paraId="26EB95F3">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5、项目主要原辅材料</w:t>
            </w:r>
          </w:p>
          <w:p w14:paraId="3E24ED0F">
            <w:pPr>
              <w:pStyle w:val="44"/>
              <w:ind w:firstLine="480"/>
              <w:rPr>
                <w:rFonts w:hint="default" w:ascii="Times New Roman" w:hAnsi="Times New Roman" w:cs="Times New Roman"/>
                <w:color w:val="auto"/>
                <w:lang w:val="zh-CN"/>
              </w:rPr>
            </w:pPr>
            <w:r>
              <w:rPr>
                <w:rFonts w:hint="default" w:ascii="Times New Roman" w:hAnsi="Times New Roman" w:cs="Times New Roman"/>
                <w:color w:val="auto"/>
              </w:rPr>
              <w:t>本项目主要从事</w:t>
            </w:r>
            <w:r>
              <w:rPr>
                <w:rFonts w:hint="eastAsia" w:ascii="Times New Roman" w:hAnsi="Times New Roman" w:cs="Times New Roman"/>
                <w:color w:val="auto"/>
                <w:lang w:val="en-US" w:eastAsia="zh-CN"/>
              </w:rPr>
              <w:t>成达万高铁建设所需要的</w:t>
            </w:r>
            <w:r>
              <w:rPr>
                <w:rFonts w:hint="eastAsia" w:ascii="Times New Roman" w:hAnsi="Times New Roman" w:cs="Times New Roman"/>
                <w:color w:val="auto"/>
                <w:lang w:eastAsia="zh-CN"/>
              </w:rPr>
              <w:t>机制砂、级配碎石生产</w:t>
            </w:r>
            <w:r>
              <w:rPr>
                <w:rFonts w:hint="default" w:ascii="Times New Roman" w:hAnsi="Times New Roman" w:cs="Times New Roman"/>
                <w:color w:val="auto"/>
              </w:rPr>
              <w:t>，原料主要为</w:t>
            </w:r>
            <w:r>
              <w:rPr>
                <w:rFonts w:hint="eastAsia" w:ascii="Times New Roman" w:hAnsi="Times New Roman" w:cs="Times New Roman"/>
                <w:color w:val="auto"/>
                <w:lang w:val="en-US" w:eastAsia="zh-CN"/>
              </w:rPr>
              <w:t>连砂石</w:t>
            </w:r>
            <w:r>
              <w:rPr>
                <w:rFonts w:hint="default" w:ascii="Times New Roman" w:hAnsi="Times New Roman" w:cs="Times New Roman"/>
                <w:color w:val="auto"/>
              </w:rPr>
              <w:t>灰。具体原料及用量如下表：</w:t>
            </w:r>
          </w:p>
          <w:p w14:paraId="7575F138">
            <w:pPr>
              <w:pStyle w:val="45"/>
              <w:rPr>
                <w:rFonts w:hint="default" w:ascii="Times New Roman" w:hAnsi="Times New Roman" w:cs="Times New Roman"/>
                <w:color w:val="auto"/>
              </w:rPr>
            </w:pPr>
            <w:r>
              <w:rPr>
                <w:rFonts w:hint="default" w:ascii="Times New Roman" w:hAnsi="Times New Roman" w:cs="Times New Roman"/>
                <w:color w:val="auto"/>
                <w:lang w:val="zh-CN"/>
              </w:rPr>
              <w:t>表</w:t>
            </w:r>
            <w:r>
              <w:rPr>
                <w:rFonts w:hint="default" w:ascii="Times New Roman" w:hAnsi="Times New Roman" w:cs="Times New Roman"/>
                <w:color w:val="auto"/>
              </w:rPr>
              <w:t>2-3</w:t>
            </w:r>
            <w:r>
              <w:rPr>
                <w:rFonts w:hint="default" w:ascii="Times New Roman" w:hAnsi="Times New Roman" w:cs="Times New Roman"/>
                <w:color w:val="auto"/>
                <w:lang w:val="zh-CN"/>
              </w:rPr>
              <w:t>主要原材料清单</w:t>
            </w:r>
          </w:p>
          <w:tbl>
            <w:tblPr>
              <w:tblStyle w:val="22"/>
              <w:tblW w:w="83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705"/>
              <w:gridCol w:w="1849"/>
              <w:gridCol w:w="2013"/>
              <w:gridCol w:w="1523"/>
            </w:tblGrid>
            <w:tr w14:paraId="503956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1247" w:type="dxa"/>
                  <w:noWrap w:val="0"/>
                  <w:vAlign w:val="center"/>
                </w:tcPr>
                <w:p w14:paraId="270DD85F">
                  <w:pPr>
                    <w:jc w:val="center"/>
                    <w:rPr>
                      <w:rFonts w:hint="default" w:ascii="Times New Roman" w:hAnsi="Times New Roman" w:eastAsia="宋体" w:cs="Times New Roman"/>
                      <w:b/>
                      <w:bCs/>
                      <w:color w:val="auto"/>
                      <w:lang w:eastAsia="zh-CN"/>
                    </w:rPr>
                  </w:pPr>
                  <w:r>
                    <w:rPr>
                      <w:rFonts w:hint="default" w:ascii="Times New Roman" w:hAnsi="Times New Roman" w:cs="Times New Roman"/>
                      <w:b/>
                      <w:bCs/>
                      <w:color w:val="auto"/>
                      <w:lang w:eastAsia="zh-CN"/>
                    </w:rPr>
                    <w:t>类别</w:t>
                  </w:r>
                </w:p>
              </w:tc>
              <w:tc>
                <w:tcPr>
                  <w:tcW w:w="1705" w:type="dxa"/>
                  <w:noWrap w:val="0"/>
                  <w:vAlign w:val="center"/>
                </w:tcPr>
                <w:p w14:paraId="65F47FA0">
                  <w:pPr>
                    <w:jc w:val="center"/>
                    <w:rPr>
                      <w:rFonts w:hint="default" w:ascii="Times New Roman" w:hAnsi="Times New Roman" w:cs="Times New Roman"/>
                      <w:b/>
                      <w:bCs/>
                      <w:color w:val="auto"/>
                    </w:rPr>
                  </w:pPr>
                  <w:r>
                    <w:rPr>
                      <w:rFonts w:hint="default" w:ascii="Times New Roman" w:hAnsi="Times New Roman" w:cs="Times New Roman"/>
                      <w:b/>
                      <w:bCs/>
                      <w:color w:val="auto"/>
                    </w:rPr>
                    <w:t>名称</w:t>
                  </w:r>
                </w:p>
              </w:tc>
              <w:tc>
                <w:tcPr>
                  <w:tcW w:w="1849" w:type="dxa"/>
                  <w:noWrap w:val="0"/>
                  <w:vAlign w:val="center"/>
                </w:tcPr>
                <w:p w14:paraId="42E264A9">
                  <w:pPr>
                    <w:jc w:val="center"/>
                    <w:rPr>
                      <w:rFonts w:hint="default" w:ascii="Times New Roman" w:hAnsi="Times New Roman" w:cs="Times New Roman"/>
                      <w:b/>
                      <w:bCs/>
                      <w:color w:val="auto"/>
                    </w:rPr>
                  </w:pPr>
                  <w:r>
                    <w:rPr>
                      <w:rFonts w:hint="default" w:ascii="Times New Roman" w:hAnsi="Times New Roman" w:cs="Times New Roman"/>
                      <w:b/>
                      <w:bCs/>
                      <w:color w:val="auto"/>
                    </w:rPr>
                    <w:t>年消耗量（t/a）</w:t>
                  </w:r>
                </w:p>
              </w:tc>
              <w:tc>
                <w:tcPr>
                  <w:tcW w:w="2013" w:type="dxa"/>
                  <w:noWrap w:val="0"/>
                  <w:vAlign w:val="center"/>
                </w:tcPr>
                <w:p w14:paraId="67F3269A">
                  <w:pPr>
                    <w:jc w:val="center"/>
                    <w:rPr>
                      <w:rFonts w:hint="default" w:ascii="Times New Roman" w:hAnsi="Times New Roman" w:eastAsia="宋体" w:cs="Times New Roman"/>
                      <w:b/>
                      <w:bCs/>
                      <w:color w:val="auto"/>
                      <w:lang w:val="en-US" w:eastAsia="zh-CN"/>
                    </w:rPr>
                  </w:pPr>
                  <w:r>
                    <w:rPr>
                      <w:rFonts w:hint="eastAsia" w:ascii="Times New Roman" w:hAnsi="Times New Roman" w:cs="Times New Roman"/>
                      <w:b/>
                      <w:bCs/>
                      <w:color w:val="auto"/>
                      <w:lang w:val="en-US" w:eastAsia="zh-CN"/>
                    </w:rPr>
                    <w:t>来源</w:t>
                  </w:r>
                </w:p>
              </w:tc>
              <w:tc>
                <w:tcPr>
                  <w:tcW w:w="1523" w:type="dxa"/>
                  <w:noWrap w:val="0"/>
                  <w:vAlign w:val="center"/>
                </w:tcPr>
                <w:p w14:paraId="13E7D67B">
                  <w:pPr>
                    <w:jc w:val="center"/>
                    <w:rPr>
                      <w:rFonts w:hint="default" w:ascii="Times New Roman" w:hAnsi="Times New Roman" w:cs="Times New Roman"/>
                      <w:b/>
                      <w:bCs/>
                      <w:color w:val="auto"/>
                    </w:rPr>
                  </w:pPr>
                  <w:r>
                    <w:rPr>
                      <w:rFonts w:hint="default" w:ascii="Times New Roman" w:hAnsi="Times New Roman" w:cs="Times New Roman"/>
                      <w:b/>
                      <w:bCs/>
                      <w:color w:val="auto"/>
                    </w:rPr>
                    <w:t>备注</w:t>
                  </w:r>
                </w:p>
              </w:tc>
            </w:tr>
            <w:tr w14:paraId="3C285F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247" w:type="dxa"/>
                  <w:noWrap w:val="0"/>
                  <w:vAlign w:val="center"/>
                </w:tcPr>
                <w:p w14:paraId="59C01C80">
                  <w:pPr>
                    <w:jc w:val="center"/>
                    <w:rPr>
                      <w:rFonts w:hint="default" w:ascii="Times New Roman" w:hAnsi="Times New Roman" w:cs="Times New Roman"/>
                      <w:color w:val="auto"/>
                      <w:szCs w:val="21"/>
                    </w:rPr>
                  </w:pPr>
                  <w:r>
                    <w:rPr>
                      <w:rFonts w:hint="eastAsia" w:ascii="Times New Roman" w:hAnsi="Times New Roman" w:cs="Times New Roman"/>
                      <w:color w:val="auto"/>
                      <w:lang w:val="en-US" w:eastAsia="zh-CN"/>
                    </w:rPr>
                    <w:t>原料</w:t>
                  </w:r>
                </w:p>
              </w:tc>
              <w:tc>
                <w:tcPr>
                  <w:tcW w:w="1705" w:type="dxa"/>
                  <w:noWrap w:val="0"/>
                  <w:vAlign w:val="center"/>
                </w:tcPr>
                <w:p w14:paraId="12D61158">
                  <w:pPr>
                    <w:jc w:val="center"/>
                    <w:rPr>
                      <w:rFonts w:hint="default" w:ascii="Times New Roman" w:hAnsi="Times New Roman" w:eastAsia="宋体" w:cs="Times New Roman"/>
                      <w:color w:val="auto"/>
                      <w:lang w:val="en-US"/>
                    </w:rPr>
                  </w:pPr>
                  <w:r>
                    <w:rPr>
                      <w:rFonts w:hint="eastAsia" w:ascii="Times New Roman" w:hAnsi="Times New Roman" w:eastAsia="宋体" w:cs="Times New Roman"/>
                      <w:color w:val="auto"/>
                      <w:lang w:val="en-US" w:eastAsia="zh-CN"/>
                    </w:rPr>
                    <w:t>连砂石</w:t>
                  </w:r>
                </w:p>
              </w:tc>
              <w:tc>
                <w:tcPr>
                  <w:tcW w:w="1849" w:type="dxa"/>
                  <w:noWrap w:val="0"/>
                  <w:vAlign w:val="center"/>
                </w:tcPr>
                <w:p w14:paraId="7BFEE49E">
                  <w:pPr>
                    <w:jc w:val="center"/>
                    <w:rPr>
                      <w:rFonts w:hint="default" w:ascii="Times New Roman" w:hAnsi="Times New Roman" w:eastAsia="宋体" w:cs="Times New Roman"/>
                      <w:color w:val="auto"/>
                      <w:szCs w:val="21"/>
                    </w:rPr>
                  </w:pPr>
                  <w:r>
                    <w:rPr>
                      <w:rFonts w:hint="eastAsia" w:ascii="Times New Roman" w:hAnsi="Times New Roman" w:eastAsia="宋体" w:cs="Times New Roman"/>
                      <w:color w:val="auto"/>
                      <w:szCs w:val="21"/>
                      <w:lang w:val="en-US" w:eastAsia="zh-CN"/>
                    </w:rPr>
                    <w:t xml:space="preserve">1010000 </w:t>
                  </w:r>
                </w:p>
              </w:tc>
              <w:tc>
                <w:tcPr>
                  <w:tcW w:w="2013" w:type="dxa"/>
                  <w:noWrap w:val="0"/>
                  <w:vAlign w:val="center"/>
                </w:tcPr>
                <w:p w14:paraId="51F10A31">
                  <w:pPr>
                    <w:jc w:val="center"/>
                    <w:rPr>
                      <w:rFonts w:hint="default" w:ascii="Times New Roman" w:hAnsi="Times New Roman" w:cs="Times New Roman"/>
                      <w:color w:val="auto"/>
                      <w:kern w:val="0"/>
                      <w:szCs w:val="21"/>
                    </w:rPr>
                  </w:pPr>
                  <w:r>
                    <w:rPr>
                      <w:rFonts w:hint="default" w:ascii="Times New Roman" w:hAnsi="Times New Roman" w:cs="Times New Roman"/>
                      <w:color w:val="auto"/>
                      <w:szCs w:val="21"/>
                    </w:rPr>
                    <w:t>货车运输，封闭式原料堆场储存</w:t>
                  </w:r>
                </w:p>
              </w:tc>
              <w:tc>
                <w:tcPr>
                  <w:tcW w:w="1523" w:type="dxa"/>
                  <w:noWrap w:val="0"/>
                  <w:vAlign w:val="center"/>
                </w:tcPr>
                <w:p w14:paraId="2416F31B">
                  <w:pPr>
                    <w:widowControl/>
                    <w:jc w:val="center"/>
                    <w:rPr>
                      <w:rFonts w:hint="eastAsia" w:ascii="Times New Roman" w:hAnsi="Times New Roman" w:eastAsia="宋体" w:cs="Times New Roman"/>
                      <w:color w:val="auto"/>
                      <w:kern w:val="0"/>
                      <w:szCs w:val="21"/>
                      <w:lang w:eastAsia="zh-CN"/>
                    </w:rPr>
                  </w:pPr>
                  <w:r>
                    <w:rPr>
                      <w:rFonts w:hint="eastAsia" w:ascii="Times New Roman" w:hAnsi="Times New Roman" w:cs="Times New Roman"/>
                      <w:color w:val="auto"/>
                      <w:kern w:val="0"/>
                      <w:szCs w:val="21"/>
                      <w:lang w:val="en-US" w:eastAsia="zh-CN"/>
                    </w:rPr>
                    <w:t xml:space="preserve">国有砂石开采公司采购 </w:t>
                  </w:r>
                </w:p>
              </w:tc>
            </w:tr>
            <w:tr w14:paraId="348830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247" w:type="dxa"/>
                  <w:vMerge w:val="restart"/>
                  <w:noWrap w:val="0"/>
                  <w:vAlign w:val="center"/>
                </w:tcPr>
                <w:p w14:paraId="2F521E7F">
                  <w:pPr>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辅料</w:t>
                  </w:r>
                </w:p>
              </w:tc>
              <w:tc>
                <w:tcPr>
                  <w:tcW w:w="1705" w:type="dxa"/>
                  <w:noWrap w:val="0"/>
                  <w:vAlign w:val="center"/>
                </w:tcPr>
                <w:p w14:paraId="6CAFD756">
                  <w:pPr>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絮凝剂</w:t>
                  </w:r>
                </w:p>
                <w:p w14:paraId="07544A64">
                  <w:pPr>
                    <w:jc w:val="center"/>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（聚丙烯酰胺）</w:t>
                  </w:r>
                </w:p>
              </w:tc>
              <w:tc>
                <w:tcPr>
                  <w:tcW w:w="1849" w:type="dxa"/>
                  <w:noWrap w:val="0"/>
                  <w:vAlign w:val="center"/>
                </w:tcPr>
                <w:p w14:paraId="74FBB5DD">
                  <w:pPr>
                    <w:jc w:val="center"/>
                    <w:rPr>
                      <w:rFonts w:hint="default" w:ascii="Times New Roman" w:hAnsi="Times New Roman" w:eastAsia="宋体" w:cs="Times New Roman"/>
                      <w:color w:val="auto"/>
                      <w:szCs w:val="21"/>
                      <w:lang w:val="en-US"/>
                    </w:rPr>
                  </w:pPr>
                  <w:r>
                    <w:rPr>
                      <w:rFonts w:hint="eastAsia" w:ascii="Times New Roman" w:hAnsi="Times New Roman" w:eastAsia="宋体" w:cs="Times New Roman"/>
                      <w:color w:val="auto"/>
                      <w:szCs w:val="21"/>
                      <w:lang w:val="en-US" w:eastAsia="zh-CN"/>
                    </w:rPr>
                    <w:t>100</w:t>
                  </w:r>
                </w:p>
              </w:tc>
              <w:tc>
                <w:tcPr>
                  <w:tcW w:w="2013" w:type="dxa"/>
                  <w:noWrap w:val="0"/>
                  <w:vAlign w:val="center"/>
                </w:tcPr>
                <w:p w14:paraId="2711ABDC">
                  <w:pPr>
                    <w:jc w:val="center"/>
                    <w:rPr>
                      <w:rFonts w:hint="eastAsia"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外购</w:t>
                  </w:r>
                </w:p>
              </w:tc>
              <w:tc>
                <w:tcPr>
                  <w:tcW w:w="1523" w:type="dxa"/>
                  <w:noWrap w:val="0"/>
                  <w:vAlign w:val="center"/>
                </w:tcPr>
                <w:p w14:paraId="52A31116">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水处理剂</w:t>
                  </w:r>
                </w:p>
              </w:tc>
            </w:tr>
            <w:tr w14:paraId="46AE3F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247" w:type="dxa"/>
                  <w:vMerge w:val="continue"/>
                  <w:noWrap w:val="0"/>
                  <w:vAlign w:val="center"/>
                </w:tcPr>
                <w:p w14:paraId="017A596B">
                  <w:pPr>
                    <w:jc w:val="center"/>
                    <w:rPr>
                      <w:rFonts w:hint="default" w:ascii="Times New Roman" w:hAnsi="Times New Roman" w:cs="Times New Roman"/>
                      <w:color w:val="auto"/>
                      <w:szCs w:val="21"/>
                    </w:rPr>
                  </w:pPr>
                </w:p>
              </w:tc>
              <w:tc>
                <w:tcPr>
                  <w:tcW w:w="1705" w:type="dxa"/>
                  <w:noWrap w:val="0"/>
                  <w:vAlign w:val="center"/>
                </w:tcPr>
                <w:p w14:paraId="120B3CB9">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润滑油</w:t>
                  </w:r>
                </w:p>
              </w:tc>
              <w:tc>
                <w:tcPr>
                  <w:tcW w:w="1849" w:type="dxa"/>
                  <w:noWrap w:val="0"/>
                  <w:vAlign w:val="center"/>
                </w:tcPr>
                <w:p w14:paraId="0AC43E01">
                  <w:pPr>
                    <w:spacing w:line="240" w:lineRule="auto"/>
                    <w:ind w:firstLine="0" w:firstLineChars="0"/>
                    <w:jc w:val="center"/>
                    <w:rPr>
                      <w:rFonts w:hint="default" w:ascii="Times New Roman" w:hAnsi="Times New Roman" w:eastAsia="宋体" w:cs="Times New Roman"/>
                      <w:color w:val="auto"/>
                      <w:kern w:val="0"/>
                      <w:szCs w:val="21"/>
                      <w:lang w:val="en-US" w:eastAsia="zh-CN"/>
                    </w:rPr>
                  </w:pPr>
                  <w:r>
                    <w:rPr>
                      <w:rFonts w:hint="eastAsia"/>
                      <w:szCs w:val="21"/>
                      <w:lang w:val="en-US" w:eastAsia="zh-CN"/>
                    </w:rPr>
                    <w:t>0.5</w:t>
                  </w:r>
                </w:p>
              </w:tc>
              <w:tc>
                <w:tcPr>
                  <w:tcW w:w="2013" w:type="dxa"/>
                  <w:noWrap w:val="0"/>
                  <w:vAlign w:val="center"/>
                </w:tcPr>
                <w:p w14:paraId="7F3A499B">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外购</w:t>
                  </w:r>
                </w:p>
              </w:tc>
              <w:tc>
                <w:tcPr>
                  <w:tcW w:w="1523" w:type="dxa"/>
                  <w:noWrap w:val="0"/>
                  <w:vAlign w:val="center"/>
                </w:tcPr>
                <w:p w14:paraId="4B080EE7">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设备润滑</w:t>
                  </w:r>
                </w:p>
              </w:tc>
            </w:tr>
          </w:tbl>
          <w:p w14:paraId="3A4CE498">
            <w:pPr>
              <w:pStyle w:val="44"/>
              <w:ind w:firstLine="482"/>
              <w:rPr>
                <w:rFonts w:hint="eastAsia" w:ascii="Times New Roman" w:hAnsi="Times New Roman" w:cs="Times New Roman"/>
                <w:b/>
                <w:bCs/>
                <w:color w:val="auto"/>
                <w:lang w:val="en-US" w:eastAsia="zh-CN"/>
              </w:rPr>
            </w:pPr>
            <w:r>
              <w:rPr>
                <w:rFonts w:hint="eastAsia" w:ascii="Times New Roman" w:hAnsi="Times New Roman" w:cs="Times New Roman"/>
                <w:b/>
                <w:bCs/>
                <w:color w:val="auto"/>
                <w:lang w:val="en-US" w:eastAsia="zh-CN"/>
              </w:rPr>
              <w:t>主要原辅材料性质：</w:t>
            </w:r>
          </w:p>
          <w:p w14:paraId="3BAD2F68">
            <w:pPr>
              <w:pStyle w:val="44"/>
              <w:ind w:firstLine="480"/>
              <w:rPr>
                <w:rFonts w:hint="default" w:ascii="Times New Roman" w:hAnsi="Times New Roman" w:eastAsia="宋体" w:cs="Times New Roman"/>
                <w:color w:val="auto"/>
                <w:lang w:val="en-US"/>
              </w:rPr>
            </w:pPr>
            <w:r>
              <w:rPr>
                <w:rFonts w:hint="eastAsia" w:ascii="Times New Roman" w:hAnsi="Times New Roman" w:eastAsia="宋体" w:cs="Times New Roman"/>
                <w:color w:val="auto"/>
                <w:lang w:val="en-US" w:eastAsia="zh-CN"/>
              </w:rPr>
              <w:t>聚丙烯酰胺：</w:t>
            </w:r>
            <w:r>
              <w:rPr>
                <w:rFonts w:hint="default" w:ascii="Times New Roman" w:hAnsi="Times New Roman" w:eastAsia="宋体" w:cs="Times New Roman"/>
                <w:color w:val="auto"/>
                <w:lang w:val="en-US" w:eastAsia="zh-CN"/>
              </w:rPr>
              <w:t>PAM</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 xml:space="preserve">CAS </w:t>
            </w:r>
            <w:r>
              <w:rPr>
                <w:rFonts w:hint="eastAsia" w:ascii="Times New Roman" w:hAnsi="Times New Roman" w:eastAsia="宋体" w:cs="Times New Roman"/>
                <w:color w:val="auto"/>
                <w:lang w:val="en-US" w:eastAsia="zh-CN"/>
              </w:rPr>
              <w:t xml:space="preserve">号为 </w:t>
            </w:r>
            <w:r>
              <w:rPr>
                <w:rFonts w:hint="default" w:ascii="Times New Roman" w:hAnsi="Times New Roman" w:eastAsia="宋体" w:cs="Times New Roman"/>
                <w:color w:val="auto"/>
                <w:lang w:val="en-US" w:eastAsia="zh-CN"/>
              </w:rPr>
              <w:t>9003-05-8</w:t>
            </w:r>
            <w:r>
              <w:rPr>
                <w:rFonts w:hint="eastAsia" w:ascii="Times New Roman" w:hAnsi="Times New Roman" w:eastAsia="宋体" w:cs="Times New Roman"/>
                <w:color w:val="auto"/>
                <w:lang w:val="en-US" w:eastAsia="zh-CN"/>
              </w:rPr>
              <w:t>，分子式为（</w:t>
            </w:r>
            <w:r>
              <w:rPr>
                <w:rFonts w:hint="default" w:ascii="Times New Roman" w:hAnsi="Times New Roman" w:eastAsia="宋体" w:cs="Times New Roman"/>
                <w:color w:val="auto"/>
                <w:lang w:val="en-US" w:eastAsia="zh-CN"/>
              </w:rPr>
              <w:t>C</w:t>
            </w:r>
            <w:r>
              <w:rPr>
                <w:rFonts w:hint="default" w:ascii="Times New Roman" w:hAnsi="Times New Roman" w:eastAsia="宋体" w:cs="Times New Roman"/>
                <w:color w:val="auto"/>
                <w:vertAlign w:val="subscript"/>
                <w:lang w:val="en-US" w:eastAsia="zh-CN"/>
              </w:rPr>
              <w:t>3</w:t>
            </w:r>
            <w:r>
              <w:rPr>
                <w:rFonts w:hint="default" w:ascii="Times New Roman" w:hAnsi="Times New Roman" w:eastAsia="宋体" w:cs="Times New Roman"/>
                <w:color w:val="auto"/>
                <w:lang w:val="en-US" w:eastAsia="zh-CN"/>
              </w:rPr>
              <w:t>H</w:t>
            </w:r>
            <w:r>
              <w:rPr>
                <w:rFonts w:hint="default" w:ascii="Times New Roman" w:hAnsi="Times New Roman" w:eastAsia="宋体" w:cs="Times New Roman"/>
                <w:color w:val="auto"/>
                <w:vertAlign w:val="subscript"/>
                <w:lang w:val="en-US" w:eastAsia="zh-CN"/>
              </w:rPr>
              <w:t>5</w:t>
            </w:r>
            <w:r>
              <w:rPr>
                <w:rFonts w:hint="default" w:ascii="Times New Roman" w:hAnsi="Times New Roman" w:eastAsia="宋体" w:cs="Times New Roman"/>
                <w:color w:val="auto"/>
                <w:lang w:val="en-US" w:eastAsia="zh-CN"/>
              </w:rPr>
              <w:t>NO</w:t>
            </w:r>
            <w:r>
              <w:rPr>
                <w:rFonts w:hint="eastAsia" w:ascii="Times New Roman" w:hAnsi="Times New Roman" w:eastAsia="宋体" w:cs="Times New Roman"/>
                <w:color w:val="auto"/>
                <w:lang w:val="en-US" w:eastAsia="zh-CN"/>
              </w:rPr>
              <w:t xml:space="preserve">），聚丙烯酰胺是一种线状的有机高分子聚合物，同时也是一种高分子水处理絮凝剂产品，专门可以吸附水中的悬浮颗粒，在颗粒之间起链接架桥作用，使细颗粒形成比较大的絮团，加快沉淀的速度。这一过程称之为絮凝，因其中良好的絮凝效果 </w:t>
            </w:r>
            <w:r>
              <w:rPr>
                <w:rFonts w:hint="default" w:ascii="Times New Roman" w:hAnsi="Times New Roman" w:eastAsia="宋体" w:cs="Times New Roman"/>
                <w:color w:val="auto"/>
                <w:lang w:val="en-US" w:eastAsia="zh-CN"/>
              </w:rPr>
              <w:t xml:space="preserve">PAM </w:t>
            </w:r>
            <w:r>
              <w:rPr>
                <w:rFonts w:hint="eastAsia" w:ascii="Times New Roman" w:hAnsi="Times New Roman" w:eastAsia="宋体" w:cs="Times New Roman"/>
                <w:color w:val="auto"/>
                <w:lang w:val="en-US" w:eastAsia="zh-CN"/>
              </w:rPr>
              <w:t>作为水处理的絮凝剂并且被广泛用于污水处理。本项目采用PAM作为絮凝剂加入中水回用罐，用于沉淀生产废水中的泥浆，以便于泥水分离。</w:t>
            </w:r>
          </w:p>
          <w:p w14:paraId="124D0F15">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6、产品方案</w:t>
            </w:r>
          </w:p>
          <w:p w14:paraId="2D0AFE80">
            <w:pPr>
              <w:pStyle w:val="44"/>
              <w:ind w:firstLine="480"/>
              <w:rPr>
                <w:rFonts w:hint="eastAsia" w:ascii="Times New Roman" w:hAnsi="Times New Roman" w:eastAsia="宋体" w:cs="Times New Roman"/>
                <w:color w:val="auto"/>
                <w:lang w:eastAsia="zh-CN"/>
              </w:rPr>
            </w:pPr>
            <w:r>
              <w:rPr>
                <w:rFonts w:hint="default" w:ascii="Times New Roman" w:hAnsi="Times New Roman" w:cs="Times New Roman"/>
                <w:color w:val="auto"/>
              </w:rPr>
              <w:t>本项目主要从</w:t>
            </w:r>
            <w:r>
              <w:rPr>
                <w:rFonts w:hint="eastAsia" w:ascii="Times New Roman" w:hAnsi="Times New Roman" w:cs="Times New Roman"/>
                <w:color w:val="auto"/>
                <w:lang w:val="en-US" w:eastAsia="zh-CN"/>
              </w:rPr>
              <w:t>成万达高铁建设过程中混凝土生产所需要的</w:t>
            </w:r>
            <w:r>
              <w:rPr>
                <w:rFonts w:hint="eastAsia" w:ascii="Times New Roman" w:hAnsi="Times New Roman" w:cs="Times New Roman"/>
                <w:color w:val="auto"/>
                <w:lang w:eastAsia="zh-CN"/>
              </w:rPr>
              <w:t>机制砂、级配碎石，</w:t>
            </w:r>
            <w:r>
              <w:rPr>
                <w:rFonts w:hint="eastAsia" w:ascii="Times New Roman" w:hAnsi="Times New Roman" w:cs="Times New Roman"/>
                <w:color w:val="auto"/>
                <w:lang w:val="en-US" w:eastAsia="zh-CN"/>
              </w:rPr>
              <w:t>本项目产品方案如下：</w:t>
            </w:r>
          </w:p>
          <w:p w14:paraId="37348484">
            <w:pPr>
              <w:pStyle w:val="45"/>
              <w:rPr>
                <w:rFonts w:hint="default" w:ascii="Times New Roman" w:hAnsi="Times New Roman" w:cs="Times New Roman"/>
                <w:color w:val="auto"/>
              </w:rPr>
            </w:pPr>
            <w:r>
              <w:rPr>
                <w:rFonts w:hint="default" w:ascii="Times New Roman" w:hAnsi="Times New Roman" w:cs="Times New Roman"/>
                <w:color w:val="auto"/>
              </w:rPr>
              <w:t>表2-5本项目产品方案表</w:t>
            </w:r>
          </w:p>
          <w:tbl>
            <w:tblPr>
              <w:tblStyle w:val="23"/>
              <w:tblW w:w="81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242"/>
              <w:gridCol w:w="1289"/>
              <w:gridCol w:w="1043"/>
              <w:gridCol w:w="1078"/>
              <w:gridCol w:w="2444"/>
            </w:tblGrid>
            <w:tr w14:paraId="77448D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872" w:hRule="atLeast"/>
                <w:jc w:val="center"/>
              </w:trPr>
              <w:tc>
                <w:tcPr>
                  <w:tcW w:w="1041" w:type="dxa"/>
                  <w:tcBorders>
                    <w:tl2br w:val="nil"/>
                    <w:tr2bl w:val="nil"/>
                  </w:tcBorders>
                  <w:noWrap w:val="0"/>
                  <w:vAlign w:val="center"/>
                </w:tcPr>
                <w:p w14:paraId="445446EF">
                  <w:pPr>
                    <w:widowControl/>
                    <w:jc w:val="center"/>
                    <w:rPr>
                      <w:rFonts w:hint="eastAsia"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序号</w:t>
                  </w:r>
                </w:p>
              </w:tc>
              <w:tc>
                <w:tcPr>
                  <w:tcW w:w="1242" w:type="dxa"/>
                  <w:tcBorders>
                    <w:tl2br w:val="nil"/>
                    <w:tr2bl w:val="nil"/>
                  </w:tcBorders>
                  <w:noWrap w:val="0"/>
                  <w:vAlign w:val="center"/>
                </w:tcPr>
                <w:p w14:paraId="1DD35B1E">
                  <w:pPr>
                    <w:widowControl/>
                    <w:jc w:val="center"/>
                    <w:rPr>
                      <w:rFonts w:hint="default"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产品名称</w:t>
                  </w:r>
                </w:p>
              </w:tc>
              <w:tc>
                <w:tcPr>
                  <w:tcW w:w="1289" w:type="dxa"/>
                  <w:tcBorders>
                    <w:tl2br w:val="nil"/>
                    <w:tr2bl w:val="nil"/>
                  </w:tcBorders>
                  <w:noWrap w:val="0"/>
                  <w:vAlign w:val="center"/>
                </w:tcPr>
                <w:p w14:paraId="48CE64F6">
                  <w:pPr>
                    <w:widowControl/>
                    <w:jc w:val="center"/>
                    <w:rPr>
                      <w:rFonts w:hint="eastAsia"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单位</w:t>
                  </w:r>
                </w:p>
              </w:tc>
              <w:tc>
                <w:tcPr>
                  <w:tcW w:w="1043" w:type="dxa"/>
                  <w:tcBorders>
                    <w:tl2br w:val="nil"/>
                    <w:tr2bl w:val="nil"/>
                  </w:tcBorders>
                  <w:noWrap w:val="0"/>
                  <w:vAlign w:val="center"/>
                </w:tcPr>
                <w:p w14:paraId="297EFE19">
                  <w:pPr>
                    <w:widowControl/>
                    <w:jc w:val="center"/>
                    <w:rPr>
                      <w:rFonts w:hint="eastAsia"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年产量</w:t>
                  </w:r>
                </w:p>
              </w:tc>
              <w:tc>
                <w:tcPr>
                  <w:tcW w:w="1078" w:type="dxa"/>
                  <w:tcBorders>
                    <w:tl2br w:val="nil"/>
                    <w:tr2bl w:val="nil"/>
                  </w:tcBorders>
                  <w:noWrap w:val="0"/>
                  <w:vAlign w:val="center"/>
                </w:tcPr>
                <w:p w14:paraId="236AD0F8">
                  <w:pPr>
                    <w:widowControl/>
                    <w:jc w:val="center"/>
                    <w:rPr>
                      <w:rFonts w:hint="default"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产品粒径（mm）</w:t>
                  </w:r>
                </w:p>
              </w:tc>
              <w:tc>
                <w:tcPr>
                  <w:tcW w:w="2444" w:type="dxa"/>
                  <w:tcBorders>
                    <w:tl2br w:val="nil"/>
                    <w:tr2bl w:val="nil"/>
                  </w:tcBorders>
                  <w:noWrap w:val="0"/>
                  <w:vAlign w:val="center"/>
                </w:tcPr>
                <w:p w14:paraId="0A1F4042">
                  <w:pPr>
                    <w:widowControl/>
                    <w:jc w:val="center"/>
                    <w:rPr>
                      <w:rFonts w:hint="eastAsia" w:ascii="Times New Roman" w:hAnsi="Times New Roman" w:eastAsia="宋体" w:cs="Times New Roman"/>
                      <w:b/>
                      <w:bCs/>
                      <w:color w:val="auto"/>
                      <w:szCs w:val="21"/>
                      <w:lang w:val="en-US" w:eastAsia="zh-CN"/>
                    </w:rPr>
                  </w:pPr>
                  <w:r>
                    <w:rPr>
                      <w:rFonts w:hint="eastAsia" w:ascii="Times New Roman" w:hAnsi="Times New Roman" w:eastAsia="宋体" w:cs="Times New Roman"/>
                      <w:b/>
                      <w:bCs/>
                      <w:color w:val="auto"/>
                      <w:szCs w:val="21"/>
                      <w:lang w:val="en-US" w:eastAsia="zh-CN"/>
                    </w:rPr>
                    <w:t>备注</w:t>
                  </w:r>
                </w:p>
              </w:tc>
            </w:tr>
            <w:tr w14:paraId="580F9B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41" w:type="dxa"/>
                  <w:tcBorders>
                    <w:tl2br w:val="nil"/>
                    <w:tr2bl w:val="nil"/>
                  </w:tcBorders>
                  <w:noWrap w:val="0"/>
                  <w:vAlign w:val="center"/>
                </w:tcPr>
                <w:p w14:paraId="5F71A020">
                  <w:pPr>
                    <w:widowControl/>
                    <w:jc w:val="center"/>
                    <w:textAlignment w:val="center"/>
                    <w:rPr>
                      <w:rFonts w:hint="default" w:ascii="Times New Roman" w:hAnsi="Times New Roman" w:eastAsia="宋体" w:cs="Times New Roman"/>
                      <w:color w:val="auto"/>
                      <w:kern w:val="0"/>
                      <w:szCs w:val="21"/>
                      <w:lang w:val="en-US" w:eastAsia="zh-CN"/>
                    </w:rPr>
                  </w:pPr>
                  <w:r>
                    <w:rPr>
                      <w:rFonts w:hint="default" w:ascii="Times New Roman" w:hAnsi="Times New Roman" w:eastAsia="宋体" w:cs="Times New Roman"/>
                      <w:color w:val="auto"/>
                      <w:kern w:val="0"/>
                      <w:szCs w:val="21"/>
                      <w:lang w:val="en-US" w:eastAsia="zh-CN"/>
                    </w:rPr>
                    <w:t>1</w:t>
                  </w:r>
                </w:p>
              </w:tc>
              <w:tc>
                <w:tcPr>
                  <w:tcW w:w="1242" w:type="dxa"/>
                  <w:tcBorders>
                    <w:tl2br w:val="nil"/>
                    <w:tr2bl w:val="nil"/>
                  </w:tcBorders>
                  <w:noWrap w:val="0"/>
                  <w:vAlign w:val="center"/>
                </w:tcPr>
                <w:p w14:paraId="0EBC46EE">
                  <w:pPr>
                    <w:widowControl/>
                    <w:jc w:val="center"/>
                    <w:textAlignment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1"/>
                      <w:lang w:val="en-US" w:eastAsia="zh-CN"/>
                    </w:rPr>
                    <w:t>机制砂</w:t>
                  </w:r>
                </w:p>
              </w:tc>
              <w:tc>
                <w:tcPr>
                  <w:tcW w:w="1289" w:type="dxa"/>
                  <w:tcBorders>
                    <w:tl2br w:val="nil"/>
                    <w:tr2bl w:val="nil"/>
                  </w:tcBorders>
                  <w:noWrap w:val="0"/>
                  <w:vAlign w:val="center"/>
                </w:tcPr>
                <w:p w14:paraId="49E5788B">
                  <w:pPr>
                    <w:widowControl/>
                    <w:jc w:val="center"/>
                    <w:textAlignment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万吨/a</w:t>
                  </w:r>
                </w:p>
              </w:tc>
              <w:tc>
                <w:tcPr>
                  <w:tcW w:w="1043" w:type="dxa"/>
                  <w:tcBorders>
                    <w:tl2br w:val="nil"/>
                    <w:tr2bl w:val="nil"/>
                  </w:tcBorders>
                  <w:noWrap w:val="0"/>
                  <w:vAlign w:val="center"/>
                </w:tcPr>
                <w:p w14:paraId="7694900C">
                  <w:pPr>
                    <w:widowControl/>
                    <w:jc w:val="center"/>
                    <w:textAlignment w:val="center"/>
                    <w:rPr>
                      <w:rFonts w:hint="default" w:ascii="Times New Roman" w:hAnsi="Times New Roman" w:eastAsia="宋体" w:cs="Times New Roman"/>
                      <w:color w:val="auto"/>
                      <w:kern w:val="0"/>
                      <w:szCs w:val="21"/>
                      <w:lang w:val="en-US" w:eastAsia="zh-CN"/>
                    </w:rPr>
                  </w:pPr>
                  <w:r>
                    <w:rPr>
                      <w:rFonts w:hint="eastAsia" w:eastAsia="宋体"/>
                      <w:lang w:val="en-US" w:eastAsia="zh-CN"/>
                    </w:rPr>
                    <w:t>40</w:t>
                  </w:r>
                </w:p>
              </w:tc>
              <w:tc>
                <w:tcPr>
                  <w:tcW w:w="1078" w:type="dxa"/>
                  <w:tcBorders>
                    <w:tl2br w:val="nil"/>
                    <w:tr2bl w:val="nil"/>
                  </w:tcBorders>
                  <w:noWrap w:val="0"/>
                  <w:vAlign w:val="center"/>
                </w:tcPr>
                <w:p w14:paraId="162F2970">
                  <w:pPr>
                    <w:widowControl/>
                    <w:jc w:val="center"/>
                    <w:textAlignment w:val="center"/>
                    <w:rPr>
                      <w:rFonts w:hint="default" w:eastAsia="宋体"/>
                      <w:lang w:val="en-US" w:eastAsia="zh-CN"/>
                    </w:rPr>
                  </w:pPr>
                  <w:r>
                    <w:rPr>
                      <w:rFonts w:hint="eastAsia" w:eastAsia="宋体"/>
                      <w:lang w:val="en-US" w:eastAsia="zh-CN"/>
                    </w:rPr>
                    <w:t>2.36-4.75</w:t>
                  </w:r>
                </w:p>
              </w:tc>
              <w:tc>
                <w:tcPr>
                  <w:tcW w:w="2444" w:type="dxa"/>
                  <w:vMerge w:val="restart"/>
                  <w:tcBorders>
                    <w:tl2br w:val="nil"/>
                    <w:tr2bl w:val="nil"/>
                  </w:tcBorders>
                  <w:noWrap w:val="0"/>
                  <w:vAlign w:val="center"/>
                </w:tcPr>
                <w:p w14:paraId="4D4DB6D5">
                  <w:pPr>
                    <w:widowControl/>
                    <w:jc w:val="both"/>
                    <w:textAlignment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 xml:space="preserve"> 砂、石产品应符合国家现行标准《建设用砂》GB/T14684、《建设用卵石、碎石》GB/T 14685 等标准的有关规定</w:t>
                  </w:r>
                </w:p>
              </w:tc>
            </w:tr>
            <w:tr w14:paraId="12D5F9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41" w:type="dxa"/>
                  <w:tcBorders>
                    <w:tl2br w:val="nil"/>
                    <w:tr2bl w:val="nil"/>
                  </w:tcBorders>
                  <w:noWrap w:val="0"/>
                  <w:vAlign w:val="center"/>
                </w:tcPr>
                <w:p w14:paraId="5FFD097E">
                  <w:pPr>
                    <w:widowControl/>
                    <w:jc w:val="center"/>
                    <w:textAlignment w:val="center"/>
                    <w:rPr>
                      <w:rFonts w:hint="default" w:ascii="Times New Roman" w:hAnsi="Times New Roman" w:eastAsia="宋体" w:cs="Times New Roman"/>
                      <w:color w:val="auto"/>
                      <w:kern w:val="0"/>
                      <w:szCs w:val="21"/>
                      <w:lang w:val="en-US" w:eastAsia="zh-CN"/>
                    </w:rPr>
                  </w:pPr>
                  <w:r>
                    <w:rPr>
                      <w:rFonts w:hint="default" w:ascii="Times New Roman" w:hAnsi="Times New Roman" w:eastAsia="宋体" w:cs="Times New Roman"/>
                      <w:color w:val="auto"/>
                      <w:kern w:val="0"/>
                      <w:szCs w:val="21"/>
                      <w:lang w:val="en-US" w:eastAsia="zh-CN"/>
                    </w:rPr>
                    <w:t>2</w:t>
                  </w:r>
                </w:p>
              </w:tc>
              <w:tc>
                <w:tcPr>
                  <w:tcW w:w="1242" w:type="dxa"/>
                  <w:tcBorders>
                    <w:tl2br w:val="nil"/>
                    <w:tr2bl w:val="nil"/>
                  </w:tcBorders>
                  <w:noWrap w:val="0"/>
                  <w:vAlign w:val="center"/>
                </w:tcPr>
                <w:p w14:paraId="56D3F09B">
                  <w:pPr>
                    <w:widowControl/>
                    <w:jc w:val="center"/>
                    <w:textAlignment w:val="center"/>
                    <w:rPr>
                      <w:rFonts w:hint="default" w:ascii="Times New Roman" w:hAnsi="Times New Roman" w:eastAsia="宋体" w:cs="Times New Roman"/>
                      <w:color w:val="auto"/>
                      <w:kern w:val="0"/>
                      <w:szCs w:val="21"/>
                      <w:lang w:val="en-US" w:eastAsia="zh-CN"/>
                    </w:rPr>
                  </w:pPr>
                  <w:r>
                    <w:rPr>
                      <w:rFonts w:hint="eastAsia" w:ascii="Times New Roman" w:hAnsi="Times New Roman" w:eastAsia="宋体" w:cs="Times New Roman"/>
                      <w:color w:val="auto"/>
                      <w:kern w:val="0"/>
                      <w:szCs w:val="21"/>
                      <w:lang w:val="en-US" w:eastAsia="zh-CN"/>
                    </w:rPr>
                    <w:t>1-2级碎石</w:t>
                  </w:r>
                </w:p>
              </w:tc>
              <w:tc>
                <w:tcPr>
                  <w:tcW w:w="1289" w:type="dxa"/>
                  <w:tcBorders>
                    <w:tl2br w:val="nil"/>
                    <w:tr2bl w:val="nil"/>
                  </w:tcBorders>
                  <w:noWrap w:val="0"/>
                  <w:vAlign w:val="center"/>
                </w:tcPr>
                <w:p w14:paraId="5668882D">
                  <w:pPr>
                    <w:widowControl/>
                    <w:jc w:val="center"/>
                    <w:textAlignment w:val="center"/>
                    <w:rPr>
                      <w:rFonts w:hint="default"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lang w:val="en-US" w:eastAsia="zh-CN"/>
                    </w:rPr>
                    <w:t>万吨/a</w:t>
                  </w:r>
                </w:p>
              </w:tc>
              <w:tc>
                <w:tcPr>
                  <w:tcW w:w="1043" w:type="dxa"/>
                  <w:tcBorders>
                    <w:tl2br w:val="nil"/>
                    <w:tr2bl w:val="nil"/>
                  </w:tcBorders>
                  <w:noWrap w:val="0"/>
                  <w:vAlign w:val="center"/>
                </w:tcPr>
                <w:p w14:paraId="1C57C761">
                  <w:pPr>
                    <w:widowControl/>
                    <w:jc w:val="center"/>
                    <w:textAlignment w:val="center"/>
                    <w:rPr>
                      <w:rFonts w:hint="default" w:ascii="Times New Roman" w:hAnsi="Times New Roman" w:eastAsia="宋体" w:cs="Times New Roman"/>
                      <w:color w:val="auto"/>
                      <w:kern w:val="0"/>
                      <w:szCs w:val="21"/>
                      <w:lang w:val="en-US" w:eastAsia="zh-CN"/>
                    </w:rPr>
                  </w:pPr>
                  <w:r>
                    <w:rPr>
                      <w:rFonts w:hint="eastAsia" w:eastAsia="宋体"/>
                      <w:lang w:val="en-US" w:eastAsia="zh-CN"/>
                    </w:rPr>
                    <w:t>30</w:t>
                  </w:r>
                </w:p>
              </w:tc>
              <w:tc>
                <w:tcPr>
                  <w:tcW w:w="1078" w:type="dxa"/>
                  <w:tcBorders>
                    <w:tl2br w:val="nil"/>
                    <w:tr2bl w:val="nil"/>
                  </w:tcBorders>
                  <w:noWrap w:val="0"/>
                  <w:vAlign w:val="center"/>
                </w:tcPr>
                <w:p w14:paraId="74FB7ECB">
                  <w:pPr>
                    <w:widowControl/>
                    <w:jc w:val="center"/>
                    <w:textAlignment w:val="center"/>
                    <w:rPr>
                      <w:rFonts w:hint="default" w:eastAsia="宋体"/>
                      <w:lang w:val="en-US" w:eastAsia="zh-CN"/>
                    </w:rPr>
                  </w:pPr>
                  <w:r>
                    <w:rPr>
                      <w:rFonts w:hint="eastAsia" w:eastAsia="宋体"/>
                      <w:lang w:val="en-US" w:eastAsia="zh-CN"/>
                    </w:rPr>
                    <w:t>10-20</w:t>
                  </w:r>
                </w:p>
              </w:tc>
              <w:tc>
                <w:tcPr>
                  <w:tcW w:w="2444" w:type="dxa"/>
                  <w:vMerge w:val="continue"/>
                  <w:tcBorders>
                    <w:tl2br w:val="nil"/>
                    <w:tr2bl w:val="nil"/>
                  </w:tcBorders>
                  <w:noWrap w:val="0"/>
                  <w:vAlign w:val="center"/>
                </w:tcPr>
                <w:p w14:paraId="55533BF9">
                  <w:pPr>
                    <w:widowControl/>
                    <w:jc w:val="center"/>
                    <w:textAlignment w:val="center"/>
                    <w:rPr>
                      <w:rFonts w:hint="default" w:ascii="Times New Roman" w:hAnsi="Times New Roman" w:eastAsia="宋体" w:cs="Times New Roman"/>
                      <w:color w:val="auto"/>
                      <w:kern w:val="0"/>
                      <w:szCs w:val="21"/>
                    </w:rPr>
                  </w:pPr>
                </w:p>
              </w:tc>
            </w:tr>
            <w:tr w14:paraId="628D58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1041" w:type="dxa"/>
                  <w:tcBorders>
                    <w:tl2br w:val="nil"/>
                    <w:tr2bl w:val="nil"/>
                  </w:tcBorders>
                  <w:noWrap w:val="0"/>
                  <w:vAlign w:val="center"/>
                </w:tcPr>
                <w:p w14:paraId="54CDDCBE">
                  <w:pPr>
                    <w:widowControl/>
                    <w:jc w:val="center"/>
                    <w:textAlignment w:val="center"/>
                    <w:rPr>
                      <w:rFonts w:hint="default" w:ascii="Times New Roman" w:hAnsi="Times New Roman" w:eastAsia="宋体" w:cs="Times New Roman"/>
                      <w:color w:val="auto"/>
                      <w:kern w:val="0"/>
                      <w:szCs w:val="21"/>
                      <w:lang w:val="en-US" w:eastAsia="zh-CN"/>
                    </w:rPr>
                  </w:pPr>
                  <w:r>
                    <w:rPr>
                      <w:rFonts w:hint="default" w:ascii="Times New Roman" w:hAnsi="Times New Roman" w:eastAsia="宋体" w:cs="Times New Roman"/>
                      <w:color w:val="auto"/>
                      <w:kern w:val="0"/>
                      <w:szCs w:val="21"/>
                      <w:lang w:val="en-US" w:eastAsia="zh-CN"/>
                    </w:rPr>
                    <w:t>3</w:t>
                  </w:r>
                </w:p>
              </w:tc>
              <w:tc>
                <w:tcPr>
                  <w:tcW w:w="1242" w:type="dxa"/>
                  <w:tcBorders>
                    <w:tl2br w:val="nil"/>
                    <w:tr2bl w:val="nil"/>
                  </w:tcBorders>
                  <w:noWrap w:val="0"/>
                  <w:vAlign w:val="center"/>
                </w:tcPr>
                <w:p w14:paraId="75E794D6">
                  <w:pPr>
                    <w:widowControl/>
                    <w:jc w:val="center"/>
                    <w:textAlignment w:val="center"/>
                    <w:rPr>
                      <w:rFonts w:hint="default"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lang w:val="en-US" w:eastAsia="zh-CN"/>
                    </w:rPr>
                    <w:t>1-3级碎石</w:t>
                  </w:r>
                </w:p>
              </w:tc>
              <w:tc>
                <w:tcPr>
                  <w:tcW w:w="1289" w:type="dxa"/>
                  <w:tcBorders>
                    <w:tl2br w:val="nil"/>
                    <w:tr2bl w:val="nil"/>
                  </w:tcBorders>
                  <w:noWrap w:val="0"/>
                  <w:vAlign w:val="center"/>
                </w:tcPr>
                <w:p w14:paraId="6EFB3F43">
                  <w:pPr>
                    <w:widowControl/>
                    <w:jc w:val="center"/>
                    <w:textAlignment w:val="center"/>
                    <w:rPr>
                      <w:rFonts w:hint="default"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lang w:val="en-US" w:eastAsia="zh-CN"/>
                    </w:rPr>
                    <w:t>万吨/a</w:t>
                  </w:r>
                </w:p>
              </w:tc>
              <w:tc>
                <w:tcPr>
                  <w:tcW w:w="1043" w:type="dxa"/>
                  <w:tcBorders>
                    <w:tl2br w:val="nil"/>
                    <w:tr2bl w:val="nil"/>
                  </w:tcBorders>
                  <w:noWrap w:val="0"/>
                  <w:vAlign w:val="center"/>
                </w:tcPr>
                <w:p w14:paraId="6F81F19D">
                  <w:pPr>
                    <w:widowControl/>
                    <w:jc w:val="center"/>
                    <w:textAlignment w:val="center"/>
                    <w:rPr>
                      <w:rFonts w:hint="default" w:ascii="Times New Roman" w:hAnsi="Times New Roman" w:eastAsia="宋体" w:cs="Times New Roman"/>
                      <w:color w:val="auto"/>
                      <w:kern w:val="0"/>
                      <w:szCs w:val="21"/>
                      <w:lang w:val="en-US" w:eastAsia="zh-CN"/>
                    </w:rPr>
                  </w:pPr>
                  <w:r>
                    <w:rPr>
                      <w:rFonts w:hint="eastAsia"/>
                      <w:lang w:val="en-US" w:eastAsia="zh-CN"/>
                    </w:rPr>
                    <w:t>30</w:t>
                  </w:r>
                </w:p>
              </w:tc>
              <w:tc>
                <w:tcPr>
                  <w:tcW w:w="1078" w:type="dxa"/>
                  <w:tcBorders>
                    <w:tl2br w:val="nil"/>
                    <w:tr2bl w:val="nil"/>
                  </w:tcBorders>
                  <w:noWrap w:val="0"/>
                  <w:vAlign w:val="center"/>
                </w:tcPr>
                <w:p w14:paraId="0865BDD5">
                  <w:pPr>
                    <w:widowControl/>
                    <w:jc w:val="center"/>
                    <w:textAlignment w:val="center"/>
                    <w:rPr>
                      <w:rFonts w:hint="default"/>
                      <w:lang w:val="en-US" w:eastAsia="zh-CN"/>
                    </w:rPr>
                  </w:pPr>
                  <w:r>
                    <w:rPr>
                      <w:rFonts w:hint="eastAsia"/>
                      <w:lang w:val="en-US" w:eastAsia="zh-CN"/>
                    </w:rPr>
                    <w:t>16-31.5</w:t>
                  </w:r>
                </w:p>
              </w:tc>
              <w:tc>
                <w:tcPr>
                  <w:tcW w:w="2444" w:type="dxa"/>
                  <w:vMerge w:val="continue"/>
                  <w:tcBorders>
                    <w:tl2br w:val="nil"/>
                    <w:tr2bl w:val="nil"/>
                  </w:tcBorders>
                  <w:noWrap w:val="0"/>
                  <w:vAlign w:val="center"/>
                </w:tcPr>
                <w:p w14:paraId="64BB714F">
                  <w:pPr>
                    <w:widowControl/>
                    <w:jc w:val="center"/>
                    <w:textAlignment w:val="center"/>
                    <w:rPr>
                      <w:rFonts w:hint="default" w:ascii="Times New Roman" w:hAnsi="Times New Roman" w:eastAsia="宋体" w:cs="Times New Roman"/>
                      <w:color w:val="auto"/>
                      <w:kern w:val="0"/>
                      <w:szCs w:val="21"/>
                    </w:rPr>
                  </w:pPr>
                </w:p>
              </w:tc>
            </w:tr>
          </w:tbl>
          <w:p w14:paraId="227291E5">
            <w:pPr>
              <w:pStyle w:val="45"/>
              <w:rPr>
                <w:rFonts w:hint="default" w:ascii="Times New Roman" w:hAnsi="Times New Roman" w:cs="Times New Roman"/>
                <w:color w:val="auto"/>
              </w:rPr>
            </w:pPr>
          </w:p>
          <w:p w14:paraId="364FE522">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7、劳动定员</w:t>
            </w:r>
          </w:p>
          <w:p w14:paraId="092BFFC2">
            <w:pPr>
              <w:pStyle w:val="44"/>
              <w:ind w:firstLine="480"/>
              <w:rPr>
                <w:rFonts w:hint="default" w:ascii="Times New Roman" w:hAnsi="Times New Roman" w:cs="Times New Roman"/>
                <w:color w:val="auto"/>
              </w:rPr>
            </w:pPr>
            <w:r>
              <w:rPr>
                <w:rFonts w:hint="default" w:ascii="Times New Roman" w:hAnsi="Times New Roman" w:cs="Times New Roman"/>
                <w:color w:val="auto"/>
              </w:rPr>
              <w:t>本项劳动定员</w:t>
            </w:r>
            <w:r>
              <w:rPr>
                <w:rFonts w:hint="eastAsia" w:ascii="Times New Roman" w:hAnsi="Times New Roman" w:cs="Times New Roman"/>
                <w:color w:val="auto"/>
                <w:lang w:val="en-US" w:eastAsia="zh-CN"/>
              </w:rPr>
              <w:t>2</w:t>
            </w:r>
            <w:r>
              <w:rPr>
                <w:rFonts w:hint="default" w:ascii="Times New Roman" w:hAnsi="Times New Roman" w:cs="Times New Roman"/>
                <w:color w:val="auto"/>
              </w:rPr>
              <w:t>1人，</w:t>
            </w:r>
            <w:r>
              <w:rPr>
                <w:rFonts w:hint="eastAsia" w:ascii="Times New Roman" w:hAnsi="Times New Roman" w:cs="Times New Roman"/>
                <w:color w:val="auto"/>
                <w:lang w:val="en-US" w:eastAsia="zh-CN"/>
              </w:rPr>
              <w:t>10</w:t>
            </w:r>
            <w:r>
              <w:rPr>
                <w:rFonts w:hint="default" w:ascii="Times New Roman" w:hAnsi="Times New Roman" w:cs="Times New Roman"/>
                <w:color w:val="auto"/>
              </w:rPr>
              <w:t>小时/班，</w:t>
            </w:r>
            <w:r>
              <w:rPr>
                <w:rFonts w:hint="eastAsia" w:ascii="Times New Roman" w:hAnsi="Times New Roman" w:cs="Times New Roman"/>
                <w:color w:val="auto"/>
                <w:lang w:val="en-US" w:eastAsia="zh-CN"/>
              </w:rPr>
              <w:t>单班</w:t>
            </w:r>
            <w:r>
              <w:rPr>
                <w:rFonts w:hint="default" w:ascii="Times New Roman" w:hAnsi="Times New Roman" w:cs="Times New Roman"/>
                <w:color w:val="auto"/>
                <w:lang w:eastAsia="zh-CN"/>
              </w:rPr>
              <w:t>制，</w:t>
            </w:r>
            <w:r>
              <w:rPr>
                <w:rFonts w:hint="eastAsia" w:ascii="Times New Roman" w:hAnsi="Times New Roman" w:cs="Times New Roman"/>
                <w:color w:val="auto"/>
                <w:lang w:val="en-US" w:eastAsia="zh-CN"/>
              </w:rPr>
              <w:t>夜间不生产，</w:t>
            </w:r>
            <w:r>
              <w:rPr>
                <w:rFonts w:hint="default" w:ascii="Times New Roman" w:hAnsi="Times New Roman" w:cs="Times New Roman"/>
                <w:color w:val="auto"/>
              </w:rPr>
              <w:t>年</w:t>
            </w:r>
            <w:r>
              <w:rPr>
                <w:rFonts w:hint="eastAsia" w:ascii="Times New Roman" w:hAnsi="Times New Roman" w:cs="Times New Roman"/>
                <w:color w:val="auto"/>
                <w:lang w:val="en-US" w:eastAsia="zh-CN"/>
              </w:rPr>
              <w:t>有效</w:t>
            </w:r>
            <w:r>
              <w:rPr>
                <w:rFonts w:hint="default" w:ascii="Times New Roman" w:hAnsi="Times New Roman" w:cs="Times New Roman"/>
                <w:color w:val="auto"/>
              </w:rPr>
              <w:t>生产</w:t>
            </w:r>
            <w:r>
              <w:rPr>
                <w:rFonts w:hint="eastAsia" w:ascii="Times New Roman" w:hAnsi="Times New Roman" w:cs="Times New Roman"/>
                <w:color w:val="auto"/>
                <w:lang w:val="en-US" w:eastAsia="zh-CN"/>
              </w:rPr>
              <w:t>时间约</w:t>
            </w:r>
            <w:r>
              <w:rPr>
                <w:rFonts w:hint="default" w:ascii="Times New Roman" w:hAnsi="Times New Roman" w:cs="Times New Roman"/>
                <w:color w:val="auto"/>
              </w:rPr>
              <w:t>300天。</w:t>
            </w:r>
          </w:p>
          <w:p w14:paraId="7880EE73">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8、公用工程及辅助工程</w:t>
            </w:r>
          </w:p>
          <w:p w14:paraId="4B1EDFFA">
            <w:pPr>
              <w:pStyle w:val="44"/>
              <w:ind w:firstLine="480"/>
              <w:rPr>
                <w:rFonts w:hint="default" w:ascii="Times New Roman" w:hAnsi="Times New Roman" w:cs="Times New Roman"/>
                <w:color w:val="auto"/>
              </w:rPr>
            </w:pPr>
            <w:r>
              <w:rPr>
                <w:rFonts w:hint="default" w:ascii="Times New Roman" w:hAnsi="Times New Roman" w:cs="Times New Roman"/>
                <w:color w:val="auto"/>
              </w:rPr>
              <w:t>（1）给水</w:t>
            </w:r>
          </w:p>
          <w:p w14:paraId="3A5150E2">
            <w:pPr>
              <w:pStyle w:val="44"/>
              <w:ind w:firstLine="480"/>
              <w:rPr>
                <w:rFonts w:hint="default" w:ascii="Times New Roman" w:hAnsi="Times New Roman" w:cs="Times New Roman"/>
                <w:color w:val="auto"/>
              </w:rPr>
            </w:pPr>
            <w:r>
              <w:rPr>
                <w:rFonts w:hint="default" w:ascii="Times New Roman" w:hAnsi="Times New Roman" w:cs="Times New Roman"/>
                <w:color w:val="auto"/>
              </w:rPr>
              <w:t>本项目生产用水</w:t>
            </w:r>
            <w:r>
              <w:rPr>
                <w:rFonts w:hint="eastAsia" w:ascii="Times New Roman" w:hAnsi="Times New Roman" w:cs="Times New Roman"/>
                <w:color w:val="auto"/>
                <w:lang w:val="en-US" w:eastAsia="zh-CN"/>
              </w:rPr>
              <w:t>取至北侧小溪</w:t>
            </w:r>
            <w:r>
              <w:rPr>
                <w:rFonts w:hint="default" w:ascii="Times New Roman" w:hAnsi="Times New Roman" w:cs="Times New Roman"/>
                <w:color w:val="auto"/>
              </w:rPr>
              <w:t>。</w:t>
            </w:r>
          </w:p>
          <w:p w14:paraId="5F7785BF">
            <w:pPr>
              <w:pStyle w:val="44"/>
              <w:ind w:firstLine="480"/>
              <w:rPr>
                <w:rFonts w:hint="default" w:ascii="Times New Roman" w:hAnsi="Times New Roman" w:cs="Times New Roman"/>
                <w:color w:val="auto"/>
              </w:rPr>
            </w:pPr>
            <w:r>
              <w:rPr>
                <w:rFonts w:hint="default" w:ascii="Times New Roman" w:hAnsi="Times New Roman" w:cs="Times New Roman"/>
                <w:color w:val="auto"/>
              </w:rPr>
              <w:t>（2）供电</w:t>
            </w:r>
          </w:p>
          <w:p w14:paraId="48B8E870">
            <w:pPr>
              <w:pStyle w:val="44"/>
              <w:ind w:firstLine="480"/>
              <w:rPr>
                <w:rFonts w:hint="default" w:ascii="Times New Roman" w:hAnsi="Times New Roman" w:eastAsia="宋体" w:cs="Times New Roman"/>
                <w:color w:val="auto"/>
                <w:lang w:val="en-US" w:eastAsia="zh-CN"/>
              </w:rPr>
            </w:pPr>
            <w:r>
              <w:rPr>
                <w:rFonts w:hint="default" w:ascii="Times New Roman" w:hAnsi="Times New Roman" w:cs="Times New Roman"/>
                <w:color w:val="auto"/>
              </w:rPr>
              <w:t>本项目</w:t>
            </w:r>
            <w:r>
              <w:rPr>
                <w:rFonts w:hint="eastAsia" w:ascii="Times New Roman" w:hAnsi="Times New Roman" w:cs="Times New Roman"/>
                <w:color w:val="auto"/>
                <w:lang w:val="en-US" w:eastAsia="zh-CN"/>
              </w:rPr>
              <w:t>供电有安居区市政电网供电。</w:t>
            </w:r>
          </w:p>
          <w:p w14:paraId="661A76F4">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9、厂区平面布置</w:t>
            </w:r>
          </w:p>
          <w:p w14:paraId="30E82877">
            <w:pPr>
              <w:pStyle w:val="44"/>
              <w:ind w:firstLine="480"/>
              <w:rPr>
                <w:rFonts w:hint="default" w:ascii="Times New Roman" w:hAnsi="Times New Roman" w:cs="Times New Roman"/>
                <w:color w:val="auto"/>
                <w:lang w:val="en-US" w:eastAsia="zh-CN"/>
              </w:rPr>
            </w:pPr>
            <w:r>
              <w:rPr>
                <w:rFonts w:hint="default" w:ascii="Times New Roman" w:hAnsi="Times New Roman" w:cs="Times New Roman"/>
                <w:color w:val="auto"/>
              </w:rPr>
              <w:t>本项目</w:t>
            </w:r>
            <w:r>
              <w:rPr>
                <w:rFonts w:hint="eastAsia" w:ascii="Times New Roman" w:hAnsi="Times New Roman" w:cs="Times New Roman"/>
                <w:color w:val="auto"/>
                <w:lang w:val="en-US" w:eastAsia="zh-CN"/>
              </w:rPr>
              <w:t>依据地形呈南北布设，项目北侧为原料堆场，堆场南侧依次布置鄂破机、圆锥破和制砂机。项目成品堆场设置于观白路东侧，污水处理设施设置于成品堆场北侧。紧邻泥浆絮凝罐设置板框压滤机2台。</w:t>
            </w:r>
          </w:p>
          <w:p w14:paraId="1023C21F">
            <w:pPr>
              <w:pStyle w:val="44"/>
              <w:ind w:firstLine="480"/>
              <w:rPr>
                <w:rFonts w:hint="default" w:ascii="Times New Roman" w:hAnsi="Times New Roman" w:cs="Times New Roman"/>
                <w:color w:val="auto"/>
              </w:rPr>
            </w:pPr>
            <w:r>
              <w:rPr>
                <w:rFonts w:hint="default" w:ascii="Times New Roman" w:hAnsi="Times New Roman" w:cs="Times New Roman"/>
                <w:color w:val="auto"/>
              </w:rPr>
              <w:t>整体而言，本项目总平面布置按照物料加工顺序的方式布设，避免了人流和物流的交叉，降低能源消耗、提升生产效率</w:t>
            </w:r>
            <w:r>
              <w:rPr>
                <w:rFonts w:hint="eastAsia" w:ascii="Times New Roman" w:hAnsi="Times New Roman" w:cs="Times New Roman"/>
                <w:color w:val="auto"/>
                <w:lang w:eastAsia="zh-CN"/>
              </w:rPr>
              <w:t>，同时</w:t>
            </w:r>
            <w:r>
              <w:rPr>
                <w:rFonts w:hint="eastAsia" w:ascii="Times New Roman" w:hAnsi="Times New Roman" w:cs="Times New Roman"/>
                <w:color w:val="auto"/>
                <w:lang w:val="en-US" w:eastAsia="zh-CN"/>
              </w:rPr>
              <w:t>主要粉尘产生点</w:t>
            </w:r>
            <w:r>
              <w:rPr>
                <w:rFonts w:hint="eastAsia" w:ascii="Times New Roman" w:hAnsi="Times New Roman" w:cs="Times New Roman"/>
                <w:color w:val="auto"/>
                <w:lang w:eastAsia="zh-CN"/>
              </w:rPr>
              <w:t>做到了全封闭，</w:t>
            </w:r>
            <w:r>
              <w:rPr>
                <w:rFonts w:hint="default" w:ascii="Times New Roman" w:hAnsi="Times New Roman" w:cs="Times New Roman"/>
                <w:color w:val="auto"/>
              </w:rPr>
              <w:t>因此从环保的角度讲本项目总平面布置具有合理性。</w:t>
            </w:r>
          </w:p>
          <w:p w14:paraId="5DE62EF5">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10、环保投资</w:t>
            </w:r>
          </w:p>
          <w:p w14:paraId="4F68AF8A">
            <w:pPr>
              <w:pStyle w:val="44"/>
              <w:ind w:firstLine="480"/>
              <w:rPr>
                <w:rFonts w:hint="default" w:ascii="Times New Roman" w:hAnsi="Times New Roman" w:cs="Times New Roman"/>
                <w:color w:val="auto"/>
              </w:rPr>
            </w:pPr>
            <w:r>
              <w:rPr>
                <w:rFonts w:hint="default" w:ascii="Times New Roman" w:hAnsi="Times New Roman" w:cs="Times New Roman"/>
                <w:color w:val="auto"/>
              </w:rPr>
              <w:t>本项目总投资为</w:t>
            </w:r>
            <w:r>
              <w:rPr>
                <w:rFonts w:hint="eastAsia" w:ascii="Times New Roman" w:hAnsi="Times New Roman" w:cs="Times New Roman"/>
                <w:color w:val="auto"/>
                <w:lang w:val="en-US" w:eastAsia="zh-CN"/>
              </w:rPr>
              <w:t>3</w:t>
            </w:r>
            <w:r>
              <w:rPr>
                <w:rFonts w:hint="default" w:ascii="Times New Roman" w:hAnsi="Times New Roman" w:cs="Times New Roman"/>
                <w:color w:val="auto"/>
              </w:rPr>
              <w:t>00万元，其中环保投资约为</w:t>
            </w:r>
            <w:r>
              <w:rPr>
                <w:rFonts w:hint="eastAsia" w:ascii="Times New Roman" w:hAnsi="Times New Roman" w:cs="Times New Roman"/>
                <w:color w:val="auto"/>
                <w:lang w:val="en-US" w:eastAsia="zh-CN"/>
              </w:rPr>
              <w:t>45.3</w:t>
            </w:r>
            <w:r>
              <w:rPr>
                <w:rFonts w:hint="default" w:ascii="Times New Roman" w:hAnsi="Times New Roman" w:cs="Times New Roman"/>
                <w:color w:val="auto"/>
              </w:rPr>
              <w:t>万元，占总投资</w:t>
            </w:r>
            <w:r>
              <w:rPr>
                <w:rFonts w:hint="eastAsia" w:ascii="Times New Roman" w:hAnsi="Times New Roman" w:cs="Times New Roman"/>
                <w:color w:val="auto"/>
                <w:lang w:val="en-US" w:eastAsia="zh-CN"/>
              </w:rPr>
              <w:t>15.1%</w:t>
            </w:r>
            <w:r>
              <w:rPr>
                <w:rFonts w:hint="default" w:ascii="Times New Roman" w:hAnsi="Times New Roman" w:cs="Times New Roman"/>
                <w:color w:val="auto"/>
              </w:rPr>
              <w:t>，环保措施及投资情况如下。</w:t>
            </w:r>
          </w:p>
          <w:p w14:paraId="69D94E1A">
            <w:pPr>
              <w:pStyle w:val="45"/>
              <w:rPr>
                <w:rFonts w:hint="default" w:ascii="Times New Roman" w:hAnsi="Times New Roman" w:cs="Times New Roman"/>
                <w:color w:val="auto"/>
              </w:rPr>
            </w:pPr>
            <w:r>
              <w:rPr>
                <w:rFonts w:hint="default" w:ascii="Times New Roman" w:hAnsi="Times New Roman" w:cs="Times New Roman"/>
                <w:color w:val="auto"/>
              </w:rPr>
              <w:t>表2-5主要环保设施及投资估算一览表</w:t>
            </w:r>
          </w:p>
          <w:tbl>
            <w:tblPr>
              <w:tblStyle w:val="22"/>
              <w:tblW w:w="8220" w:type="dxa"/>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
            <w:tblGrid>
              <w:gridCol w:w="1204"/>
              <w:gridCol w:w="4625"/>
              <w:gridCol w:w="1400"/>
              <w:gridCol w:w="991"/>
            </w:tblGrid>
            <w:tr w14:paraId="399DB44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rPr>
                <w:trHeight w:val="366" w:hRule="atLeast"/>
                <w:jc w:val="center"/>
              </w:trPr>
              <w:tc>
                <w:tcPr>
                  <w:tcW w:w="1204" w:type="dxa"/>
                  <w:noWrap w:val="0"/>
                  <w:vAlign w:val="center"/>
                </w:tcPr>
                <w:p w14:paraId="1575BABF">
                  <w:pPr>
                    <w:widowControl/>
                    <w:jc w:val="center"/>
                    <w:rPr>
                      <w:rFonts w:hint="default" w:ascii="Times New Roman" w:hAnsi="Times New Roman" w:cs="Times New Roman"/>
                      <w:b/>
                      <w:color w:val="auto"/>
                      <w:kern w:val="0"/>
                      <w:szCs w:val="21"/>
                    </w:rPr>
                  </w:pPr>
                  <w:r>
                    <w:rPr>
                      <w:rFonts w:hint="default" w:ascii="Times New Roman" w:hAnsi="Times New Roman" w:cs="Times New Roman"/>
                      <w:b/>
                      <w:color w:val="auto"/>
                      <w:spacing w:val="-1"/>
                      <w:kern w:val="0"/>
                      <w:szCs w:val="21"/>
                    </w:rPr>
                    <w:t>环保</w:t>
                  </w:r>
                </w:p>
                <w:p w14:paraId="24C1C493">
                  <w:pPr>
                    <w:widowControl/>
                    <w:jc w:val="center"/>
                    <w:rPr>
                      <w:rFonts w:hint="default" w:ascii="Times New Roman" w:hAnsi="Times New Roman" w:cs="Times New Roman"/>
                      <w:b/>
                      <w:color w:val="auto"/>
                      <w:kern w:val="0"/>
                      <w:szCs w:val="21"/>
                    </w:rPr>
                  </w:pPr>
                  <w:r>
                    <w:rPr>
                      <w:rFonts w:hint="default" w:ascii="Times New Roman" w:hAnsi="Times New Roman" w:cs="Times New Roman"/>
                      <w:b/>
                      <w:color w:val="auto"/>
                      <w:spacing w:val="-1"/>
                      <w:kern w:val="0"/>
                      <w:szCs w:val="21"/>
                    </w:rPr>
                    <w:t>项目</w:t>
                  </w:r>
                </w:p>
              </w:tc>
              <w:tc>
                <w:tcPr>
                  <w:tcW w:w="4625" w:type="dxa"/>
                  <w:noWrap w:val="0"/>
                  <w:vAlign w:val="center"/>
                </w:tcPr>
                <w:p w14:paraId="3EAAB6C6">
                  <w:pPr>
                    <w:widowControl/>
                    <w:jc w:val="center"/>
                    <w:rPr>
                      <w:rFonts w:hint="default" w:ascii="Times New Roman" w:hAnsi="Times New Roman" w:cs="Times New Roman"/>
                      <w:b/>
                      <w:color w:val="auto"/>
                      <w:kern w:val="0"/>
                      <w:szCs w:val="21"/>
                    </w:rPr>
                  </w:pPr>
                  <w:r>
                    <w:rPr>
                      <w:rFonts w:hint="default" w:ascii="Times New Roman" w:hAnsi="Times New Roman" w:cs="Times New Roman"/>
                      <w:b/>
                      <w:color w:val="auto"/>
                      <w:kern w:val="0"/>
                      <w:szCs w:val="21"/>
                    </w:rPr>
                    <w:t>环保措施</w:t>
                  </w:r>
                </w:p>
              </w:tc>
              <w:tc>
                <w:tcPr>
                  <w:tcW w:w="1400" w:type="dxa"/>
                  <w:noWrap w:val="0"/>
                  <w:vAlign w:val="center"/>
                </w:tcPr>
                <w:p w14:paraId="56716263">
                  <w:pPr>
                    <w:widowControl/>
                    <w:jc w:val="center"/>
                    <w:rPr>
                      <w:rFonts w:hint="default" w:ascii="Times New Roman" w:hAnsi="Times New Roman" w:cs="Times New Roman"/>
                      <w:b/>
                      <w:color w:val="auto"/>
                      <w:kern w:val="0"/>
                      <w:szCs w:val="21"/>
                    </w:rPr>
                  </w:pPr>
                  <w:r>
                    <w:rPr>
                      <w:rFonts w:hint="default" w:ascii="Times New Roman" w:hAnsi="Times New Roman" w:cs="Times New Roman"/>
                      <w:b/>
                      <w:color w:val="auto"/>
                      <w:spacing w:val="-1"/>
                      <w:kern w:val="0"/>
                      <w:szCs w:val="21"/>
                    </w:rPr>
                    <w:t>预计金额</w:t>
                  </w:r>
                </w:p>
                <w:p w14:paraId="4A1C2C9B">
                  <w:pPr>
                    <w:widowControl/>
                    <w:jc w:val="center"/>
                    <w:rPr>
                      <w:rFonts w:hint="default" w:ascii="Times New Roman" w:hAnsi="Times New Roman" w:cs="Times New Roman"/>
                      <w:b/>
                      <w:color w:val="auto"/>
                      <w:kern w:val="0"/>
                      <w:szCs w:val="21"/>
                    </w:rPr>
                  </w:pPr>
                  <w:r>
                    <w:rPr>
                      <w:rFonts w:hint="default" w:ascii="Times New Roman" w:hAnsi="Times New Roman" w:cs="Times New Roman"/>
                      <w:b/>
                      <w:color w:val="auto"/>
                      <w:kern w:val="0"/>
                      <w:szCs w:val="21"/>
                    </w:rPr>
                    <w:t>（万元）</w:t>
                  </w:r>
                </w:p>
              </w:tc>
              <w:tc>
                <w:tcPr>
                  <w:tcW w:w="991" w:type="dxa"/>
                  <w:noWrap w:val="0"/>
                  <w:vAlign w:val="center"/>
                </w:tcPr>
                <w:p w14:paraId="029BFEFE">
                  <w:pPr>
                    <w:widowControl/>
                    <w:jc w:val="center"/>
                    <w:rPr>
                      <w:rFonts w:hint="default" w:ascii="Times New Roman" w:hAnsi="Times New Roman" w:cs="Times New Roman"/>
                      <w:b/>
                      <w:color w:val="auto"/>
                      <w:kern w:val="0"/>
                      <w:szCs w:val="21"/>
                    </w:rPr>
                  </w:pPr>
                  <w:r>
                    <w:rPr>
                      <w:rFonts w:hint="default" w:ascii="Times New Roman" w:hAnsi="Times New Roman" w:cs="Times New Roman"/>
                      <w:b/>
                      <w:color w:val="auto"/>
                      <w:spacing w:val="-1"/>
                      <w:kern w:val="0"/>
                      <w:szCs w:val="21"/>
                    </w:rPr>
                    <w:t>备注</w:t>
                  </w:r>
                </w:p>
              </w:tc>
            </w:tr>
            <w:tr w14:paraId="42C52DE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9" w:hRule="atLeast"/>
                <w:jc w:val="center"/>
              </w:trPr>
              <w:tc>
                <w:tcPr>
                  <w:tcW w:w="1204" w:type="dxa"/>
                  <w:vMerge w:val="restart"/>
                  <w:noWrap w:val="0"/>
                  <w:vAlign w:val="center"/>
                </w:tcPr>
                <w:p w14:paraId="2700BFEF">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水污染</w:t>
                  </w:r>
                  <w:r>
                    <w:rPr>
                      <w:rFonts w:hint="default" w:ascii="Times New Roman" w:hAnsi="Times New Roman" w:cs="Times New Roman"/>
                      <w:color w:val="auto"/>
                      <w:spacing w:val="-1"/>
                      <w:kern w:val="0"/>
                      <w:szCs w:val="21"/>
                    </w:rPr>
                    <w:t>防治</w:t>
                  </w:r>
                </w:p>
              </w:tc>
              <w:tc>
                <w:tcPr>
                  <w:tcW w:w="4625" w:type="dxa"/>
                  <w:noWrap w:val="0"/>
                  <w:vAlign w:val="center"/>
                </w:tcPr>
                <w:p w14:paraId="184B2C9D">
                  <w:pPr>
                    <w:widowControl/>
                    <w:spacing w:line="360" w:lineRule="auto"/>
                    <w:ind w:right="128" w:rightChars="61" w:firstLine="420" w:firstLineChars="200"/>
                    <w:rPr>
                      <w:rFonts w:hint="default" w:ascii="Times New Roman" w:hAnsi="Times New Roman" w:eastAsia="宋体" w:cs="Times New Roman"/>
                      <w:color w:val="auto"/>
                      <w:kern w:val="0"/>
                      <w:szCs w:val="21"/>
                      <w:lang w:val="en-US" w:eastAsia="zh-CN"/>
                    </w:rPr>
                  </w:pPr>
                  <w:r>
                    <w:rPr>
                      <w:rFonts w:hint="eastAsia" w:cs="Times New Roman"/>
                      <w:color w:val="auto"/>
                      <w:kern w:val="0"/>
                      <w:szCs w:val="21"/>
                      <w:lang w:eastAsia="zh-CN"/>
                    </w:rPr>
                    <w:t>生活污水</w:t>
                  </w:r>
                  <w:r>
                    <w:rPr>
                      <w:rFonts w:hint="default" w:ascii="Times New Roman" w:hAnsi="Times New Roman" w:cs="Times New Roman"/>
                      <w:color w:val="auto"/>
                      <w:kern w:val="0"/>
                      <w:szCs w:val="21"/>
                    </w:rPr>
                    <w:t>由化粪池收集处理</w:t>
                  </w:r>
                  <w:r>
                    <w:rPr>
                      <w:rFonts w:hint="eastAsia" w:ascii="Times New Roman" w:hAnsi="Times New Roman" w:cs="Times New Roman"/>
                      <w:color w:val="auto"/>
                      <w:kern w:val="0"/>
                      <w:szCs w:val="21"/>
                      <w:lang w:val="en-US" w:eastAsia="zh-CN"/>
                    </w:rPr>
                    <w:t>用于农业生产。</w:t>
                  </w:r>
                </w:p>
              </w:tc>
              <w:tc>
                <w:tcPr>
                  <w:tcW w:w="1400" w:type="dxa"/>
                  <w:noWrap w:val="0"/>
                  <w:vAlign w:val="center"/>
                </w:tcPr>
                <w:p w14:paraId="7D4D2ECE">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1.0</w:t>
                  </w:r>
                </w:p>
              </w:tc>
              <w:tc>
                <w:tcPr>
                  <w:tcW w:w="991" w:type="dxa"/>
                  <w:noWrap w:val="0"/>
                  <w:vAlign w:val="center"/>
                </w:tcPr>
                <w:p w14:paraId="52B6F545">
                  <w:pPr>
                    <w:widowControl/>
                    <w:jc w:val="center"/>
                    <w:rPr>
                      <w:rFonts w:hint="default" w:ascii="Times New Roman" w:hAnsi="Times New Roman" w:cs="Times New Roman"/>
                      <w:color w:val="auto"/>
                      <w:kern w:val="0"/>
                      <w:szCs w:val="21"/>
                    </w:rPr>
                  </w:pPr>
                </w:p>
              </w:tc>
            </w:tr>
            <w:tr w14:paraId="681E27D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436" w:hRule="atLeast"/>
                <w:jc w:val="center"/>
              </w:trPr>
              <w:tc>
                <w:tcPr>
                  <w:tcW w:w="1204" w:type="dxa"/>
                  <w:vMerge w:val="continue"/>
                  <w:noWrap w:val="0"/>
                  <w:vAlign w:val="center"/>
                </w:tcPr>
                <w:p w14:paraId="5CB77604">
                  <w:pPr>
                    <w:widowControl/>
                    <w:jc w:val="center"/>
                    <w:rPr>
                      <w:rFonts w:hint="default" w:ascii="Times New Roman" w:hAnsi="Times New Roman" w:cs="Times New Roman"/>
                      <w:color w:val="auto"/>
                      <w:kern w:val="0"/>
                      <w:szCs w:val="21"/>
                    </w:rPr>
                  </w:pPr>
                </w:p>
              </w:tc>
              <w:tc>
                <w:tcPr>
                  <w:tcW w:w="4625" w:type="dxa"/>
                  <w:noWrap w:val="0"/>
                  <w:vAlign w:val="center"/>
                </w:tcPr>
                <w:p w14:paraId="34D7439E">
                  <w:pPr>
                    <w:widowControl/>
                    <w:spacing w:line="360" w:lineRule="auto"/>
                    <w:ind w:right="128" w:rightChars="61" w:firstLine="420" w:firstLineChars="200"/>
                    <w:rPr>
                      <w:rFonts w:hint="eastAsia" w:ascii="Times New Roman" w:hAnsi="Times New Roman" w:eastAsia="宋体" w:cs="Times New Roman"/>
                      <w:color w:val="auto"/>
                      <w:kern w:val="0"/>
                      <w:szCs w:val="21"/>
                      <w:lang w:eastAsia="zh-CN"/>
                    </w:rPr>
                  </w:pPr>
                  <w:r>
                    <w:rPr>
                      <w:rFonts w:hint="default" w:ascii="Times New Roman" w:hAnsi="Times New Roman" w:cs="Times New Roman"/>
                      <w:color w:val="auto"/>
                      <w:kern w:val="0"/>
                      <w:szCs w:val="21"/>
                    </w:rPr>
                    <w:t>项目建设</w:t>
                  </w:r>
                  <w:r>
                    <w:rPr>
                      <w:rFonts w:hint="default" w:ascii="Times New Roman" w:hAnsi="Times New Roman" w:cs="Times New Roman"/>
                      <w:color w:val="auto"/>
                      <w:szCs w:val="21"/>
                    </w:rPr>
                    <w:t>容积</w:t>
                  </w:r>
                  <w:r>
                    <w:rPr>
                      <w:rFonts w:hint="eastAsia" w:ascii="Times New Roman" w:hAnsi="Times New Roman" w:cs="Times New Roman"/>
                      <w:color w:val="auto"/>
                      <w:szCs w:val="21"/>
                      <w:lang w:val="en-US" w:eastAsia="zh-CN"/>
                    </w:rPr>
                    <w:t>25</w:t>
                  </w:r>
                  <w:r>
                    <w:rPr>
                      <w:rFonts w:hint="eastAsia" w:cs="Times New Roman"/>
                      <w:color w:val="auto"/>
                      <w:szCs w:val="21"/>
                      <w:lang w:val="en-US" w:eastAsia="zh-CN"/>
                    </w:rPr>
                    <w:t>0</w:t>
                  </w:r>
                  <w:r>
                    <w:rPr>
                      <w:rFonts w:hint="default" w:ascii="Times New Roman" w:hAnsi="Times New Roman" w:cs="Times New Roman"/>
                      <w:color w:val="auto"/>
                      <w:szCs w:val="21"/>
                    </w:rPr>
                    <w:t>m³</w:t>
                  </w:r>
                  <w:r>
                    <w:rPr>
                      <w:rFonts w:hint="eastAsia" w:ascii="Times New Roman" w:hAnsi="Times New Roman" w:cs="Times New Roman"/>
                      <w:color w:val="auto"/>
                      <w:szCs w:val="21"/>
                      <w:lang w:val="en-US" w:eastAsia="zh-CN"/>
                    </w:rPr>
                    <w:t>三</w:t>
                  </w:r>
                  <w:r>
                    <w:rPr>
                      <w:rFonts w:hint="default" w:ascii="Times New Roman" w:hAnsi="Times New Roman" w:cs="Times New Roman"/>
                      <w:color w:val="auto"/>
                      <w:szCs w:val="21"/>
                    </w:rPr>
                    <w:t>级沉淀池1个，</w:t>
                  </w:r>
                  <w:r>
                    <w:rPr>
                      <w:rFonts w:hint="eastAsia" w:ascii="Times New Roman" w:hAnsi="Times New Roman" w:cs="Times New Roman"/>
                      <w:color w:val="auto"/>
                      <w:szCs w:val="21"/>
                      <w:lang w:val="en-US" w:eastAsia="zh-CN"/>
                    </w:rPr>
                    <w:t>设置200t的中水回用罐（泥浆絮凝罐）1个，设置250型板框压滤机2台，生产废水经过沉淀池和中水回用罐处理后清水回用于生产，泥浆经过板框压滤机压滤后清水回用于生产，泥饼在符合相关标准的前提下用于筑路回填、土地复耕、绿化等。</w:t>
                  </w:r>
                </w:p>
              </w:tc>
              <w:tc>
                <w:tcPr>
                  <w:tcW w:w="1400" w:type="dxa"/>
                  <w:noWrap w:val="0"/>
                  <w:vAlign w:val="center"/>
                </w:tcPr>
                <w:p w14:paraId="66DF67C6">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35.0</w:t>
                  </w:r>
                </w:p>
              </w:tc>
              <w:tc>
                <w:tcPr>
                  <w:tcW w:w="991" w:type="dxa"/>
                  <w:noWrap w:val="0"/>
                  <w:vAlign w:val="center"/>
                </w:tcPr>
                <w:p w14:paraId="51BDDDF9">
                  <w:pPr>
                    <w:widowControl/>
                    <w:jc w:val="center"/>
                    <w:rPr>
                      <w:rFonts w:hint="default" w:ascii="Times New Roman" w:hAnsi="Times New Roman" w:cs="Times New Roman"/>
                      <w:color w:val="auto"/>
                      <w:kern w:val="0"/>
                      <w:szCs w:val="21"/>
                    </w:rPr>
                  </w:pPr>
                </w:p>
              </w:tc>
            </w:tr>
            <w:tr w14:paraId="43B2999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436" w:hRule="atLeast"/>
                <w:jc w:val="center"/>
              </w:trPr>
              <w:tc>
                <w:tcPr>
                  <w:tcW w:w="1204" w:type="dxa"/>
                  <w:vMerge w:val="continue"/>
                  <w:noWrap w:val="0"/>
                  <w:vAlign w:val="center"/>
                </w:tcPr>
                <w:p w14:paraId="15886353">
                  <w:pPr>
                    <w:widowControl/>
                    <w:jc w:val="center"/>
                    <w:rPr>
                      <w:rFonts w:hint="default" w:ascii="Times New Roman" w:hAnsi="Times New Roman" w:cs="Times New Roman"/>
                      <w:color w:val="auto"/>
                      <w:kern w:val="0"/>
                      <w:szCs w:val="21"/>
                    </w:rPr>
                  </w:pPr>
                </w:p>
              </w:tc>
              <w:tc>
                <w:tcPr>
                  <w:tcW w:w="4625" w:type="dxa"/>
                  <w:noWrap w:val="0"/>
                  <w:vAlign w:val="center"/>
                </w:tcPr>
                <w:p w14:paraId="045A0AFA">
                  <w:pPr>
                    <w:widowControl/>
                    <w:spacing w:line="360" w:lineRule="auto"/>
                    <w:ind w:right="128" w:rightChars="61" w:firstLine="420" w:firstLineChars="200"/>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设置洗车设施一处，洗车废水经过洗车设施沉淀池处理后循环使用不排放。</w:t>
                  </w:r>
                </w:p>
              </w:tc>
              <w:tc>
                <w:tcPr>
                  <w:tcW w:w="1400" w:type="dxa"/>
                  <w:noWrap w:val="0"/>
                  <w:vAlign w:val="center"/>
                </w:tcPr>
                <w:p w14:paraId="7C82ECCA">
                  <w:pPr>
                    <w:widowControl/>
                    <w:jc w:val="center"/>
                    <w:rPr>
                      <w:rFonts w:hint="default" w:ascii="Times New Roman" w:hAnsi="Times New Roman" w:cs="Times New Roman"/>
                      <w:color w:val="auto"/>
                      <w:kern w:val="0"/>
                      <w:szCs w:val="21"/>
                      <w:lang w:val="en-US" w:eastAsia="zh-CN"/>
                    </w:rPr>
                  </w:pPr>
                  <w:r>
                    <w:rPr>
                      <w:rFonts w:hint="eastAsia" w:ascii="Times New Roman" w:hAnsi="Times New Roman" w:cs="Times New Roman"/>
                      <w:color w:val="auto"/>
                      <w:kern w:val="0"/>
                      <w:szCs w:val="21"/>
                      <w:lang w:val="en-US" w:eastAsia="zh-CN"/>
                    </w:rPr>
                    <w:t>2.0</w:t>
                  </w:r>
                </w:p>
              </w:tc>
              <w:tc>
                <w:tcPr>
                  <w:tcW w:w="991" w:type="dxa"/>
                  <w:noWrap w:val="0"/>
                  <w:vAlign w:val="center"/>
                </w:tcPr>
                <w:p w14:paraId="7DC136DA">
                  <w:pPr>
                    <w:widowControl/>
                    <w:jc w:val="center"/>
                    <w:rPr>
                      <w:rFonts w:hint="default" w:ascii="Times New Roman" w:hAnsi="Times New Roman" w:cs="Times New Roman"/>
                      <w:color w:val="auto"/>
                      <w:kern w:val="0"/>
                      <w:szCs w:val="21"/>
                    </w:rPr>
                  </w:pPr>
                </w:p>
              </w:tc>
            </w:tr>
            <w:tr w14:paraId="4C92DFB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447" w:hRule="atLeast"/>
                <w:jc w:val="center"/>
              </w:trPr>
              <w:tc>
                <w:tcPr>
                  <w:tcW w:w="1204" w:type="dxa"/>
                  <w:noWrap w:val="0"/>
                  <w:vAlign w:val="center"/>
                </w:tcPr>
                <w:p w14:paraId="3D3C3A01">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spacing w:val="-1"/>
                      <w:kern w:val="0"/>
                      <w:szCs w:val="21"/>
                    </w:rPr>
                    <w:t>噪声</w:t>
                  </w:r>
                </w:p>
                <w:p w14:paraId="65A15F62">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spacing w:val="-1"/>
                      <w:kern w:val="0"/>
                      <w:szCs w:val="21"/>
                    </w:rPr>
                    <w:t>防治</w:t>
                  </w:r>
                </w:p>
              </w:tc>
              <w:tc>
                <w:tcPr>
                  <w:tcW w:w="4625" w:type="dxa"/>
                  <w:noWrap w:val="0"/>
                  <w:vAlign w:val="center"/>
                </w:tcPr>
                <w:p w14:paraId="69B08C5E">
                  <w:pPr>
                    <w:widowControl/>
                    <w:spacing w:line="360" w:lineRule="auto"/>
                    <w:ind w:right="128" w:rightChars="61" w:firstLine="420" w:firstLineChars="200"/>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选用低噪声设备、加强设备维护</w:t>
                  </w:r>
                </w:p>
              </w:tc>
              <w:tc>
                <w:tcPr>
                  <w:tcW w:w="1400" w:type="dxa"/>
                  <w:noWrap w:val="0"/>
                  <w:vAlign w:val="center"/>
                </w:tcPr>
                <w:p w14:paraId="130EB033">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w:t>
                  </w:r>
                </w:p>
              </w:tc>
              <w:tc>
                <w:tcPr>
                  <w:tcW w:w="991" w:type="dxa"/>
                  <w:noWrap w:val="0"/>
                  <w:vAlign w:val="center"/>
                </w:tcPr>
                <w:p w14:paraId="5CFAE4DD">
                  <w:pPr>
                    <w:widowControl/>
                    <w:rPr>
                      <w:rFonts w:hint="default" w:ascii="Times New Roman" w:hAnsi="Times New Roman" w:cs="Times New Roman"/>
                      <w:color w:val="auto"/>
                      <w:kern w:val="0"/>
                      <w:szCs w:val="21"/>
                    </w:rPr>
                  </w:pPr>
                </w:p>
              </w:tc>
            </w:tr>
            <w:tr w14:paraId="76D6787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721" w:hRule="atLeast"/>
                <w:jc w:val="center"/>
              </w:trPr>
              <w:tc>
                <w:tcPr>
                  <w:tcW w:w="1204" w:type="dxa"/>
                  <w:vMerge w:val="restart"/>
                  <w:noWrap w:val="0"/>
                  <w:vAlign w:val="center"/>
                </w:tcPr>
                <w:p w14:paraId="22056A82">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spacing w:val="-1"/>
                      <w:kern w:val="0"/>
                      <w:szCs w:val="21"/>
                    </w:rPr>
                    <w:t>固废污染防治措施</w:t>
                  </w:r>
                </w:p>
              </w:tc>
              <w:tc>
                <w:tcPr>
                  <w:tcW w:w="4625" w:type="dxa"/>
                  <w:noWrap w:val="0"/>
                  <w:vAlign w:val="center"/>
                </w:tcPr>
                <w:p w14:paraId="5E403435">
                  <w:pPr>
                    <w:widowControl/>
                    <w:spacing w:line="360" w:lineRule="auto"/>
                    <w:ind w:right="128" w:rightChars="61" w:firstLine="420" w:firstLineChars="200"/>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在厂区规范化建设危险废物暂存间约5平方米。废润滑油、废油桶、废含油手套收集暂存于危废间</w:t>
                  </w:r>
                  <w:r>
                    <w:rPr>
                      <w:rFonts w:hint="eastAsia" w:ascii="Times New Roman" w:hAnsi="Times New Roman" w:cs="Times New Roman"/>
                      <w:color w:val="auto"/>
                      <w:kern w:val="0"/>
                      <w:szCs w:val="21"/>
                      <w:lang w:val="en-US" w:eastAsia="zh-CN"/>
                    </w:rPr>
                    <w:t>内</w:t>
                  </w:r>
                  <w:r>
                    <w:rPr>
                      <w:rFonts w:hint="default" w:ascii="Times New Roman" w:hAnsi="Times New Roman" w:cs="Times New Roman"/>
                      <w:color w:val="auto"/>
                      <w:kern w:val="0"/>
                      <w:szCs w:val="21"/>
                    </w:rPr>
                    <w:t>，交由资质单位处置</w:t>
                  </w:r>
                </w:p>
              </w:tc>
              <w:tc>
                <w:tcPr>
                  <w:tcW w:w="1400" w:type="dxa"/>
                  <w:noWrap w:val="0"/>
                  <w:vAlign w:val="center"/>
                </w:tcPr>
                <w:p w14:paraId="4E412828">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1.5</w:t>
                  </w:r>
                </w:p>
              </w:tc>
              <w:tc>
                <w:tcPr>
                  <w:tcW w:w="991" w:type="dxa"/>
                  <w:noWrap w:val="0"/>
                  <w:vAlign w:val="center"/>
                </w:tcPr>
                <w:p w14:paraId="2DA0DB09">
                  <w:pPr>
                    <w:widowControl/>
                    <w:jc w:val="center"/>
                    <w:rPr>
                      <w:rFonts w:hint="eastAsia" w:ascii="Times New Roman" w:hAnsi="Times New Roman" w:eastAsia="宋体" w:cs="Times New Roman"/>
                      <w:color w:val="auto"/>
                      <w:kern w:val="0"/>
                      <w:szCs w:val="21"/>
                      <w:lang w:eastAsia="zh-CN"/>
                    </w:rPr>
                  </w:pPr>
                  <w:r>
                    <w:rPr>
                      <w:rFonts w:hint="eastAsia" w:cs="Times New Roman"/>
                      <w:color w:val="auto"/>
                      <w:kern w:val="0"/>
                      <w:szCs w:val="21"/>
                      <w:lang w:val="en-US" w:eastAsia="zh-CN"/>
                    </w:rPr>
                    <w:t xml:space="preserve"> </w:t>
                  </w:r>
                </w:p>
              </w:tc>
            </w:tr>
            <w:tr w14:paraId="4B91314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77" w:hRule="atLeast"/>
                <w:jc w:val="center"/>
              </w:trPr>
              <w:tc>
                <w:tcPr>
                  <w:tcW w:w="1204" w:type="dxa"/>
                  <w:vMerge w:val="continue"/>
                  <w:noWrap w:val="0"/>
                  <w:vAlign w:val="center"/>
                </w:tcPr>
                <w:p w14:paraId="613B815E">
                  <w:pPr>
                    <w:widowControl/>
                    <w:jc w:val="center"/>
                    <w:rPr>
                      <w:rFonts w:hint="default" w:ascii="Times New Roman" w:hAnsi="Times New Roman" w:cs="Times New Roman"/>
                      <w:color w:val="auto"/>
                      <w:spacing w:val="-1"/>
                      <w:kern w:val="0"/>
                      <w:szCs w:val="21"/>
                    </w:rPr>
                  </w:pPr>
                </w:p>
              </w:tc>
              <w:tc>
                <w:tcPr>
                  <w:tcW w:w="4625" w:type="dxa"/>
                  <w:noWrap w:val="0"/>
                  <w:vAlign w:val="center"/>
                </w:tcPr>
                <w:p w14:paraId="13E37CB8">
                  <w:pPr>
                    <w:widowControl/>
                    <w:spacing w:line="360" w:lineRule="auto"/>
                    <w:ind w:right="128" w:rightChars="61" w:firstLine="420" w:firstLineChars="200"/>
                    <w:rPr>
                      <w:rFonts w:hint="default" w:ascii="Times New Roman" w:hAnsi="Times New Roman" w:cs="Times New Roman"/>
                      <w:color w:val="auto"/>
                      <w:kern w:val="0"/>
                      <w:szCs w:val="21"/>
                    </w:rPr>
                  </w:pPr>
                  <w:r>
                    <w:rPr>
                      <w:rFonts w:hint="eastAsia" w:ascii="Times New Roman" w:hAnsi="Times New Roman" w:cs="Times New Roman"/>
                      <w:color w:val="auto"/>
                      <w:kern w:val="0"/>
                      <w:szCs w:val="21"/>
                      <w:lang w:val="en-US" w:eastAsia="zh-CN"/>
                    </w:rPr>
                    <w:t>设置泥饼暂存区一处，生产废水处理过程中产生的泥饼在符合相关标准的前提下用于筑路回填、土地复耕、绿化等。</w:t>
                  </w:r>
                </w:p>
              </w:tc>
              <w:tc>
                <w:tcPr>
                  <w:tcW w:w="1400" w:type="dxa"/>
                  <w:noWrap w:val="0"/>
                  <w:vAlign w:val="center"/>
                </w:tcPr>
                <w:p w14:paraId="29ED05CB">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1.0</w:t>
                  </w:r>
                </w:p>
              </w:tc>
              <w:tc>
                <w:tcPr>
                  <w:tcW w:w="991" w:type="dxa"/>
                  <w:noWrap w:val="0"/>
                  <w:vAlign w:val="center"/>
                </w:tcPr>
                <w:p w14:paraId="085CF38E">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 xml:space="preserve"> </w:t>
                  </w:r>
                </w:p>
              </w:tc>
            </w:tr>
            <w:tr w14:paraId="2684022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4" w:hRule="atLeast"/>
                <w:jc w:val="center"/>
              </w:trPr>
              <w:tc>
                <w:tcPr>
                  <w:tcW w:w="1204" w:type="dxa"/>
                  <w:vMerge w:val="continue"/>
                  <w:noWrap w:val="0"/>
                  <w:vAlign w:val="center"/>
                </w:tcPr>
                <w:p w14:paraId="1D103660">
                  <w:pPr>
                    <w:adjustRightInd w:val="0"/>
                    <w:snapToGrid w:val="0"/>
                    <w:jc w:val="center"/>
                    <w:rPr>
                      <w:rFonts w:hint="default" w:ascii="Times New Roman" w:hAnsi="Times New Roman" w:cs="Times New Roman"/>
                      <w:color w:val="auto"/>
                      <w:szCs w:val="21"/>
                    </w:rPr>
                  </w:pPr>
                </w:p>
              </w:tc>
              <w:tc>
                <w:tcPr>
                  <w:tcW w:w="4625" w:type="dxa"/>
                  <w:noWrap w:val="0"/>
                  <w:vAlign w:val="center"/>
                </w:tcPr>
                <w:p w14:paraId="74116307">
                  <w:pPr>
                    <w:widowControl/>
                    <w:spacing w:line="360" w:lineRule="auto"/>
                    <w:ind w:right="128" w:rightChars="61" w:firstLine="420" w:firstLineChars="200"/>
                    <w:rPr>
                      <w:rFonts w:hint="eastAsia" w:ascii="Times New Roman" w:hAnsi="Times New Roman" w:eastAsia="宋体" w:cs="Times New Roman"/>
                      <w:color w:val="auto"/>
                      <w:kern w:val="0"/>
                      <w:szCs w:val="21"/>
                      <w:lang w:eastAsia="zh-CN"/>
                    </w:rPr>
                  </w:pPr>
                  <w:r>
                    <w:rPr>
                      <w:rFonts w:hint="eastAsia" w:ascii="Times New Roman" w:hAnsi="Times New Roman" w:cs="Times New Roman"/>
                      <w:color w:val="auto"/>
                      <w:kern w:val="0"/>
                      <w:szCs w:val="21"/>
                      <w:lang w:val="en-US" w:eastAsia="zh-CN"/>
                    </w:rPr>
                    <w:t>生活垃圾：在厂区设置生活垃圾收集桶，生活垃圾收集后</w:t>
                  </w:r>
                  <w:r>
                    <w:rPr>
                      <w:rFonts w:hint="default" w:ascii="Times New Roman" w:hAnsi="Times New Roman" w:cs="Times New Roman"/>
                      <w:color w:val="auto"/>
                      <w:kern w:val="0"/>
                      <w:szCs w:val="21"/>
                    </w:rPr>
                    <w:t>委托市政环卫部门</w:t>
                  </w:r>
                  <w:r>
                    <w:rPr>
                      <w:rFonts w:hint="eastAsia" w:ascii="Times New Roman" w:hAnsi="Times New Roman" w:cs="Times New Roman"/>
                      <w:color w:val="auto"/>
                      <w:kern w:val="0"/>
                      <w:szCs w:val="21"/>
                      <w:lang w:val="en-US" w:eastAsia="zh-CN"/>
                    </w:rPr>
                    <w:t>清</w:t>
                  </w:r>
                  <w:r>
                    <w:rPr>
                      <w:rFonts w:hint="default" w:ascii="Times New Roman" w:hAnsi="Times New Roman" w:cs="Times New Roman"/>
                      <w:color w:val="auto"/>
                      <w:kern w:val="0"/>
                      <w:szCs w:val="21"/>
                    </w:rPr>
                    <w:t>运及处理</w:t>
                  </w:r>
                  <w:r>
                    <w:rPr>
                      <w:rFonts w:hint="eastAsia" w:ascii="Times New Roman" w:hAnsi="Times New Roman" w:cs="Times New Roman"/>
                      <w:color w:val="auto"/>
                      <w:kern w:val="0"/>
                      <w:szCs w:val="21"/>
                      <w:lang w:eastAsia="zh-CN"/>
                    </w:rPr>
                    <w:t>。</w:t>
                  </w:r>
                </w:p>
              </w:tc>
              <w:tc>
                <w:tcPr>
                  <w:tcW w:w="1400" w:type="dxa"/>
                  <w:noWrap w:val="0"/>
                  <w:vAlign w:val="center"/>
                </w:tcPr>
                <w:p w14:paraId="01A9BB15">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0.5</w:t>
                  </w:r>
                </w:p>
              </w:tc>
              <w:tc>
                <w:tcPr>
                  <w:tcW w:w="991" w:type="dxa"/>
                  <w:noWrap w:val="0"/>
                  <w:vAlign w:val="center"/>
                </w:tcPr>
                <w:p w14:paraId="2F59D5DF">
                  <w:pPr>
                    <w:widowControl/>
                    <w:rPr>
                      <w:rFonts w:hint="default" w:ascii="Times New Roman" w:hAnsi="Times New Roman" w:cs="Times New Roman"/>
                      <w:color w:val="auto"/>
                      <w:kern w:val="0"/>
                      <w:szCs w:val="21"/>
                    </w:rPr>
                  </w:pPr>
                </w:p>
              </w:tc>
            </w:tr>
            <w:tr w14:paraId="0FDEC27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436" w:hRule="atLeast"/>
                <w:jc w:val="center"/>
              </w:trPr>
              <w:tc>
                <w:tcPr>
                  <w:tcW w:w="1204" w:type="dxa"/>
                  <w:vMerge w:val="restart"/>
                  <w:noWrap w:val="0"/>
                  <w:vAlign w:val="center"/>
                </w:tcPr>
                <w:p w14:paraId="503D0D3F">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spacing w:val="-1"/>
                      <w:kern w:val="0"/>
                      <w:szCs w:val="21"/>
                    </w:rPr>
                    <w:t>大气污染防治措施</w:t>
                  </w:r>
                </w:p>
              </w:tc>
              <w:tc>
                <w:tcPr>
                  <w:tcW w:w="4625" w:type="dxa"/>
                  <w:noWrap w:val="0"/>
                  <w:vAlign w:val="center"/>
                </w:tcPr>
                <w:p w14:paraId="61E3BEE9">
                  <w:pPr>
                    <w:widowControl/>
                    <w:spacing w:line="360" w:lineRule="auto"/>
                    <w:ind w:right="128" w:rightChars="61" w:firstLine="420" w:firstLineChars="200"/>
                    <w:jc w:val="both"/>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原料堆场地面硬化、采用彩钢板</w:t>
                  </w:r>
                  <w:r>
                    <w:rPr>
                      <w:rFonts w:hint="default" w:ascii="Times New Roman" w:hAnsi="Times New Roman" w:cs="Times New Roman"/>
                      <w:color w:val="auto"/>
                      <w:kern w:val="0"/>
                      <w:szCs w:val="21"/>
                      <w:lang w:eastAsia="zh-CN"/>
                    </w:rPr>
                    <w:t>封闭并设置喷淋除尘设施。</w:t>
                  </w:r>
                </w:p>
              </w:tc>
              <w:tc>
                <w:tcPr>
                  <w:tcW w:w="1400" w:type="dxa"/>
                  <w:noWrap w:val="0"/>
                  <w:vAlign w:val="center"/>
                </w:tcPr>
                <w:p w14:paraId="1C87C681">
                  <w:pPr>
                    <w:widowControl/>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r>
                    <w:rPr>
                      <w:rFonts w:hint="eastAsia" w:cs="Times New Roman"/>
                      <w:color w:val="auto"/>
                      <w:szCs w:val="21"/>
                      <w:lang w:val="en-US" w:eastAsia="zh-CN"/>
                    </w:rPr>
                    <w:t>5</w:t>
                  </w:r>
                </w:p>
              </w:tc>
              <w:tc>
                <w:tcPr>
                  <w:tcW w:w="991" w:type="dxa"/>
                  <w:vMerge w:val="restart"/>
                  <w:noWrap w:val="0"/>
                  <w:vAlign w:val="center"/>
                </w:tcPr>
                <w:p w14:paraId="2CE0130B">
                  <w:pPr>
                    <w:widowControl/>
                    <w:rPr>
                      <w:rFonts w:hint="default" w:ascii="Times New Roman" w:hAnsi="Times New Roman" w:cs="Times New Roman"/>
                      <w:color w:val="auto"/>
                      <w:kern w:val="0"/>
                      <w:szCs w:val="21"/>
                    </w:rPr>
                  </w:pPr>
                  <w:r>
                    <w:rPr>
                      <w:rFonts w:hint="eastAsia" w:ascii="Times New Roman" w:hAnsi="Times New Roman" w:cs="Times New Roman"/>
                      <w:color w:val="auto"/>
                      <w:kern w:val="0"/>
                      <w:szCs w:val="21"/>
                      <w:lang w:val="en-US" w:eastAsia="zh-CN"/>
                    </w:rPr>
                    <w:t>厂房</w:t>
                  </w:r>
                  <w:r>
                    <w:rPr>
                      <w:rFonts w:hint="default" w:ascii="Times New Roman" w:hAnsi="Times New Roman" w:cs="Times New Roman"/>
                      <w:color w:val="auto"/>
                      <w:kern w:val="0"/>
                      <w:szCs w:val="21"/>
                    </w:rPr>
                    <w:t>封闭费用计入主体工程投资</w:t>
                  </w:r>
                </w:p>
              </w:tc>
            </w:tr>
            <w:tr w14:paraId="17AA4F2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436" w:hRule="atLeast"/>
                <w:jc w:val="center"/>
              </w:trPr>
              <w:tc>
                <w:tcPr>
                  <w:tcW w:w="1204" w:type="dxa"/>
                  <w:vMerge w:val="continue"/>
                  <w:noWrap w:val="0"/>
                  <w:vAlign w:val="center"/>
                </w:tcPr>
                <w:p w14:paraId="31FDFFB9">
                  <w:pPr>
                    <w:widowControl/>
                    <w:jc w:val="center"/>
                    <w:rPr>
                      <w:rFonts w:hint="default" w:ascii="Times New Roman" w:hAnsi="Times New Roman" w:cs="Times New Roman"/>
                      <w:color w:val="auto"/>
                      <w:spacing w:val="-1"/>
                      <w:kern w:val="0"/>
                      <w:szCs w:val="21"/>
                    </w:rPr>
                  </w:pPr>
                </w:p>
              </w:tc>
              <w:tc>
                <w:tcPr>
                  <w:tcW w:w="4625" w:type="dxa"/>
                  <w:noWrap w:val="0"/>
                  <w:vAlign w:val="center"/>
                </w:tcPr>
                <w:p w14:paraId="3922EF7E">
                  <w:pPr>
                    <w:widowControl/>
                    <w:spacing w:line="360" w:lineRule="auto"/>
                    <w:ind w:right="128" w:rightChars="61" w:firstLine="420" w:firstLineChars="200"/>
                    <w:jc w:val="both"/>
                    <w:rPr>
                      <w:rFonts w:hint="default" w:ascii="Times New Roman" w:hAnsi="Times New Roman" w:cs="Times New Roman"/>
                      <w:color w:val="auto"/>
                      <w:kern w:val="0"/>
                      <w:szCs w:val="21"/>
                      <w:lang w:val="en-US" w:eastAsia="zh-CN"/>
                    </w:rPr>
                  </w:pPr>
                  <w:r>
                    <w:rPr>
                      <w:rFonts w:hint="eastAsia" w:ascii="Times New Roman" w:hAnsi="Times New Roman" w:cs="Times New Roman"/>
                      <w:color w:val="auto"/>
                      <w:kern w:val="0"/>
                      <w:szCs w:val="21"/>
                      <w:lang w:val="en-US" w:eastAsia="zh-CN"/>
                    </w:rPr>
                    <w:t>生产加工区域采用彩钢板</w:t>
                  </w:r>
                  <w:r>
                    <w:rPr>
                      <w:rFonts w:hint="default" w:ascii="Times New Roman" w:hAnsi="Times New Roman" w:cs="Times New Roman"/>
                      <w:color w:val="auto"/>
                      <w:kern w:val="0"/>
                      <w:szCs w:val="21"/>
                      <w:lang w:eastAsia="zh-CN"/>
                    </w:rPr>
                    <w:t>封闭</w:t>
                  </w:r>
                  <w:r>
                    <w:rPr>
                      <w:rFonts w:hint="eastAsia" w:ascii="Times New Roman" w:hAnsi="Times New Roman" w:cs="Times New Roman"/>
                      <w:color w:val="auto"/>
                      <w:kern w:val="0"/>
                      <w:szCs w:val="21"/>
                      <w:lang w:eastAsia="zh-CN"/>
                    </w:rPr>
                    <w:t>，</w:t>
                  </w:r>
                  <w:r>
                    <w:rPr>
                      <w:rFonts w:hint="eastAsia" w:ascii="Times New Roman" w:hAnsi="Times New Roman" w:cs="Times New Roman"/>
                      <w:color w:val="auto"/>
                      <w:kern w:val="0"/>
                      <w:szCs w:val="21"/>
                      <w:lang w:val="en-US" w:eastAsia="zh-CN"/>
                    </w:rPr>
                    <w:t>制砂、破碎等工序采取湿法加工，以控制粉尘产生量，生产设</w:t>
                  </w:r>
                  <w:r>
                    <w:rPr>
                      <w:rFonts w:hint="default" w:ascii="Times New Roman" w:hAnsi="Times New Roman" w:cs="Times New Roman"/>
                      <w:color w:val="auto"/>
                      <w:kern w:val="0"/>
                      <w:szCs w:val="21"/>
                      <w:lang w:eastAsia="zh-CN"/>
                    </w:rPr>
                    <w:t>置喷淋除尘设施。</w:t>
                  </w:r>
                </w:p>
              </w:tc>
              <w:tc>
                <w:tcPr>
                  <w:tcW w:w="1400" w:type="dxa"/>
                  <w:noWrap w:val="0"/>
                  <w:vAlign w:val="center"/>
                </w:tcPr>
                <w:p w14:paraId="5EE9BF61">
                  <w:pPr>
                    <w:widowControl/>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1.5</w:t>
                  </w:r>
                </w:p>
              </w:tc>
              <w:tc>
                <w:tcPr>
                  <w:tcW w:w="991" w:type="dxa"/>
                  <w:vMerge w:val="continue"/>
                  <w:noWrap w:val="0"/>
                  <w:vAlign w:val="center"/>
                </w:tcPr>
                <w:p w14:paraId="03834195">
                  <w:pPr>
                    <w:widowControl/>
                    <w:rPr>
                      <w:rFonts w:hint="eastAsia" w:ascii="Times New Roman" w:hAnsi="Times New Roman" w:cs="Times New Roman"/>
                      <w:color w:val="auto"/>
                      <w:kern w:val="0"/>
                      <w:szCs w:val="21"/>
                      <w:lang w:val="en-US" w:eastAsia="zh-CN"/>
                    </w:rPr>
                  </w:pPr>
                </w:p>
              </w:tc>
            </w:tr>
            <w:tr w14:paraId="54048BA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436" w:hRule="atLeast"/>
                <w:jc w:val="center"/>
              </w:trPr>
              <w:tc>
                <w:tcPr>
                  <w:tcW w:w="1204" w:type="dxa"/>
                  <w:vMerge w:val="continue"/>
                  <w:noWrap w:val="0"/>
                  <w:vAlign w:val="center"/>
                </w:tcPr>
                <w:p w14:paraId="184D2463">
                  <w:pPr>
                    <w:widowControl/>
                    <w:jc w:val="center"/>
                    <w:rPr>
                      <w:rFonts w:hint="default" w:ascii="Times New Roman" w:hAnsi="Times New Roman" w:cs="Times New Roman"/>
                      <w:color w:val="auto"/>
                      <w:spacing w:val="-1"/>
                      <w:kern w:val="0"/>
                      <w:szCs w:val="21"/>
                    </w:rPr>
                  </w:pPr>
                </w:p>
              </w:tc>
              <w:tc>
                <w:tcPr>
                  <w:tcW w:w="4625" w:type="dxa"/>
                  <w:noWrap w:val="0"/>
                  <w:vAlign w:val="center"/>
                </w:tcPr>
                <w:p w14:paraId="0F4CD76D">
                  <w:pPr>
                    <w:widowControl/>
                    <w:spacing w:line="360" w:lineRule="auto"/>
                    <w:ind w:right="128" w:rightChars="61" w:firstLine="420" w:firstLineChars="200"/>
                    <w:jc w:val="both"/>
                    <w:rPr>
                      <w:rFonts w:hint="eastAsia" w:ascii="Times New Roman" w:hAnsi="Times New Roman" w:cs="Times New Roman"/>
                      <w:color w:val="auto"/>
                      <w:kern w:val="0"/>
                      <w:szCs w:val="21"/>
                      <w:lang w:val="en-US" w:eastAsia="zh-CN"/>
                    </w:rPr>
                  </w:pPr>
                  <w:r>
                    <w:rPr>
                      <w:rFonts w:hint="eastAsia" w:ascii="Times New Roman" w:hAnsi="Times New Roman" w:cs="Times New Roman"/>
                      <w:color w:val="auto"/>
                      <w:kern w:val="0"/>
                      <w:szCs w:val="21"/>
                      <w:lang w:val="en-US" w:eastAsia="zh-CN"/>
                    </w:rPr>
                    <w:t>成品堆场地面硬化、采用彩钢板</w:t>
                  </w:r>
                  <w:r>
                    <w:rPr>
                      <w:rFonts w:hint="default" w:ascii="Times New Roman" w:hAnsi="Times New Roman" w:cs="Times New Roman"/>
                      <w:color w:val="auto"/>
                      <w:kern w:val="0"/>
                      <w:szCs w:val="21"/>
                      <w:lang w:eastAsia="zh-CN"/>
                    </w:rPr>
                    <w:t>封闭并设置喷淋除尘设施。</w:t>
                  </w:r>
                </w:p>
              </w:tc>
              <w:tc>
                <w:tcPr>
                  <w:tcW w:w="1400" w:type="dxa"/>
                  <w:noWrap w:val="0"/>
                  <w:vAlign w:val="center"/>
                </w:tcPr>
                <w:p w14:paraId="76D5CF02">
                  <w:pPr>
                    <w:widowControl/>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1.0</w:t>
                  </w:r>
                </w:p>
              </w:tc>
              <w:tc>
                <w:tcPr>
                  <w:tcW w:w="991" w:type="dxa"/>
                  <w:vMerge w:val="continue"/>
                  <w:noWrap w:val="0"/>
                  <w:vAlign w:val="center"/>
                </w:tcPr>
                <w:p w14:paraId="7BF8E249">
                  <w:pPr>
                    <w:widowControl/>
                    <w:rPr>
                      <w:rFonts w:hint="eastAsia" w:ascii="Times New Roman" w:hAnsi="Times New Roman" w:cs="Times New Roman"/>
                      <w:color w:val="auto"/>
                      <w:kern w:val="0"/>
                      <w:szCs w:val="21"/>
                      <w:lang w:val="en-US" w:eastAsia="zh-CN"/>
                    </w:rPr>
                  </w:pPr>
                </w:p>
              </w:tc>
            </w:tr>
            <w:tr w14:paraId="1C0319E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27" w:hRule="atLeast"/>
                <w:jc w:val="center"/>
              </w:trPr>
              <w:tc>
                <w:tcPr>
                  <w:tcW w:w="1204" w:type="dxa"/>
                  <w:vMerge w:val="continue"/>
                  <w:noWrap w:val="0"/>
                  <w:vAlign w:val="center"/>
                </w:tcPr>
                <w:p w14:paraId="22777B28">
                  <w:pPr>
                    <w:widowControl/>
                    <w:jc w:val="center"/>
                    <w:rPr>
                      <w:rFonts w:hint="default" w:ascii="Times New Roman" w:hAnsi="Times New Roman" w:cs="Times New Roman"/>
                      <w:color w:val="auto"/>
                      <w:spacing w:val="-1"/>
                      <w:kern w:val="0"/>
                      <w:szCs w:val="21"/>
                    </w:rPr>
                  </w:pPr>
                </w:p>
              </w:tc>
              <w:tc>
                <w:tcPr>
                  <w:tcW w:w="4625" w:type="dxa"/>
                  <w:noWrap w:val="0"/>
                  <w:vAlign w:val="center"/>
                </w:tcPr>
                <w:p w14:paraId="5A6D3259">
                  <w:pPr>
                    <w:widowControl/>
                    <w:spacing w:line="360" w:lineRule="auto"/>
                    <w:ind w:right="128" w:rightChars="61" w:firstLine="420" w:firstLineChars="200"/>
                    <w:jc w:val="both"/>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厂区地面硬化，加强清扫，并设置2台雾炮除尘器对厂区地面喷雾除尘。</w:t>
                  </w:r>
                </w:p>
              </w:tc>
              <w:tc>
                <w:tcPr>
                  <w:tcW w:w="1400" w:type="dxa"/>
                  <w:noWrap w:val="0"/>
                  <w:vAlign w:val="center"/>
                </w:tcPr>
                <w:p w14:paraId="6B4D83EA">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0.</w:t>
                  </w:r>
                  <w:r>
                    <w:rPr>
                      <w:rFonts w:hint="eastAsia" w:cs="Times New Roman"/>
                      <w:color w:val="auto"/>
                      <w:kern w:val="0"/>
                      <w:szCs w:val="21"/>
                      <w:lang w:val="en-US" w:eastAsia="zh-CN"/>
                    </w:rPr>
                    <w:t>3</w:t>
                  </w:r>
                </w:p>
              </w:tc>
              <w:tc>
                <w:tcPr>
                  <w:tcW w:w="991" w:type="dxa"/>
                  <w:noWrap w:val="0"/>
                  <w:vAlign w:val="center"/>
                </w:tcPr>
                <w:p w14:paraId="43726BB1">
                  <w:pPr>
                    <w:widowControl/>
                    <w:spacing w:line="360" w:lineRule="auto"/>
                    <w:rPr>
                      <w:rFonts w:hint="default" w:ascii="Times New Roman" w:hAnsi="Times New Roman" w:cs="Times New Roman"/>
                      <w:color w:val="auto"/>
                      <w:kern w:val="0"/>
                      <w:szCs w:val="21"/>
                    </w:rPr>
                  </w:pPr>
                </w:p>
              </w:tc>
            </w:tr>
            <w:tr w14:paraId="0DC8162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512" w:hRule="atLeast"/>
                <w:jc w:val="center"/>
              </w:trPr>
              <w:tc>
                <w:tcPr>
                  <w:tcW w:w="1204" w:type="dxa"/>
                  <w:noWrap w:val="0"/>
                  <w:vAlign w:val="center"/>
                </w:tcPr>
                <w:p w14:paraId="36CA5618">
                  <w:pPr>
                    <w:widowControl/>
                    <w:jc w:val="center"/>
                    <w:rPr>
                      <w:rFonts w:hint="default" w:ascii="Times New Roman" w:hAnsi="Times New Roman" w:cs="Times New Roman"/>
                      <w:color w:val="auto"/>
                      <w:spacing w:val="-1"/>
                      <w:kern w:val="0"/>
                      <w:szCs w:val="21"/>
                    </w:rPr>
                  </w:pPr>
                  <w:r>
                    <w:rPr>
                      <w:rFonts w:hint="default" w:ascii="Times New Roman" w:hAnsi="Times New Roman" w:cs="Times New Roman"/>
                      <w:color w:val="auto"/>
                      <w:spacing w:val="-1"/>
                      <w:kern w:val="0"/>
                      <w:szCs w:val="21"/>
                    </w:rPr>
                    <w:t>地下水防渗措施</w:t>
                  </w:r>
                </w:p>
              </w:tc>
              <w:tc>
                <w:tcPr>
                  <w:tcW w:w="4625" w:type="dxa"/>
                  <w:noWrap w:val="0"/>
                  <w:vAlign w:val="center"/>
                </w:tcPr>
                <w:p w14:paraId="7EB9E6F7">
                  <w:pPr>
                    <w:widowControl/>
                    <w:spacing w:line="360" w:lineRule="auto"/>
                    <w:ind w:right="128" w:rightChars="61" w:firstLine="420" w:firstLineChars="200"/>
                    <w:jc w:val="both"/>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按本环评提出的重点防渗区域、一般防渗区域要求进行分区防渗</w:t>
                  </w:r>
                </w:p>
              </w:tc>
              <w:tc>
                <w:tcPr>
                  <w:tcW w:w="1400" w:type="dxa"/>
                  <w:noWrap w:val="0"/>
                  <w:vAlign w:val="center"/>
                </w:tcPr>
                <w:p w14:paraId="6D86141C">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w:t>
                  </w:r>
                </w:p>
              </w:tc>
              <w:tc>
                <w:tcPr>
                  <w:tcW w:w="991" w:type="dxa"/>
                  <w:noWrap w:val="0"/>
                  <w:vAlign w:val="center"/>
                </w:tcPr>
                <w:p w14:paraId="006485BC">
                  <w:pPr>
                    <w:widowControl/>
                    <w:spacing w:line="360" w:lineRule="auto"/>
                    <w:rPr>
                      <w:rFonts w:hint="default" w:ascii="Times New Roman" w:hAnsi="Times New Roman" w:cs="Times New Roman"/>
                      <w:color w:val="auto"/>
                      <w:kern w:val="0"/>
                      <w:szCs w:val="21"/>
                    </w:rPr>
                  </w:pPr>
                  <w:r>
                    <w:rPr>
                      <w:rStyle w:val="28"/>
                      <w:rFonts w:hint="default" w:ascii="Times New Roman" w:hAnsi="Times New Roman" w:cs="Times New Roman"/>
                      <w:color w:val="auto"/>
                      <w:szCs w:val="21"/>
                    </w:rPr>
                    <w:t>纳入固废污染防治投资</w:t>
                  </w:r>
                </w:p>
              </w:tc>
            </w:tr>
            <w:tr w14:paraId="6E39729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68" w:hRule="atLeast"/>
                <w:jc w:val="center"/>
              </w:trPr>
              <w:tc>
                <w:tcPr>
                  <w:tcW w:w="5829" w:type="dxa"/>
                  <w:gridSpan w:val="2"/>
                  <w:noWrap w:val="0"/>
                  <w:vAlign w:val="center"/>
                </w:tcPr>
                <w:p w14:paraId="6BDBD6B8">
                  <w:pPr>
                    <w:adjustRightInd w:val="0"/>
                    <w:snapToGrid w:val="0"/>
                    <w:jc w:val="center"/>
                    <w:rPr>
                      <w:rFonts w:hint="default" w:ascii="Times New Roman" w:hAnsi="Times New Roman" w:cs="Times New Roman"/>
                      <w:color w:val="auto"/>
                      <w:szCs w:val="21"/>
                    </w:rPr>
                  </w:pPr>
                  <w:r>
                    <w:rPr>
                      <w:rFonts w:hint="default" w:ascii="Times New Roman" w:hAnsi="Times New Roman" w:cs="Times New Roman"/>
                      <w:color w:val="auto"/>
                      <w:spacing w:val="-1"/>
                      <w:szCs w:val="21"/>
                    </w:rPr>
                    <w:t>合计</w:t>
                  </w:r>
                </w:p>
              </w:tc>
              <w:tc>
                <w:tcPr>
                  <w:tcW w:w="1400" w:type="dxa"/>
                  <w:noWrap w:val="0"/>
                  <w:vAlign w:val="center"/>
                </w:tcPr>
                <w:p w14:paraId="2D56B0FD">
                  <w:pPr>
                    <w:widowControl/>
                    <w:jc w:val="center"/>
                    <w:rPr>
                      <w:rFonts w:hint="default" w:ascii="Times New Roman" w:hAnsi="Times New Roman" w:eastAsia="宋体" w:cs="Times New Roman"/>
                      <w:color w:val="auto"/>
                      <w:kern w:val="0"/>
                      <w:szCs w:val="21"/>
                      <w:lang w:val="en-US" w:eastAsia="zh-CN"/>
                    </w:rPr>
                  </w:pPr>
                  <w:r>
                    <w:rPr>
                      <w:rFonts w:hint="eastAsia" w:ascii="Times New Roman" w:hAnsi="Times New Roman" w:cs="Times New Roman"/>
                      <w:color w:val="auto"/>
                      <w:kern w:val="0"/>
                      <w:szCs w:val="21"/>
                      <w:lang w:val="en-US" w:eastAsia="zh-CN"/>
                    </w:rPr>
                    <w:t>45.3</w:t>
                  </w:r>
                </w:p>
              </w:tc>
              <w:tc>
                <w:tcPr>
                  <w:tcW w:w="991" w:type="dxa"/>
                  <w:noWrap w:val="0"/>
                  <w:vAlign w:val="center"/>
                </w:tcPr>
                <w:p w14:paraId="63494773">
                  <w:pPr>
                    <w:adjustRightInd w:val="0"/>
                    <w:snapToGrid w:val="0"/>
                    <w:jc w:val="center"/>
                    <w:rPr>
                      <w:rFonts w:hint="default" w:ascii="Times New Roman" w:hAnsi="Times New Roman" w:cs="Times New Roman"/>
                      <w:color w:val="auto"/>
                      <w:szCs w:val="21"/>
                    </w:rPr>
                  </w:pPr>
                </w:p>
              </w:tc>
            </w:tr>
          </w:tbl>
          <w:p w14:paraId="607D6B0E">
            <w:pPr>
              <w:pStyle w:val="44"/>
              <w:ind w:left="0" w:leftChars="0" w:firstLine="0" w:firstLineChars="0"/>
              <w:rPr>
                <w:rFonts w:hint="default" w:ascii="Times New Roman" w:hAnsi="Times New Roman" w:cs="Times New Roman"/>
                <w:color w:val="auto"/>
              </w:rPr>
            </w:pPr>
          </w:p>
        </w:tc>
      </w:tr>
      <w:tr w14:paraId="2EF876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71" w:hRule="atLeast"/>
          <w:jc w:val="center"/>
        </w:trPr>
        <w:tc>
          <w:tcPr>
            <w:tcW w:w="375" w:type="dxa"/>
            <w:noWrap w:val="0"/>
            <w:vAlign w:val="center"/>
          </w:tcPr>
          <w:p w14:paraId="5BE8CCAD">
            <w:pPr>
              <w:pStyle w:val="19"/>
              <w:adjustRightInd w:val="0"/>
              <w:snapToGrid w:val="0"/>
              <w:spacing w:before="0" w:beforeAutospacing="0" w:after="0" w:afterAutospacing="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工艺流程和产排污环节</w:t>
            </w:r>
          </w:p>
        </w:tc>
        <w:tc>
          <w:tcPr>
            <w:tcW w:w="8609" w:type="dxa"/>
            <w:noWrap w:val="0"/>
            <w:vAlign w:val="top"/>
          </w:tcPr>
          <w:p w14:paraId="1D352052">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1、施工期工艺流程简述：</w:t>
            </w:r>
          </w:p>
          <w:p w14:paraId="3FA521A7">
            <w:pPr>
              <w:pStyle w:val="44"/>
              <w:ind w:firstLine="480"/>
              <w:rPr>
                <w:rFonts w:hint="default" w:ascii="Times New Roman" w:hAnsi="Times New Roman" w:cs="Times New Roman"/>
                <w:b/>
                <w:color w:val="auto"/>
              </w:rPr>
            </w:pPr>
            <w:r>
              <w:rPr>
                <w:rFonts w:hint="default" w:ascii="Times New Roman" w:hAnsi="Times New Roman" w:cs="Times New Roman"/>
                <w:color w:val="auto"/>
              </w:rPr>
              <w:t>本项目在</w:t>
            </w:r>
            <w:r>
              <w:rPr>
                <w:rFonts w:hint="eastAsia" w:ascii="Times New Roman" w:hAnsi="Times New Roman" w:cs="Times New Roman"/>
                <w:color w:val="auto"/>
                <w:lang w:val="en-US" w:eastAsia="zh-CN"/>
              </w:rPr>
              <w:t>遂宁市白马镇卧龙桥村8社建</w:t>
            </w:r>
            <w:r>
              <w:rPr>
                <w:rFonts w:hint="default" w:ascii="Times New Roman" w:hAnsi="Times New Roman" w:cs="Times New Roman"/>
                <w:color w:val="auto"/>
              </w:rPr>
              <w:t>设，施工期主要涉及基础工程、主体工程、设备安装及工程验收等工序，建设过程中将产生噪声、扬尘、废气、固体废物、施工废水和生活污水，其排放量随工期和施工强度不同而有所变化。施工流程图及产污情况如图</w:t>
            </w:r>
            <w:r>
              <w:rPr>
                <w:rFonts w:hint="default" w:ascii="Times New Roman" w:hAnsi="Times New Roman" w:cs="Times New Roman"/>
                <w:color w:val="auto"/>
                <w:lang w:val="en-US" w:eastAsia="zh-CN"/>
              </w:rPr>
              <w:t>2-1</w:t>
            </w:r>
            <w:r>
              <w:rPr>
                <w:rFonts w:hint="default" w:ascii="Times New Roman" w:hAnsi="Times New Roman" w:cs="Times New Roman"/>
                <w:color w:val="auto"/>
              </w:rPr>
              <w:t>所示。</w:t>
            </w:r>
          </w:p>
          <w:p w14:paraId="78D78C57">
            <w:pPr>
              <w:pStyle w:val="14"/>
              <w:rPr>
                <w:rFonts w:hint="default" w:ascii="Times New Roman" w:hAnsi="Times New Roman" w:cs="Times New Roman"/>
                <w:b/>
                <w:color w:val="auto"/>
              </w:rPr>
            </w:pPr>
            <w:r>
              <w:rPr>
                <w:rFonts w:hint="default" w:ascii="Times New Roman" w:hAnsi="Times New Roman" w:cs="Times New Roman"/>
                <w:b/>
                <w:color w:val="auto"/>
              </w:rPr>
              <mc:AlternateContent>
                <mc:Choice Requires="wpg">
                  <w:drawing>
                    <wp:anchor distT="0" distB="0" distL="114300" distR="114300" simplePos="0" relativeHeight="251662336" behindDoc="0" locked="0" layoutInCell="1" allowOverlap="1">
                      <wp:simplePos x="0" y="0"/>
                      <wp:positionH relativeFrom="column">
                        <wp:posOffset>496570</wp:posOffset>
                      </wp:positionH>
                      <wp:positionV relativeFrom="paragraph">
                        <wp:posOffset>187325</wp:posOffset>
                      </wp:positionV>
                      <wp:extent cx="4491355" cy="2142490"/>
                      <wp:effectExtent l="4445" t="4445" r="19050" b="5715"/>
                      <wp:wrapNone/>
                      <wp:docPr id="359" name="组合 103"/>
                      <wp:cNvGraphicFramePr/>
                      <a:graphic xmlns:a="http://schemas.openxmlformats.org/drawingml/2006/main">
                        <a:graphicData uri="http://schemas.microsoft.com/office/word/2010/wordprocessingGroup">
                          <wpg:wgp>
                            <wpg:cNvGrpSpPr/>
                            <wpg:grpSpPr>
                              <a:xfrm>
                                <a:off x="0" y="0"/>
                                <a:ext cx="4491355" cy="2142490"/>
                                <a:chOff x="1882" y="4711"/>
                                <a:chExt cx="8491" cy="4109"/>
                              </a:xfrm>
                              <a:effectLst/>
                            </wpg:grpSpPr>
                            <wpg:grpSp>
                              <wpg:cNvPr id="360" name="组合 104"/>
                              <wpg:cNvGrpSpPr/>
                              <wpg:grpSpPr>
                                <a:xfrm>
                                  <a:off x="1882" y="4711"/>
                                  <a:ext cx="8491" cy="4109"/>
                                  <a:chOff x="1882" y="4711"/>
                                  <a:chExt cx="8491" cy="4109"/>
                                </a:xfrm>
                                <a:effectLst/>
                              </wpg:grpSpPr>
                              <wpg:grpSp>
                                <wpg:cNvPr id="361" name="组合 107"/>
                                <wpg:cNvGrpSpPr/>
                                <wpg:grpSpPr>
                                  <a:xfrm>
                                    <a:off x="1882" y="4711"/>
                                    <a:ext cx="8491" cy="4109"/>
                                    <a:chOff x="1882" y="4111"/>
                                    <a:chExt cx="8491" cy="4109"/>
                                  </a:xfrm>
                                  <a:effectLst/>
                                </wpg:grpSpPr>
                                <wps:wsp>
                                  <wps:cNvPr id="362" name="自选图形 129"/>
                                  <wps:cNvCnPr>
                                    <a:cxnSpLocks noChangeShapeType="1"/>
                                  </wps:cNvCnPr>
                                  <wps:spPr bwMode="auto">
                                    <a:xfrm>
                                      <a:off x="2482" y="5985"/>
                                      <a:ext cx="5525" cy="0"/>
                                    </a:xfrm>
                                    <a:prstGeom prst="straightConnector1">
                                      <a:avLst/>
                                    </a:prstGeom>
                                    <a:noFill/>
                                    <a:ln w="9525">
                                      <a:solidFill>
                                        <a:srgbClr val="000000"/>
                                      </a:solidFill>
                                      <a:round/>
                                    </a:ln>
                                    <a:effectLst/>
                                  </wps:spPr>
                                  <wps:bodyPr/>
                                </wps:wsp>
                                <wpg:grpSp>
                                  <wpg:cNvPr id="363" name="组合 130"/>
                                  <wpg:cNvGrpSpPr/>
                                  <wpg:grpSpPr>
                                    <a:xfrm>
                                      <a:off x="1882" y="4111"/>
                                      <a:ext cx="8491" cy="4109"/>
                                      <a:chOff x="1882" y="4111"/>
                                      <a:chExt cx="8491" cy="4109"/>
                                    </a:xfrm>
                                    <a:effectLst/>
                                  </wpg:grpSpPr>
                                  <wps:wsp>
                                    <wps:cNvPr id="364" name="自选图形 131"/>
                                    <wps:cNvCnPr>
                                      <a:cxnSpLocks noChangeShapeType="1"/>
                                    </wps:cNvCnPr>
                                    <wps:spPr bwMode="auto">
                                      <a:xfrm>
                                        <a:off x="3290" y="6811"/>
                                        <a:ext cx="363" cy="15"/>
                                      </a:xfrm>
                                      <a:prstGeom prst="straightConnector1">
                                        <a:avLst/>
                                      </a:prstGeom>
                                      <a:noFill/>
                                      <a:ln w="9525">
                                        <a:solidFill>
                                          <a:srgbClr val="000000"/>
                                        </a:solidFill>
                                        <a:round/>
                                        <a:tailEnd type="triangle" w="med" len="med"/>
                                      </a:ln>
                                      <a:effectLst/>
                                    </wps:spPr>
                                    <wps:bodyPr/>
                                  </wps:wsp>
                                  <wps:wsp>
                                    <wps:cNvPr id="365" name="自选图形 132"/>
                                    <wps:cNvCnPr>
                                      <a:cxnSpLocks noChangeShapeType="1"/>
                                    </wps:cNvCnPr>
                                    <wps:spPr bwMode="auto">
                                      <a:xfrm>
                                        <a:off x="5096" y="6780"/>
                                        <a:ext cx="363" cy="15"/>
                                      </a:xfrm>
                                      <a:prstGeom prst="straightConnector1">
                                        <a:avLst/>
                                      </a:prstGeom>
                                      <a:noFill/>
                                      <a:ln w="9525">
                                        <a:solidFill>
                                          <a:srgbClr val="000000"/>
                                        </a:solidFill>
                                        <a:round/>
                                        <a:tailEnd type="triangle" w="med" len="med"/>
                                      </a:ln>
                                      <a:effectLst/>
                                    </wps:spPr>
                                    <wps:bodyPr/>
                                  </wps:wsp>
                                  <wps:wsp>
                                    <wps:cNvPr id="366" name="自选图形 133"/>
                                    <wps:cNvCnPr>
                                      <a:cxnSpLocks noChangeShapeType="1"/>
                                    </wps:cNvCnPr>
                                    <wps:spPr bwMode="auto">
                                      <a:xfrm>
                                        <a:off x="8696" y="6795"/>
                                        <a:ext cx="363" cy="15"/>
                                      </a:xfrm>
                                      <a:prstGeom prst="straightConnector1">
                                        <a:avLst/>
                                      </a:prstGeom>
                                      <a:noFill/>
                                      <a:ln w="9525">
                                        <a:solidFill>
                                          <a:srgbClr val="000000"/>
                                        </a:solidFill>
                                        <a:round/>
                                        <a:tailEnd type="triangle" w="med" len="med"/>
                                      </a:ln>
                                      <a:effectLst/>
                                    </wps:spPr>
                                    <wps:bodyPr/>
                                  </wps:wsp>
                                  <wps:wsp>
                                    <wps:cNvPr id="367" name="自选图形 134"/>
                                    <wps:cNvCnPr>
                                      <a:cxnSpLocks noChangeShapeType="1"/>
                                    </wps:cNvCnPr>
                                    <wps:spPr bwMode="auto">
                                      <a:xfrm>
                                        <a:off x="6960" y="6811"/>
                                        <a:ext cx="363" cy="15"/>
                                      </a:xfrm>
                                      <a:prstGeom prst="straightConnector1">
                                        <a:avLst/>
                                      </a:prstGeom>
                                      <a:noFill/>
                                      <a:ln w="9525">
                                        <a:solidFill>
                                          <a:srgbClr val="000000"/>
                                        </a:solidFill>
                                        <a:round/>
                                        <a:tailEnd type="triangle" w="med" len="med"/>
                                      </a:ln>
                                      <a:effectLst/>
                                    </wps:spPr>
                                    <wps:bodyPr/>
                                  </wps:wsp>
                                  <wps:wsp>
                                    <wps:cNvPr id="368" name="自选图形 135"/>
                                    <wps:cNvCnPr>
                                      <a:cxnSpLocks noChangeShapeType="1"/>
                                    </wps:cNvCnPr>
                                    <wps:spPr bwMode="auto">
                                      <a:xfrm flipV="1">
                                        <a:off x="4328" y="5985"/>
                                        <a:ext cx="0" cy="681"/>
                                      </a:xfrm>
                                      <a:prstGeom prst="straightConnector1">
                                        <a:avLst/>
                                      </a:prstGeom>
                                      <a:noFill/>
                                      <a:ln w="9525">
                                        <a:solidFill>
                                          <a:srgbClr val="000000"/>
                                        </a:solidFill>
                                        <a:round/>
                                      </a:ln>
                                      <a:effectLst/>
                                    </wps:spPr>
                                    <wps:bodyPr/>
                                  </wps:wsp>
                                  <wps:wsp>
                                    <wps:cNvPr id="369" name="自选图形 136"/>
                                    <wps:cNvCnPr>
                                      <a:cxnSpLocks noChangeShapeType="1"/>
                                    </wps:cNvCnPr>
                                    <wps:spPr bwMode="auto">
                                      <a:xfrm flipV="1">
                                        <a:off x="6216" y="5985"/>
                                        <a:ext cx="1" cy="681"/>
                                      </a:xfrm>
                                      <a:prstGeom prst="straightConnector1">
                                        <a:avLst/>
                                      </a:prstGeom>
                                      <a:noFill/>
                                      <a:ln w="9525">
                                        <a:solidFill>
                                          <a:srgbClr val="000000"/>
                                        </a:solidFill>
                                        <a:round/>
                                      </a:ln>
                                      <a:effectLst/>
                                    </wps:spPr>
                                    <wps:bodyPr/>
                                  </wps:wsp>
                                  <wps:wsp>
                                    <wps:cNvPr id="370" name="自选图形 137"/>
                                    <wps:cNvCnPr>
                                      <a:cxnSpLocks noChangeShapeType="1"/>
                                    </wps:cNvCnPr>
                                    <wps:spPr bwMode="auto">
                                      <a:xfrm flipV="1">
                                        <a:off x="8007" y="5985"/>
                                        <a:ext cx="0" cy="591"/>
                                      </a:xfrm>
                                      <a:prstGeom prst="straightConnector1">
                                        <a:avLst/>
                                      </a:prstGeom>
                                      <a:noFill/>
                                      <a:ln w="9525">
                                        <a:solidFill>
                                          <a:srgbClr val="000000"/>
                                        </a:solidFill>
                                        <a:round/>
                                      </a:ln>
                                      <a:effectLst/>
                                    </wps:spPr>
                                    <wps:bodyPr/>
                                  </wps:wsp>
                                  <wps:wsp>
                                    <wps:cNvPr id="371" name="自选图形 138"/>
                                    <wps:cNvCnPr>
                                      <a:cxnSpLocks noChangeShapeType="1"/>
                                    </wps:cNvCnPr>
                                    <wps:spPr bwMode="auto">
                                      <a:xfrm flipV="1">
                                        <a:off x="7672" y="5416"/>
                                        <a:ext cx="0" cy="570"/>
                                      </a:xfrm>
                                      <a:prstGeom prst="straightConnector1">
                                        <a:avLst/>
                                      </a:prstGeom>
                                      <a:noFill/>
                                      <a:ln w="9525">
                                        <a:solidFill>
                                          <a:srgbClr val="000000"/>
                                        </a:solidFill>
                                        <a:prstDash val="dash"/>
                                        <a:round/>
                                        <a:tailEnd type="triangle" w="med" len="med"/>
                                      </a:ln>
                                      <a:effectLst/>
                                    </wps:spPr>
                                    <wps:bodyPr/>
                                  </wps:wsp>
                                  <wps:wsp>
                                    <wps:cNvPr id="372" name="自选图形 139"/>
                                    <wps:cNvCnPr>
                                      <a:cxnSpLocks noChangeShapeType="1"/>
                                    </wps:cNvCnPr>
                                    <wps:spPr bwMode="auto">
                                      <a:xfrm flipV="1">
                                        <a:off x="7672" y="4561"/>
                                        <a:ext cx="0" cy="405"/>
                                      </a:xfrm>
                                      <a:prstGeom prst="straightConnector1">
                                        <a:avLst/>
                                      </a:prstGeom>
                                      <a:noFill/>
                                      <a:ln w="9525">
                                        <a:solidFill>
                                          <a:srgbClr val="000000"/>
                                        </a:solidFill>
                                        <a:round/>
                                        <a:tailEnd type="triangle" w="med" len="med"/>
                                      </a:ln>
                                      <a:effectLst/>
                                    </wps:spPr>
                                    <wps:bodyPr/>
                                  </wps:wsp>
                                  <wps:wsp>
                                    <wps:cNvPr id="373" name="自选图形 140"/>
                                    <wps:cNvCnPr>
                                      <a:cxnSpLocks noChangeShapeType="1"/>
                                    </wps:cNvCnPr>
                                    <wps:spPr bwMode="auto">
                                      <a:xfrm>
                                        <a:off x="2482" y="7125"/>
                                        <a:ext cx="0" cy="555"/>
                                      </a:xfrm>
                                      <a:prstGeom prst="straightConnector1">
                                        <a:avLst/>
                                      </a:prstGeom>
                                      <a:noFill/>
                                      <a:ln w="9525">
                                        <a:solidFill>
                                          <a:srgbClr val="000000"/>
                                        </a:solidFill>
                                        <a:prstDash val="dash"/>
                                        <a:round/>
                                        <a:tailEnd type="triangle" w="med" len="med"/>
                                      </a:ln>
                                      <a:effectLst/>
                                    </wps:spPr>
                                    <wps:bodyPr/>
                                  </wps:wsp>
                                  <wps:wsp>
                                    <wps:cNvPr id="374" name="自选图形 141"/>
                                    <wps:cNvCnPr>
                                      <a:cxnSpLocks noChangeShapeType="1"/>
                                    </wps:cNvCnPr>
                                    <wps:spPr bwMode="auto">
                                      <a:xfrm>
                                        <a:off x="4184" y="7440"/>
                                        <a:ext cx="1990" cy="10"/>
                                      </a:xfrm>
                                      <a:prstGeom prst="straightConnector1">
                                        <a:avLst/>
                                      </a:prstGeom>
                                      <a:noFill/>
                                      <a:ln w="9525">
                                        <a:solidFill>
                                          <a:srgbClr val="000000"/>
                                        </a:solidFill>
                                        <a:round/>
                                      </a:ln>
                                      <a:effectLst/>
                                    </wps:spPr>
                                    <wps:bodyPr/>
                                  </wps:wsp>
                                  <wps:wsp>
                                    <wps:cNvPr id="375" name="自选图形 142"/>
                                    <wps:cNvCnPr>
                                      <a:cxnSpLocks noChangeShapeType="1"/>
                                    </wps:cNvCnPr>
                                    <wps:spPr bwMode="auto">
                                      <a:xfrm>
                                        <a:off x="6172" y="7116"/>
                                        <a:ext cx="0" cy="564"/>
                                      </a:xfrm>
                                      <a:prstGeom prst="straightConnector1">
                                        <a:avLst/>
                                      </a:prstGeom>
                                      <a:noFill/>
                                      <a:ln w="9525">
                                        <a:solidFill>
                                          <a:srgbClr val="000000"/>
                                        </a:solidFill>
                                        <a:round/>
                                        <a:tailEnd type="triangle" w="med" len="med"/>
                                      </a:ln>
                                      <a:effectLst/>
                                    </wps:spPr>
                                    <wps:bodyPr/>
                                  </wps:wsp>
                                  <wps:wsp>
                                    <wps:cNvPr id="377" name="自选图形 143"/>
                                    <wps:cNvCnPr>
                                      <a:cxnSpLocks noChangeShapeType="1"/>
                                    </wps:cNvCnPr>
                                    <wps:spPr bwMode="auto">
                                      <a:xfrm flipV="1">
                                        <a:off x="4184" y="7026"/>
                                        <a:ext cx="1" cy="414"/>
                                      </a:xfrm>
                                      <a:prstGeom prst="straightConnector1">
                                        <a:avLst/>
                                      </a:prstGeom>
                                      <a:noFill/>
                                      <a:ln w="9525">
                                        <a:solidFill>
                                          <a:srgbClr val="000000"/>
                                        </a:solidFill>
                                        <a:round/>
                                      </a:ln>
                                      <a:effectLst/>
                                    </wps:spPr>
                                    <wps:bodyPr/>
                                  </wps:wsp>
                                  <wps:wsp>
                                    <wps:cNvPr id="378" name="文本框 144"/>
                                    <wps:cNvSpPr txBox="1">
                                      <a:spLocks noChangeArrowheads="1"/>
                                    </wps:cNvSpPr>
                                    <wps:spPr bwMode="auto">
                                      <a:xfrm>
                                        <a:off x="7379" y="6576"/>
                                        <a:ext cx="1212" cy="450"/>
                                      </a:xfrm>
                                      <a:prstGeom prst="rect">
                                        <a:avLst/>
                                      </a:prstGeom>
                                      <a:solidFill>
                                        <a:srgbClr val="FFFFFF"/>
                                      </a:solidFill>
                                      <a:ln w="9525">
                                        <a:solidFill>
                                          <a:srgbClr val="000000"/>
                                        </a:solidFill>
                                        <a:miter lim="800000"/>
                                      </a:ln>
                                      <a:effectLst/>
                                    </wps:spPr>
                                    <wps:txbx>
                                      <w:txbxContent>
                                        <w:p w14:paraId="0B4D8AC6">
                                          <w:pPr>
                                            <w:pStyle w:val="12"/>
                                            <w:spacing w:before="48" w:beforeLines="20"/>
                                            <w:jc w:val="center"/>
                                            <w:rPr>
                                              <w:rStyle w:val="65"/>
                                              <w:szCs w:val="22"/>
                                            </w:rPr>
                                          </w:pPr>
                                          <w:r>
                                            <w:rPr>
                                              <w:rStyle w:val="65"/>
                                              <w:rFonts w:hint="eastAsia"/>
                                              <w:szCs w:val="22"/>
                                            </w:rPr>
                                            <w:t>设备调试</w:t>
                                          </w:r>
                                        </w:p>
                                      </w:txbxContent>
                                    </wps:txbx>
                                    <wps:bodyPr rot="0" vert="horz" wrap="square" lIns="0" tIns="0" rIns="0" bIns="0" anchor="t" anchorCtr="0" upright="1">
                                      <a:noAutofit/>
                                    </wps:bodyPr>
                                  </wps:wsp>
                                  <wps:wsp>
                                    <wps:cNvPr id="379" name="文本框 145"/>
                                    <wps:cNvSpPr txBox="1">
                                      <a:spLocks noChangeArrowheads="1"/>
                                    </wps:cNvSpPr>
                                    <wps:spPr bwMode="auto">
                                      <a:xfrm>
                                        <a:off x="9161" y="6576"/>
                                        <a:ext cx="1212" cy="450"/>
                                      </a:xfrm>
                                      <a:prstGeom prst="rect">
                                        <a:avLst/>
                                      </a:prstGeom>
                                      <a:solidFill>
                                        <a:srgbClr val="FFFFFF"/>
                                      </a:solidFill>
                                      <a:ln w="9525">
                                        <a:solidFill>
                                          <a:srgbClr val="000000"/>
                                        </a:solidFill>
                                        <a:miter lim="800000"/>
                                      </a:ln>
                                      <a:effectLst/>
                                    </wps:spPr>
                                    <wps:txbx>
                                      <w:txbxContent>
                                        <w:p w14:paraId="50481F28">
                                          <w:pPr>
                                            <w:pStyle w:val="12"/>
                                            <w:spacing w:before="48" w:beforeLines="20"/>
                                            <w:jc w:val="center"/>
                                            <w:rPr>
                                              <w:rStyle w:val="65"/>
                                              <w:szCs w:val="22"/>
                                            </w:rPr>
                                          </w:pPr>
                                          <w:r>
                                            <w:rPr>
                                              <w:rStyle w:val="65"/>
                                              <w:rFonts w:hint="eastAsia"/>
                                              <w:szCs w:val="22"/>
                                            </w:rPr>
                                            <w:t>工程验收</w:t>
                                          </w:r>
                                        </w:p>
                                      </w:txbxContent>
                                    </wps:txbx>
                                    <wps:bodyPr rot="0" vert="horz" wrap="square" lIns="0" tIns="0" rIns="0" bIns="0" anchor="t" anchorCtr="0" upright="1">
                                      <a:noAutofit/>
                                    </wps:bodyPr>
                                  </wps:wsp>
                                  <wps:wsp>
                                    <wps:cNvPr id="380" name="自选图形 146"/>
                                    <wps:cNvCnPr>
                                      <a:cxnSpLocks noChangeShapeType="1"/>
                                    </wps:cNvCnPr>
                                    <wps:spPr bwMode="auto">
                                      <a:xfrm flipV="1">
                                        <a:off x="5751" y="5416"/>
                                        <a:ext cx="0" cy="570"/>
                                      </a:xfrm>
                                      <a:prstGeom prst="straightConnector1">
                                        <a:avLst/>
                                      </a:prstGeom>
                                      <a:noFill/>
                                      <a:ln w="9525">
                                        <a:solidFill>
                                          <a:srgbClr val="000000"/>
                                        </a:solidFill>
                                        <a:prstDash val="dash"/>
                                        <a:round/>
                                        <a:tailEnd type="triangle" w="med" len="med"/>
                                      </a:ln>
                                      <a:effectLst/>
                                    </wps:spPr>
                                    <wps:bodyPr/>
                                  </wps:wsp>
                                  <wps:wsp>
                                    <wps:cNvPr id="381" name="文本框 147"/>
                                    <wps:cNvSpPr txBox="1">
                                      <a:spLocks noChangeArrowheads="1"/>
                                    </wps:cNvSpPr>
                                    <wps:spPr bwMode="auto">
                                      <a:xfrm>
                                        <a:off x="5267" y="4966"/>
                                        <a:ext cx="904" cy="450"/>
                                      </a:xfrm>
                                      <a:prstGeom prst="rect">
                                        <a:avLst/>
                                      </a:prstGeom>
                                      <a:solidFill>
                                        <a:srgbClr val="FFFFFF"/>
                                      </a:solidFill>
                                      <a:ln w="9525">
                                        <a:solidFill>
                                          <a:srgbClr val="000000"/>
                                        </a:solidFill>
                                        <a:miter lim="800000"/>
                                      </a:ln>
                                      <a:effectLst/>
                                    </wps:spPr>
                                    <wps:txbx>
                                      <w:txbxContent>
                                        <w:p w14:paraId="78676706">
                                          <w:pPr>
                                            <w:pStyle w:val="12"/>
                                            <w:spacing w:before="48" w:beforeLines="20"/>
                                            <w:jc w:val="center"/>
                                            <w:rPr>
                                              <w:rStyle w:val="65"/>
                                              <w:szCs w:val="22"/>
                                            </w:rPr>
                                          </w:pPr>
                                          <w:r>
                                            <w:rPr>
                                              <w:rStyle w:val="65"/>
                                              <w:rFonts w:hint="eastAsia"/>
                                              <w:szCs w:val="22"/>
                                            </w:rPr>
                                            <w:t>废气</w:t>
                                          </w:r>
                                        </w:p>
                                      </w:txbxContent>
                                    </wps:txbx>
                                    <wps:bodyPr rot="0" vert="horz" wrap="square" lIns="0" tIns="0" rIns="0" bIns="0" anchor="t" anchorCtr="0" upright="1">
                                      <a:noAutofit/>
                                    </wps:bodyPr>
                                  </wps:wsp>
                                  <wps:wsp>
                                    <wps:cNvPr id="382" name="文本框 148"/>
                                    <wps:cNvSpPr txBox="1">
                                      <a:spLocks noChangeArrowheads="1"/>
                                    </wps:cNvSpPr>
                                    <wps:spPr bwMode="auto">
                                      <a:xfrm>
                                        <a:off x="7199" y="4966"/>
                                        <a:ext cx="1204" cy="451"/>
                                      </a:xfrm>
                                      <a:prstGeom prst="rect">
                                        <a:avLst/>
                                      </a:prstGeom>
                                      <a:solidFill>
                                        <a:srgbClr val="FFFFFF"/>
                                      </a:solidFill>
                                      <a:ln w="9525">
                                        <a:solidFill>
                                          <a:srgbClr val="000000"/>
                                        </a:solidFill>
                                        <a:miter lim="800000"/>
                                      </a:ln>
                                      <a:effectLst/>
                                    </wps:spPr>
                                    <wps:txbx>
                                      <w:txbxContent>
                                        <w:p w14:paraId="461C8057">
                                          <w:pPr>
                                            <w:pStyle w:val="12"/>
                                            <w:spacing w:before="48" w:beforeLines="20"/>
                                            <w:jc w:val="center"/>
                                            <w:rPr>
                                              <w:rStyle w:val="65"/>
                                              <w:sz w:val="21"/>
                                              <w:szCs w:val="21"/>
                                            </w:rPr>
                                          </w:pPr>
                                          <w:r>
                                            <w:rPr>
                                              <w:rStyle w:val="65"/>
                                              <w:rFonts w:hint="eastAsia"/>
                                              <w:sz w:val="21"/>
                                              <w:szCs w:val="21"/>
                                            </w:rPr>
                                            <w:t>施工废水</w:t>
                                          </w:r>
                                        </w:p>
                                      </w:txbxContent>
                                    </wps:txbx>
                                    <wps:bodyPr rot="0" vert="horz" wrap="square" lIns="0" tIns="0" rIns="0" bIns="0" anchor="t" anchorCtr="0" upright="1">
                                      <a:noAutofit/>
                                    </wps:bodyPr>
                                  </wps:wsp>
                                  <wps:wsp>
                                    <wps:cNvPr id="383" name="文本框 149"/>
                                    <wps:cNvSpPr txBox="1">
                                      <a:spLocks noChangeArrowheads="1"/>
                                    </wps:cNvSpPr>
                                    <wps:spPr bwMode="auto">
                                      <a:xfrm>
                                        <a:off x="6369" y="4966"/>
                                        <a:ext cx="725" cy="450"/>
                                      </a:xfrm>
                                      <a:prstGeom prst="rect">
                                        <a:avLst/>
                                      </a:prstGeom>
                                      <a:solidFill>
                                        <a:srgbClr val="FFFFFF"/>
                                      </a:solidFill>
                                      <a:ln w="9525">
                                        <a:solidFill>
                                          <a:srgbClr val="000000"/>
                                        </a:solidFill>
                                        <a:miter lim="800000"/>
                                      </a:ln>
                                      <a:effectLst/>
                                    </wps:spPr>
                                    <wps:txbx>
                                      <w:txbxContent>
                                        <w:p w14:paraId="716FEB13">
                                          <w:pPr>
                                            <w:pStyle w:val="12"/>
                                            <w:spacing w:before="48" w:beforeLines="20"/>
                                            <w:jc w:val="center"/>
                                            <w:rPr>
                                              <w:rStyle w:val="65"/>
                                              <w:szCs w:val="22"/>
                                            </w:rPr>
                                          </w:pPr>
                                          <w:r>
                                            <w:rPr>
                                              <w:rStyle w:val="65"/>
                                              <w:rFonts w:hint="eastAsia"/>
                                              <w:szCs w:val="22"/>
                                            </w:rPr>
                                            <w:t>回用</w:t>
                                          </w:r>
                                        </w:p>
                                      </w:txbxContent>
                                    </wps:txbx>
                                    <wps:bodyPr rot="0" vert="horz" wrap="square" lIns="0" tIns="0" rIns="0" bIns="0" anchor="t" anchorCtr="0" upright="1">
                                      <a:noAutofit/>
                                    </wps:bodyPr>
                                  </wps:wsp>
                                  <wps:wsp>
                                    <wps:cNvPr id="128" name="自选图形 150"/>
                                    <wps:cNvCnPr>
                                      <a:cxnSpLocks noChangeShapeType="1"/>
                                    </wps:cNvCnPr>
                                    <wps:spPr bwMode="auto">
                                      <a:xfrm flipH="1">
                                        <a:off x="6762" y="4291"/>
                                        <a:ext cx="437" cy="0"/>
                                      </a:xfrm>
                                      <a:prstGeom prst="straightConnector1">
                                        <a:avLst/>
                                      </a:prstGeom>
                                      <a:noFill/>
                                      <a:ln w="9525">
                                        <a:solidFill>
                                          <a:srgbClr val="000000"/>
                                        </a:solidFill>
                                        <a:round/>
                                      </a:ln>
                                      <a:effectLst/>
                                    </wps:spPr>
                                    <wps:bodyPr/>
                                  </wps:wsp>
                                  <wps:wsp>
                                    <wps:cNvPr id="129" name="自选图形 151"/>
                                    <wps:cNvCnPr>
                                      <a:cxnSpLocks noChangeShapeType="1"/>
                                    </wps:cNvCnPr>
                                    <wps:spPr bwMode="auto">
                                      <a:xfrm>
                                        <a:off x="6762" y="4291"/>
                                        <a:ext cx="0" cy="675"/>
                                      </a:xfrm>
                                      <a:prstGeom prst="straightConnector1">
                                        <a:avLst/>
                                      </a:prstGeom>
                                      <a:noFill/>
                                      <a:ln w="9525">
                                        <a:solidFill>
                                          <a:srgbClr val="000000"/>
                                        </a:solidFill>
                                        <a:round/>
                                      </a:ln>
                                      <a:effectLst/>
                                    </wps:spPr>
                                    <wps:bodyPr/>
                                  </wps:wsp>
                                  <wps:wsp>
                                    <wps:cNvPr id="130" name="文本框 152"/>
                                    <wps:cNvSpPr txBox="1">
                                      <a:spLocks noChangeArrowheads="1"/>
                                    </wps:cNvSpPr>
                                    <wps:spPr bwMode="auto">
                                      <a:xfrm>
                                        <a:off x="7323" y="4111"/>
                                        <a:ext cx="725" cy="450"/>
                                      </a:xfrm>
                                      <a:prstGeom prst="rect">
                                        <a:avLst/>
                                      </a:prstGeom>
                                      <a:solidFill>
                                        <a:srgbClr val="FFFFFF"/>
                                      </a:solidFill>
                                      <a:ln w="9525">
                                        <a:solidFill>
                                          <a:srgbClr val="000000"/>
                                        </a:solidFill>
                                        <a:miter lim="800000"/>
                                      </a:ln>
                                      <a:effectLst/>
                                    </wps:spPr>
                                    <wps:txbx>
                                      <w:txbxContent>
                                        <w:p w14:paraId="4DE46836">
                                          <w:pPr>
                                            <w:pStyle w:val="12"/>
                                            <w:spacing w:before="48" w:beforeLines="20"/>
                                            <w:jc w:val="center"/>
                                            <w:rPr>
                                              <w:rStyle w:val="65"/>
                                              <w:szCs w:val="22"/>
                                            </w:rPr>
                                          </w:pPr>
                                          <w:r>
                                            <w:rPr>
                                              <w:rStyle w:val="65"/>
                                              <w:rFonts w:hint="eastAsia"/>
                                              <w:szCs w:val="22"/>
                                            </w:rPr>
                                            <w:t>沉淀</w:t>
                                          </w:r>
                                        </w:p>
                                      </w:txbxContent>
                                    </wps:txbx>
                                    <wps:bodyPr rot="0" vert="horz" wrap="square" lIns="0" tIns="0" rIns="0" bIns="0" anchor="t" anchorCtr="0" upright="1">
                                      <a:noAutofit/>
                                    </wps:bodyPr>
                                  </wps:wsp>
                                  <wps:wsp>
                                    <wps:cNvPr id="131" name="自选图形 153"/>
                                    <wps:cNvCnPr>
                                      <a:cxnSpLocks noChangeShapeType="1"/>
                                    </wps:cNvCnPr>
                                    <wps:spPr bwMode="auto">
                                      <a:xfrm>
                                        <a:off x="6762" y="5416"/>
                                        <a:ext cx="1" cy="570"/>
                                      </a:xfrm>
                                      <a:prstGeom prst="straightConnector1">
                                        <a:avLst/>
                                      </a:prstGeom>
                                      <a:noFill/>
                                      <a:ln w="9525">
                                        <a:solidFill>
                                          <a:srgbClr val="000000"/>
                                        </a:solidFill>
                                        <a:round/>
                                        <a:tailEnd type="triangle" w="med" len="med"/>
                                      </a:ln>
                                      <a:effectLst/>
                                    </wps:spPr>
                                    <wps:bodyPr/>
                                  </wps:wsp>
                                  <wps:wsp>
                                    <wps:cNvPr id="132" name="文本框 154"/>
                                    <wps:cNvSpPr txBox="1">
                                      <a:spLocks noChangeArrowheads="1"/>
                                    </wps:cNvSpPr>
                                    <wps:spPr bwMode="auto">
                                      <a:xfrm>
                                        <a:off x="5639" y="7770"/>
                                        <a:ext cx="904" cy="450"/>
                                      </a:xfrm>
                                      <a:prstGeom prst="rect">
                                        <a:avLst/>
                                      </a:prstGeom>
                                      <a:solidFill>
                                        <a:srgbClr val="FFFFFF"/>
                                      </a:solidFill>
                                      <a:ln w="9525">
                                        <a:solidFill>
                                          <a:srgbClr val="000000"/>
                                        </a:solidFill>
                                        <a:miter lim="800000"/>
                                      </a:ln>
                                      <a:effectLst/>
                                    </wps:spPr>
                                    <wps:txbx>
                                      <w:txbxContent>
                                        <w:p w14:paraId="6278559E">
                                          <w:pPr>
                                            <w:pStyle w:val="12"/>
                                            <w:spacing w:before="48" w:beforeLines="20"/>
                                            <w:jc w:val="center"/>
                                            <w:rPr>
                                              <w:rStyle w:val="65"/>
                                              <w:szCs w:val="22"/>
                                            </w:rPr>
                                          </w:pPr>
                                          <w:r>
                                            <w:rPr>
                                              <w:rStyle w:val="65"/>
                                              <w:rFonts w:hint="eastAsia"/>
                                              <w:szCs w:val="22"/>
                                            </w:rPr>
                                            <w:t>固废</w:t>
                                          </w:r>
                                        </w:p>
                                      </w:txbxContent>
                                    </wps:txbx>
                                    <wps:bodyPr rot="0" vert="horz" wrap="square" lIns="0" tIns="0" rIns="0" bIns="0" anchor="t" anchorCtr="0" upright="1">
                                      <a:noAutofit/>
                                    </wps:bodyPr>
                                  </wps:wsp>
                                  <wps:wsp>
                                    <wps:cNvPr id="133" name="文本框 155"/>
                                    <wps:cNvSpPr txBox="1">
                                      <a:spLocks noChangeArrowheads="1"/>
                                    </wps:cNvSpPr>
                                    <wps:spPr bwMode="auto">
                                      <a:xfrm>
                                        <a:off x="1882" y="6666"/>
                                        <a:ext cx="1212" cy="450"/>
                                      </a:xfrm>
                                      <a:prstGeom prst="rect">
                                        <a:avLst/>
                                      </a:prstGeom>
                                      <a:solidFill>
                                        <a:srgbClr val="FFFFFF"/>
                                      </a:solidFill>
                                      <a:ln w="9525">
                                        <a:solidFill>
                                          <a:srgbClr val="000000"/>
                                        </a:solidFill>
                                        <a:miter lim="800000"/>
                                      </a:ln>
                                      <a:effectLst/>
                                    </wps:spPr>
                                    <wps:txbx>
                                      <w:txbxContent>
                                        <w:p w14:paraId="6C074166">
                                          <w:pPr>
                                            <w:pStyle w:val="12"/>
                                            <w:spacing w:before="48" w:beforeLines="20"/>
                                            <w:jc w:val="center"/>
                                            <w:rPr>
                                              <w:rStyle w:val="65"/>
                                            </w:rPr>
                                          </w:pPr>
                                          <w:r>
                                            <w:rPr>
                                              <w:rStyle w:val="65"/>
                                              <w:rFonts w:hint="eastAsia"/>
                                            </w:rPr>
                                            <w:t>基础</w:t>
                                          </w:r>
                                          <w:r>
                                            <w:rPr>
                                              <w:rFonts w:hint="eastAsia"/>
                                            </w:rPr>
                                            <w:t>工</w:t>
                                          </w:r>
                                          <w:r>
                                            <w:rPr>
                                              <w:rStyle w:val="65"/>
                                              <w:rFonts w:hint="eastAsia"/>
                                            </w:rPr>
                                            <w:t>程</w:t>
                                          </w:r>
                                        </w:p>
                                      </w:txbxContent>
                                    </wps:txbx>
                                    <wps:bodyPr rot="0" vert="horz" wrap="square" lIns="0" tIns="0" rIns="0" bIns="0" anchor="t" anchorCtr="0" upright="1">
                                      <a:noAutofit/>
                                    </wps:bodyPr>
                                  </wps:wsp>
                                  <wps:wsp>
                                    <wps:cNvPr id="134" name="文本框 156"/>
                                    <wps:cNvSpPr txBox="1">
                                      <a:spLocks noChangeArrowheads="1"/>
                                    </wps:cNvSpPr>
                                    <wps:spPr bwMode="auto">
                                      <a:xfrm>
                                        <a:off x="3737" y="6666"/>
                                        <a:ext cx="1212" cy="450"/>
                                      </a:xfrm>
                                      <a:prstGeom prst="rect">
                                        <a:avLst/>
                                      </a:prstGeom>
                                      <a:solidFill>
                                        <a:srgbClr val="FFFFFF"/>
                                      </a:solidFill>
                                      <a:ln w="9525">
                                        <a:solidFill>
                                          <a:srgbClr val="000000"/>
                                        </a:solidFill>
                                        <a:miter lim="800000"/>
                                      </a:ln>
                                      <a:effectLst/>
                                    </wps:spPr>
                                    <wps:txbx>
                                      <w:txbxContent>
                                        <w:p w14:paraId="2B257B89">
                                          <w:pPr>
                                            <w:pStyle w:val="12"/>
                                            <w:spacing w:before="48" w:beforeLines="20"/>
                                            <w:jc w:val="center"/>
                                            <w:rPr>
                                              <w:rStyle w:val="65"/>
                                            </w:rPr>
                                          </w:pPr>
                                          <w:r>
                                            <w:rPr>
                                              <w:rStyle w:val="65"/>
                                              <w:rFonts w:hint="eastAsia"/>
                                            </w:rPr>
                                            <w:t>主体工程</w:t>
                                          </w:r>
                                        </w:p>
                                      </w:txbxContent>
                                    </wps:txbx>
                                    <wps:bodyPr rot="0" vert="horz" wrap="square" lIns="0" tIns="0" rIns="0" bIns="0" anchor="t" anchorCtr="0" upright="1">
                                      <a:noAutofit/>
                                    </wps:bodyPr>
                                  </wps:wsp>
                                  <wps:wsp>
                                    <wps:cNvPr id="135" name="文本框 157"/>
                                    <wps:cNvSpPr txBox="1">
                                      <a:spLocks noChangeArrowheads="1"/>
                                    </wps:cNvSpPr>
                                    <wps:spPr bwMode="auto">
                                      <a:xfrm>
                                        <a:off x="5550" y="6666"/>
                                        <a:ext cx="1212" cy="450"/>
                                      </a:xfrm>
                                      <a:prstGeom prst="rect">
                                        <a:avLst/>
                                      </a:prstGeom>
                                      <a:solidFill>
                                        <a:srgbClr val="FFFFFF"/>
                                      </a:solidFill>
                                      <a:ln w="9525">
                                        <a:solidFill>
                                          <a:srgbClr val="000000"/>
                                        </a:solidFill>
                                        <a:miter lim="800000"/>
                                      </a:ln>
                                      <a:effectLst/>
                                    </wps:spPr>
                                    <wps:txbx>
                                      <w:txbxContent>
                                        <w:p w14:paraId="7328A2A7">
                                          <w:pPr>
                                            <w:pStyle w:val="12"/>
                                            <w:spacing w:before="48" w:beforeLines="20"/>
                                            <w:jc w:val="center"/>
                                            <w:rPr>
                                              <w:rStyle w:val="65"/>
                                            </w:rPr>
                                          </w:pPr>
                                          <w:r>
                                            <w:rPr>
                                              <w:rStyle w:val="65"/>
                                              <w:rFonts w:hint="eastAsia"/>
                                            </w:rPr>
                                            <w:t>设备安装</w:t>
                                          </w:r>
                                        </w:p>
                                      </w:txbxContent>
                                    </wps:txbx>
                                    <wps:bodyPr rot="0" vert="horz" wrap="square" lIns="0" tIns="0" rIns="0" bIns="0" anchor="t" anchorCtr="0" upright="1">
                                      <a:noAutofit/>
                                    </wps:bodyPr>
                                  </wps:wsp>
                                  <wps:wsp>
                                    <wps:cNvPr id="136" name="自选图形 158"/>
                                    <wps:cNvCnPr>
                                      <a:cxnSpLocks noChangeShapeType="1"/>
                                    </wps:cNvCnPr>
                                    <wps:spPr bwMode="auto">
                                      <a:xfrm flipV="1">
                                        <a:off x="2482" y="6075"/>
                                        <a:ext cx="0" cy="591"/>
                                      </a:xfrm>
                                      <a:prstGeom prst="straightConnector1">
                                        <a:avLst/>
                                      </a:prstGeom>
                                      <a:noFill/>
                                      <a:ln w="9525">
                                        <a:solidFill>
                                          <a:srgbClr val="000000"/>
                                        </a:solidFill>
                                        <a:round/>
                                      </a:ln>
                                      <a:effectLst/>
                                    </wps:spPr>
                                    <wps:bodyPr/>
                                  </wps:wsp>
                                  <wps:wsp>
                                    <wps:cNvPr id="137" name="自选图形 159"/>
                                    <wps:cNvCnPr>
                                      <a:cxnSpLocks noChangeShapeType="1"/>
                                    </wps:cNvCnPr>
                                    <wps:spPr bwMode="auto">
                                      <a:xfrm flipV="1">
                                        <a:off x="2848" y="5506"/>
                                        <a:ext cx="1" cy="480"/>
                                      </a:xfrm>
                                      <a:prstGeom prst="straightConnector1">
                                        <a:avLst/>
                                      </a:prstGeom>
                                      <a:noFill/>
                                      <a:ln w="9525">
                                        <a:solidFill>
                                          <a:srgbClr val="000000"/>
                                        </a:solidFill>
                                        <a:prstDash val="dash"/>
                                        <a:round/>
                                        <a:tailEnd type="triangle" w="med" len="med"/>
                                      </a:ln>
                                      <a:effectLst/>
                                    </wps:spPr>
                                    <wps:bodyPr/>
                                  </wps:wsp>
                                  <wps:wsp>
                                    <wps:cNvPr id="138" name="自选图形 160"/>
                                    <wps:cNvCnPr>
                                      <a:cxnSpLocks noChangeShapeType="1"/>
                                    </wps:cNvCnPr>
                                    <wps:spPr bwMode="auto">
                                      <a:xfrm flipV="1">
                                        <a:off x="4027" y="5506"/>
                                        <a:ext cx="1" cy="480"/>
                                      </a:xfrm>
                                      <a:prstGeom prst="straightConnector1">
                                        <a:avLst/>
                                      </a:prstGeom>
                                      <a:noFill/>
                                      <a:ln w="9525">
                                        <a:solidFill>
                                          <a:srgbClr val="000000"/>
                                        </a:solidFill>
                                        <a:prstDash val="dash"/>
                                        <a:round/>
                                        <a:tailEnd type="triangle" w="med" len="med"/>
                                      </a:ln>
                                      <a:effectLst/>
                                    </wps:spPr>
                                    <wps:bodyPr/>
                                  </wps:wsp>
                                  <wps:wsp>
                                    <wps:cNvPr id="139" name="文本框 161"/>
                                    <wps:cNvSpPr txBox="1">
                                      <a:spLocks noChangeArrowheads="1"/>
                                    </wps:cNvSpPr>
                                    <wps:spPr bwMode="auto">
                                      <a:xfrm>
                                        <a:off x="2340" y="5056"/>
                                        <a:ext cx="904" cy="450"/>
                                      </a:xfrm>
                                      <a:prstGeom prst="rect">
                                        <a:avLst/>
                                      </a:prstGeom>
                                      <a:solidFill>
                                        <a:srgbClr val="FFFFFF"/>
                                      </a:solidFill>
                                      <a:ln w="9525">
                                        <a:solidFill>
                                          <a:srgbClr val="000000"/>
                                        </a:solidFill>
                                        <a:miter lim="800000"/>
                                      </a:ln>
                                      <a:effectLst/>
                                    </wps:spPr>
                                    <wps:txbx>
                                      <w:txbxContent>
                                        <w:p w14:paraId="003EBDD2">
                                          <w:pPr>
                                            <w:pStyle w:val="12"/>
                                            <w:spacing w:before="48" w:beforeLines="20"/>
                                            <w:jc w:val="center"/>
                                            <w:rPr>
                                              <w:rStyle w:val="65"/>
                                              <w:szCs w:val="22"/>
                                            </w:rPr>
                                          </w:pPr>
                                          <w:r>
                                            <w:rPr>
                                              <w:rStyle w:val="65"/>
                                              <w:rFonts w:hint="eastAsia"/>
                                              <w:szCs w:val="22"/>
                                            </w:rPr>
                                            <w:t>噪声</w:t>
                                          </w:r>
                                        </w:p>
                                      </w:txbxContent>
                                    </wps:txbx>
                                    <wps:bodyPr rot="0" vert="horz" wrap="square" lIns="0" tIns="0" rIns="0" bIns="0" anchor="t" anchorCtr="0" upright="1">
                                      <a:noAutofit/>
                                    </wps:bodyPr>
                                  </wps:wsp>
                                  <wps:wsp>
                                    <wps:cNvPr id="140" name="文本框 162"/>
                                    <wps:cNvSpPr txBox="1">
                                      <a:spLocks noChangeArrowheads="1"/>
                                    </wps:cNvSpPr>
                                    <wps:spPr bwMode="auto">
                                      <a:xfrm>
                                        <a:off x="2024" y="7770"/>
                                        <a:ext cx="904" cy="450"/>
                                      </a:xfrm>
                                      <a:prstGeom prst="rect">
                                        <a:avLst/>
                                      </a:prstGeom>
                                      <a:solidFill>
                                        <a:srgbClr val="FFFFFF"/>
                                      </a:solidFill>
                                      <a:ln w="9525">
                                        <a:solidFill>
                                          <a:srgbClr val="000000"/>
                                        </a:solidFill>
                                        <a:miter lim="800000"/>
                                      </a:ln>
                                      <a:effectLst/>
                                    </wps:spPr>
                                    <wps:txbx>
                                      <w:txbxContent>
                                        <w:p w14:paraId="7BEE3893">
                                          <w:pPr>
                                            <w:pStyle w:val="12"/>
                                            <w:spacing w:before="48" w:beforeLines="20"/>
                                            <w:jc w:val="center"/>
                                            <w:rPr>
                                              <w:rStyle w:val="65"/>
                                              <w:szCs w:val="22"/>
                                            </w:rPr>
                                          </w:pPr>
                                          <w:r>
                                            <w:rPr>
                                              <w:rStyle w:val="65"/>
                                              <w:rFonts w:hint="eastAsia"/>
                                              <w:szCs w:val="22"/>
                                            </w:rPr>
                                            <w:t>挖方</w:t>
                                          </w:r>
                                        </w:p>
                                      </w:txbxContent>
                                    </wps:txbx>
                                    <wps:bodyPr rot="0" vert="horz" wrap="square" lIns="0" tIns="0" rIns="0" bIns="0" anchor="t" anchorCtr="0" upright="1">
                                      <a:noAutofit/>
                                    </wps:bodyPr>
                                  </wps:wsp>
                                </wpg:grpSp>
                              </wpg:grpSp>
                              <wps:wsp>
                                <wps:cNvPr id="142" name="文本框 173"/>
                                <wps:cNvSpPr txBox="1">
                                  <a:spLocks noChangeArrowheads="1"/>
                                </wps:cNvSpPr>
                                <wps:spPr bwMode="auto">
                                  <a:xfrm>
                                    <a:off x="3525" y="5641"/>
                                    <a:ext cx="904" cy="450"/>
                                  </a:xfrm>
                                  <a:prstGeom prst="rect">
                                    <a:avLst/>
                                  </a:prstGeom>
                                  <a:solidFill>
                                    <a:srgbClr val="FFFFFF"/>
                                  </a:solidFill>
                                  <a:ln w="9525">
                                    <a:solidFill>
                                      <a:srgbClr val="000000"/>
                                    </a:solidFill>
                                    <a:miter lim="800000"/>
                                  </a:ln>
                                  <a:effectLst/>
                                </wps:spPr>
                                <wps:txbx>
                                  <w:txbxContent>
                                    <w:p w14:paraId="73B593FA">
                                      <w:pPr>
                                        <w:pStyle w:val="12"/>
                                        <w:spacing w:before="48" w:beforeLines="20"/>
                                        <w:jc w:val="center"/>
                                        <w:rPr>
                                          <w:rStyle w:val="65"/>
                                          <w:szCs w:val="22"/>
                                        </w:rPr>
                                      </w:pPr>
                                      <w:r>
                                        <w:rPr>
                                          <w:rStyle w:val="65"/>
                                          <w:rFonts w:hint="eastAsia"/>
                                          <w:sz w:val="15"/>
                                          <w:szCs w:val="15"/>
                                        </w:rPr>
                                        <w:t>生活废水</w:t>
                                      </w:r>
                                    </w:p>
                                  </w:txbxContent>
                                </wps:txbx>
                                <wps:bodyPr rot="0" vert="horz" wrap="square" lIns="0" tIns="0" rIns="0" bIns="0" anchor="t" anchorCtr="0" upright="1">
                                  <a:noAutofit/>
                                </wps:bodyPr>
                              </wps:wsp>
                            </wpg:grpSp>
                            <wps:wsp>
                              <wps:cNvPr id="143" name="自选图形 174"/>
                              <wps:cNvCnPr>
                                <a:cxnSpLocks noChangeShapeType="1"/>
                              </wps:cNvCnPr>
                              <wps:spPr bwMode="auto">
                                <a:xfrm flipV="1">
                                  <a:off x="2482" y="6585"/>
                                  <a:ext cx="0" cy="681"/>
                                </a:xfrm>
                                <a:prstGeom prst="straightConnector1">
                                  <a:avLst/>
                                </a:prstGeom>
                                <a:noFill/>
                                <a:ln w="9525">
                                  <a:solidFill>
                                    <a:srgbClr val="000000"/>
                                  </a:solidFill>
                                  <a:round/>
                                </a:ln>
                                <a:effectLst/>
                              </wps:spPr>
                              <wps:bodyPr/>
                            </wps:wsp>
                          </wpg:wgp>
                        </a:graphicData>
                      </a:graphic>
                    </wp:anchor>
                  </w:drawing>
                </mc:Choice>
                <mc:Fallback>
                  <w:pict>
                    <v:group id="组合 103" o:spid="_x0000_s1026" o:spt="203" style="position:absolute;left:0pt;margin-left:39.1pt;margin-top:14.75pt;height:168.7pt;width:353.65pt;z-index:251662336;mso-width-relative:page;mso-height-relative:page;" coordorigin="1882,4711" coordsize="8491,4109" o:gfxdata="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">
                      <o:lock v:ext="edit" aspectratio="f"/>
                      <v:group id="组合 104" o:spid="_x0000_s1026" o:spt="203" style="position:absolute;left:1882;top:4711;height:4109;width:8491;" coordorigin="1882,4711" coordsize="8491,4109" o:gfxdata="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gRaQvAAAANwAAAAPAAAAAAAAAAEAIAAAACIAAABkcnMvZG93bnJldi54bWxQ&#10;SwECFAAUAAAACACHTuJAMy8FnjsAAAA5AAAAFQAAAAAAAAABACAAAAALAQAAZHJzL2dyb3Vwc2hh&#10;cGV4bWwueG1sUEsFBgAAAAAGAAYAYAEAAMgDAAAAAA==&#10;">
                        <o:lock v:ext="edit" aspectratio="f"/>
                        <v:group id="组合 107" o:spid="_x0000_s1026" o:spt="203" style="position:absolute;left:1882;top:4711;height:4109;width:8491;" coordorigin="1882,4111" coordsize="8491,4109" o:gfxdata="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zbMLvwAAANwAAAAPAAAAAAAAAAEAIAAAACIAAABkcnMvZG93bnJldi54&#10;bWxQSwECFAAUAAAACACHTuJAMy8FnjsAAAA5AAAAFQAAAAAAAAABACAAAAAOAQAAZHJzL2dyb3Vw&#10;c2hhcGV4bWwueG1sUEsFBgAAAAAGAAYAYAEAAMsDAAAAAA==&#10;">
                          <o:lock v:ext="edit" aspectratio="f"/>
                          <v:shape id="自选图形 129" o:spid="_x0000_s1026" o:spt="32" type="#_x0000_t32" style="position:absolute;left:2482;top:5985;height:0;width:5525;" filled="f" stroked="t" coordsize="21600,21600" o:gfxdata="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8aBU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group id="组合 130" o:spid="_x0000_s1026" o:spt="203" style="position:absolute;left:1882;top:4111;height:4109;width:8491;" coordorigin="1882,4111" coordsize="8491,4109" o:gfxdata="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NU4jnvwAAANwAAAAPAAAAAAAAAAEAIAAAACIAAABkcnMvZG93bnJldi54&#10;bWxQSwECFAAUAAAACACHTuJAMy8FnjsAAAA5AAAAFQAAAAAAAAABACAAAAAOAQAAZHJzL2dyb3Vw&#10;c2hhcGV4bWwueG1sUEsFBgAAAAAGAAYAYAEAAMsDAAAAAA==&#10;">
                            <o:lock v:ext="edit" aspectratio="f"/>
                            <v:shape id="自选图形 131" o:spid="_x0000_s1026" o:spt="32" type="#_x0000_t32" style="position:absolute;left:3290;top:6811;height:15;width:363;" filled="f" stroked="t" coordsize="21600,21600" o:gfxdata="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VcR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132" o:spid="_x0000_s1026" o:spt="32" type="#_x0000_t32" style="position:absolute;left:5096;top:6780;height:15;width:363;" filled="f" stroked="t" coordsize="21600,21600" o:gfxdata="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Q4da/&#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133" o:spid="_x0000_s1026" o:spt="32" type="#_x0000_t32" style="position:absolute;left:8696;top:6795;height:15;width:363;" filled="f" stroked="t" coordsize="21600,21600" o:gfxdata="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Cf6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134" o:spid="_x0000_s1026" o:spt="32" type="#_x0000_t32" style="position:absolute;left:6960;top:6811;height:15;width:363;" filled="f" stroked="t" coordsize="21600,21600" o:gfxdata="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O2j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135" o:spid="_x0000_s1026" o:spt="32" type="#_x0000_t32" style="position:absolute;left:4328;top:5985;flip:y;height:681;width:0;" filled="f" stroked="t" coordsize="21600,21600" o:gfxdata="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wbtKLgAAADcAAAA&#10;DwAAAAAAAAABACAAAAAiAAAAZHJzL2Rvd25yZXYueG1sUEsBAhQAFAAAAAgAh07iQDMvBZ47AAAA&#10;OQAAABAAAAAAAAAAAQAgAAAABwEAAGRycy9zaGFwZXhtbC54bWxQSwUGAAAAAAYABgBbAQAAsQMA&#10;AAAA&#10;">
                              <v:fill on="f" focussize="0,0"/>
                              <v:stroke color="#000000" joinstyle="round"/>
                              <v:imagedata o:title=""/>
                              <o:lock v:ext="edit" aspectratio="f"/>
                            </v:shape>
                            <v:shape id="自选图形 136" o:spid="_x0000_s1026" o:spt="32" type="#_x0000_t32" style="position:absolute;left:6216;top:5985;flip:y;height:681;width:1;" filled="f" stroked="t" coordsize="21600,21600" o:gfxdata="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Ski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137" o:spid="_x0000_s1026" o:spt="32" type="#_x0000_t32" style="position:absolute;left:8007;top:5985;flip:y;height:591;width:0;" filled="f" stroked="t" coordsize="21600,21600" o:gfxdata="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qXfz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38" o:spid="_x0000_s1026" o:spt="32" type="#_x0000_t32" style="position:absolute;left:7672;top:5416;flip:y;height:570;width:0;" filled="f" stroked="t" coordsize="21600,21600" o:gfxdata="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CAaLsAAADc&#10;AAAADwAAAAAAAAABACAAAAAiAAAAZHJzL2Rvd25yZXYueG1sUEsBAhQAFAAAAAgAh07iQDMvBZ47&#10;AAAAOQAAABAAAAAAAAAAAQAgAAAACgEAAGRycy9zaGFwZXhtbC54bWxQSwUGAAAAAAYABgBbAQAA&#10;tAMAAAAA&#10;">
                              <v:fill on="f" focussize="0,0"/>
                              <v:stroke color="#000000" joinstyle="round" dashstyle="dash" endarrow="block"/>
                              <v:imagedata o:title=""/>
                              <o:lock v:ext="edit" aspectratio="f"/>
                            </v:shape>
                            <v:shape id="自选图形 139" o:spid="_x0000_s1026" o:spt="32" type="#_x0000_t32" style="position:absolute;left:7672;top:4561;flip:y;height:405;width:0;" filled="f" stroked="t" coordsize="21600,21600" o:gfxdata="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wiI4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140" o:spid="_x0000_s1026" o:spt="32" type="#_x0000_t32" style="position:absolute;left:2482;top:7125;height:555;width:0;" filled="f" stroked="t" coordsize="21600,21600" o:gfxdata="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Q1l3L4A&#10;AADcAAAADwAAAAAAAAABACAAAAAiAAAAZHJzL2Rvd25yZXYueG1sUEsBAhQAFAAAAAgAh07iQDMv&#10;BZ47AAAAOQAAABAAAAAAAAAAAQAgAAAADQEAAGRycy9zaGFwZXhtbC54bWxQSwUGAAAAAAYABgBb&#10;AQAAtwMAAAAA&#10;">
                              <v:fill on="f" focussize="0,0"/>
                              <v:stroke color="#000000" joinstyle="round" dashstyle="dash" endarrow="block"/>
                              <v:imagedata o:title=""/>
                              <o:lock v:ext="edit" aspectratio="f"/>
                            </v:shape>
                            <v:shape id="自选图形 141" o:spid="_x0000_s1026" o:spt="32" type="#_x0000_t32" style="position:absolute;left:4184;top:7440;height:10;width:1990;" filled="f" stroked="t" coordsize="21600,21600" o:gfxdata="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q6KmK/&#10;AAAA3AAAAA8AAAAAAAAAAQAgAAAAIgAAAGRycy9kb3ducmV2LnhtbFBLAQIUABQAAAAIAIdO4kAz&#10;LwWeOwAAADkAAAAQAAAAAAAAAAEAIAAAAA4BAABkcnMvc2hhcGV4bWwueG1sUEsFBgAAAAAGAAYA&#10;WwEAALgDAAAAAA==&#10;">
                              <v:fill on="f" focussize="0,0"/>
                              <v:stroke color="#000000" joinstyle="round"/>
                              <v:imagedata o:title=""/>
                              <o:lock v:ext="edit" aspectratio="f"/>
                            </v:shape>
                            <v:shape id="自选图形 142" o:spid="_x0000_s1026" o:spt="32" type="#_x0000_t32" style="position:absolute;left:6172;top:7116;height:564;width:0;" filled="f" stroked="t" coordsize="21600,21600" o:gfxdata="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yXcL&#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自选图形 143" o:spid="_x0000_s1026" o:spt="32" type="#_x0000_t32" style="position:absolute;left:4184;top:7026;flip:y;height:414;width:1;" filled="f" stroked="t" coordsize="21600,21600" o:gfxdata="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0Dv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文本框 144" o:spid="_x0000_s1026" o:spt="202" type="#_x0000_t202" style="position:absolute;left:7379;top:6576;height:450;width:1212;" fillcolor="#FFFFFF" filled="t" stroked="t" coordsize="21600,21600" o:gfxdata="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MvRq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inset="0mm,0mm,0mm,0mm">
                                <w:txbxContent>
                                  <w:p w14:paraId="0B4D8AC6">
                                    <w:pPr>
                                      <w:pStyle w:val="12"/>
                                      <w:spacing w:before="48" w:beforeLines="20"/>
                                      <w:jc w:val="center"/>
                                      <w:rPr>
                                        <w:rStyle w:val="65"/>
                                        <w:szCs w:val="22"/>
                                      </w:rPr>
                                    </w:pPr>
                                    <w:r>
                                      <w:rPr>
                                        <w:rStyle w:val="65"/>
                                        <w:rFonts w:hint="eastAsia"/>
                                        <w:szCs w:val="22"/>
                                      </w:rPr>
                                      <w:t>设备调试</w:t>
                                    </w:r>
                                  </w:p>
                                </w:txbxContent>
                              </v:textbox>
                            </v:shape>
                            <v:shape id="文本框 145" o:spid="_x0000_s1026" o:spt="202" type="#_x0000_t202" style="position:absolute;left:9161;top:6576;height:450;width:1212;" fillcolor="#FFFFFF" filled="t" stroked="t" coordsize="21600,21600" o:gfxdata="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kAYgb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0mm,0mm,0mm,0mm">
                                <w:txbxContent>
                                  <w:p w14:paraId="50481F28">
                                    <w:pPr>
                                      <w:pStyle w:val="12"/>
                                      <w:spacing w:before="48" w:beforeLines="20"/>
                                      <w:jc w:val="center"/>
                                      <w:rPr>
                                        <w:rStyle w:val="65"/>
                                        <w:szCs w:val="22"/>
                                      </w:rPr>
                                    </w:pPr>
                                    <w:r>
                                      <w:rPr>
                                        <w:rStyle w:val="65"/>
                                        <w:rFonts w:hint="eastAsia"/>
                                        <w:szCs w:val="22"/>
                                      </w:rPr>
                                      <w:t>工程验收</w:t>
                                    </w:r>
                                  </w:p>
                                </w:txbxContent>
                              </v:textbox>
                            </v:shape>
                            <v:shape id="自选图形 146" o:spid="_x0000_s1026" o:spt="32" type="#_x0000_t32" style="position:absolute;left:5751;top:5416;flip:y;height:570;width:0;" filled="f" stroked="t" coordsize="21600,21600" o:gfxdata="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heVXUtwAAANwAAAAP&#10;AAAAAAAAAAEAIAAAACIAAABkcnMvZG93bnJldi54bWxQSwECFAAUAAAACACHTuJAMy8FnjsAAAA5&#10;AAAAEAAAAAAAAAABACAAAAAGAQAAZHJzL3NoYXBleG1sLnhtbFBLBQYAAAAABgAGAFsBAACwAwAA&#10;AAA=&#10;">
                              <v:fill on="f" focussize="0,0"/>
                              <v:stroke color="#000000" joinstyle="round" dashstyle="dash" endarrow="block"/>
                              <v:imagedata o:title=""/>
                              <o:lock v:ext="edit" aspectratio="f"/>
                            </v:shape>
                            <v:shape id="文本框 147" o:spid="_x0000_s1026" o:spt="202" type="#_x0000_t202" style="position:absolute;left:5267;top:4966;height:450;width:904;" fillcolor="#FFFFFF" filled="t" stroked="t" coordsize="21600,21600" o:gfxdata="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42Sg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0mm,0mm,0mm,0mm">
                                <w:txbxContent>
                                  <w:p w14:paraId="78676706">
                                    <w:pPr>
                                      <w:pStyle w:val="12"/>
                                      <w:spacing w:before="48" w:beforeLines="20"/>
                                      <w:jc w:val="center"/>
                                      <w:rPr>
                                        <w:rStyle w:val="65"/>
                                        <w:szCs w:val="22"/>
                                      </w:rPr>
                                    </w:pPr>
                                    <w:r>
                                      <w:rPr>
                                        <w:rStyle w:val="65"/>
                                        <w:rFonts w:hint="eastAsia"/>
                                        <w:szCs w:val="22"/>
                                      </w:rPr>
                                      <w:t>废气</w:t>
                                    </w:r>
                                  </w:p>
                                </w:txbxContent>
                              </v:textbox>
                            </v:shape>
                            <v:shape id="文本框 148" o:spid="_x0000_s1026" o:spt="202" type="#_x0000_t202" style="position:absolute;left:7199;top:4966;height:451;width:1204;" fillcolor="#FFFFFF" filled="t" stroked="t" coordsize="21600,21600" o:gfxdata="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TH617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0mm,0mm,0mm,0mm">
                                <w:txbxContent>
                                  <w:p w14:paraId="461C8057">
                                    <w:pPr>
                                      <w:pStyle w:val="12"/>
                                      <w:spacing w:before="48" w:beforeLines="20"/>
                                      <w:jc w:val="center"/>
                                      <w:rPr>
                                        <w:rStyle w:val="65"/>
                                        <w:sz w:val="21"/>
                                        <w:szCs w:val="21"/>
                                      </w:rPr>
                                    </w:pPr>
                                    <w:r>
                                      <w:rPr>
                                        <w:rStyle w:val="65"/>
                                        <w:rFonts w:hint="eastAsia"/>
                                        <w:sz w:val="21"/>
                                        <w:szCs w:val="21"/>
                                      </w:rPr>
                                      <w:t>施工废水</w:t>
                                    </w:r>
                                  </w:p>
                                </w:txbxContent>
                              </v:textbox>
                            </v:shape>
                            <v:shape id="文本框 149" o:spid="_x0000_s1026" o:spt="202" type="#_x0000_t202" style="position:absolute;left:6369;top:4966;height:450;width:725;" fillcolor="#FFFFFF" filled="t" stroked="t" coordsize="21600,21600" o:gfxdata="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fV9M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0mm,0mm,0mm,0mm">
                                <w:txbxContent>
                                  <w:p w14:paraId="716FEB13">
                                    <w:pPr>
                                      <w:pStyle w:val="12"/>
                                      <w:spacing w:before="48" w:beforeLines="20"/>
                                      <w:jc w:val="center"/>
                                      <w:rPr>
                                        <w:rStyle w:val="65"/>
                                        <w:szCs w:val="22"/>
                                      </w:rPr>
                                    </w:pPr>
                                    <w:r>
                                      <w:rPr>
                                        <w:rStyle w:val="65"/>
                                        <w:rFonts w:hint="eastAsia"/>
                                        <w:szCs w:val="22"/>
                                      </w:rPr>
                                      <w:t>回用</w:t>
                                    </w:r>
                                  </w:p>
                                </w:txbxContent>
                              </v:textbox>
                            </v:shape>
                            <v:shape id="自选图形 150" o:spid="_x0000_s1026" o:spt="32" type="#_x0000_t32" style="position:absolute;left:6762;top:4291;flip:x;height:0;width:437;" filled="f" stroked="t" coordsize="21600,21600" o:gfxdata="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Kg6C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自选图形 151" o:spid="_x0000_s1026" o:spt="32" type="#_x0000_t32" style="position:absolute;left:6762;top:4291;height:675;width:0;" filled="f" stroked="t" coordsize="21600,21600" o:gfxdata="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zMQA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文本框 152" o:spid="_x0000_s1026" o:spt="202" type="#_x0000_t202" style="position:absolute;left:7323;top:4111;height:450;width:725;" fillcolor="#FFFFFF" filled="t" stroked="t" coordsize="21600,21600" o:gfxdata="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RmPb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0mm,0mm,0mm,0mm">
                                <w:txbxContent>
                                  <w:p w14:paraId="4DE46836">
                                    <w:pPr>
                                      <w:pStyle w:val="12"/>
                                      <w:spacing w:before="48" w:beforeLines="20"/>
                                      <w:jc w:val="center"/>
                                      <w:rPr>
                                        <w:rStyle w:val="65"/>
                                        <w:szCs w:val="22"/>
                                      </w:rPr>
                                    </w:pPr>
                                    <w:r>
                                      <w:rPr>
                                        <w:rStyle w:val="65"/>
                                        <w:rFonts w:hint="eastAsia"/>
                                        <w:szCs w:val="22"/>
                                      </w:rPr>
                                      <w:t>沉淀</w:t>
                                    </w:r>
                                  </w:p>
                                </w:txbxContent>
                              </v:textbox>
                            </v:shape>
                            <v:shape id="自选图形 153" o:spid="_x0000_s1026" o:spt="32" type="#_x0000_t32" style="position:absolute;left:6762;top:5416;height:570;width:1;" filled="f" stroked="t" coordsize="21600,21600" o:gfxdata="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cpim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文本框 154" o:spid="_x0000_s1026" o:spt="202" type="#_x0000_t202" style="position:absolute;left:5639;top:7770;height:450;width:904;" fillcolor="#FFFFFF" filled="t" stroked="t" coordsize="21600,21600" o:gfxdata="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KXdG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inset="0mm,0mm,0mm,0mm">
                                <w:txbxContent>
                                  <w:p w14:paraId="6278559E">
                                    <w:pPr>
                                      <w:pStyle w:val="12"/>
                                      <w:spacing w:before="48" w:beforeLines="20"/>
                                      <w:jc w:val="center"/>
                                      <w:rPr>
                                        <w:rStyle w:val="65"/>
                                        <w:szCs w:val="22"/>
                                      </w:rPr>
                                    </w:pPr>
                                    <w:r>
                                      <w:rPr>
                                        <w:rStyle w:val="65"/>
                                        <w:rFonts w:hint="eastAsia"/>
                                        <w:szCs w:val="22"/>
                                      </w:rPr>
                                      <w:t>固废</w:t>
                                    </w:r>
                                  </w:p>
                                </w:txbxContent>
                              </v:textbox>
                            </v:shape>
                            <v:shape id="文本框 155" o:spid="_x0000_s1026" o:spt="202" type="#_x0000_t202" style="position:absolute;left:1882;top:6666;height:450;width:1212;" fillcolor="#FFFFFF" filled="t" stroked="t" coordsize="21600,21600" o:gfxdata="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BvhKugAAANw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inset="0mm,0mm,0mm,0mm">
                                <w:txbxContent>
                                  <w:p w14:paraId="6C074166">
                                    <w:pPr>
                                      <w:pStyle w:val="12"/>
                                      <w:spacing w:before="48" w:beforeLines="20"/>
                                      <w:jc w:val="center"/>
                                      <w:rPr>
                                        <w:rStyle w:val="65"/>
                                      </w:rPr>
                                    </w:pPr>
                                    <w:r>
                                      <w:rPr>
                                        <w:rStyle w:val="65"/>
                                        <w:rFonts w:hint="eastAsia"/>
                                      </w:rPr>
                                      <w:t>基础</w:t>
                                    </w:r>
                                    <w:r>
                                      <w:rPr>
                                        <w:rFonts w:hint="eastAsia"/>
                                      </w:rPr>
                                      <w:t>工</w:t>
                                    </w:r>
                                    <w:r>
                                      <w:rPr>
                                        <w:rStyle w:val="65"/>
                                        <w:rFonts w:hint="eastAsia"/>
                                      </w:rPr>
                                      <w:t>程</w:t>
                                    </w:r>
                                  </w:p>
                                </w:txbxContent>
                              </v:textbox>
                            </v:shape>
                            <v:shape id="文本框 156" o:spid="_x0000_s1026" o:spt="202" type="#_x0000_t202" style="position:absolute;left:3737;top:6666;height:450;width:1212;" fillcolor="#FFFFFF" filled="t" stroked="t" coordsize="21600,21600" o:gfxdata="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9gPr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inset="0mm,0mm,0mm,0mm">
                                <w:txbxContent>
                                  <w:p w14:paraId="2B257B89">
                                    <w:pPr>
                                      <w:pStyle w:val="12"/>
                                      <w:spacing w:before="48" w:beforeLines="20"/>
                                      <w:jc w:val="center"/>
                                      <w:rPr>
                                        <w:rStyle w:val="65"/>
                                      </w:rPr>
                                    </w:pPr>
                                    <w:r>
                                      <w:rPr>
                                        <w:rStyle w:val="65"/>
                                        <w:rFonts w:hint="eastAsia"/>
                                      </w:rPr>
                                      <w:t>主体工程</w:t>
                                    </w:r>
                                  </w:p>
                                </w:txbxContent>
                              </v:textbox>
                            </v:shape>
                            <v:shape id="文本框 157" o:spid="_x0000_s1026" o:spt="202" type="#_x0000_t202" style="position:absolute;left:5550;top:6666;height:450;width:1212;" fillcolor="#FFFFFF" filled="t" stroked="t" coordsize="21600,21600" o:gfxdata="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KPFpb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inset="0mm,0mm,0mm,0mm">
                                <w:txbxContent>
                                  <w:p w14:paraId="7328A2A7">
                                    <w:pPr>
                                      <w:pStyle w:val="12"/>
                                      <w:spacing w:before="48" w:beforeLines="20"/>
                                      <w:jc w:val="center"/>
                                      <w:rPr>
                                        <w:rStyle w:val="65"/>
                                      </w:rPr>
                                    </w:pPr>
                                    <w:r>
                                      <w:rPr>
                                        <w:rStyle w:val="65"/>
                                        <w:rFonts w:hint="eastAsia"/>
                                      </w:rPr>
                                      <w:t>设备安装</w:t>
                                    </w:r>
                                  </w:p>
                                </w:txbxContent>
                              </v:textbox>
                            </v:shape>
                            <v:shape id="自选图形 158" o:spid="_x0000_s1026" o:spt="32" type="#_x0000_t32" style="position:absolute;left:2482;top:6075;flip:y;height:591;width:0;" filled="f" stroked="t" coordsize="21600,21600" o:gfxdata="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op09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59" o:spid="_x0000_s1026" o:spt="32" type="#_x0000_t32" style="position:absolute;left:2848;top:5506;flip:y;height:480;width:1;" filled="f" stroked="t" coordsize="21600,21600" o:gfxdata="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OtqprgAAADcAAAA&#10;DwAAAAAAAAABACAAAAAiAAAAZHJzL2Rvd25yZXYueG1sUEsBAhQAFAAAAAgAh07iQDMvBZ47AAAA&#10;OQAAABAAAAAAAAAAAQAgAAAABwEAAGRycy9zaGFwZXhtbC54bWxQSwUGAAAAAAYABgBbAQAAsQMA&#10;AAAA&#10;">
                              <v:fill on="f" focussize="0,0"/>
                              <v:stroke color="#000000" joinstyle="round" dashstyle="dash" endarrow="block"/>
                              <v:imagedata o:title=""/>
                              <o:lock v:ext="edit" aspectratio="f"/>
                            </v:shape>
                            <v:shape id="自选图形 160" o:spid="_x0000_s1026" o:spt="32" type="#_x0000_t32" style="position:absolute;left:4027;top:5506;flip:y;height:480;width:1;" filled="f" stroked="t" coordsize="21600,21600" o:gfxdata="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0/tS8AAAA&#10;3A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文本框 161" o:spid="_x0000_s1026" o:spt="202" type="#_x0000_t202" style="position:absolute;left:2340;top:5056;height:450;width:904;" fillcolor="#FFFFFF" filled="t" stroked="t" coordsize="21600,21600" o:gfxdata="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7s+gugAAANw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inset="0mm,0mm,0mm,0mm">
                                <w:txbxContent>
                                  <w:p w14:paraId="003EBDD2">
                                    <w:pPr>
                                      <w:pStyle w:val="12"/>
                                      <w:spacing w:before="48" w:beforeLines="20"/>
                                      <w:jc w:val="center"/>
                                      <w:rPr>
                                        <w:rStyle w:val="65"/>
                                        <w:szCs w:val="22"/>
                                      </w:rPr>
                                    </w:pPr>
                                    <w:r>
                                      <w:rPr>
                                        <w:rStyle w:val="65"/>
                                        <w:rFonts w:hint="eastAsia"/>
                                        <w:szCs w:val="22"/>
                                      </w:rPr>
                                      <w:t>噪声</w:t>
                                    </w:r>
                                  </w:p>
                                </w:txbxContent>
                              </v:textbox>
                            </v:shape>
                            <v:shape id="文本框 162" o:spid="_x0000_s1026" o:spt="202" type="#_x0000_t202" style="position:absolute;left:2024;top:7770;height:450;width:904;" fillcolor="#FFFFFF" filled="t" stroked="t" coordsize="21600,21600" o:gfxdata="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IVQL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inset="0mm,0mm,0mm,0mm">
                                <w:txbxContent>
                                  <w:p w14:paraId="7BEE3893">
                                    <w:pPr>
                                      <w:pStyle w:val="12"/>
                                      <w:spacing w:before="48" w:beforeLines="20"/>
                                      <w:jc w:val="center"/>
                                      <w:rPr>
                                        <w:rStyle w:val="65"/>
                                        <w:szCs w:val="22"/>
                                      </w:rPr>
                                    </w:pPr>
                                    <w:r>
                                      <w:rPr>
                                        <w:rStyle w:val="65"/>
                                        <w:rFonts w:hint="eastAsia"/>
                                        <w:szCs w:val="22"/>
                                      </w:rPr>
                                      <w:t>挖方</w:t>
                                    </w:r>
                                  </w:p>
                                </w:txbxContent>
                              </v:textbox>
                            </v:shape>
                          </v:group>
                        </v:group>
                        <v:shape id="文本框 173" o:spid="_x0000_s1026" o:spt="202" type="#_x0000_t202" style="position:absolute;left:3525;top:5641;height:450;width:904;" fillcolor="#FFFFFF" filled="t" stroked="t" coordsize="21600,21600" o:gfxdata="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MLqy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inset="0mm,0mm,0mm,0mm">
                            <w:txbxContent>
                              <w:p w14:paraId="73B593FA">
                                <w:pPr>
                                  <w:pStyle w:val="12"/>
                                  <w:spacing w:before="48" w:beforeLines="20"/>
                                  <w:jc w:val="center"/>
                                  <w:rPr>
                                    <w:rStyle w:val="65"/>
                                    <w:szCs w:val="22"/>
                                  </w:rPr>
                                </w:pPr>
                                <w:r>
                                  <w:rPr>
                                    <w:rStyle w:val="65"/>
                                    <w:rFonts w:hint="eastAsia"/>
                                    <w:sz w:val="15"/>
                                    <w:szCs w:val="15"/>
                                  </w:rPr>
                                  <w:t>生活废水</w:t>
                                </w:r>
                              </w:p>
                            </w:txbxContent>
                          </v:textbox>
                        </v:shape>
                      </v:group>
                      <v:shape id="自选图形 174" o:spid="_x0000_s1026" o:spt="32" type="#_x0000_t32" style="position:absolute;left:2482;top:6585;flip:y;height:681;width:0;" filled="f" stroked="t" coordsize="21600,21600" o:gfxdata="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9NN2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group>
                  </w:pict>
                </mc:Fallback>
              </mc:AlternateContent>
            </w:r>
          </w:p>
          <w:p w14:paraId="53F64F96">
            <w:pPr>
              <w:pStyle w:val="14"/>
              <w:rPr>
                <w:rFonts w:hint="default" w:ascii="Times New Roman" w:hAnsi="Times New Roman" w:cs="Times New Roman"/>
                <w:b/>
                <w:color w:val="auto"/>
              </w:rPr>
            </w:pPr>
          </w:p>
          <w:p w14:paraId="4E52BCE4">
            <w:pPr>
              <w:pStyle w:val="14"/>
              <w:rPr>
                <w:rFonts w:hint="default" w:ascii="Times New Roman" w:hAnsi="Times New Roman" w:cs="Times New Roman"/>
                <w:b/>
                <w:color w:val="auto"/>
              </w:rPr>
            </w:pPr>
          </w:p>
          <w:p w14:paraId="7E346103">
            <w:pPr>
              <w:pStyle w:val="14"/>
              <w:rPr>
                <w:rFonts w:hint="default" w:ascii="Times New Roman" w:hAnsi="Times New Roman" w:cs="Times New Roman"/>
                <w:b/>
                <w:color w:val="auto"/>
              </w:rPr>
            </w:pPr>
          </w:p>
          <w:p w14:paraId="79EE3784">
            <w:pPr>
              <w:pStyle w:val="14"/>
              <w:rPr>
                <w:rFonts w:hint="default" w:ascii="Times New Roman" w:hAnsi="Times New Roman" w:cs="Times New Roman"/>
                <w:b/>
                <w:color w:val="auto"/>
              </w:rPr>
            </w:pPr>
          </w:p>
          <w:p w14:paraId="204B2886">
            <w:pPr>
              <w:ind w:left="210" w:leftChars="100" w:firstLine="211" w:firstLineChars="100"/>
              <w:jc w:val="left"/>
              <w:rPr>
                <w:rFonts w:hint="default" w:ascii="Times New Roman" w:hAnsi="Times New Roman" w:cs="Times New Roman"/>
                <w:b/>
                <w:color w:val="auto"/>
              </w:rPr>
            </w:pPr>
          </w:p>
          <w:p w14:paraId="69B3E1F4">
            <w:pPr>
              <w:ind w:left="210" w:leftChars="100" w:firstLine="211" w:firstLineChars="100"/>
              <w:jc w:val="left"/>
              <w:rPr>
                <w:rFonts w:hint="default" w:ascii="Times New Roman" w:hAnsi="Times New Roman" w:cs="Times New Roman"/>
                <w:b/>
                <w:color w:val="auto"/>
              </w:rPr>
            </w:pPr>
          </w:p>
          <w:p w14:paraId="2A521578">
            <w:pPr>
              <w:ind w:left="210" w:leftChars="100" w:firstLine="211" w:firstLineChars="100"/>
              <w:jc w:val="left"/>
              <w:rPr>
                <w:rFonts w:hint="default" w:ascii="Times New Roman" w:hAnsi="Times New Roman" w:cs="Times New Roman"/>
                <w:b/>
                <w:color w:val="auto"/>
              </w:rPr>
            </w:pPr>
          </w:p>
          <w:p w14:paraId="7E3B9D40">
            <w:pPr>
              <w:ind w:left="210" w:leftChars="100" w:firstLine="211" w:firstLineChars="100"/>
              <w:jc w:val="left"/>
              <w:rPr>
                <w:rFonts w:hint="default" w:ascii="Times New Roman" w:hAnsi="Times New Roman" w:cs="Times New Roman"/>
                <w:b/>
                <w:color w:val="auto"/>
              </w:rPr>
            </w:pPr>
          </w:p>
          <w:p w14:paraId="1C41D035">
            <w:pPr>
              <w:ind w:left="210" w:leftChars="100" w:firstLine="211" w:firstLineChars="100"/>
              <w:jc w:val="left"/>
              <w:rPr>
                <w:rFonts w:hint="default" w:ascii="Times New Roman" w:hAnsi="Times New Roman" w:cs="Times New Roman"/>
                <w:b/>
                <w:color w:val="auto"/>
              </w:rPr>
            </w:pPr>
          </w:p>
          <w:p w14:paraId="318563B9">
            <w:pPr>
              <w:ind w:left="210" w:leftChars="100" w:firstLine="211" w:firstLineChars="100"/>
              <w:jc w:val="left"/>
              <w:rPr>
                <w:rFonts w:hint="default" w:ascii="Times New Roman" w:hAnsi="Times New Roman" w:cs="Times New Roman"/>
                <w:b/>
                <w:color w:val="auto"/>
              </w:rPr>
            </w:pPr>
          </w:p>
          <w:p w14:paraId="2AF594AB">
            <w:pPr>
              <w:ind w:left="210" w:leftChars="100" w:firstLine="211" w:firstLineChars="100"/>
              <w:jc w:val="left"/>
              <w:rPr>
                <w:rFonts w:hint="default" w:ascii="Times New Roman" w:hAnsi="Times New Roman" w:cs="Times New Roman"/>
                <w:b/>
                <w:color w:val="auto"/>
              </w:rPr>
            </w:pPr>
          </w:p>
          <w:p w14:paraId="4D0D656A">
            <w:pPr>
              <w:ind w:left="210" w:leftChars="100" w:firstLine="211" w:firstLineChars="100"/>
              <w:jc w:val="left"/>
              <w:rPr>
                <w:rFonts w:hint="default" w:ascii="Times New Roman" w:hAnsi="Times New Roman" w:cs="Times New Roman"/>
                <w:b/>
                <w:color w:val="auto"/>
              </w:rPr>
            </w:pPr>
          </w:p>
          <w:p w14:paraId="0088D787">
            <w:pPr>
              <w:ind w:left="210" w:leftChars="100" w:firstLine="211" w:firstLineChars="100"/>
              <w:jc w:val="left"/>
              <w:rPr>
                <w:rFonts w:hint="default" w:ascii="Times New Roman" w:hAnsi="Times New Roman" w:cs="Times New Roman"/>
                <w:b/>
                <w:color w:val="auto"/>
              </w:rPr>
            </w:pPr>
          </w:p>
          <w:p w14:paraId="6BBD3394">
            <w:pPr>
              <w:ind w:left="210" w:leftChars="100" w:firstLine="211" w:firstLineChars="100"/>
              <w:jc w:val="left"/>
              <w:rPr>
                <w:rFonts w:hint="default" w:ascii="Times New Roman" w:hAnsi="Times New Roman" w:cs="Times New Roman"/>
                <w:b/>
                <w:color w:val="auto"/>
              </w:rPr>
            </w:pPr>
          </w:p>
          <w:p w14:paraId="1E252392">
            <w:pPr>
              <w:pStyle w:val="45"/>
              <w:rPr>
                <w:rFonts w:hint="default" w:ascii="Times New Roman" w:hAnsi="Times New Roman" w:cs="Times New Roman"/>
                <w:color w:val="auto"/>
              </w:rPr>
            </w:pPr>
            <w:r>
              <w:rPr>
                <w:rFonts w:hint="default" w:ascii="Times New Roman" w:hAnsi="Times New Roman" w:cs="Times New Roman"/>
                <w:color w:val="auto"/>
              </w:rPr>
              <w:t>图2-1施工流程图及产污节点</w:t>
            </w:r>
          </w:p>
          <w:p w14:paraId="2A927909">
            <w:pPr>
              <w:pStyle w:val="44"/>
              <w:ind w:firstLine="480"/>
              <w:rPr>
                <w:rFonts w:hint="default" w:ascii="Times New Roman" w:hAnsi="Times New Roman" w:cs="Times New Roman"/>
                <w:color w:val="auto"/>
              </w:rPr>
            </w:pPr>
            <w:r>
              <w:rPr>
                <w:rFonts w:hint="default" w:ascii="Times New Roman" w:hAnsi="Times New Roman" w:cs="Times New Roman"/>
                <w:color w:val="auto"/>
              </w:rPr>
              <w:t>（1）基础工程</w:t>
            </w:r>
            <w:r>
              <w:rPr>
                <w:rFonts w:hint="default" w:ascii="Times New Roman" w:hAnsi="Times New Roman" w:cs="Times New Roman"/>
                <w:color w:val="auto"/>
              </w:rPr>
              <w:tab/>
            </w:r>
            <w:r>
              <w:rPr>
                <w:rFonts w:hint="default" w:ascii="Times New Roman" w:hAnsi="Times New Roman" w:cs="Times New Roman"/>
                <w:color w:val="auto"/>
              </w:rPr>
              <w:tab/>
            </w:r>
          </w:p>
          <w:p w14:paraId="5890E845">
            <w:pPr>
              <w:pStyle w:val="44"/>
              <w:ind w:firstLine="480"/>
              <w:rPr>
                <w:rFonts w:hint="default" w:ascii="Times New Roman" w:hAnsi="Times New Roman" w:cs="Times New Roman"/>
                <w:color w:val="auto"/>
              </w:rPr>
            </w:pPr>
            <w:r>
              <w:rPr>
                <w:rFonts w:hint="default" w:ascii="Times New Roman" w:hAnsi="Times New Roman" w:cs="Times New Roman"/>
                <w:color w:val="auto"/>
              </w:rPr>
              <w:t>包括地基开挖、地基处理与基础施工。挖土机、运土卡车等运行时，将主要产生噪声；在施工阶段地基施工会有少量弃土产生，弃土于场地整平不外运。土建施工将产生粉尘。</w:t>
            </w:r>
          </w:p>
          <w:p w14:paraId="30C6816D">
            <w:pPr>
              <w:pStyle w:val="44"/>
              <w:ind w:firstLine="480"/>
              <w:rPr>
                <w:rFonts w:hint="default" w:ascii="Times New Roman" w:hAnsi="Times New Roman" w:cs="Times New Roman"/>
                <w:color w:val="auto"/>
              </w:rPr>
            </w:pPr>
            <w:r>
              <w:rPr>
                <w:rFonts w:hint="default" w:ascii="Times New Roman" w:hAnsi="Times New Roman" w:cs="Times New Roman"/>
                <w:color w:val="auto"/>
              </w:rPr>
              <w:t>（2）主体工程施工及设备安装</w:t>
            </w:r>
            <w:r>
              <w:rPr>
                <w:rFonts w:hint="default" w:ascii="Times New Roman" w:hAnsi="Times New Roman" w:cs="Times New Roman"/>
                <w:color w:val="auto"/>
              </w:rPr>
              <w:tab/>
            </w:r>
          </w:p>
          <w:p w14:paraId="5112D90A">
            <w:pPr>
              <w:pStyle w:val="44"/>
              <w:ind w:firstLine="480"/>
              <w:rPr>
                <w:rFonts w:hint="default" w:ascii="Times New Roman" w:hAnsi="Times New Roman" w:cs="Times New Roman"/>
                <w:color w:val="auto"/>
              </w:rPr>
            </w:pPr>
            <w:r>
              <w:rPr>
                <w:rFonts w:hint="default" w:ascii="Times New Roman" w:hAnsi="Times New Roman" w:cs="Times New Roman"/>
                <w:color w:val="auto"/>
              </w:rPr>
              <w:t>本项目主体工程施工主要为生产线设备安装，将配料设备、输送设备及</w:t>
            </w:r>
            <w:r>
              <w:rPr>
                <w:rFonts w:hint="eastAsia" w:ascii="Times New Roman" w:hAnsi="Times New Roman" w:cs="Times New Roman"/>
                <w:color w:val="auto"/>
                <w:lang w:val="en-US" w:eastAsia="zh-CN"/>
              </w:rPr>
              <w:t>破碎机、振动筛</w:t>
            </w:r>
            <w:r>
              <w:rPr>
                <w:rFonts w:hint="default" w:ascii="Times New Roman" w:hAnsi="Times New Roman" w:cs="Times New Roman"/>
                <w:color w:val="auto"/>
              </w:rPr>
              <w:t>等设备采用吊车吊装并安装。主要施工设备为吊车、振动器、运输车辆等。在主体施工及设备安装过程中污染物主要为施工机械噪声，施工人员生活污水、施工废水、生活垃圾</w:t>
            </w:r>
            <w:r>
              <w:rPr>
                <w:rFonts w:hint="eastAsia" w:ascii="Times New Roman" w:hAnsi="Times New Roman" w:cs="Times New Roman"/>
                <w:color w:val="auto"/>
                <w:lang w:eastAsia="zh-CN"/>
              </w:rPr>
              <w:t>、</w:t>
            </w:r>
            <w:r>
              <w:rPr>
                <w:rFonts w:hint="default" w:ascii="Times New Roman" w:hAnsi="Times New Roman" w:cs="Times New Roman"/>
                <w:color w:val="auto"/>
              </w:rPr>
              <w:t>设备废弃包装物。</w:t>
            </w:r>
          </w:p>
          <w:p w14:paraId="61058211">
            <w:pPr>
              <w:pStyle w:val="44"/>
              <w:ind w:firstLine="480"/>
              <w:rPr>
                <w:rFonts w:hint="default" w:ascii="Times New Roman" w:hAnsi="Times New Roman" w:cs="Times New Roman"/>
                <w:color w:val="auto"/>
              </w:rPr>
            </w:pPr>
            <w:r>
              <w:rPr>
                <w:rFonts w:hint="default" w:ascii="Times New Roman" w:hAnsi="Times New Roman" w:cs="Times New Roman"/>
                <w:color w:val="auto"/>
              </w:rPr>
              <w:t>（3）验收</w:t>
            </w:r>
          </w:p>
          <w:p w14:paraId="0AD36FCB">
            <w:pPr>
              <w:pStyle w:val="44"/>
              <w:ind w:firstLine="480"/>
              <w:rPr>
                <w:rFonts w:hint="default" w:ascii="Times New Roman" w:hAnsi="Times New Roman" w:cs="Times New Roman"/>
                <w:color w:val="auto"/>
              </w:rPr>
            </w:pPr>
            <w:r>
              <w:rPr>
                <w:rFonts w:hint="default" w:ascii="Times New Roman" w:hAnsi="Times New Roman" w:cs="Times New Roman"/>
                <w:color w:val="auto"/>
              </w:rPr>
              <w:t>根据设计安装完生产设施设备后，经过验收后即可投入使用。</w:t>
            </w:r>
          </w:p>
          <w:p w14:paraId="596A86DD">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2、运行期工艺流程概述：</w:t>
            </w:r>
          </w:p>
          <w:p w14:paraId="2BB0C975">
            <w:pPr>
              <w:pStyle w:val="44"/>
              <w:ind w:firstLine="480"/>
              <w:rPr>
                <w:rFonts w:hint="default" w:ascii="Times New Roman" w:hAnsi="Times New Roman" w:cs="Times New Roman"/>
                <w:color w:val="auto"/>
              </w:rPr>
            </w:pPr>
            <w:r>
              <w:rPr>
                <w:rFonts w:hint="default" w:ascii="Times New Roman" w:hAnsi="Times New Roman" w:cs="Times New Roman"/>
                <w:color w:val="auto"/>
              </w:rPr>
              <w:t>本项目为预拌</w:t>
            </w:r>
            <w:r>
              <w:rPr>
                <w:rFonts w:hint="eastAsia" w:ascii="Times New Roman" w:hAnsi="Times New Roman" w:cs="Times New Roman"/>
                <w:color w:val="auto"/>
                <w:lang w:val="en-US" w:eastAsia="zh-CN"/>
              </w:rPr>
              <w:t>机制砂、级配碎石生产，</w:t>
            </w:r>
            <w:r>
              <w:rPr>
                <w:rFonts w:hint="default" w:ascii="Times New Roman" w:hAnsi="Times New Roman" w:cs="Times New Roman"/>
                <w:color w:val="auto"/>
              </w:rPr>
              <w:t>运营期生产工艺流程图如下：</w:t>
            </w:r>
          </w:p>
          <w:p w14:paraId="74A4DE91">
            <w:pPr>
              <w:pStyle w:val="44"/>
              <w:ind w:firstLine="480"/>
              <w:rPr>
                <w:rFonts w:hint="default" w:ascii="Times New Roman" w:hAnsi="Times New Roman" w:cs="Times New Roman"/>
                <w:color w:val="auto"/>
              </w:rPr>
            </w:pPr>
            <w:r>
              <w:rPr>
                <w:rFonts w:hint="default" w:ascii="Times New Roman" w:hAnsi="Times New Roman" w:cs="Times New Roman"/>
                <w:color w:val="auto"/>
              </w:rPr>
              <w:t>工艺流程简述：</w:t>
            </w:r>
          </w:p>
          <w:p w14:paraId="187C4845">
            <w:pPr>
              <w:spacing w:line="360" w:lineRule="auto"/>
              <w:ind w:firstLine="480" w:firstLineChars="200"/>
              <w:rPr>
                <w:rFonts w:hint="eastAsia" w:eastAsia="宋体"/>
                <w:bCs/>
                <w:color w:val="000000"/>
                <w:sz w:val="24"/>
                <w:szCs w:val="24"/>
                <w:lang w:eastAsia="zh-CN"/>
              </w:rPr>
            </w:pPr>
            <w:r>
              <w:rPr>
                <w:rFonts w:hint="eastAsia"/>
                <w:bCs/>
                <w:color w:val="000000"/>
                <w:sz w:val="24"/>
                <w:szCs w:val="24"/>
              </w:rPr>
              <w:t>（1）一级破碎</w:t>
            </w:r>
            <w:r>
              <w:rPr>
                <w:rFonts w:hint="eastAsia"/>
                <w:bCs/>
                <w:color w:val="000000"/>
                <w:sz w:val="24"/>
                <w:szCs w:val="24"/>
                <w:lang w:eastAsia="zh-CN"/>
              </w:rPr>
              <w:t>（</w:t>
            </w:r>
            <w:r>
              <w:rPr>
                <w:rFonts w:hint="eastAsia"/>
                <w:bCs/>
                <w:color w:val="000000"/>
                <w:sz w:val="24"/>
                <w:szCs w:val="24"/>
                <w:lang w:val="en-US" w:eastAsia="zh-CN"/>
              </w:rPr>
              <w:t>鄂破</w:t>
            </w:r>
            <w:r>
              <w:rPr>
                <w:rFonts w:hint="eastAsia"/>
                <w:bCs/>
                <w:color w:val="000000"/>
                <w:sz w:val="24"/>
                <w:szCs w:val="24"/>
                <w:lang w:eastAsia="zh-CN"/>
              </w:rPr>
              <w:t>）</w:t>
            </w:r>
          </w:p>
          <w:p w14:paraId="6C830360">
            <w:pPr>
              <w:spacing w:line="360" w:lineRule="auto"/>
              <w:ind w:firstLine="480" w:firstLineChars="200"/>
              <w:rPr>
                <w:rFonts w:hint="eastAsia"/>
                <w:bCs/>
                <w:color w:val="000000"/>
                <w:sz w:val="24"/>
                <w:szCs w:val="24"/>
              </w:rPr>
            </w:pPr>
            <w:r>
              <w:rPr>
                <w:rFonts w:hint="eastAsia"/>
                <w:bCs/>
                <w:color w:val="000000"/>
                <w:sz w:val="24"/>
                <w:szCs w:val="24"/>
              </w:rPr>
              <w:t>将</w:t>
            </w:r>
            <w:r>
              <w:rPr>
                <w:rFonts w:hint="eastAsia"/>
                <w:bCs/>
                <w:color w:val="000000"/>
                <w:sz w:val="24"/>
                <w:szCs w:val="24"/>
                <w:lang w:val="en-US" w:eastAsia="zh-CN"/>
              </w:rPr>
              <w:t>外购的连砂石</w:t>
            </w:r>
            <w:r>
              <w:rPr>
                <w:rFonts w:hint="eastAsia"/>
                <w:bCs/>
                <w:color w:val="000000"/>
                <w:sz w:val="24"/>
                <w:szCs w:val="24"/>
              </w:rPr>
              <w:t>经</w:t>
            </w:r>
            <w:r>
              <w:rPr>
                <w:rFonts w:hint="eastAsia"/>
                <w:bCs/>
                <w:color w:val="000000"/>
                <w:sz w:val="24"/>
                <w:szCs w:val="24"/>
                <w:lang w:val="en-US" w:eastAsia="zh-CN"/>
              </w:rPr>
              <w:t>装载机转运至上料地仓，经皮带输送至颚式破碎</w:t>
            </w:r>
            <w:r>
              <w:rPr>
                <w:rFonts w:hint="eastAsia"/>
                <w:bCs/>
                <w:color w:val="000000"/>
                <w:sz w:val="24"/>
                <w:szCs w:val="24"/>
              </w:rPr>
              <w:t>进行一级破碎，</w:t>
            </w:r>
            <w:r>
              <w:rPr>
                <w:rFonts w:hint="eastAsia"/>
                <w:bCs/>
                <w:color w:val="000000"/>
                <w:sz w:val="24"/>
                <w:szCs w:val="24"/>
                <w:lang w:val="en-US" w:eastAsia="zh-CN"/>
              </w:rPr>
              <w:t>破碎后的物料进入振动筛进行筛选符合规定粒径的碎石，小于40mm的碎石经皮带输送至制砂机进行整形，大于40mm的碎石经皮带输送至圆锥破进一步破碎。一级破碎过程中产生的细砂进入洗砂机中进行洗砂，洗砂主要是去除砂中的泥土。破碎过程中主要污染物为噪声、粉尘</w:t>
            </w:r>
            <w:r>
              <w:rPr>
                <w:rFonts w:hint="eastAsia"/>
                <w:bCs/>
                <w:color w:val="000000"/>
                <w:sz w:val="24"/>
                <w:szCs w:val="24"/>
              </w:rPr>
              <w:t>。破碎处设置水雾喷头喷淋，全部采用湿式破碎。</w:t>
            </w:r>
          </w:p>
          <w:p w14:paraId="22910B94">
            <w:pPr>
              <w:spacing w:line="360" w:lineRule="auto"/>
              <w:ind w:firstLine="480" w:firstLineChars="200"/>
              <w:rPr>
                <w:rFonts w:hint="default" w:eastAsia="宋体"/>
                <w:bCs/>
                <w:color w:val="000000"/>
                <w:sz w:val="24"/>
                <w:szCs w:val="24"/>
                <w:lang w:val="en-US" w:eastAsia="zh-CN"/>
              </w:rPr>
            </w:pPr>
            <w:r>
              <w:rPr>
                <w:rFonts w:hint="eastAsia"/>
                <w:bCs/>
                <w:color w:val="000000"/>
                <w:sz w:val="24"/>
                <w:szCs w:val="24"/>
              </w:rPr>
              <w:t>（2）</w:t>
            </w:r>
            <w:r>
              <w:rPr>
                <w:rFonts w:hint="eastAsia"/>
                <w:bCs/>
                <w:color w:val="000000"/>
                <w:sz w:val="24"/>
                <w:szCs w:val="24"/>
                <w:lang w:val="en-US" w:eastAsia="zh-CN"/>
              </w:rPr>
              <w:t>二级破碎（圆锥破）</w:t>
            </w:r>
          </w:p>
          <w:p w14:paraId="4D633D30">
            <w:pPr>
              <w:spacing w:line="360" w:lineRule="auto"/>
              <w:ind w:firstLine="480" w:firstLineChars="200"/>
              <w:rPr>
                <w:rFonts w:hint="eastAsia"/>
                <w:bCs/>
                <w:color w:val="000000"/>
                <w:sz w:val="24"/>
                <w:szCs w:val="24"/>
              </w:rPr>
            </w:pPr>
            <w:r>
              <w:rPr>
                <w:rFonts w:hint="eastAsia"/>
                <w:bCs/>
                <w:color w:val="000000"/>
                <w:sz w:val="24"/>
                <w:szCs w:val="24"/>
                <w:lang w:val="en-US" w:eastAsia="zh-CN"/>
              </w:rPr>
              <w:t>一级破碎过程中大于40mm的碎石经皮带输送至圆锥破中进一步破碎，破碎后的物料进入振动筛进行筛选符合规定粒径的碎石，小于40mm的碎石经皮带输送至制砂机进行整形，大于40mm的碎石经皮带返回圆锥破进一步破碎直到碎石粒径小于40mm为止。二级破碎过程中产生的细砂进入洗砂机中进行洗砂，洗砂主要是去除砂中的泥土。</w:t>
            </w:r>
          </w:p>
          <w:p w14:paraId="0844E92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bCs/>
                <w:color w:val="000000"/>
                <w:sz w:val="24"/>
                <w:szCs w:val="24"/>
                <w:lang w:val="en-US" w:eastAsia="zh-CN"/>
              </w:rPr>
            </w:pPr>
            <w:r>
              <w:rPr>
                <w:rFonts w:hint="eastAsia"/>
                <w:bCs/>
                <w:color w:val="000000"/>
                <w:sz w:val="24"/>
                <w:szCs w:val="24"/>
                <w:lang w:val="en-US" w:eastAsia="zh-CN"/>
              </w:rPr>
              <w:t>（3）制砂洗砂</w:t>
            </w:r>
          </w:p>
          <w:p w14:paraId="33A74A35">
            <w:pPr>
              <w:spacing w:line="360" w:lineRule="auto"/>
              <w:ind w:firstLine="480" w:firstLineChars="200"/>
              <w:rPr>
                <w:rFonts w:hint="default" w:ascii="Times New Roman" w:hAnsi="Times New Roman" w:eastAsia="宋体" w:cs="Times New Roman"/>
                <w:bCs/>
                <w:color w:val="000000"/>
                <w:sz w:val="24"/>
                <w:szCs w:val="24"/>
                <w:lang w:val="en-US" w:eastAsia="zh-CN"/>
              </w:rPr>
            </w:pPr>
            <w:r>
              <w:rPr>
                <w:rFonts w:hint="eastAsia" w:ascii="Times New Roman" w:hAnsi="Times New Roman" w:eastAsia="宋体" w:cs="Times New Roman"/>
                <w:bCs/>
                <w:color w:val="000000"/>
                <w:sz w:val="24"/>
                <w:szCs w:val="24"/>
                <w:lang w:val="en-US" w:eastAsia="zh-CN"/>
              </w:rPr>
              <w:t>鄂破、圆锥破破碎后小于40mm粒径的碎石经皮带输送至制砂机中进行整形打磨，整形打磨过程中会产生一定量的机制砂，整形打磨完成后物料进入振动筛进行筛选，分别筛选出机制砂、10mm</w:t>
            </w:r>
            <w:r>
              <w:rPr>
                <w:rFonts w:hint="eastAsia" w:cs="Times New Roman"/>
                <w:bCs/>
                <w:color w:val="000000"/>
                <w:sz w:val="24"/>
                <w:szCs w:val="24"/>
                <w:lang w:val="en-US" w:eastAsia="zh-CN"/>
              </w:rPr>
              <w:t>以下</w:t>
            </w:r>
            <w:r>
              <w:rPr>
                <w:rFonts w:hint="eastAsia" w:ascii="Times New Roman" w:hAnsi="Times New Roman" w:eastAsia="宋体" w:cs="Times New Roman"/>
                <w:bCs/>
                <w:color w:val="000000"/>
                <w:sz w:val="24"/>
                <w:szCs w:val="24"/>
                <w:lang w:val="en-US" w:eastAsia="zh-CN"/>
              </w:rPr>
              <w:t>碎石，1-2级碎石和1-3级碎石。其中10mm以下的碎石返回制砂机中用于制砂，1-2级碎石和1-3级碎石输送至成品堆场待售，机制砂进入洗砂机洗砂。本项目制砂为湿法制砂。</w:t>
            </w:r>
          </w:p>
          <w:p w14:paraId="3AC8C2F4">
            <w:pPr>
              <w:rPr>
                <w:rFonts w:hint="eastAsia" w:eastAsia="宋体"/>
                <w:bCs/>
                <w:color w:val="000000"/>
                <w:sz w:val="24"/>
                <w:szCs w:val="24"/>
                <w:lang w:eastAsia="zh-CN"/>
              </w:rPr>
            </w:pPr>
            <w:r>
              <w:rPr>
                <w:rFonts w:hint="eastAsia" w:eastAsia="宋体"/>
                <w:bCs/>
                <w:color w:val="000000"/>
                <w:sz w:val="24"/>
                <w:szCs w:val="24"/>
                <w:lang w:eastAsia="zh-CN"/>
              </w:rPr>
              <w:drawing>
                <wp:inline distT="0" distB="0" distL="114300" distR="114300">
                  <wp:extent cx="5305425" cy="3974465"/>
                  <wp:effectExtent l="0" t="0" r="9525" b="6985"/>
                  <wp:docPr id="9" name="图片 9" descr="工艺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工艺流程"/>
                          <pic:cNvPicPr>
                            <a:picLocks noChangeAspect="1"/>
                          </pic:cNvPicPr>
                        </pic:nvPicPr>
                        <pic:blipFill>
                          <a:blip r:embed="rId11"/>
                          <a:stretch>
                            <a:fillRect/>
                          </a:stretch>
                        </pic:blipFill>
                        <pic:spPr>
                          <a:xfrm>
                            <a:off x="0" y="0"/>
                            <a:ext cx="5305425" cy="3974465"/>
                          </a:xfrm>
                          <a:prstGeom prst="rect">
                            <a:avLst/>
                          </a:prstGeom>
                        </pic:spPr>
                      </pic:pic>
                    </a:graphicData>
                  </a:graphic>
                </wp:inline>
              </w:drawing>
            </w:r>
          </w:p>
          <w:p w14:paraId="25460961">
            <w:pPr>
              <w:pStyle w:val="45"/>
              <w:jc w:val="both"/>
              <w:rPr>
                <w:rFonts w:hint="default" w:ascii="Times New Roman" w:hAnsi="Times New Roman" w:cs="Times New Roman"/>
                <w:color w:val="auto"/>
              </w:rPr>
            </w:pPr>
          </w:p>
          <w:p w14:paraId="6BA270A0">
            <w:pPr>
              <w:pStyle w:val="45"/>
              <w:rPr>
                <w:rFonts w:hint="eastAsia" w:eastAsia="宋体"/>
                <w:bCs/>
                <w:color w:val="000000"/>
                <w:sz w:val="24"/>
                <w:szCs w:val="24"/>
                <w:lang w:eastAsia="zh-CN"/>
              </w:rPr>
            </w:pPr>
            <w:r>
              <w:rPr>
                <w:rFonts w:hint="default" w:ascii="Times New Roman" w:hAnsi="Times New Roman" w:cs="Times New Roman"/>
                <w:color w:val="auto"/>
              </w:rPr>
              <w:t>图2-</w:t>
            </w:r>
            <w:r>
              <w:rPr>
                <w:rFonts w:hint="eastAsia" w:ascii="Times New Roman" w:hAnsi="Times New Roman" w:cs="Times New Roman"/>
                <w:color w:val="auto"/>
                <w:lang w:val="en-US" w:eastAsia="zh-CN"/>
              </w:rPr>
              <w:t>2工艺流程图</w:t>
            </w:r>
          </w:p>
          <w:p w14:paraId="5A7D2FCC">
            <w:pPr>
              <w:spacing w:line="360" w:lineRule="auto"/>
              <w:ind w:firstLine="480" w:firstLineChars="200"/>
              <w:rPr>
                <w:rFonts w:hint="default" w:ascii="Times New Roman" w:hAnsi="Times New Roman" w:eastAsia="宋体" w:cs="Times New Roman"/>
                <w:bCs/>
                <w:color w:val="000000"/>
                <w:sz w:val="24"/>
                <w:szCs w:val="24"/>
                <w:lang w:val="en-US" w:eastAsia="zh-CN"/>
              </w:rPr>
            </w:pPr>
            <w:r>
              <w:rPr>
                <w:rFonts w:hint="eastAsia" w:ascii="Times New Roman" w:hAnsi="Times New Roman" w:eastAsia="宋体" w:cs="Times New Roman"/>
                <w:bCs/>
                <w:color w:val="000000"/>
                <w:sz w:val="24"/>
                <w:szCs w:val="24"/>
                <w:lang w:val="en-US" w:eastAsia="zh-CN"/>
              </w:rPr>
              <w:t>项目营运期间洗砂过程中产生的废水进入三级沉淀池处理后，清水进入</w:t>
            </w:r>
            <w:r>
              <w:rPr>
                <w:rFonts w:hint="eastAsia" w:cs="Times New Roman"/>
                <w:bCs/>
                <w:color w:val="000000"/>
                <w:sz w:val="24"/>
                <w:szCs w:val="24"/>
                <w:lang w:val="en-US" w:eastAsia="zh-CN"/>
              </w:rPr>
              <w:t>三级沉淀池中的</w:t>
            </w:r>
            <w:r>
              <w:rPr>
                <w:rFonts w:hint="eastAsia" w:ascii="Times New Roman" w:hAnsi="Times New Roman" w:eastAsia="宋体" w:cs="Times New Roman"/>
                <w:bCs/>
                <w:color w:val="000000"/>
                <w:sz w:val="24"/>
                <w:szCs w:val="24"/>
                <w:lang w:val="en-US" w:eastAsia="zh-CN"/>
              </w:rPr>
              <w:t>清水池回用，泥浆进入泥浆罐絮凝后进入压滤机压滤处理，压滤清水进入清水池回用于生产。</w:t>
            </w:r>
          </w:p>
          <w:p w14:paraId="15478276">
            <w:pPr>
              <w:pStyle w:val="44"/>
              <w:ind w:firstLine="482"/>
              <w:rPr>
                <w:rFonts w:hint="default" w:ascii="Times New Roman" w:hAnsi="Times New Roman" w:cs="Times New Roman"/>
                <w:b/>
                <w:bCs/>
                <w:color w:val="auto"/>
              </w:rPr>
            </w:pPr>
          </w:p>
          <w:p w14:paraId="29C1EA9A">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3、项目水平衡及物料平衡</w:t>
            </w:r>
          </w:p>
          <w:p w14:paraId="1027B535">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1）物料平衡</w:t>
            </w:r>
          </w:p>
          <w:p w14:paraId="5BA4CA90">
            <w:pPr>
              <w:pStyle w:val="44"/>
              <w:ind w:firstLine="480"/>
              <w:rPr>
                <w:rFonts w:hint="default" w:ascii="Times New Roman" w:hAnsi="Times New Roman" w:cs="Times New Roman"/>
                <w:color w:val="auto"/>
              </w:rPr>
            </w:pPr>
            <w:r>
              <w:rPr>
                <w:rFonts w:hint="default" w:ascii="Times New Roman" w:hAnsi="Times New Roman" w:cs="Times New Roman"/>
                <w:color w:val="auto"/>
              </w:rPr>
              <w:t>本项目</w:t>
            </w:r>
            <w:r>
              <w:rPr>
                <w:rFonts w:hint="eastAsia" w:ascii="Times New Roman" w:hAnsi="Times New Roman" w:cs="Times New Roman"/>
                <w:color w:val="auto"/>
                <w:lang w:val="en-US" w:eastAsia="zh-CN"/>
              </w:rPr>
              <w:t>主要原料为连砂石，水处理剂辅料为聚丙烯酰胺，产出物为机制砂、1-2级配碎石、1-3级配碎石等，项目物料平衡表如下：</w:t>
            </w:r>
          </w:p>
          <w:p w14:paraId="21DAC7A6">
            <w:pPr>
              <w:pStyle w:val="45"/>
              <w:rPr>
                <w:rFonts w:hint="default" w:ascii="Times New Roman" w:hAnsi="Times New Roman" w:cs="Times New Roman"/>
                <w:color w:val="auto"/>
              </w:rPr>
            </w:pPr>
            <w:r>
              <w:rPr>
                <w:rFonts w:hint="default" w:ascii="Times New Roman" w:hAnsi="Times New Roman" w:cs="Times New Roman"/>
                <w:color w:val="auto"/>
              </w:rPr>
              <w:t>表2-6物料平衡表</w:t>
            </w:r>
          </w:p>
          <w:tbl>
            <w:tblPr>
              <w:tblStyle w:val="22"/>
              <w:tblW w:w="8217"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951"/>
              <w:gridCol w:w="2607"/>
              <w:gridCol w:w="1829"/>
              <w:gridCol w:w="1830"/>
            </w:tblGrid>
            <w:tr w14:paraId="528498A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8" w:hRule="atLeast"/>
                <w:jc w:val="center"/>
              </w:trPr>
              <w:tc>
                <w:tcPr>
                  <w:tcW w:w="1951" w:type="dxa"/>
                  <w:noWrap w:val="0"/>
                  <w:vAlign w:val="center"/>
                </w:tcPr>
                <w:p w14:paraId="1E41A331">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项目</w:t>
                  </w:r>
                </w:p>
              </w:tc>
              <w:tc>
                <w:tcPr>
                  <w:tcW w:w="2607" w:type="dxa"/>
                  <w:noWrap w:val="0"/>
                  <w:vAlign w:val="center"/>
                </w:tcPr>
                <w:p w14:paraId="35008839">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名称</w:t>
                  </w:r>
                </w:p>
              </w:tc>
              <w:tc>
                <w:tcPr>
                  <w:tcW w:w="1829" w:type="dxa"/>
                  <w:noWrap w:val="0"/>
                  <w:vAlign w:val="center"/>
                </w:tcPr>
                <w:p w14:paraId="5E9A7FCC">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数量（t/a）</w:t>
                  </w:r>
                </w:p>
              </w:tc>
              <w:tc>
                <w:tcPr>
                  <w:tcW w:w="1830" w:type="dxa"/>
                  <w:noWrap w:val="0"/>
                  <w:vAlign w:val="center"/>
                </w:tcPr>
                <w:p w14:paraId="0A697FEC">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合计（t/a）</w:t>
                  </w:r>
                </w:p>
              </w:tc>
            </w:tr>
            <w:tr w14:paraId="64E11FC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1951" w:type="dxa"/>
                  <w:vMerge w:val="restart"/>
                  <w:noWrap w:val="0"/>
                  <w:vAlign w:val="center"/>
                </w:tcPr>
                <w:p w14:paraId="279EA89B">
                  <w:pPr>
                    <w:jc w:val="center"/>
                    <w:rPr>
                      <w:rFonts w:hint="default" w:ascii="Times New Roman" w:hAnsi="Times New Roman" w:cs="Times New Roman"/>
                      <w:color w:val="auto"/>
                      <w:szCs w:val="21"/>
                    </w:rPr>
                  </w:pPr>
                  <w:r>
                    <w:rPr>
                      <w:rFonts w:hint="default" w:ascii="Times New Roman" w:hAnsi="Times New Roman" w:cs="Times New Roman"/>
                      <w:color w:val="auto"/>
                      <w:szCs w:val="21"/>
                    </w:rPr>
                    <w:t>投入</w:t>
                  </w:r>
                </w:p>
              </w:tc>
              <w:tc>
                <w:tcPr>
                  <w:tcW w:w="2607" w:type="dxa"/>
                  <w:noWrap w:val="0"/>
                  <w:vAlign w:val="center"/>
                </w:tcPr>
                <w:p w14:paraId="741EB0C5">
                  <w:pPr>
                    <w:widowControl/>
                    <w:jc w:val="center"/>
                    <w:textAlignment w:val="center"/>
                    <w:rPr>
                      <w:rFonts w:hint="default" w:ascii="Times New Roman" w:hAnsi="Times New Roman" w:cs="Times New Roman"/>
                      <w:color w:val="auto"/>
                      <w:kern w:val="0"/>
                      <w:sz w:val="22"/>
                      <w:szCs w:val="22"/>
                      <w:lang w:val="en-US" w:eastAsia="zh-CN" w:bidi="ar"/>
                    </w:rPr>
                  </w:pPr>
                  <w:r>
                    <w:rPr>
                      <w:rFonts w:hint="eastAsia" w:ascii="Times New Roman" w:hAnsi="Times New Roman" w:cs="Times New Roman"/>
                      <w:color w:val="auto"/>
                      <w:kern w:val="0"/>
                      <w:sz w:val="22"/>
                      <w:szCs w:val="22"/>
                      <w:lang w:val="en-US" w:eastAsia="zh-CN" w:bidi="ar"/>
                    </w:rPr>
                    <w:t>连砂石</w:t>
                  </w:r>
                </w:p>
              </w:tc>
              <w:tc>
                <w:tcPr>
                  <w:tcW w:w="1829" w:type="dxa"/>
                  <w:noWrap w:val="0"/>
                  <w:vAlign w:val="center"/>
                </w:tcPr>
                <w:p w14:paraId="77E2D1FE">
                  <w:pPr>
                    <w:keepNext w:val="0"/>
                    <w:keepLines w:val="0"/>
                    <w:widowControl/>
                    <w:suppressLineNumbers w:val="0"/>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i w:val="0"/>
                      <w:iCs w:val="0"/>
                      <w:color w:val="000000"/>
                      <w:kern w:val="0"/>
                      <w:sz w:val="21"/>
                      <w:szCs w:val="21"/>
                      <w:u w:val="none"/>
                      <w:lang w:val="en-US" w:eastAsia="zh-CN" w:bidi="ar"/>
                    </w:rPr>
                    <w:t>1010000</w:t>
                  </w:r>
                </w:p>
              </w:tc>
              <w:tc>
                <w:tcPr>
                  <w:tcW w:w="1830" w:type="dxa"/>
                  <w:vMerge w:val="restart"/>
                  <w:noWrap w:val="0"/>
                  <w:vAlign w:val="center"/>
                </w:tcPr>
                <w:p w14:paraId="24174E1B">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1010100</w:t>
                  </w:r>
                </w:p>
              </w:tc>
            </w:tr>
            <w:tr w14:paraId="3584964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1951" w:type="dxa"/>
                  <w:vMerge w:val="continue"/>
                  <w:noWrap w:val="0"/>
                  <w:vAlign w:val="center"/>
                </w:tcPr>
                <w:p w14:paraId="640B463C">
                  <w:pPr>
                    <w:jc w:val="center"/>
                    <w:rPr>
                      <w:rFonts w:hint="default" w:ascii="Times New Roman" w:hAnsi="Times New Roman" w:cs="Times New Roman"/>
                      <w:color w:val="auto"/>
                      <w:szCs w:val="21"/>
                    </w:rPr>
                  </w:pPr>
                </w:p>
              </w:tc>
              <w:tc>
                <w:tcPr>
                  <w:tcW w:w="2607" w:type="dxa"/>
                  <w:noWrap w:val="0"/>
                  <w:vAlign w:val="center"/>
                </w:tcPr>
                <w:p w14:paraId="1A00A3BB">
                  <w:pPr>
                    <w:widowControl/>
                    <w:jc w:val="center"/>
                    <w:textAlignment w:val="center"/>
                    <w:rPr>
                      <w:rFonts w:hint="default" w:cs="Times New Roman"/>
                      <w:color w:val="auto"/>
                      <w:kern w:val="0"/>
                      <w:sz w:val="22"/>
                      <w:szCs w:val="22"/>
                      <w:lang w:val="en-US" w:eastAsia="zh-CN" w:bidi="ar"/>
                    </w:rPr>
                  </w:pPr>
                  <w:r>
                    <w:rPr>
                      <w:rFonts w:hint="eastAsia" w:cs="Times New Roman"/>
                      <w:color w:val="auto"/>
                      <w:kern w:val="0"/>
                      <w:sz w:val="22"/>
                      <w:szCs w:val="22"/>
                      <w:lang w:val="en-US" w:eastAsia="zh-CN" w:bidi="ar"/>
                    </w:rPr>
                    <w:t>聚丙烯酰胺</w:t>
                  </w:r>
                </w:p>
              </w:tc>
              <w:tc>
                <w:tcPr>
                  <w:tcW w:w="1829" w:type="dxa"/>
                  <w:noWrap w:val="0"/>
                  <w:vAlign w:val="center"/>
                </w:tcPr>
                <w:p w14:paraId="242AB1A7">
                  <w:pPr>
                    <w:keepNext w:val="0"/>
                    <w:keepLines w:val="0"/>
                    <w:widowControl/>
                    <w:suppressLineNumbers w:val="0"/>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i w:val="0"/>
                      <w:iCs w:val="0"/>
                      <w:color w:val="000000"/>
                      <w:kern w:val="0"/>
                      <w:sz w:val="21"/>
                      <w:szCs w:val="21"/>
                      <w:u w:val="none"/>
                      <w:lang w:val="en-US" w:eastAsia="zh-CN" w:bidi="ar"/>
                    </w:rPr>
                    <w:t>100</w:t>
                  </w:r>
                </w:p>
              </w:tc>
              <w:tc>
                <w:tcPr>
                  <w:tcW w:w="1830" w:type="dxa"/>
                  <w:vMerge w:val="continue"/>
                  <w:noWrap w:val="0"/>
                  <w:vAlign w:val="center"/>
                </w:tcPr>
                <w:p w14:paraId="50F0D26F">
                  <w:pPr>
                    <w:jc w:val="center"/>
                    <w:rPr>
                      <w:rFonts w:hint="default" w:ascii="Times New Roman" w:hAnsi="Times New Roman" w:cs="Times New Roman"/>
                      <w:color w:val="auto"/>
                      <w:szCs w:val="21"/>
                    </w:rPr>
                  </w:pPr>
                </w:p>
              </w:tc>
            </w:tr>
            <w:tr w14:paraId="52C4E55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68" w:hRule="atLeast"/>
                <w:jc w:val="center"/>
              </w:trPr>
              <w:tc>
                <w:tcPr>
                  <w:tcW w:w="1951" w:type="dxa"/>
                  <w:vMerge w:val="restart"/>
                  <w:noWrap w:val="0"/>
                  <w:vAlign w:val="center"/>
                </w:tcPr>
                <w:p w14:paraId="1029DAAF">
                  <w:pPr>
                    <w:jc w:val="center"/>
                    <w:rPr>
                      <w:rFonts w:hint="default" w:ascii="Times New Roman" w:hAnsi="Times New Roman" w:cs="Times New Roman"/>
                      <w:color w:val="auto"/>
                      <w:szCs w:val="21"/>
                    </w:rPr>
                  </w:pPr>
                  <w:r>
                    <w:rPr>
                      <w:rFonts w:hint="default" w:ascii="Times New Roman" w:hAnsi="Times New Roman" w:cs="Times New Roman"/>
                      <w:color w:val="auto"/>
                      <w:szCs w:val="21"/>
                    </w:rPr>
                    <w:t>产出</w:t>
                  </w:r>
                </w:p>
              </w:tc>
              <w:tc>
                <w:tcPr>
                  <w:tcW w:w="2607" w:type="dxa"/>
                  <w:noWrap w:val="0"/>
                  <w:vAlign w:val="center"/>
                </w:tcPr>
                <w:p w14:paraId="51B97EA1">
                  <w:pPr>
                    <w:widowControl/>
                    <w:jc w:val="center"/>
                    <w:textAlignment w:val="center"/>
                    <w:rPr>
                      <w:rFonts w:hint="default" w:cs="Times New Roman"/>
                      <w:color w:val="auto"/>
                      <w:kern w:val="0"/>
                      <w:sz w:val="22"/>
                      <w:szCs w:val="22"/>
                      <w:lang w:val="en-US" w:eastAsia="zh-CN" w:bidi="ar"/>
                    </w:rPr>
                  </w:pPr>
                  <w:r>
                    <w:rPr>
                      <w:rFonts w:hint="eastAsia" w:cs="Times New Roman"/>
                      <w:color w:val="auto"/>
                      <w:kern w:val="0"/>
                      <w:sz w:val="22"/>
                      <w:szCs w:val="22"/>
                      <w:lang w:val="en-US" w:eastAsia="zh-CN" w:bidi="ar"/>
                    </w:rPr>
                    <w:t>机制砂</w:t>
                  </w:r>
                </w:p>
              </w:tc>
              <w:tc>
                <w:tcPr>
                  <w:tcW w:w="1829" w:type="dxa"/>
                  <w:noWrap w:val="0"/>
                  <w:vAlign w:val="center"/>
                </w:tcPr>
                <w:p w14:paraId="3ED2EBF9">
                  <w:pPr>
                    <w:keepNext w:val="0"/>
                    <w:keepLines w:val="0"/>
                    <w:widowControl/>
                    <w:suppressLineNumbers w:val="0"/>
                    <w:jc w:val="center"/>
                    <w:textAlignment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399999.13 </w:t>
                  </w:r>
                </w:p>
              </w:tc>
              <w:tc>
                <w:tcPr>
                  <w:tcW w:w="1830" w:type="dxa"/>
                  <w:vMerge w:val="restart"/>
                  <w:noWrap w:val="0"/>
                  <w:vAlign w:val="center"/>
                </w:tcPr>
                <w:p w14:paraId="0BD6CA87">
                  <w:pPr>
                    <w:jc w:val="center"/>
                    <w:rPr>
                      <w:rFonts w:hint="default" w:ascii="Times New Roman" w:hAnsi="Times New Roman" w:eastAsia="宋体" w:cs="Times New Roman"/>
                      <w:color w:val="auto"/>
                      <w:szCs w:val="21"/>
                      <w:lang w:eastAsia="zh-CN"/>
                    </w:rPr>
                  </w:pPr>
                  <w:r>
                    <w:rPr>
                      <w:rFonts w:hint="eastAsia" w:cs="Times New Roman"/>
                      <w:color w:val="auto"/>
                      <w:szCs w:val="21"/>
                      <w:lang w:val="en-US" w:eastAsia="zh-CN"/>
                    </w:rPr>
                    <w:t>1010100</w:t>
                  </w:r>
                </w:p>
              </w:tc>
            </w:tr>
            <w:tr w14:paraId="133BFA4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68" w:hRule="atLeast"/>
                <w:jc w:val="center"/>
              </w:trPr>
              <w:tc>
                <w:tcPr>
                  <w:tcW w:w="1951" w:type="dxa"/>
                  <w:vMerge w:val="continue"/>
                  <w:noWrap w:val="0"/>
                  <w:vAlign w:val="center"/>
                </w:tcPr>
                <w:p w14:paraId="22AA7FD8">
                  <w:pPr>
                    <w:jc w:val="center"/>
                    <w:rPr>
                      <w:rFonts w:hint="default" w:ascii="Times New Roman" w:hAnsi="Times New Roman" w:cs="Times New Roman"/>
                      <w:color w:val="auto"/>
                      <w:szCs w:val="21"/>
                    </w:rPr>
                  </w:pPr>
                </w:p>
              </w:tc>
              <w:tc>
                <w:tcPr>
                  <w:tcW w:w="2607" w:type="dxa"/>
                  <w:noWrap w:val="0"/>
                  <w:vAlign w:val="center"/>
                </w:tcPr>
                <w:p w14:paraId="514161E3">
                  <w:pPr>
                    <w:widowControl/>
                    <w:jc w:val="center"/>
                    <w:textAlignment w:val="center"/>
                    <w:rPr>
                      <w:rFonts w:hint="default" w:cs="Times New Roman"/>
                      <w:color w:val="auto"/>
                      <w:kern w:val="0"/>
                      <w:sz w:val="22"/>
                      <w:szCs w:val="22"/>
                      <w:lang w:val="en-US" w:eastAsia="zh-CN" w:bidi="ar"/>
                    </w:rPr>
                  </w:pPr>
                  <w:r>
                    <w:rPr>
                      <w:rFonts w:hint="eastAsia" w:cs="Times New Roman"/>
                      <w:color w:val="auto"/>
                      <w:kern w:val="0"/>
                      <w:sz w:val="22"/>
                      <w:szCs w:val="22"/>
                      <w:lang w:val="en-US" w:eastAsia="zh-CN" w:bidi="ar"/>
                    </w:rPr>
                    <w:t>1-2级配碎石</w:t>
                  </w:r>
                </w:p>
              </w:tc>
              <w:tc>
                <w:tcPr>
                  <w:tcW w:w="1829" w:type="dxa"/>
                  <w:noWrap w:val="0"/>
                  <w:vAlign w:val="center"/>
                </w:tcPr>
                <w:p w14:paraId="5C1F0F50">
                  <w:pPr>
                    <w:keepNext w:val="0"/>
                    <w:keepLines w:val="0"/>
                    <w:widowControl/>
                    <w:suppressLineNumbers w:val="0"/>
                    <w:jc w:val="center"/>
                    <w:textAlignment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299999.13 </w:t>
                  </w:r>
                </w:p>
              </w:tc>
              <w:tc>
                <w:tcPr>
                  <w:tcW w:w="1830" w:type="dxa"/>
                  <w:vMerge w:val="continue"/>
                  <w:noWrap w:val="0"/>
                  <w:vAlign w:val="center"/>
                </w:tcPr>
                <w:p w14:paraId="7526EE8B">
                  <w:pPr>
                    <w:jc w:val="center"/>
                    <w:rPr>
                      <w:rFonts w:hint="default" w:ascii="Times New Roman" w:hAnsi="Times New Roman" w:cs="Times New Roman"/>
                      <w:color w:val="auto"/>
                      <w:szCs w:val="21"/>
                    </w:rPr>
                  </w:pPr>
                </w:p>
              </w:tc>
            </w:tr>
            <w:tr w14:paraId="1F36A8D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68" w:hRule="atLeast"/>
                <w:jc w:val="center"/>
              </w:trPr>
              <w:tc>
                <w:tcPr>
                  <w:tcW w:w="1951" w:type="dxa"/>
                  <w:vMerge w:val="continue"/>
                  <w:noWrap w:val="0"/>
                  <w:vAlign w:val="center"/>
                </w:tcPr>
                <w:p w14:paraId="5A8E2D00">
                  <w:pPr>
                    <w:jc w:val="center"/>
                    <w:rPr>
                      <w:rFonts w:hint="default" w:ascii="Times New Roman" w:hAnsi="Times New Roman" w:cs="Times New Roman"/>
                      <w:color w:val="auto"/>
                      <w:szCs w:val="21"/>
                    </w:rPr>
                  </w:pPr>
                </w:p>
              </w:tc>
              <w:tc>
                <w:tcPr>
                  <w:tcW w:w="2607" w:type="dxa"/>
                  <w:noWrap w:val="0"/>
                  <w:vAlign w:val="center"/>
                </w:tcPr>
                <w:p w14:paraId="1A3EB94E">
                  <w:pPr>
                    <w:widowControl/>
                    <w:jc w:val="center"/>
                    <w:textAlignment w:val="center"/>
                    <w:rPr>
                      <w:rFonts w:hint="default" w:cs="Times New Roman"/>
                      <w:color w:val="auto"/>
                      <w:kern w:val="0"/>
                      <w:sz w:val="22"/>
                      <w:szCs w:val="22"/>
                      <w:lang w:val="en-US" w:eastAsia="zh-CN" w:bidi="ar"/>
                    </w:rPr>
                  </w:pPr>
                  <w:r>
                    <w:rPr>
                      <w:rFonts w:hint="eastAsia" w:cs="Times New Roman"/>
                      <w:color w:val="auto"/>
                      <w:kern w:val="0"/>
                      <w:sz w:val="22"/>
                      <w:szCs w:val="22"/>
                      <w:lang w:val="en-US" w:eastAsia="zh-CN" w:bidi="ar"/>
                    </w:rPr>
                    <w:t>1-3级配碎石</w:t>
                  </w:r>
                </w:p>
              </w:tc>
              <w:tc>
                <w:tcPr>
                  <w:tcW w:w="1829" w:type="dxa"/>
                  <w:noWrap w:val="0"/>
                  <w:vAlign w:val="center"/>
                </w:tcPr>
                <w:p w14:paraId="6668A684">
                  <w:pPr>
                    <w:keepNext w:val="0"/>
                    <w:keepLines w:val="0"/>
                    <w:widowControl/>
                    <w:suppressLineNumbers w:val="0"/>
                    <w:jc w:val="center"/>
                    <w:textAlignment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299999.13 </w:t>
                  </w:r>
                </w:p>
              </w:tc>
              <w:tc>
                <w:tcPr>
                  <w:tcW w:w="1830" w:type="dxa"/>
                  <w:vMerge w:val="continue"/>
                  <w:noWrap w:val="0"/>
                  <w:vAlign w:val="center"/>
                </w:tcPr>
                <w:p w14:paraId="13303B42">
                  <w:pPr>
                    <w:jc w:val="center"/>
                    <w:rPr>
                      <w:rFonts w:hint="default" w:ascii="Times New Roman" w:hAnsi="Times New Roman" w:cs="Times New Roman"/>
                      <w:color w:val="auto"/>
                      <w:szCs w:val="21"/>
                    </w:rPr>
                  </w:pPr>
                </w:p>
              </w:tc>
            </w:tr>
            <w:tr w14:paraId="2CACCAC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68" w:hRule="atLeast"/>
                <w:jc w:val="center"/>
              </w:trPr>
              <w:tc>
                <w:tcPr>
                  <w:tcW w:w="1951" w:type="dxa"/>
                  <w:vMerge w:val="continue"/>
                  <w:noWrap w:val="0"/>
                  <w:vAlign w:val="center"/>
                </w:tcPr>
                <w:p w14:paraId="551D9C3A">
                  <w:pPr>
                    <w:jc w:val="center"/>
                    <w:rPr>
                      <w:rFonts w:hint="default" w:ascii="Times New Roman" w:hAnsi="Times New Roman" w:cs="Times New Roman"/>
                      <w:color w:val="auto"/>
                      <w:szCs w:val="21"/>
                    </w:rPr>
                  </w:pPr>
                </w:p>
              </w:tc>
              <w:tc>
                <w:tcPr>
                  <w:tcW w:w="2607" w:type="dxa"/>
                  <w:noWrap w:val="0"/>
                  <w:vAlign w:val="center"/>
                </w:tcPr>
                <w:p w14:paraId="56A4D27F">
                  <w:pPr>
                    <w:widowControl/>
                    <w:jc w:val="center"/>
                    <w:textAlignment w:val="center"/>
                    <w:rPr>
                      <w:rFonts w:hint="default" w:cs="Times New Roman"/>
                      <w:color w:val="auto"/>
                      <w:kern w:val="0"/>
                      <w:sz w:val="22"/>
                      <w:szCs w:val="22"/>
                      <w:lang w:val="en-US" w:eastAsia="zh-CN" w:bidi="ar"/>
                    </w:rPr>
                  </w:pPr>
                  <w:r>
                    <w:rPr>
                      <w:rFonts w:hint="eastAsia" w:cs="Times New Roman"/>
                      <w:color w:val="auto"/>
                      <w:kern w:val="0"/>
                      <w:sz w:val="22"/>
                      <w:szCs w:val="22"/>
                      <w:lang w:val="en-US" w:eastAsia="zh-CN" w:bidi="ar"/>
                    </w:rPr>
                    <w:t>粉尘</w:t>
                  </w:r>
                </w:p>
              </w:tc>
              <w:tc>
                <w:tcPr>
                  <w:tcW w:w="1829" w:type="dxa"/>
                  <w:noWrap w:val="0"/>
                  <w:vAlign w:val="center"/>
                </w:tcPr>
                <w:p w14:paraId="32447CE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2.625 </w:t>
                  </w:r>
                </w:p>
              </w:tc>
              <w:tc>
                <w:tcPr>
                  <w:tcW w:w="1830" w:type="dxa"/>
                  <w:vMerge w:val="continue"/>
                  <w:noWrap w:val="0"/>
                  <w:vAlign w:val="center"/>
                </w:tcPr>
                <w:p w14:paraId="307AAF2B">
                  <w:pPr>
                    <w:jc w:val="center"/>
                    <w:rPr>
                      <w:rFonts w:hint="default" w:ascii="Times New Roman" w:hAnsi="Times New Roman" w:cs="Times New Roman"/>
                      <w:color w:val="auto"/>
                      <w:szCs w:val="21"/>
                    </w:rPr>
                  </w:pPr>
                </w:p>
              </w:tc>
            </w:tr>
            <w:tr w14:paraId="2F53438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1951" w:type="dxa"/>
                  <w:vMerge w:val="continue"/>
                  <w:noWrap w:val="0"/>
                  <w:vAlign w:val="center"/>
                </w:tcPr>
                <w:p w14:paraId="69BDDF7E">
                  <w:pPr>
                    <w:rPr>
                      <w:rFonts w:hint="default" w:ascii="Times New Roman" w:hAnsi="Times New Roman" w:cs="Times New Roman"/>
                      <w:color w:val="auto"/>
                      <w:szCs w:val="21"/>
                    </w:rPr>
                  </w:pPr>
                </w:p>
              </w:tc>
              <w:tc>
                <w:tcPr>
                  <w:tcW w:w="2607" w:type="dxa"/>
                  <w:noWrap w:val="0"/>
                  <w:vAlign w:val="center"/>
                </w:tcPr>
                <w:p w14:paraId="77890C7E">
                  <w:pPr>
                    <w:widowControl/>
                    <w:jc w:val="center"/>
                    <w:textAlignment w:val="center"/>
                    <w:rPr>
                      <w:rFonts w:hint="eastAsia" w:ascii="Times New Roman" w:hAnsi="Times New Roman" w:eastAsia="宋体" w:cs="Times New Roman"/>
                      <w:color w:val="auto"/>
                      <w:kern w:val="0"/>
                      <w:sz w:val="22"/>
                      <w:szCs w:val="22"/>
                      <w:lang w:eastAsia="zh-CN" w:bidi="ar"/>
                    </w:rPr>
                  </w:pPr>
                  <w:r>
                    <w:rPr>
                      <w:rFonts w:hint="eastAsia" w:cs="Times New Roman"/>
                      <w:color w:val="auto"/>
                      <w:kern w:val="0"/>
                      <w:sz w:val="22"/>
                      <w:szCs w:val="22"/>
                      <w:lang w:val="en-US" w:eastAsia="zh-CN" w:bidi="ar"/>
                    </w:rPr>
                    <w:t>泥饼</w:t>
                  </w:r>
                </w:p>
              </w:tc>
              <w:tc>
                <w:tcPr>
                  <w:tcW w:w="1829" w:type="dxa"/>
                  <w:noWrap w:val="0"/>
                  <w:vAlign w:val="center"/>
                </w:tcPr>
                <w:p w14:paraId="635AC640">
                  <w:pPr>
                    <w:keepNext w:val="0"/>
                    <w:keepLines w:val="0"/>
                    <w:widowControl/>
                    <w:suppressLineNumbers w:val="0"/>
                    <w:jc w:val="center"/>
                    <w:textAlignment w:val="center"/>
                    <w:rPr>
                      <w:rFonts w:hint="default" w:ascii="Times New Roman" w:hAnsi="Times New Roman" w:cs="Times New Roman"/>
                      <w:color w:val="auto"/>
                      <w:szCs w:val="21"/>
                      <w:lang w:val="en-US"/>
                    </w:rPr>
                  </w:pPr>
                  <w:r>
                    <w:rPr>
                      <w:rFonts w:hint="default" w:ascii="Times New Roman" w:hAnsi="Times New Roman" w:eastAsia="宋体" w:cs="Times New Roman"/>
                      <w:i w:val="0"/>
                      <w:iCs w:val="0"/>
                      <w:color w:val="000000"/>
                      <w:kern w:val="0"/>
                      <w:sz w:val="21"/>
                      <w:szCs w:val="21"/>
                      <w:u w:val="none"/>
                      <w:lang w:val="en-US" w:eastAsia="zh-CN" w:bidi="ar"/>
                    </w:rPr>
                    <w:t>10</w:t>
                  </w:r>
                  <w:r>
                    <w:rPr>
                      <w:rFonts w:hint="eastAsia" w:cs="Times New Roman"/>
                      <w:i w:val="0"/>
                      <w:iCs w:val="0"/>
                      <w:color w:val="000000"/>
                      <w:kern w:val="0"/>
                      <w:sz w:val="21"/>
                      <w:szCs w:val="21"/>
                      <w:u w:val="none"/>
                      <w:lang w:val="en-US" w:eastAsia="zh-CN" w:bidi="ar"/>
                    </w:rPr>
                    <w:t>100</w:t>
                  </w:r>
                </w:p>
              </w:tc>
              <w:tc>
                <w:tcPr>
                  <w:tcW w:w="1830" w:type="dxa"/>
                  <w:vMerge w:val="continue"/>
                  <w:noWrap w:val="0"/>
                  <w:vAlign w:val="center"/>
                </w:tcPr>
                <w:p w14:paraId="1289D0CD">
                  <w:pPr>
                    <w:jc w:val="center"/>
                    <w:rPr>
                      <w:rFonts w:hint="default" w:ascii="Times New Roman" w:hAnsi="Times New Roman" w:cs="Times New Roman"/>
                      <w:color w:val="auto"/>
                      <w:szCs w:val="21"/>
                    </w:rPr>
                  </w:pPr>
                </w:p>
              </w:tc>
            </w:tr>
          </w:tbl>
          <w:p w14:paraId="4055E20F">
            <w:pPr>
              <w:pStyle w:val="44"/>
              <w:ind w:firstLine="482"/>
              <w:rPr>
                <w:rFonts w:hint="default" w:ascii="Times New Roman" w:hAnsi="Times New Roman" w:cs="Times New Roman"/>
                <w:b/>
                <w:bCs/>
                <w:color w:val="auto"/>
              </w:rPr>
            </w:pPr>
            <w:r>
              <w:rPr>
                <w:rFonts w:hint="default" w:ascii="Times New Roman" w:hAnsi="Times New Roman" w:cs="Times New Roman"/>
                <w:b/>
                <w:bCs/>
                <w:color w:val="auto"/>
              </w:rPr>
              <w:t>2）水平衡</w:t>
            </w:r>
          </w:p>
          <w:p w14:paraId="2D18E581">
            <w:pPr>
              <w:spacing w:line="420" w:lineRule="auto"/>
              <w:ind w:firstLine="480" w:firstLineChars="200"/>
              <w:rPr>
                <w:rFonts w:hint="default" w:eastAsia="宋体"/>
                <w:color w:val="auto"/>
                <w:sz w:val="24"/>
                <w:szCs w:val="20"/>
                <w:lang w:val="en-US" w:eastAsia="zh-CN"/>
              </w:rPr>
            </w:pPr>
            <w:r>
              <w:rPr>
                <w:color w:val="auto"/>
                <w:sz w:val="24"/>
                <w:szCs w:val="20"/>
              </w:rPr>
              <w:t>本项目运营期废水</w:t>
            </w:r>
            <w:r>
              <w:rPr>
                <w:rFonts w:hint="eastAsia"/>
                <w:color w:val="auto"/>
                <w:sz w:val="24"/>
                <w:szCs w:val="20"/>
                <w:lang w:eastAsia="zh-CN"/>
              </w:rPr>
              <w:t>实行：“雨污分流、清污分流”的方式处理，其中</w:t>
            </w:r>
            <w:r>
              <w:rPr>
                <w:rFonts w:hint="eastAsia"/>
                <w:color w:val="auto"/>
                <w:sz w:val="24"/>
                <w:szCs w:val="20"/>
              </w:rPr>
              <w:t>生产废水</w:t>
            </w:r>
            <w:r>
              <w:rPr>
                <w:rFonts w:hint="eastAsia"/>
                <w:color w:val="auto"/>
                <w:sz w:val="24"/>
                <w:szCs w:val="20"/>
                <w:lang w:eastAsia="zh-CN"/>
              </w:rPr>
              <w:t>汇入项目沉淀池处理后回用于生产；</w:t>
            </w:r>
            <w:r>
              <w:rPr>
                <w:rFonts w:hint="eastAsia"/>
                <w:color w:val="auto"/>
                <w:sz w:val="24"/>
                <w:szCs w:val="20"/>
                <w:lang w:val="en-US" w:eastAsia="zh-CN"/>
              </w:rPr>
              <w:t>食堂废水经隔油池处理后与生活污水一起进入化粪池收集，收集到一定量后委托污水车转运至永兴镇污水处理厂处理达标后排放</w:t>
            </w:r>
            <w:r>
              <w:rPr>
                <w:rFonts w:hint="eastAsia"/>
                <w:color w:val="auto"/>
                <w:sz w:val="24"/>
                <w:szCs w:val="20"/>
                <w:lang w:eastAsia="zh-CN"/>
              </w:rPr>
              <w:t>；初期雨水设置雨水沉砂池处理后</w:t>
            </w:r>
            <w:r>
              <w:rPr>
                <w:rFonts w:hint="eastAsia"/>
                <w:color w:val="auto"/>
                <w:sz w:val="24"/>
                <w:szCs w:val="20"/>
                <w:lang w:val="en-US" w:eastAsia="zh-CN"/>
              </w:rPr>
              <w:t>回用于生产</w:t>
            </w:r>
            <w:r>
              <w:rPr>
                <w:rFonts w:hint="eastAsia"/>
                <w:color w:val="auto"/>
                <w:sz w:val="24"/>
                <w:szCs w:val="20"/>
                <w:lang w:eastAsia="zh-CN"/>
              </w:rPr>
              <w:t>，雨水沉砂池设置浮球阀，当雨水收集至设计池容后，自动切换，后期雨水不再进入初期雨水沉淀池。</w:t>
            </w:r>
          </w:p>
          <w:p w14:paraId="1E7AD363">
            <w:pPr>
              <w:pStyle w:val="44"/>
              <w:ind w:firstLine="480"/>
              <w:jc w:val="both"/>
              <w:rPr>
                <w:rFonts w:hint="default" w:ascii="Times New Roman" w:hAnsi="Times New Roman" w:cs="Times New Roman"/>
                <w:color w:val="auto"/>
              </w:rPr>
            </w:pPr>
            <w:r>
              <w:rPr>
                <w:rFonts w:hint="default" w:ascii="Times New Roman" w:hAnsi="Times New Roman" w:cs="Times New Roman"/>
                <w:color w:val="auto"/>
              </w:rPr>
              <w:t>①生活用水</w:t>
            </w:r>
            <w:r>
              <w:rPr>
                <w:rFonts w:hint="eastAsia" w:ascii="Times New Roman" w:hAnsi="Times New Roman" w:cs="Times New Roman"/>
                <w:color w:val="auto"/>
                <w:lang w:eastAsia="zh-CN"/>
              </w:rPr>
              <w:t>：</w:t>
            </w:r>
            <w:r>
              <w:rPr>
                <w:rFonts w:hint="default" w:ascii="Times New Roman" w:hAnsi="Times New Roman" w:cs="Times New Roman"/>
                <w:color w:val="auto"/>
              </w:rPr>
              <w:t>本项目定员</w:t>
            </w:r>
            <w:r>
              <w:rPr>
                <w:rFonts w:hint="eastAsia" w:ascii="Times New Roman" w:hAnsi="Times New Roman" w:cs="Times New Roman"/>
                <w:color w:val="auto"/>
                <w:lang w:val="en-US" w:eastAsia="zh-CN"/>
              </w:rPr>
              <w:t>21</w:t>
            </w:r>
            <w:r>
              <w:rPr>
                <w:rFonts w:hint="default" w:ascii="Times New Roman" w:hAnsi="Times New Roman" w:cs="Times New Roman"/>
                <w:color w:val="auto"/>
              </w:rPr>
              <w:t>人，根据《</w:t>
            </w:r>
            <w:r>
              <w:rPr>
                <w:rFonts w:hint="default" w:ascii="Times New Roman" w:hAnsi="Times New Roman" w:cs="Times New Roman"/>
                <w:color w:val="auto"/>
                <w:lang w:eastAsia="zh-CN"/>
              </w:rPr>
              <w:t>四川省用水定额</w:t>
            </w:r>
            <w:r>
              <w:rPr>
                <w:rFonts w:hint="default" w:ascii="Times New Roman" w:hAnsi="Times New Roman" w:cs="Times New Roman"/>
                <w:color w:val="auto"/>
              </w:rPr>
              <w:t>》</w:t>
            </w:r>
            <w:r>
              <w:rPr>
                <w:rFonts w:hint="default" w:ascii="Times New Roman" w:hAnsi="Times New Roman" w:cs="Times New Roman"/>
                <w:color w:val="auto"/>
                <w:lang w:eastAsia="zh-CN"/>
              </w:rPr>
              <w:t>（川府函〔</w:t>
            </w:r>
            <w:r>
              <w:rPr>
                <w:rFonts w:hint="default" w:ascii="Times New Roman" w:hAnsi="Times New Roman" w:cs="Times New Roman"/>
                <w:color w:val="auto"/>
                <w:lang w:val="en-US" w:eastAsia="zh-CN"/>
              </w:rPr>
              <w:t>2021〕8号</w:t>
            </w:r>
            <w:r>
              <w:rPr>
                <w:rFonts w:hint="default" w:ascii="Times New Roman" w:hAnsi="Times New Roman" w:cs="Times New Roman"/>
                <w:color w:val="auto"/>
                <w:lang w:eastAsia="zh-CN"/>
              </w:rPr>
              <w:t>）</w:t>
            </w:r>
            <w:r>
              <w:rPr>
                <w:rFonts w:hint="default" w:ascii="Times New Roman" w:hAnsi="Times New Roman" w:cs="Times New Roman"/>
                <w:color w:val="auto"/>
              </w:rPr>
              <w:t>，结合</w:t>
            </w:r>
            <w:r>
              <w:rPr>
                <w:rFonts w:hint="eastAsia" w:ascii="Times New Roman" w:hAnsi="Times New Roman" w:cs="Times New Roman"/>
                <w:color w:val="auto"/>
                <w:lang w:eastAsia="zh-CN"/>
              </w:rPr>
              <w:t>遂宁市</w:t>
            </w:r>
            <w:r>
              <w:rPr>
                <w:rFonts w:hint="default" w:ascii="Times New Roman" w:hAnsi="Times New Roman" w:cs="Times New Roman"/>
                <w:color w:val="auto"/>
              </w:rPr>
              <w:t>当地实际情况确定本项目办公生活用水定额为1</w:t>
            </w:r>
            <w:r>
              <w:rPr>
                <w:rFonts w:hint="default" w:ascii="Times New Roman" w:hAnsi="Times New Roman" w:cs="Times New Roman"/>
                <w:color w:val="auto"/>
                <w:lang w:val="en-US" w:eastAsia="zh-CN"/>
              </w:rPr>
              <w:t>60</w:t>
            </w:r>
            <w:r>
              <w:rPr>
                <w:rFonts w:hint="default" w:ascii="Times New Roman" w:hAnsi="Times New Roman" w:cs="Times New Roman"/>
                <w:color w:val="auto"/>
              </w:rPr>
              <w:t>L每人每日。据此本项目生活和办公用水的最大日用水量为</w:t>
            </w:r>
            <w:r>
              <w:rPr>
                <w:rFonts w:hint="eastAsia" w:ascii="Times New Roman" w:hAnsi="Times New Roman" w:cs="Times New Roman"/>
                <w:color w:val="auto"/>
                <w:lang w:val="en-US" w:eastAsia="zh-CN"/>
              </w:rPr>
              <w:t>3.36</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/d。在使用过程中自然耗散</w:t>
            </w:r>
            <w:r>
              <w:rPr>
                <w:rFonts w:hint="default" w:ascii="Times New Roman" w:hAnsi="Times New Roman" w:cs="Times New Roman"/>
                <w:color w:val="auto"/>
                <w:lang w:val="en-US" w:eastAsia="zh-CN"/>
              </w:rPr>
              <w:t>0.</w:t>
            </w:r>
            <w:r>
              <w:rPr>
                <w:rFonts w:hint="eastAsia" w:ascii="Times New Roman" w:hAnsi="Times New Roman" w:cs="Times New Roman"/>
                <w:color w:val="auto"/>
                <w:lang w:val="en-US" w:eastAsia="zh-CN"/>
              </w:rPr>
              <w:t>672</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/d，排放量</w:t>
            </w:r>
            <w:r>
              <w:rPr>
                <w:rFonts w:hint="eastAsia" w:ascii="Times New Roman" w:hAnsi="Times New Roman" w:cs="Times New Roman"/>
                <w:color w:val="auto"/>
                <w:lang w:val="en-US" w:eastAsia="zh-CN"/>
              </w:rPr>
              <w:t>2.688</w:t>
            </w:r>
            <w:r>
              <w:rPr>
                <w:rFonts w:hint="default" w:ascii="Times New Roman" w:hAnsi="Times New Roman" w:cs="Times New Roman"/>
                <w:color w:val="auto"/>
              </w:rPr>
              <w:t>m³/d。本项目</w:t>
            </w:r>
            <w:r>
              <w:rPr>
                <w:rFonts w:hint="eastAsia" w:ascii="Times New Roman" w:hAnsi="Times New Roman" w:cs="Times New Roman"/>
                <w:color w:val="auto"/>
                <w:lang w:eastAsia="zh-CN"/>
              </w:rPr>
              <w:t>生活污水</w:t>
            </w:r>
            <w:r>
              <w:rPr>
                <w:rFonts w:hint="default" w:ascii="Times New Roman" w:hAnsi="Times New Roman" w:cs="Times New Roman"/>
                <w:color w:val="auto"/>
              </w:rPr>
              <w:t>经过化粪池</w:t>
            </w:r>
            <w:r>
              <w:rPr>
                <w:rFonts w:hint="eastAsia" w:ascii="Times New Roman" w:hAnsi="Times New Roman" w:cs="Times New Roman"/>
                <w:color w:val="auto"/>
                <w:lang w:val="en-US" w:eastAsia="zh-CN"/>
              </w:rPr>
              <w:t>收集后定期转运至永兴镇污水处理厂处理达标后排放</w:t>
            </w:r>
            <w:r>
              <w:rPr>
                <w:rFonts w:hint="default" w:ascii="Times New Roman" w:hAnsi="Times New Roman" w:cs="Times New Roman"/>
                <w:color w:val="auto"/>
                <w:lang w:eastAsia="zh-CN"/>
              </w:rPr>
              <w:t>，</w:t>
            </w:r>
            <w:r>
              <w:rPr>
                <w:rFonts w:hint="eastAsia" w:ascii="Times New Roman" w:hAnsi="Times New Roman" w:cs="Times New Roman"/>
                <w:color w:val="auto"/>
                <w:lang w:eastAsia="zh-CN"/>
              </w:rPr>
              <w:t>生活污水</w:t>
            </w:r>
            <w:r>
              <w:rPr>
                <w:rFonts w:hint="default" w:ascii="Times New Roman" w:hAnsi="Times New Roman" w:cs="Times New Roman"/>
                <w:color w:val="auto"/>
                <w:lang w:eastAsia="zh-CN"/>
              </w:rPr>
              <w:t>不直接排放</w:t>
            </w:r>
            <w:r>
              <w:rPr>
                <w:rFonts w:hint="default" w:ascii="Times New Roman" w:hAnsi="Times New Roman" w:cs="Times New Roman"/>
                <w:color w:val="auto"/>
              </w:rPr>
              <w:t>。</w:t>
            </w:r>
          </w:p>
          <w:p w14:paraId="6134E47B">
            <w:pPr>
              <w:pStyle w:val="45"/>
              <w:rPr>
                <w:rFonts w:hint="default" w:ascii="Times New Roman" w:hAnsi="Times New Roman" w:cs="Times New Roman"/>
                <w:color w:val="auto"/>
              </w:rPr>
            </w:pPr>
            <w:r>
              <w:rPr>
                <w:rFonts w:hint="default" w:ascii="Times New Roman" w:hAnsi="Times New Roman" w:cs="Times New Roman"/>
                <w:color w:val="auto"/>
              </w:rPr>
              <w:t>2-7项目水平衡表</w:t>
            </w:r>
          </w:p>
          <w:tbl>
            <w:tblPr>
              <w:tblStyle w:val="22"/>
              <w:tblW w:w="809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47"/>
              <w:gridCol w:w="1202"/>
              <w:gridCol w:w="1587"/>
              <w:gridCol w:w="1288"/>
              <w:gridCol w:w="775"/>
              <w:gridCol w:w="1487"/>
              <w:gridCol w:w="1111"/>
            </w:tblGrid>
            <w:tr w14:paraId="67AF95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38" w:hRule="atLeast"/>
                <w:jc w:val="center"/>
              </w:trPr>
              <w:tc>
                <w:tcPr>
                  <w:tcW w:w="647" w:type="dxa"/>
                  <w:noWrap w:val="0"/>
                  <w:vAlign w:val="center"/>
                </w:tcPr>
                <w:p w14:paraId="0CF5B5B8">
                  <w:pPr>
                    <w:pStyle w:val="7"/>
                    <w:spacing w:before="0"/>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序号</w:t>
                  </w:r>
                </w:p>
              </w:tc>
              <w:tc>
                <w:tcPr>
                  <w:tcW w:w="1202" w:type="dxa"/>
                  <w:noWrap w:val="0"/>
                  <w:vAlign w:val="center"/>
                </w:tcPr>
                <w:p w14:paraId="3D7DB7A3">
                  <w:pPr>
                    <w:pStyle w:val="7"/>
                    <w:spacing w:before="0"/>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项目</w:t>
                  </w:r>
                </w:p>
              </w:tc>
              <w:tc>
                <w:tcPr>
                  <w:tcW w:w="1587" w:type="dxa"/>
                  <w:noWrap w:val="0"/>
                  <w:vAlign w:val="center"/>
                </w:tcPr>
                <w:p w14:paraId="7355570D">
                  <w:pPr>
                    <w:pStyle w:val="7"/>
                    <w:spacing w:before="0"/>
                    <w:jc w:val="center"/>
                    <w:rPr>
                      <w:rFonts w:hint="default" w:ascii="Times New Roman" w:hAnsi="Times New Roman" w:cs="Times New Roman"/>
                      <w:b/>
                      <w:bCs/>
                      <w:color w:val="auto"/>
                      <w:szCs w:val="21"/>
                    </w:rPr>
                  </w:pPr>
                  <w:r>
                    <w:rPr>
                      <w:rFonts w:hint="eastAsia" w:ascii="Times New Roman" w:hAnsi="Times New Roman" w:cs="Times New Roman"/>
                      <w:b/>
                      <w:bCs/>
                      <w:color w:val="auto"/>
                      <w:szCs w:val="21"/>
                      <w:lang w:val="en-US" w:eastAsia="zh-CN"/>
                    </w:rPr>
                    <w:t>新鲜水</w:t>
                  </w:r>
                  <w:r>
                    <w:rPr>
                      <w:rFonts w:hint="default" w:ascii="Times New Roman" w:hAnsi="Times New Roman" w:cs="Times New Roman"/>
                      <w:b/>
                      <w:bCs/>
                      <w:color w:val="auto"/>
                      <w:szCs w:val="21"/>
                    </w:rPr>
                    <w:t>用水量</w:t>
                  </w:r>
                </w:p>
                <w:p w14:paraId="1DD2075E">
                  <w:pPr>
                    <w:jc w:val="center"/>
                    <w:rPr>
                      <w:rFonts w:hint="default" w:ascii="Times New Roman" w:hAnsi="Times New Roman" w:cs="Times New Roman"/>
                      <w:color w:val="auto"/>
                      <w:sz w:val="18"/>
                      <w:szCs w:val="18"/>
                    </w:rPr>
                  </w:pPr>
                  <w:r>
                    <w:rPr>
                      <w:rFonts w:hint="default" w:ascii="Times New Roman" w:hAnsi="Times New Roman" w:cs="Times New Roman"/>
                      <w:b/>
                      <w:bCs/>
                      <w:color w:val="auto"/>
                      <w:sz w:val="18"/>
                      <w:szCs w:val="18"/>
                    </w:rPr>
                    <w:t>（</w:t>
                  </w:r>
                  <w:r>
                    <w:rPr>
                      <w:rFonts w:hint="default" w:ascii="Times New Roman" w:hAnsi="Times New Roman" w:cs="Times New Roman"/>
                      <w:color w:val="auto"/>
                      <w:sz w:val="18"/>
                      <w:szCs w:val="18"/>
                    </w:rPr>
                    <w:t>m</w:t>
                  </w:r>
                  <w:r>
                    <w:rPr>
                      <w:rFonts w:hint="default" w:ascii="Times New Roman" w:hAnsi="Times New Roman" w:cs="Times New Roman"/>
                      <w:color w:val="auto"/>
                      <w:sz w:val="18"/>
                      <w:szCs w:val="18"/>
                      <w:vertAlign w:val="superscript"/>
                    </w:rPr>
                    <w:t>3</w:t>
                  </w:r>
                  <w:r>
                    <w:rPr>
                      <w:rFonts w:hint="default" w:ascii="Times New Roman" w:hAnsi="Times New Roman" w:cs="Times New Roman"/>
                      <w:color w:val="auto"/>
                      <w:sz w:val="18"/>
                      <w:szCs w:val="18"/>
                    </w:rPr>
                    <w:t>/d</w:t>
                  </w:r>
                  <w:r>
                    <w:rPr>
                      <w:rFonts w:hint="default" w:ascii="Times New Roman" w:hAnsi="Times New Roman" w:cs="Times New Roman"/>
                      <w:b/>
                      <w:bCs/>
                      <w:color w:val="auto"/>
                      <w:sz w:val="18"/>
                      <w:szCs w:val="18"/>
                    </w:rPr>
                    <w:t>）</w:t>
                  </w:r>
                </w:p>
              </w:tc>
              <w:tc>
                <w:tcPr>
                  <w:tcW w:w="2063" w:type="dxa"/>
                  <w:gridSpan w:val="2"/>
                  <w:noWrap w:val="0"/>
                  <w:vAlign w:val="center"/>
                </w:tcPr>
                <w:p w14:paraId="31EDE414">
                  <w:pPr>
                    <w:pStyle w:val="7"/>
                    <w:spacing w:before="0"/>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损耗量</w:t>
                  </w:r>
                </w:p>
                <w:p w14:paraId="7F3619A7">
                  <w:pPr>
                    <w:jc w:val="center"/>
                    <w:rPr>
                      <w:rFonts w:hint="default" w:ascii="Times New Roman" w:hAnsi="Times New Roman" w:cs="Times New Roman"/>
                      <w:color w:val="auto"/>
                      <w:sz w:val="18"/>
                      <w:szCs w:val="18"/>
                    </w:rPr>
                  </w:pPr>
                  <w:r>
                    <w:rPr>
                      <w:rFonts w:hint="default" w:ascii="Times New Roman" w:hAnsi="Times New Roman" w:cs="Times New Roman"/>
                      <w:b/>
                      <w:bCs/>
                      <w:color w:val="auto"/>
                      <w:sz w:val="18"/>
                      <w:szCs w:val="18"/>
                    </w:rPr>
                    <w:t>（</w:t>
                  </w:r>
                  <w:r>
                    <w:rPr>
                      <w:rFonts w:hint="default" w:ascii="Times New Roman" w:hAnsi="Times New Roman" w:cs="Times New Roman"/>
                      <w:color w:val="auto"/>
                      <w:sz w:val="18"/>
                      <w:szCs w:val="18"/>
                    </w:rPr>
                    <w:t>m</w:t>
                  </w:r>
                  <w:r>
                    <w:rPr>
                      <w:rFonts w:hint="default" w:ascii="Times New Roman" w:hAnsi="Times New Roman" w:cs="Times New Roman"/>
                      <w:color w:val="auto"/>
                      <w:sz w:val="18"/>
                      <w:szCs w:val="18"/>
                      <w:vertAlign w:val="superscript"/>
                    </w:rPr>
                    <w:t>3</w:t>
                  </w:r>
                  <w:r>
                    <w:rPr>
                      <w:rFonts w:hint="default" w:ascii="Times New Roman" w:hAnsi="Times New Roman" w:cs="Times New Roman"/>
                      <w:color w:val="auto"/>
                      <w:sz w:val="18"/>
                      <w:szCs w:val="18"/>
                    </w:rPr>
                    <w:t>/d</w:t>
                  </w:r>
                  <w:r>
                    <w:rPr>
                      <w:rFonts w:hint="default" w:ascii="Times New Roman" w:hAnsi="Times New Roman" w:cs="Times New Roman"/>
                      <w:b/>
                      <w:bCs/>
                      <w:color w:val="auto"/>
                      <w:sz w:val="18"/>
                      <w:szCs w:val="18"/>
                    </w:rPr>
                    <w:t>）</w:t>
                  </w:r>
                </w:p>
              </w:tc>
              <w:tc>
                <w:tcPr>
                  <w:tcW w:w="1487" w:type="dxa"/>
                  <w:noWrap w:val="0"/>
                  <w:vAlign w:val="center"/>
                </w:tcPr>
                <w:p w14:paraId="0F3B17A3">
                  <w:pPr>
                    <w:pStyle w:val="7"/>
                    <w:spacing w:before="0"/>
                    <w:jc w:val="center"/>
                    <w:rPr>
                      <w:rFonts w:hint="default" w:ascii="Times New Roman" w:hAnsi="Times New Roman" w:cs="Times New Roman"/>
                      <w:b/>
                      <w:bCs/>
                      <w:color w:val="auto"/>
                      <w:szCs w:val="21"/>
                    </w:rPr>
                  </w:pPr>
                  <w:r>
                    <w:rPr>
                      <w:rFonts w:hint="eastAsia" w:ascii="Times New Roman" w:hAnsi="Times New Roman" w:cs="Times New Roman"/>
                      <w:b/>
                      <w:bCs/>
                      <w:color w:val="auto"/>
                      <w:szCs w:val="21"/>
                      <w:lang w:val="en-US" w:eastAsia="zh-CN"/>
                    </w:rPr>
                    <w:t>循环</w:t>
                  </w:r>
                  <w:r>
                    <w:rPr>
                      <w:rFonts w:hint="default" w:ascii="Times New Roman" w:hAnsi="Times New Roman" w:cs="Times New Roman"/>
                      <w:b/>
                      <w:bCs/>
                      <w:color w:val="auto"/>
                      <w:szCs w:val="21"/>
                    </w:rPr>
                    <w:t>水量</w:t>
                  </w:r>
                  <w:r>
                    <w:rPr>
                      <w:rFonts w:hint="default" w:ascii="Times New Roman" w:hAnsi="Times New Roman" w:cs="Times New Roman"/>
                      <w:b/>
                      <w:bCs/>
                      <w:color w:val="auto"/>
                      <w:sz w:val="18"/>
                      <w:szCs w:val="18"/>
                    </w:rPr>
                    <w:t>（</w:t>
                  </w:r>
                  <w:r>
                    <w:rPr>
                      <w:rFonts w:hint="default" w:ascii="Times New Roman" w:hAnsi="Times New Roman" w:cs="Times New Roman"/>
                      <w:color w:val="auto"/>
                      <w:sz w:val="18"/>
                      <w:szCs w:val="18"/>
                    </w:rPr>
                    <w:t>m</w:t>
                  </w:r>
                  <w:r>
                    <w:rPr>
                      <w:rFonts w:hint="default" w:ascii="Times New Roman" w:hAnsi="Times New Roman" w:cs="Times New Roman"/>
                      <w:color w:val="auto"/>
                      <w:sz w:val="18"/>
                      <w:szCs w:val="18"/>
                      <w:vertAlign w:val="superscript"/>
                    </w:rPr>
                    <w:t>3</w:t>
                  </w:r>
                  <w:r>
                    <w:rPr>
                      <w:rFonts w:hint="default" w:ascii="Times New Roman" w:hAnsi="Times New Roman" w:cs="Times New Roman"/>
                      <w:color w:val="auto"/>
                      <w:sz w:val="18"/>
                      <w:szCs w:val="18"/>
                    </w:rPr>
                    <w:t>/d</w:t>
                  </w:r>
                  <w:r>
                    <w:rPr>
                      <w:rFonts w:hint="default" w:ascii="Times New Roman" w:hAnsi="Times New Roman" w:cs="Times New Roman"/>
                      <w:b/>
                      <w:bCs/>
                      <w:color w:val="auto"/>
                      <w:sz w:val="18"/>
                      <w:szCs w:val="18"/>
                    </w:rPr>
                    <w:t>）</w:t>
                  </w:r>
                </w:p>
              </w:tc>
              <w:tc>
                <w:tcPr>
                  <w:tcW w:w="1111" w:type="dxa"/>
                  <w:noWrap w:val="0"/>
                  <w:vAlign w:val="center"/>
                </w:tcPr>
                <w:p w14:paraId="1B44F669">
                  <w:pPr>
                    <w:pStyle w:val="7"/>
                    <w:spacing w:before="0"/>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外排量</w:t>
                  </w:r>
                </w:p>
              </w:tc>
            </w:tr>
            <w:tr w14:paraId="719B93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47" w:type="dxa"/>
                  <w:vMerge w:val="restart"/>
                  <w:noWrap w:val="0"/>
                  <w:vAlign w:val="center"/>
                </w:tcPr>
                <w:p w14:paraId="4844BA2B">
                  <w:pPr>
                    <w:jc w:val="center"/>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1202" w:type="dxa"/>
                  <w:vMerge w:val="restart"/>
                  <w:noWrap w:val="0"/>
                  <w:vAlign w:val="center"/>
                </w:tcPr>
                <w:p w14:paraId="1684D06B">
                  <w:pPr>
                    <w:jc w:val="center"/>
                    <w:rPr>
                      <w:rFonts w:hint="default" w:ascii="Times New Roman" w:hAnsi="Times New Roman" w:cs="Times New Roman"/>
                      <w:color w:val="auto"/>
                      <w:szCs w:val="21"/>
                    </w:rPr>
                  </w:pPr>
                  <w:r>
                    <w:rPr>
                      <w:rFonts w:hint="default" w:ascii="Times New Roman" w:hAnsi="Times New Roman" w:cs="Times New Roman"/>
                      <w:color w:val="auto"/>
                      <w:szCs w:val="21"/>
                      <w:lang w:eastAsia="zh-CN"/>
                    </w:rPr>
                    <w:t>产品生产</w:t>
                  </w:r>
                  <w:r>
                    <w:rPr>
                      <w:rFonts w:hint="default" w:ascii="Times New Roman" w:hAnsi="Times New Roman" w:cs="Times New Roman"/>
                      <w:color w:val="auto"/>
                      <w:szCs w:val="21"/>
                    </w:rPr>
                    <w:t>用水</w:t>
                  </w:r>
                </w:p>
              </w:tc>
              <w:tc>
                <w:tcPr>
                  <w:tcW w:w="1587" w:type="dxa"/>
                  <w:vMerge w:val="restart"/>
                  <w:noWrap w:val="0"/>
                  <w:vAlign w:val="center"/>
                </w:tcPr>
                <w:p w14:paraId="52BB7EA0">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81.82</w:t>
                  </w:r>
                </w:p>
              </w:tc>
              <w:tc>
                <w:tcPr>
                  <w:tcW w:w="1288" w:type="dxa"/>
                  <w:noWrap w:val="0"/>
                  <w:vAlign w:val="center"/>
                </w:tcPr>
                <w:p w14:paraId="00890F3B">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产品带走</w:t>
                  </w:r>
                </w:p>
              </w:tc>
              <w:tc>
                <w:tcPr>
                  <w:tcW w:w="775" w:type="dxa"/>
                  <w:noWrap w:val="0"/>
                  <w:vAlign w:val="center"/>
                </w:tcPr>
                <w:p w14:paraId="4AAF2886">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75.75</w:t>
                  </w:r>
                </w:p>
              </w:tc>
              <w:tc>
                <w:tcPr>
                  <w:tcW w:w="1487" w:type="dxa"/>
                  <w:vMerge w:val="restart"/>
                  <w:noWrap w:val="0"/>
                  <w:vAlign w:val="center"/>
                </w:tcPr>
                <w:p w14:paraId="1AF5F56D">
                  <w:pPr>
                    <w:pStyle w:val="7"/>
                    <w:spacing w:before="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418.98</w:t>
                  </w:r>
                </w:p>
                <w:p w14:paraId="62FE9C23">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（生产废水处理系统处理后已用）</w:t>
                  </w:r>
                </w:p>
              </w:tc>
              <w:tc>
                <w:tcPr>
                  <w:tcW w:w="1111" w:type="dxa"/>
                  <w:vMerge w:val="restart"/>
                  <w:noWrap w:val="0"/>
                  <w:vAlign w:val="center"/>
                </w:tcPr>
                <w:p w14:paraId="0AD3C1E7">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0</w:t>
                  </w:r>
                </w:p>
              </w:tc>
            </w:tr>
            <w:tr w14:paraId="30FCD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47" w:type="dxa"/>
                  <w:vMerge w:val="continue"/>
                  <w:noWrap w:val="0"/>
                  <w:vAlign w:val="center"/>
                </w:tcPr>
                <w:p w14:paraId="60C16508">
                  <w:pPr>
                    <w:jc w:val="center"/>
                    <w:rPr>
                      <w:rFonts w:hint="default" w:ascii="Times New Roman" w:hAnsi="Times New Roman" w:cs="Times New Roman"/>
                      <w:color w:val="auto"/>
                      <w:szCs w:val="21"/>
                    </w:rPr>
                  </w:pPr>
                </w:p>
              </w:tc>
              <w:tc>
                <w:tcPr>
                  <w:tcW w:w="1202" w:type="dxa"/>
                  <w:vMerge w:val="continue"/>
                  <w:noWrap w:val="0"/>
                  <w:vAlign w:val="center"/>
                </w:tcPr>
                <w:p w14:paraId="10DC53C0">
                  <w:pPr>
                    <w:jc w:val="center"/>
                    <w:rPr>
                      <w:rFonts w:hint="default" w:ascii="Times New Roman" w:hAnsi="Times New Roman" w:cs="Times New Roman"/>
                      <w:color w:val="auto"/>
                      <w:szCs w:val="21"/>
                      <w:lang w:eastAsia="zh-CN"/>
                    </w:rPr>
                  </w:pPr>
                </w:p>
              </w:tc>
              <w:tc>
                <w:tcPr>
                  <w:tcW w:w="1587" w:type="dxa"/>
                  <w:vMerge w:val="continue"/>
                  <w:noWrap w:val="0"/>
                  <w:vAlign w:val="center"/>
                </w:tcPr>
                <w:p w14:paraId="4FB8E241">
                  <w:pPr>
                    <w:jc w:val="center"/>
                    <w:rPr>
                      <w:rFonts w:hint="default" w:ascii="Times New Roman" w:hAnsi="Times New Roman" w:cs="Times New Roman"/>
                      <w:color w:val="auto"/>
                      <w:szCs w:val="21"/>
                      <w:lang w:val="en-US" w:eastAsia="zh-CN"/>
                    </w:rPr>
                  </w:pPr>
                </w:p>
              </w:tc>
              <w:tc>
                <w:tcPr>
                  <w:tcW w:w="1288" w:type="dxa"/>
                  <w:noWrap w:val="0"/>
                  <w:vAlign w:val="center"/>
                </w:tcPr>
                <w:p w14:paraId="66658857">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自然损耗</w:t>
                  </w:r>
                </w:p>
              </w:tc>
              <w:tc>
                <w:tcPr>
                  <w:tcW w:w="775" w:type="dxa"/>
                  <w:noWrap w:val="0"/>
                  <w:vAlign w:val="center"/>
                </w:tcPr>
                <w:p w14:paraId="72CD0994">
                  <w:pPr>
                    <w:pStyle w:val="7"/>
                    <w:spacing w:before="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25.25</w:t>
                  </w:r>
                </w:p>
              </w:tc>
              <w:tc>
                <w:tcPr>
                  <w:tcW w:w="1487" w:type="dxa"/>
                  <w:vMerge w:val="continue"/>
                  <w:noWrap w:val="0"/>
                  <w:vAlign w:val="center"/>
                </w:tcPr>
                <w:p w14:paraId="2FDD4149">
                  <w:pPr>
                    <w:pStyle w:val="7"/>
                    <w:spacing w:before="0"/>
                    <w:jc w:val="center"/>
                    <w:rPr>
                      <w:rFonts w:hint="default" w:ascii="Times New Roman" w:hAnsi="Times New Roman" w:cs="Times New Roman"/>
                      <w:color w:val="auto"/>
                      <w:szCs w:val="21"/>
                    </w:rPr>
                  </w:pPr>
                </w:p>
              </w:tc>
              <w:tc>
                <w:tcPr>
                  <w:tcW w:w="1111" w:type="dxa"/>
                  <w:vMerge w:val="continue"/>
                  <w:noWrap w:val="0"/>
                  <w:vAlign w:val="center"/>
                </w:tcPr>
                <w:p w14:paraId="68F417FE">
                  <w:pPr>
                    <w:pStyle w:val="7"/>
                    <w:spacing w:before="0"/>
                    <w:jc w:val="center"/>
                    <w:rPr>
                      <w:rFonts w:hint="default" w:ascii="Times New Roman" w:hAnsi="Times New Roman" w:cs="Times New Roman"/>
                      <w:color w:val="auto"/>
                      <w:szCs w:val="21"/>
                    </w:rPr>
                  </w:pPr>
                </w:p>
              </w:tc>
            </w:tr>
            <w:tr w14:paraId="774AB8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47" w:type="dxa"/>
                  <w:vMerge w:val="continue"/>
                  <w:noWrap w:val="0"/>
                  <w:vAlign w:val="center"/>
                </w:tcPr>
                <w:p w14:paraId="1D7DE2EF">
                  <w:pPr>
                    <w:jc w:val="center"/>
                    <w:rPr>
                      <w:rFonts w:hint="default" w:ascii="Times New Roman" w:hAnsi="Times New Roman" w:cs="Times New Roman"/>
                      <w:color w:val="auto"/>
                      <w:szCs w:val="21"/>
                    </w:rPr>
                  </w:pPr>
                </w:p>
              </w:tc>
              <w:tc>
                <w:tcPr>
                  <w:tcW w:w="1202" w:type="dxa"/>
                  <w:vMerge w:val="continue"/>
                  <w:noWrap w:val="0"/>
                  <w:vAlign w:val="center"/>
                </w:tcPr>
                <w:p w14:paraId="7671BB9B">
                  <w:pPr>
                    <w:jc w:val="center"/>
                    <w:rPr>
                      <w:rFonts w:hint="default" w:ascii="Times New Roman" w:hAnsi="Times New Roman" w:cs="Times New Roman"/>
                      <w:color w:val="auto"/>
                      <w:szCs w:val="21"/>
                      <w:lang w:eastAsia="zh-CN"/>
                    </w:rPr>
                  </w:pPr>
                </w:p>
              </w:tc>
              <w:tc>
                <w:tcPr>
                  <w:tcW w:w="1587" w:type="dxa"/>
                  <w:vMerge w:val="continue"/>
                  <w:noWrap w:val="0"/>
                  <w:vAlign w:val="center"/>
                </w:tcPr>
                <w:p w14:paraId="3983A4D6">
                  <w:pPr>
                    <w:jc w:val="center"/>
                    <w:rPr>
                      <w:rFonts w:hint="default" w:ascii="Times New Roman" w:hAnsi="Times New Roman" w:cs="Times New Roman"/>
                      <w:color w:val="auto"/>
                      <w:szCs w:val="21"/>
                      <w:lang w:val="en-US" w:eastAsia="zh-CN"/>
                    </w:rPr>
                  </w:pPr>
                </w:p>
              </w:tc>
              <w:tc>
                <w:tcPr>
                  <w:tcW w:w="1288" w:type="dxa"/>
                  <w:noWrap w:val="0"/>
                  <w:vAlign w:val="center"/>
                </w:tcPr>
                <w:p w14:paraId="5BE8124E">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泥饼带走</w:t>
                  </w:r>
                </w:p>
              </w:tc>
              <w:tc>
                <w:tcPr>
                  <w:tcW w:w="775" w:type="dxa"/>
                  <w:noWrap w:val="0"/>
                  <w:vAlign w:val="center"/>
                </w:tcPr>
                <w:p w14:paraId="4BFDF07D">
                  <w:pPr>
                    <w:pStyle w:val="7"/>
                    <w:spacing w:before="0"/>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6.06</w:t>
                  </w:r>
                </w:p>
              </w:tc>
              <w:tc>
                <w:tcPr>
                  <w:tcW w:w="1487" w:type="dxa"/>
                  <w:vMerge w:val="continue"/>
                  <w:noWrap w:val="0"/>
                  <w:vAlign w:val="center"/>
                </w:tcPr>
                <w:p w14:paraId="098F1576">
                  <w:pPr>
                    <w:pStyle w:val="7"/>
                    <w:spacing w:before="0"/>
                    <w:jc w:val="center"/>
                    <w:rPr>
                      <w:rFonts w:hint="default" w:ascii="Times New Roman" w:hAnsi="Times New Roman" w:cs="Times New Roman"/>
                      <w:color w:val="auto"/>
                      <w:szCs w:val="21"/>
                    </w:rPr>
                  </w:pPr>
                </w:p>
              </w:tc>
              <w:tc>
                <w:tcPr>
                  <w:tcW w:w="1111" w:type="dxa"/>
                  <w:vMerge w:val="continue"/>
                  <w:noWrap w:val="0"/>
                  <w:vAlign w:val="center"/>
                </w:tcPr>
                <w:p w14:paraId="334814F2">
                  <w:pPr>
                    <w:pStyle w:val="7"/>
                    <w:spacing w:before="0"/>
                    <w:jc w:val="center"/>
                    <w:rPr>
                      <w:rFonts w:hint="default" w:ascii="Times New Roman" w:hAnsi="Times New Roman" w:cs="Times New Roman"/>
                      <w:color w:val="auto"/>
                      <w:szCs w:val="21"/>
                    </w:rPr>
                  </w:pPr>
                </w:p>
              </w:tc>
            </w:tr>
            <w:tr w14:paraId="0391E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647" w:type="dxa"/>
                  <w:noWrap w:val="0"/>
                  <w:vAlign w:val="center"/>
                </w:tcPr>
                <w:p w14:paraId="03B8BD41">
                  <w:pPr>
                    <w:jc w:val="center"/>
                    <w:rPr>
                      <w:rFonts w:hint="default" w:ascii="Times New Roman" w:hAnsi="Times New Roman" w:cs="Times New Roman"/>
                      <w:color w:val="auto"/>
                      <w:szCs w:val="21"/>
                    </w:rPr>
                  </w:pPr>
                  <w:r>
                    <w:rPr>
                      <w:rFonts w:hint="default" w:ascii="Times New Roman" w:hAnsi="Times New Roman" w:cs="Times New Roman"/>
                      <w:color w:val="auto"/>
                      <w:szCs w:val="21"/>
                    </w:rPr>
                    <w:t>2</w:t>
                  </w:r>
                </w:p>
              </w:tc>
              <w:tc>
                <w:tcPr>
                  <w:tcW w:w="1202" w:type="dxa"/>
                  <w:noWrap w:val="0"/>
                  <w:vAlign w:val="center"/>
                </w:tcPr>
                <w:p w14:paraId="255F0480">
                  <w:pPr>
                    <w:jc w:val="center"/>
                    <w:rPr>
                      <w:rFonts w:hint="default" w:ascii="Times New Roman" w:hAnsi="Times New Roman" w:cs="Times New Roman"/>
                      <w:color w:val="auto"/>
                      <w:szCs w:val="21"/>
                    </w:rPr>
                  </w:pPr>
                  <w:r>
                    <w:rPr>
                      <w:rFonts w:hint="default" w:ascii="Times New Roman" w:hAnsi="Times New Roman" w:cs="Times New Roman"/>
                      <w:color w:val="auto"/>
                      <w:szCs w:val="21"/>
                    </w:rPr>
                    <w:t>厂区抑尘用水</w:t>
                  </w:r>
                </w:p>
              </w:tc>
              <w:tc>
                <w:tcPr>
                  <w:tcW w:w="1587" w:type="dxa"/>
                  <w:noWrap w:val="0"/>
                  <w:vAlign w:val="center"/>
                </w:tcPr>
                <w:p w14:paraId="6AAE60FC">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10</w:t>
                  </w:r>
                </w:p>
              </w:tc>
              <w:tc>
                <w:tcPr>
                  <w:tcW w:w="1288" w:type="dxa"/>
                  <w:noWrap w:val="0"/>
                  <w:vAlign w:val="center"/>
                </w:tcPr>
                <w:p w14:paraId="6A0BDF95">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自然耗散</w:t>
                  </w:r>
                </w:p>
              </w:tc>
              <w:tc>
                <w:tcPr>
                  <w:tcW w:w="775" w:type="dxa"/>
                  <w:noWrap w:val="0"/>
                  <w:vAlign w:val="center"/>
                </w:tcPr>
                <w:p w14:paraId="7FDAF6BC">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10</w:t>
                  </w:r>
                </w:p>
              </w:tc>
              <w:tc>
                <w:tcPr>
                  <w:tcW w:w="1487" w:type="dxa"/>
                  <w:noWrap w:val="0"/>
                  <w:vAlign w:val="center"/>
                </w:tcPr>
                <w:p w14:paraId="3E9FDA84">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0</w:t>
                  </w:r>
                </w:p>
              </w:tc>
              <w:tc>
                <w:tcPr>
                  <w:tcW w:w="1111" w:type="dxa"/>
                  <w:noWrap w:val="0"/>
                  <w:vAlign w:val="center"/>
                </w:tcPr>
                <w:p w14:paraId="01CDB70B">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0</w:t>
                  </w:r>
                </w:p>
              </w:tc>
            </w:tr>
            <w:tr w14:paraId="0F127F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9" w:hRule="atLeast"/>
                <w:jc w:val="center"/>
              </w:trPr>
              <w:tc>
                <w:tcPr>
                  <w:tcW w:w="647" w:type="dxa"/>
                  <w:vMerge w:val="restart"/>
                  <w:noWrap w:val="0"/>
                  <w:vAlign w:val="center"/>
                </w:tcPr>
                <w:p w14:paraId="0DA72D11">
                  <w:pPr>
                    <w:jc w:val="center"/>
                    <w:rPr>
                      <w:rFonts w:hint="eastAsia" w:ascii="Times New Roman" w:hAnsi="Times New Roman" w:eastAsia="宋体" w:cs="Times New Roman"/>
                      <w:color w:val="auto"/>
                      <w:szCs w:val="21"/>
                      <w:lang w:eastAsia="zh-CN"/>
                    </w:rPr>
                  </w:pPr>
                  <w:r>
                    <w:rPr>
                      <w:rFonts w:hint="eastAsia" w:cs="Times New Roman"/>
                      <w:color w:val="auto"/>
                      <w:szCs w:val="21"/>
                      <w:lang w:val="en-US" w:eastAsia="zh-CN"/>
                    </w:rPr>
                    <w:t>3</w:t>
                  </w:r>
                </w:p>
              </w:tc>
              <w:tc>
                <w:tcPr>
                  <w:tcW w:w="1202" w:type="dxa"/>
                  <w:vMerge w:val="restart"/>
                  <w:noWrap w:val="0"/>
                  <w:vAlign w:val="center"/>
                </w:tcPr>
                <w:p w14:paraId="7324BA71">
                  <w:pPr>
                    <w:jc w:val="center"/>
                    <w:rPr>
                      <w:rFonts w:hint="default" w:ascii="Times New Roman" w:hAnsi="Times New Roman" w:cs="Times New Roman"/>
                      <w:color w:val="auto"/>
                      <w:szCs w:val="21"/>
                    </w:rPr>
                  </w:pPr>
                  <w:r>
                    <w:rPr>
                      <w:rFonts w:hint="default" w:ascii="Times New Roman" w:hAnsi="Times New Roman" w:cs="Times New Roman"/>
                      <w:color w:val="auto"/>
                      <w:szCs w:val="21"/>
                    </w:rPr>
                    <w:t>地面冲洗水</w:t>
                  </w:r>
                </w:p>
              </w:tc>
              <w:tc>
                <w:tcPr>
                  <w:tcW w:w="1587" w:type="dxa"/>
                  <w:vMerge w:val="restart"/>
                  <w:noWrap w:val="0"/>
                  <w:vAlign w:val="center"/>
                </w:tcPr>
                <w:p w14:paraId="41E131C6">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6.0</w:t>
                  </w:r>
                </w:p>
              </w:tc>
              <w:tc>
                <w:tcPr>
                  <w:tcW w:w="1288" w:type="dxa"/>
                  <w:noWrap w:val="0"/>
                  <w:vAlign w:val="center"/>
                </w:tcPr>
                <w:p w14:paraId="3A73AF07">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自然耗散</w:t>
                  </w:r>
                </w:p>
              </w:tc>
              <w:tc>
                <w:tcPr>
                  <w:tcW w:w="775" w:type="dxa"/>
                  <w:noWrap w:val="0"/>
                  <w:vAlign w:val="center"/>
                </w:tcPr>
                <w:p w14:paraId="6B5AAC58">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1.8</w:t>
                  </w:r>
                </w:p>
              </w:tc>
              <w:tc>
                <w:tcPr>
                  <w:tcW w:w="1487" w:type="dxa"/>
                  <w:vMerge w:val="restart"/>
                  <w:noWrap w:val="0"/>
                  <w:vAlign w:val="center"/>
                </w:tcPr>
                <w:p w14:paraId="0FAC043C">
                  <w:pPr>
                    <w:pStyle w:val="7"/>
                    <w:spacing w:before="0"/>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4.2</w:t>
                  </w:r>
                </w:p>
                <w:p w14:paraId="7E8C9978">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 w:val="15"/>
                      <w:szCs w:val="15"/>
                    </w:rPr>
                    <w:t>（沉淀池处理后回用）</w:t>
                  </w:r>
                </w:p>
              </w:tc>
              <w:tc>
                <w:tcPr>
                  <w:tcW w:w="1111" w:type="dxa"/>
                  <w:vMerge w:val="restart"/>
                  <w:noWrap w:val="0"/>
                  <w:vAlign w:val="center"/>
                </w:tcPr>
                <w:p w14:paraId="76D5AAC4">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0</w:t>
                  </w:r>
                </w:p>
              </w:tc>
            </w:tr>
            <w:tr w14:paraId="59C871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647" w:type="dxa"/>
                  <w:vMerge w:val="continue"/>
                  <w:noWrap w:val="0"/>
                  <w:vAlign w:val="center"/>
                </w:tcPr>
                <w:p w14:paraId="01063CAC">
                  <w:pPr>
                    <w:jc w:val="center"/>
                    <w:rPr>
                      <w:rFonts w:hint="default" w:ascii="Times New Roman" w:hAnsi="Times New Roman" w:cs="Times New Roman"/>
                      <w:color w:val="auto"/>
                      <w:szCs w:val="21"/>
                    </w:rPr>
                  </w:pPr>
                </w:p>
              </w:tc>
              <w:tc>
                <w:tcPr>
                  <w:tcW w:w="1202" w:type="dxa"/>
                  <w:vMerge w:val="continue"/>
                  <w:noWrap w:val="0"/>
                  <w:vAlign w:val="center"/>
                </w:tcPr>
                <w:p w14:paraId="7AE27BCE">
                  <w:pPr>
                    <w:jc w:val="center"/>
                    <w:rPr>
                      <w:rFonts w:hint="default" w:ascii="Times New Roman" w:hAnsi="Times New Roman" w:cs="Times New Roman"/>
                      <w:color w:val="auto"/>
                      <w:szCs w:val="21"/>
                    </w:rPr>
                  </w:pPr>
                </w:p>
              </w:tc>
              <w:tc>
                <w:tcPr>
                  <w:tcW w:w="1587" w:type="dxa"/>
                  <w:vMerge w:val="continue"/>
                  <w:noWrap w:val="0"/>
                  <w:vAlign w:val="center"/>
                </w:tcPr>
                <w:p w14:paraId="1C6DC614">
                  <w:pPr>
                    <w:pStyle w:val="7"/>
                    <w:spacing w:before="0"/>
                    <w:jc w:val="center"/>
                    <w:rPr>
                      <w:rFonts w:hint="default" w:ascii="Times New Roman" w:hAnsi="Times New Roman" w:cs="Times New Roman"/>
                      <w:color w:val="auto"/>
                      <w:szCs w:val="21"/>
                    </w:rPr>
                  </w:pPr>
                </w:p>
              </w:tc>
              <w:tc>
                <w:tcPr>
                  <w:tcW w:w="1288" w:type="dxa"/>
                  <w:noWrap w:val="0"/>
                  <w:vAlign w:val="center"/>
                </w:tcPr>
                <w:p w14:paraId="78013A64">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进入沉淀池</w:t>
                  </w:r>
                </w:p>
              </w:tc>
              <w:tc>
                <w:tcPr>
                  <w:tcW w:w="775" w:type="dxa"/>
                  <w:noWrap w:val="0"/>
                  <w:vAlign w:val="center"/>
                </w:tcPr>
                <w:p w14:paraId="7599630C">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4.2</w:t>
                  </w:r>
                </w:p>
              </w:tc>
              <w:tc>
                <w:tcPr>
                  <w:tcW w:w="1487" w:type="dxa"/>
                  <w:vMerge w:val="continue"/>
                  <w:noWrap w:val="0"/>
                  <w:vAlign w:val="center"/>
                </w:tcPr>
                <w:p w14:paraId="1A23652C">
                  <w:pPr>
                    <w:pStyle w:val="7"/>
                    <w:spacing w:before="0"/>
                    <w:jc w:val="center"/>
                    <w:rPr>
                      <w:rFonts w:hint="default" w:ascii="Times New Roman" w:hAnsi="Times New Roman" w:cs="Times New Roman"/>
                      <w:color w:val="auto"/>
                      <w:szCs w:val="21"/>
                    </w:rPr>
                  </w:pPr>
                </w:p>
              </w:tc>
              <w:tc>
                <w:tcPr>
                  <w:tcW w:w="1111" w:type="dxa"/>
                  <w:vMerge w:val="continue"/>
                  <w:noWrap w:val="0"/>
                  <w:vAlign w:val="center"/>
                </w:tcPr>
                <w:p w14:paraId="2717DEDB">
                  <w:pPr>
                    <w:pStyle w:val="7"/>
                    <w:spacing w:before="0"/>
                    <w:jc w:val="center"/>
                    <w:rPr>
                      <w:rFonts w:hint="default" w:ascii="Times New Roman" w:hAnsi="Times New Roman" w:cs="Times New Roman"/>
                      <w:color w:val="auto"/>
                      <w:szCs w:val="21"/>
                    </w:rPr>
                  </w:pPr>
                </w:p>
              </w:tc>
            </w:tr>
            <w:tr w14:paraId="3B230C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647" w:type="dxa"/>
                  <w:noWrap w:val="0"/>
                  <w:vAlign w:val="center"/>
                </w:tcPr>
                <w:p w14:paraId="2BBD85A9">
                  <w:pPr>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4</w:t>
                  </w:r>
                </w:p>
              </w:tc>
              <w:tc>
                <w:tcPr>
                  <w:tcW w:w="1202" w:type="dxa"/>
                  <w:noWrap w:val="0"/>
                  <w:vAlign w:val="center"/>
                </w:tcPr>
                <w:p w14:paraId="7690FC27">
                  <w:pPr>
                    <w:jc w:val="center"/>
                    <w:rPr>
                      <w:rFonts w:hint="default" w:ascii="Times New Roman" w:hAnsi="Times New Roman" w:cs="Times New Roman"/>
                      <w:color w:val="auto"/>
                      <w:szCs w:val="21"/>
                    </w:rPr>
                  </w:pPr>
                  <w:r>
                    <w:rPr>
                      <w:rFonts w:hint="default" w:ascii="Times New Roman" w:hAnsi="Times New Roman" w:cs="Times New Roman"/>
                      <w:color w:val="auto"/>
                      <w:szCs w:val="21"/>
                    </w:rPr>
                    <w:t>运输车辆</w:t>
                  </w:r>
                  <w:r>
                    <w:rPr>
                      <w:rFonts w:hint="eastAsia" w:ascii="Times New Roman" w:hAnsi="Times New Roman" w:cs="Times New Roman"/>
                      <w:color w:val="auto"/>
                      <w:szCs w:val="21"/>
                      <w:lang w:val="en-US" w:eastAsia="zh-CN"/>
                    </w:rPr>
                    <w:t>车轮</w:t>
                  </w:r>
                  <w:r>
                    <w:rPr>
                      <w:rFonts w:hint="default" w:ascii="Times New Roman" w:hAnsi="Times New Roman" w:cs="Times New Roman"/>
                      <w:color w:val="auto"/>
                      <w:szCs w:val="21"/>
                    </w:rPr>
                    <w:t>清洗用水</w:t>
                  </w:r>
                </w:p>
              </w:tc>
              <w:tc>
                <w:tcPr>
                  <w:tcW w:w="1587" w:type="dxa"/>
                  <w:noWrap w:val="0"/>
                  <w:vAlign w:val="center"/>
                </w:tcPr>
                <w:p w14:paraId="0B95F1F8">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20</w:t>
                  </w:r>
                </w:p>
              </w:tc>
              <w:tc>
                <w:tcPr>
                  <w:tcW w:w="1288" w:type="dxa"/>
                  <w:noWrap w:val="0"/>
                  <w:vAlign w:val="center"/>
                </w:tcPr>
                <w:p w14:paraId="14B37D2A">
                  <w:pPr>
                    <w:pStyle w:val="7"/>
                    <w:spacing w:before="0"/>
                    <w:jc w:val="center"/>
                    <w:rPr>
                      <w:rFonts w:hint="default" w:ascii="Times New Roman" w:hAnsi="Times New Roman" w:cs="Times New Roman"/>
                      <w:color w:val="auto"/>
                      <w:szCs w:val="21"/>
                    </w:rPr>
                  </w:pPr>
                  <w:r>
                    <w:rPr>
                      <w:rFonts w:hint="default" w:ascii="Times New Roman" w:hAnsi="Times New Roman" w:cs="Times New Roman"/>
                      <w:color w:val="auto"/>
                      <w:szCs w:val="21"/>
                    </w:rPr>
                    <w:t>自然耗散</w:t>
                  </w:r>
                </w:p>
              </w:tc>
              <w:tc>
                <w:tcPr>
                  <w:tcW w:w="775" w:type="dxa"/>
                  <w:noWrap w:val="0"/>
                  <w:vAlign w:val="center"/>
                </w:tcPr>
                <w:p w14:paraId="48852150">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20</w:t>
                  </w:r>
                </w:p>
              </w:tc>
              <w:tc>
                <w:tcPr>
                  <w:tcW w:w="1487" w:type="dxa"/>
                  <w:noWrap w:val="0"/>
                  <w:vAlign w:val="center"/>
                </w:tcPr>
                <w:p w14:paraId="1245C023">
                  <w:pPr>
                    <w:pStyle w:val="7"/>
                    <w:spacing w:before="0"/>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220</w:t>
                  </w:r>
                </w:p>
                <w:p w14:paraId="1E19F91F">
                  <w:pPr>
                    <w:pStyle w:val="7"/>
                    <w:spacing w:before="0"/>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 w:val="15"/>
                      <w:szCs w:val="15"/>
                    </w:rPr>
                    <w:t>（沉淀池处理后回用）</w:t>
                  </w:r>
                </w:p>
              </w:tc>
              <w:tc>
                <w:tcPr>
                  <w:tcW w:w="1111" w:type="dxa"/>
                  <w:noWrap w:val="0"/>
                  <w:vAlign w:val="center"/>
                </w:tcPr>
                <w:p w14:paraId="1F646BA3">
                  <w:pPr>
                    <w:pStyle w:val="7"/>
                    <w:spacing w:before="0"/>
                    <w:jc w:val="center"/>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0</w:t>
                  </w:r>
                </w:p>
              </w:tc>
            </w:tr>
            <w:tr w14:paraId="324EAD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47" w:type="dxa"/>
                  <w:noWrap w:val="0"/>
                  <w:vAlign w:val="center"/>
                </w:tcPr>
                <w:p w14:paraId="2CD4B11E">
                  <w:pPr>
                    <w:jc w:val="center"/>
                    <w:rPr>
                      <w:rFonts w:hint="eastAsia" w:ascii="Times New Roman" w:hAnsi="Times New Roman" w:eastAsia="宋体" w:cs="Times New Roman"/>
                      <w:color w:val="auto"/>
                      <w:szCs w:val="21"/>
                      <w:lang w:eastAsia="zh-CN"/>
                    </w:rPr>
                  </w:pPr>
                  <w:r>
                    <w:rPr>
                      <w:rFonts w:hint="eastAsia" w:cs="Times New Roman"/>
                      <w:color w:val="auto"/>
                      <w:szCs w:val="21"/>
                      <w:lang w:val="en-US" w:eastAsia="zh-CN"/>
                    </w:rPr>
                    <w:t>5</w:t>
                  </w:r>
                </w:p>
              </w:tc>
              <w:tc>
                <w:tcPr>
                  <w:tcW w:w="1202" w:type="dxa"/>
                  <w:noWrap w:val="0"/>
                  <w:vAlign w:val="center"/>
                </w:tcPr>
                <w:p w14:paraId="40BBA648">
                  <w:pPr>
                    <w:jc w:val="center"/>
                    <w:rPr>
                      <w:rFonts w:hint="default" w:ascii="Times New Roman" w:hAnsi="Times New Roman" w:cs="Times New Roman"/>
                      <w:color w:val="auto"/>
                      <w:szCs w:val="21"/>
                    </w:rPr>
                  </w:pPr>
                  <w:r>
                    <w:rPr>
                      <w:rFonts w:hint="default" w:ascii="Times New Roman" w:hAnsi="Times New Roman" w:cs="Times New Roman"/>
                      <w:color w:val="auto"/>
                      <w:szCs w:val="21"/>
                    </w:rPr>
                    <w:t>生活用水</w:t>
                  </w:r>
                </w:p>
              </w:tc>
              <w:tc>
                <w:tcPr>
                  <w:tcW w:w="1587" w:type="dxa"/>
                  <w:noWrap w:val="0"/>
                  <w:vAlign w:val="center"/>
                </w:tcPr>
                <w:p w14:paraId="1675D505">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3.36</w:t>
                  </w:r>
                </w:p>
              </w:tc>
              <w:tc>
                <w:tcPr>
                  <w:tcW w:w="2063" w:type="dxa"/>
                  <w:gridSpan w:val="2"/>
                  <w:noWrap w:val="0"/>
                  <w:vAlign w:val="center"/>
                </w:tcPr>
                <w:p w14:paraId="205F49A1">
                  <w:pPr>
                    <w:pStyle w:val="7"/>
                    <w:spacing w:before="0"/>
                    <w:jc w:val="center"/>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rPr>
                    <w:t>自然耗散0.</w:t>
                  </w:r>
                  <w:r>
                    <w:rPr>
                      <w:rFonts w:hint="eastAsia" w:ascii="Times New Roman" w:hAnsi="Times New Roman" w:cs="Times New Roman"/>
                      <w:color w:val="auto"/>
                      <w:szCs w:val="21"/>
                      <w:lang w:val="en-US" w:eastAsia="zh-CN"/>
                    </w:rPr>
                    <w:t>672</w:t>
                  </w:r>
                </w:p>
              </w:tc>
              <w:tc>
                <w:tcPr>
                  <w:tcW w:w="1487" w:type="dxa"/>
                  <w:noWrap w:val="0"/>
                  <w:vAlign w:val="center"/>
                </w:tcPr>
                <w:p w14:paraId="4B37C510">
                  <w:pPr>
                    <w:pStyle w:val="7"/>
                    <w:spacing w:before="0"/>
                    <w:jc w:val="center"/>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0</w:t>
                  </w:r>
                </w:p>
              </w:tc>
              <w:tc>
                <w:tcPr>
                  <w:tcW w:w="1111" w:type="dxa"/>
                  <w:noWrap w:val="0"/>
                  <w:vAlign w:val="center"/>
                </w:tcPr>
                <w:p w14:paraId="3A4A9544">
                  <w:pPr>
                    <w:pStyle w:val="7"/>
                    <w:spacing w:before="0"/>
                    <w:jc w:val="center"/>
                    <w:rPr>
                      <w:rFonts w:hint="default" w:ascii="Times New Roman" w:hAnsi="Times New Roman" w:cs="Times New Roman"/>
                      <w:color w:val="auto"/>
                      <w:szCs w:val="21"/>
                      <w:lang w:val="en-US"/>
                    </w:rPr>
                  </w:pPr>
                  <w:r>
                    <w:rPr>
                      <w:rFonts w:hint="eastAsia" w:ascii="Times New Roman" w:hAnsi="Times New Roman" w:cs="Times New Roman"/>
                      <w:color w:val="auto"/>
                      <w:szCs w:val="21"/>
                      <w:lang w:val="en-US" w:eastAsia="zh-CN"/>
                    </w:rPr>
                    <w:t>化粪池处理后用于农灌2.688</w:t>
                  </w:r>
                </w:p>
              </w:tc>
            </w:tr>
          </w:tbl>
          <w:p w14:paraId="790B4E62">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②生产用水：生产砂石需水量一般为1:0.</w:t>
            </w:r>
            <w:r>
              <w:rPr>
                <w:rFonts w:hint="default" w:ascii="Times New Roman" w:hAnsi="Times New Roman" w:cs="Times New Roman"/>
                <w:sz w:val="24"/>
                <w:lang w:val="en-US" w:eastAsia="zh-CN"/>
              </w:rPr>
              <w:t>4</w:t>
            </w:r>
            <w:r>
              <w:rPr>
                <w:rFonts w:hint="default" w:ascii="Times New Roman" w:hAnsi="Times New Roman" w:cs="Times New Roman"/>
                <w:sz w:val="24"/>
              </w:rPr>
              <w:t>，本项目日产</w:t>
            </w:r>
            <w:r>
              <w:rPr>
                <w:rFonts w:hint="default" w:ascii="Times New Roman" w:hAnsi="Times New Roman" w:cs="Times New Roman"/>
                <w:sz w:val="24"/>
                <w:lang w:val="en-US" w:eastAsia="zh-CN"/>
              </w:rPr>
              <w:t>约1263</w:t>
            </w:r>
            <w:r>
              <w:rPr>
                <w:rFonts w:hint="default" w:ascii="Times New Roman" w:hAnsi="Times New Roman" w:cs="Times New Roman"/>
                <w:sz w:val="24"/>
              </w:rPr>
              <w:t>立方米砂石</w:t>
            </w:r>
            <w:r>
              <w:rPr>
                <w:rFonts w:hint="eastAsia" w:cs="Times New Roman"/>
                <w:sz w:val="24"/>
                <w:lang w:eastAsia="zh-CN"/>
              </w:rPr>
              <w:t>（</w:t>
            </w:r>
            <w:r>
              <w:rPr>
                <w:rFonts w:hint="eastAsia" w:cs="Times New Roman"/>
                <w:sz w:val="24"/>
                <w:lang w:val="en-US" w:eastAsia="zh-CN"/>
              </w:rPr>
              <w:t>一方砂石约2.4吨</w:t>
            </w:r>
            <w:r>
              <w:rPr>
                <w:rFonts w:hint="eastAsia" w:cs="Times New Roman"/>
                <w:sz w:val="24"/>
                <w:lang w:eastAsia="zh-CN"/>
              </w:rPr>
              <w:t>）</w:t>
            </w:r>
            <w:r>
              <w:rPr>
                <w:rFonts w:hint="default" w:ascii="Times New Roman" w:hAnsi="Times New Roman" w:cs="Times New Roman"/>
                <w:sz w:val="24"/>
              </w:rPr>
              <w:t>，故水需求量为</w:t>
            </w:r>
            <w:r>
              <w:rPr>
                <w:rFonts w:hint="default" w:ascii="Times New Roman" w:hAnsi="Times New Roman" w:cs="Times New Roman"/>
                <w:sz w:val="24"/>
                <w:lang w:val="en-US" w:eastAsia="zh-CN"/>
              </w:rPr>
              <w:t>505.</w:t>
            </w:r>
            <w:r>
              <w:rPr>
                <w:rFonts w:hint="eastAsia" w:cs="Times New Roman"/>
                <w:sz w:val="24"/>
                <w:lang w:val="en-US" w:eastAsia="zh-CN"/>
              </w:rPr>
              <w:t>2</w:t>
            </w:r>
            <w:r>
              <w:rPr>
                <w:rFonts w:hint="default" w:ascii="Times New Roman" w:hAnsi="Times New Roman" w:cs="Times New Roman"/>
                <w:sz w:val="24"/>
              </w:rPr>
              <w:t>m³/d，本项目设置三级沉淀池</w:t>
            </w:r>
            <w:r>
              <w:rPr>
                <w:rFonts w:hint="default" w:ascii="Times New Roman" w:hAnsi="Times New Roman" w:cs="Times New Roman"/>
                <w:sz w:val="24"/>
                <w:lang w:val="en-US" w:eastAsia="zh-CN"/>
              </w:rPr>
              <w:t>和中水回用罐对生产废水处理后循环使用</w:t>
            </w:r>
            <w:r>
              <w:rPr>
                <w:rFonts w:hint="default" w:ascii="Times New Roman" w:hAnsi="Times New Roman" w:cs="Times New Roman"/>
                <w:sz w:val="24"/>
              </w:rPr>
              <w:t>，在循环过程中自然损耗5%</w:t>
            </w:r>
            <w:r>
              <w:rPr>
                <w:rFonts w:hint="default" w:ascii="Times New Roman" w:hAnsi="Times New Roman" w:cs="Times New Roman"/>
                <w:sz w:val="24"/>
                <w:lang w:eastAsia="zh-CN"/>
              </w:rPr>
              <w:t>（</w:t>
            </w:r>
            <w:r>
              <w:rPr>
                <w:rFonts w:hint="default" w:ascii="Times New Roman" w:hAnsi="Times New Roman" w:cs="Times New Roman"/>
                <w:sz w:val="24"/>
                <w:lang w:val="en-US" w:eastAsia="zh-CN"/>
              </w:rPr>
              <w:t>约25.2</w:t>
            </w:r>
            <w:r>
              <w:rPr>
                <w:rFonts w:hint="eastAsia" w:cs="Times New Roman"/>
                <w:sz w:val="24"/>
                <w:lang w:val="en-US" w:eastAsia="zh-CN"/>
              </w:rPr>
              <w:t>6</w:t>
            </w:r>
            <w:r>
              <w:rPr>
                <w:rFonts w:hint="default" w:ascii="Times New Roman" w:hAnsi="Times New Roman" w:cs="Times New Roman"/>
                <w:sz w:val="24"/>
              </w:rPr>
              <w:t>m³/d</w:t>
            </w:r>
            <w:r>
              <w:rPr>
                <w:rFonts w:hint="default" w:ascii="Times New Roman" w:hAnsi="Times New Roman" w:cs="Times New Roman"/>
                <w:sz w:val="24"/>
                <w:lang w:eastAsia="zh-CN"/>
              </w:rPr>
              <w:t>）</w:t>
            </w:r>
            <w:r>
              <w:rPr>
                <w:rFonts w:hint="default" w:ascii="Times New Roman" w:hAnsi="Times New Roman" w:cs="Times New Roman"/>
                <w:sz w:val="24"/>
              </w:rPr>
              <w:t>，</w:t>
            </w:r>
            <w:r>
              <w:rPr>
                <w:rFonts w:hint="default" w:ascii="Times New Roman" w:hAnsi="Times New Roman" w:cs="Times New Roman"/>
                <w:sz w:val="24"/>
                <w:lang w:val="en-US" w:eastAsia="zh-CN"/>
              </w:rPr>
              <w:t>产品带走量约10%（约50.5</w:t>
            </w:r>
            <w:r>
              <w:rPr>
                <w:rFonts w:hint="default" w:ascii="Times New Roman" w:hAnsi="Times New Roman" w:cs="Times New Roman"/>
                <w:sz w:val="24"/>
              </w:rPr>
              <w:t>m³/d</w:t>
            </w:r>
            <w:r>
              <w:rPr>
                <w:rFonts w:hint="default" w:ascii="Times New Roman" w:hAnsi="Times New Roman" w:cs="Times New Roman"/>
                <w:sz w:val="24"/>
                <w:lang w:val="en-US" w:eastAsia="zh-CN"/>
              </w:rPr>
              <w:t>）；项目连砂石含泥量约1%，则</w:t>
            </w:r>
            <w:r>
              <w:rPr>
                <w:rFonts w:hint="eastAsia" w:cs="Times New Roman"/>
                <w:sz w:val="24"/>
                <w:lang w:val="en-US" w:eastAsia="zh-CN"/>
              </w:rPr>
              <w:t>泥沙</w:t>
            </w:r>
            <w:r>
              <w:rPr>
                <w:rFonts w:hint="default" w:ascii="Times New Roman" w:hAnsi="Times New Roman" w:cs="Times New Roman"/>
                <w:sz w:val="24"/>
                <w:lang w:val="en-US" w:eastAsia="zh-CN"/>
              </w:rPr>
              <w:t>产生量约30.3t/d，</w:t>
            </w:r>
            <w:r>
              <w:rPr>
                <w:rFonts w:hint="eastAsia" w:cs="Times New Roman"/>
                <w:sz w:val="24"/>
                <w:lang w:val="en-US" w:eastAsia="zh-CN"/>
              </w:rPr>
              <w:t>泥沙</w:t>
            </w:r>
            <w:r>
              <w:rPr>
                <w:rFonts w:hint="default" w:ascii="Times New Roman" w:hAnsi="Times New Roman" w:cs="Times New Roman"/>
                <w:sz w:val="24"/>
                <w:lang w:val="en-US" w:eastAsia="zh-CN"/>
              </w:rPr>
              <w:t>经板框压滤机压滤后含水率约20%，则</w:t>
            </w:r>
            <w:r>
              <w:rPr>
                <w:rFonts w:hint="eastAsia" w:cs="Times New Roman"/>
                <w:sz w:val="24"/>
                <w:lang w:val="en-US" w:eastAsia="zh-CN"/>
              </w:rPr>
              <w:t>泥饼</w:t>
            </w:r>
            <w:r>
              <w:rPr>
                <w:rFonts w:hint="default" w:ascii="Times New Roman" w:hAnsi="Times New Roman" w:cs="Times New Roman"/>
                <w:sz w:val="24"/>
                <w:lang w:val="en-US" w:eastAsia="zh-CN"/>
              </w:rPr>
              <w:t>带走水量约为6.06m³/d。因此本项目生产</w:t>
            </w:r>
            <w:r>
              <w:rPr>
                <w:rFonts w:hint="default" w:ascii="Times New Roman" w:hAnsi="Times New Roman" w:cs="Times New Roman"/>
                <w:sz w:val="24"/>
              </w:rPr>
              <w:t>每日新鲜水补充量为</w:t>
            </w:r>
            <w:r>
              <w:rPr>
                <w:rFonts w:hint="default" w:ascii="Times New Roman" w:hAnsi="Times New Roman" w:cs="Times New Roman"/>
                <w:sz w:val="24"/>
                <w:lang w:val="en-US" w:eastAsia="zh-CN"/>
              </w:rPr>
              <w:t>81.82</w:t>
            </w:r>
            <w:r>
              <w:rPr>
                <w:rFonts w:hint="default" w:ascii="Times New Roman" w:hAnsi="Times New Roman" w:cs="Times New Roman"/>
                <w:sz w:val="24"/>
              </w:rPr>
              <w:t>m³/d。</w:t>
            </w:r>
          </w:p>
          <w:p w14:paraId="527514C0">
            <w:pPr>
              <w:pStyle w:val="44"/>
              <w:ind w:firstLine="480"/>
              <w:rPr>
                <w:rFonts w:hint="default" w:ascii="Times New Roman" w:hAnsi="Times New Roman" w:cs="Times New Roman"/>
                <w:color w:val="auto"/>
              </w:rPr>
            </w:pPr>
            <w:r>
              <w:rPr>
                <w:rFonts w:hint="default" w:ascii="Times New Roman" w:hAnsi="Times New Roman" w:cs="Times New Roman"/>
                <w:color w:val="auto"/>
              </w:rPr>
              <w:t>③厂区抑尘用水：为控</w:t>
            </w:r>
            <w:r>
              <w:rPr>
                <w:rFonts w:hint="default" w:ascii="Times New Roman" w:hAnsi="Times New Roman" w:cs="Times New Roman"/>
                <w:color w:val="auto"/>
                <w:lang w:val="en-US" w:eastAsia="zh-CN"/>
              </w:rPr>
              <w:t>制</w:t>
            </w:r>
            <w:r>
              <w:rPr>
                <w:rFonts w:hint="default" w:ascii="Times New Roman" w:hAnsi="Times New Roman" w:cs="Times New Roman"/>
                <w:color w:val="auto"/>
              </w:rPr>
              <w:t>厂区粉尘排放，本项目设置雾炮机2台</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原料堆场、生产车间、成品堆场设置水雾除尘设施</w:t>
            </w:r>
            <w:r>
              <w:rPr>
                <w:rFonts w:hint="default" w:ascii="Times New Roman" w:hAnsi="Times New Roman" w:cs="Times New Roman"/>
                <w:color w:val="auto"/>
              </w:rPr>
              <w:t>，每天对</w:t>
            </w:r>
            <w:r>
              <w:rPr>
                <w:rFonts w:hint="default" w:ascii="Times New Roman" w:hAnsi="Times New Roman" w:cs="Times New Roman"/>
                <w:color w:val="auto"/>
                <w:lang w:val="en-US" w:eastAsia="zh-CN"/>
              </w:rPr>
              <w:t>生产区域、堆场、厂区道路进行</w:t>
            </w:r>
            <w:r>
              <w:rPr>
                <w:rFonts w:hint="default" w:ascii="Times New Roman" w:hAnsi="Times New Roman" w:cs="Times New Roman"/>
                <w:color w:val="auto"/>
              </w:rPr>
              <w:t>洒水控尘，</w:t>
            </w:r>
            <w:r>
              <w:rPr>
                <w:rFonts w:hint="default" w:ascii="Times New Roman" w:hAnsi="Times New Roman" w:cs="Times New Roman"/>
                <w:color w:val="auto"/>
                <w:lang w:val="en-US" w:eastAsia="zh-CN"/>
              </w:rPr>
              <w:t>控尘</w:t>
            </w:r>
            <w:r>
              <w:rPr>
                <w:rFonts w:hint="default" w:ascii="Times New Roman" w:hAnsi="Times New Roman" w:cs="Times New Roman"/>
                <w:color w:val="auto"/>
              </w:rPr>
              <w:t>面积约</w:t>
            </w:r>
            <w:r>
              <w:rPr>
                <w:rFonts w:hint="default" w:ascii="Times New Roman" w:hAnsi="Times New Roman" w:cs="Times New Roman"/>
                <w:color w:val="auto"/>
                <w:lang w:val="en-US" w:eastAsia="zh-CN"/>
              </w:rPr>
              <w:t>5</w:t>
            </w:r>
            <w:r>
              <w:rPr>
                <w:rFonts w:hint="default" w:ascii="Times New Roman" w:hAnsi="Times New Roman" w:cs="Times New Roman"/>
                <w:color w:val="auto"/>
              </w:rPr>
              <w:t>0</w:t>
            </w:r>
            <w:r>
              <w:rPr>
                <w:rFonts w:hint="default" w:ascii="Times New Roman" w:hAnsi="Times New Roman" w:cs="Times New Roman"/>
                <w:color w:val="auto"/>
                <w:lang w:val="en-US" w:eastAsia="zh-CN"/>
              </w:rPr>
              <w:t>0</w:t>
            </w:r>
            <w:r>
              <w:rPr>
                <w:rFonts w:hint="default" w:ascii="Times New Roman" w:hAnsi="Times New Roman" w:cs="Times New Roman"/>
                <w:color w:val="auto"/>
              </w:rPr>
              <w:t>0m</w:t>
            </w:r>
            <w:r>
              <w:rPr>
                <w:rFonts w:hint="default" w:ascii="Times New Roman" w:hAnsi="Times New Roman" w:cs="Times New Roman"/>
                <w:color w:val="auto"/>
                <w:vertAlign w:val="superscript"/>
              </w:rPr>
              <w:t>2</w:t>
            </w:r>
            <w:r>
              <w:rPr>
                <w:rFonts w:hint="default" w:ascii="Times New Roman" w:hAnsi="Times New Roman" w:cs="Times New Roman"/>
                <w:color w:val="auto"/>
              </w:rPr>
              <w:t>，用水量按2L/（m</w:t>
            </w:r>
            <w:r>
              <w:rPr>
                <w:rFonts w:hint="default" w:ascii="Times New Roman" w:hAnsi="Times New Roman" w:cs="Times New Roman"/>
                <w:color w:val="auto"/>
                <w:vertAlign w:val="superscript"/>
              </w:rPr>
              <w:t>2</w:t>
            </w:r>
            <w:r>
              <w:rPr>
                <w:rFonts w:hint="default" w:ascii="Times New Roman" w:hAnsi="Times New Roman" w:cs="Times New Roman"/>
                <w:color w:val="auto"/>
              </w:rPr>
              <w:t>·d）计，则营运期抑尘用水量为</w:t>
            </w:r>
            <w:r>
              <w:rPr>
                <w:rFonts w:hint="default" w:ascii="Times New Roman" w:hAnsi="Times New Roman" w:cs="Times New Roman"/>
                <w:color w:val="auto"/>
                <w:lang w:val="en-US" w:eastAsia="zh-CN"/>
              </w:rPr>
              <w:t>10.0</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/d，此部分用水全部蒸发。</w:t>
            </w:r>
          </w:p>
          <w:p w14:paraId="29205E32">
            <w:pPr>
              <w:pStyle w:val="44"/>
              <w:ind w:firstLine="480"/>
              <w:jc w:val="both"/>
              <w:rPr>
                <w:rFonts w:hint="default" w:ascii="Times New Roman" w:hAnsi="Times New Roman" w:cs="Times New Roman"/>
                <w:color w:val="auto"/>
              </w:rPr>
            </w:pPr>
            <w:r>
              <w:rPr>
                <w:rFonts w:hint="eastAsia" w:ascii="Times New Roman" w:hAnsi="Times New Roman" w:cs="Times New Roman"/>
                <w:color w:val="auto"/>
                <w:lang w:val="en-US" w:eastAsia="zh-CN"/>
              </w:rPr>
              <w:t>④</w:t>
            </w:r>
            <w:r>
              <w:rPr>
                <w:rFonts w:hint="default" w:ascii="Times New Roman" w:hAnsi="Times New Roman" w:cs="Times New Roman"/>
                <w:color w:val="auto"/>
              </w:rPr>
              <w:t>地面冲洗用水：本项目</w:t>
            </w:r>
            <w:r>
              <w:rPr>
                <w:rFonts w:hint="eastAsia" w:ascii="Times New Roman" w:hAnsi="Times New Roman" w:cs="Times New Roman"/>
                <w:color w:val="auto"/>
                <w:lang w:val="en-US" w:eastAsia="zh-CN"/>
              </w:rPr>
              <w:t>冲洗地面</w:t>
            </w:r>
            <w:r>
              <w:rPr>
                <w:rFonts w:hint="default" w:ascii="Times New Roman" w:hAnsi="Times New Roman" w:cs="Times New Roman"/>
                <w:color w:val="auto"/>
              </w:rPr>
              <w:t>面积约为</w:t>
            </w:r>
            <w:r>
              <w:rPr>
                <w:rFonts w:hint="eastAsia" w:ascii="Times New Roman" w:hAnsi="Times New Roman" w:cs="Times New Roman"/>
                <w:color w:val="auto"/>
                <w:lang w:val="en-US" w:eastAsia="zh-CN"/>
              </w:rPr>
              <w:t>15</w:t>
            </w:r>
            <w:r>
              <w:rPr>
                <w:rFonts w:hint="default" w:ascii="Times New Roman" w:hAnsi="Times New Roman" w:cs="Times New Roman"/>
                <w:color w:val="auto"/>
              </w:rPr>
              <w:t>0</w:t>
            </w:r>
            <w:r>
              <w:rPr>
                <w:rFonts w:hint="eastAsia" w:ascii="Times New Roman" w:hAnsi="Times New Roman" w:cs="Times New Roman"/>
                <w:color w:val="auto"/>
                <w:lang w:val="en-US" w:eastAsia="zh-CN"/>
              </w:rPr>
              <w:t>0</w:t>
            </w:r>
            <w:r>
              <w:rPr>
                <w:rFonts w:hint="default" w:ascii="Times New Roman" w:hAnsi="Times New Roman" w:cs="Times New Roman"/>
                <w:color w:val="auto"/>
              </w:rPr>
              <w:t>m</w:t>
            </w:r>
            <w:r>
              <w:rPr>
                <w:rFonts w:hint="default" w:ascii="Times New Roman" w:hAnsi="Times New Roman" w:cs="Times New Roman"/>
                <w:color w:val="auto"/>
                <w:vertAlign w:val="superscript"/>
              </w:rPr>
              <w:t>2</w:t>
            </w:r>
            <w:r>
              <w:rPr>
                <w:rFonts w:hint="default" w:ascii="Times New Roman" w:hAnsi="Times New Roman" w:cs="Times New Roman"/>
                <w:color w:val="auto"/>
              </w:rPr>
              <w:t>。由于车辆活动比较频繁，并带有大量</w:t>
            </w:r>
            <w:r>
              <w:rPr>
                <w:rFonts w:hint="eastAsia" w:ascii="Times New Roman" w:hAnsi="Times New Roman" w:cs="Times New Roman"/>
                <w:color w:val="auto"/>
                <w:lang w:val="en-US" w:eastAsia="zh-CN"/>
              </w:rPr>
              <w:t>粉</w:t>
            </w:r>
            <w:r>
              <w:rPr>
                <w:rFonts w:hint="default" w:ascii="Times New Roman" w:hAnsi="Times New Roman" w:cs="Times New Roman"/>
                <w:color w:val="auto"/>
              </w:rPr>
              <w:t>尘进入项目区，项目每天对作业区域地面冲洗1次，冲洗用水按5L/m</w:t>
            </w:r>
            <w:r>
              <w:rPr>
                <w:rFonts w:hint="default" w:ascii="Times New Roman" w:hAnsi="Times New Roman" w:cs="Times New Roman"/>
                <w:color w:val="auto"/>
                <w:vertAlign w:val="superscript"/>
              </w:rPr>
              <w:t>2</w:t>
            </w:r>
            <w:r>
              <w:rPr>
                <w:rFonts w:hint="default" w:ascii="Times New Roman" w:hAnsi="Times New Roman" w:cs="Times New Roman"/>
                <w:color w:val="auto"/>
              </w:rPr>
              <w:t>·次计，则用水量约为</w:t>
            </w:r>
            <w:r>
              <w:rPr>
                <w:rFonts w:hint="eastAsia" w:ascii="Times New Roman" w:hAnsi="Times New Roman" w:cs="Times New Roman"/>
                <w:color w:val="auto"/>
                <w:lang w:val="en-US" w:eastAsia="zh-CN"/>
              </w:rPr>
              <w:t>6.0</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/d。此部分用水约</w:t>
            </w:r>
            <w:r>
              <w:rPr>
                <w:rFonts w:hint="eastAsia" w:ascii="Times New Roman" w:hAnsi="Times New Roman" w:cs="Times New Roman"/>
                <w:color w:val="auto"/>
                <w:lang w:val="en-US" w:eastAsia="zh-CN"/>
              </w:rPr>
              <w:t>30</w:t>
            </w:r>
            <w:r>
              <w:rPr>
                <w:rFonts w:hint="default" w:ascii="Times New Roman" w:hAnsi="Times New Roman" w:cs="Times New Roman"/>
                <w:color w:val="auto"/>
              </w:rPr>
              <w:t>%（</w:t>
            </w:r>
            <w:r>
              <w:rPr>
                <w:rFonts w:hint="eastAsia" w:ascii="Times New Roman" w:hAnsi="Times New Roman" w:cs="Times New Roman"/>
                <w:color w:val="auto"/>
                <w:lang w:val="en-US" w:eastAsia="zh-CN"/>
              </w:rPr>
              <w:t>1.8</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/d）蒸发损失，其余</w:t>
            </w:r>
            <w:r>
              <w:rPr>
                <w:rFonts w:hint="eastAsia" w:ascii="Times New Roman" w:hAnsi="Times New Roman" w:cs="Times New Roman"/>
                <w:color w:val="auto"/>
                <w:lang w:val="en-US" w:eastAsia="zh-CN"/>
              </w:rPr>
              <w:t>7</w:t>
            </w:r>
            <w:r>
              <w:rPr>
                <w:rFonts w:hint="default" w:ascii="Times New Roman" w:hAnsi="Times New Roman" w:cs="Times New Roman"/>
                <w:color w:val="auto"/>
              </w:rPr>
              <w:t>0%（</w:t>
            </w:r>
            <w:r>
              <w:rPr>
                <w:rFonts w:hint="eastAsia" w:ascii="Times New Roman" w:hAnsi="Times New Roman" w:cs="Times New Roman"/>
                <w:color w:val="auto"/>
                <w:lang w:val="en-US" w:eastAsia="zh-CN"/>
              </w:rPr>
              <w:t>4.2</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/d）含泥</w:t>
            </w:r>
            <w:r>
              <w:rPr>
                <w:rFonts w:hint="eastAsia" w:ascii="Times New Roman" w:hAnsi="Times New Roman" w:cs="Times New Roman"/>
                <w:color w:val="auto"/>
                <w:lang w:val="en-US" w:eastAsia="zh-CN"/>
              </w:rPr>
              <w:t>沙</w:t>
            </w:r>
            <w:r>
              <w:rPr>
                <w:rFonts w:hint="default" w:ascii="Times New Roman" w:hAnsi="Times New Roman" w:cs="Times New Roman"/>
                <w:color w:val="auto"/>
              </w:rPr>
              <w:t>废水汇入</w:t>
            </w:r>
            <w:r>
              <w:rPr>
                <w:rFonts w:hint="eastAsia" w:ascii="Times New Roman" w:hAnsi="Times New Roman" w:cs="Times New Roman"/>
                <w:color w:val="auto"/>
                <w:lang w:val="en-US" w:eastAsia="zh-CN"/>
              </w:rPr>
              <w:t>生产区五级</w:t>
            </w:r>
            <w:r>
              <w:rPr>
                <w:rFonts w:hint="default" w:ascii="Times New Roman" w:hAnsi="Times New Roman" w:cs="Times New Roman"/>
                <w:color w:val="auto"/>
              </w:rPr>
              <w:t>沉淀池沉淀后</w:t>
            </w:r>
            <w:r>
              <w:rPr>
                <w:rFonts w:hint="eastAsia" w:ascii="Times New Roman" w:hAnsi="Times New Roman" w:cs="Times New Roman"/>
                <w:color w:val="auto"/>
                <w:lang w:val="en-US" w:eastAsia="zh-CN"/>
              </w:rPr>
              <w:t>处理后循环使用</w:t>
            </w:r>
            <w:r>
              <w:rPr>
                <w:rFonts w:hint="default" w:ascii="Times New Roman" w:hAnsi="Times New Roman" w:cs="Times New Roman"/>
                <w:color w:val="auto"/>
              </w:rPr>
              <w:t>。</w:t>
            </w:r>
          </w:p>
          <w:p w14:paraId="26A5425F">
            <w:pPr>
              <w:pStyle w:val="44"/>
              <w:ind w:firstLine="480"/>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⑤车辆车轮清洗废水</w:t>
            </w:r>
          </w:p>
          <w:p w14:paraId="2A3FD021">
            <w:pPr>
              <w:pStyle w:val="44"/>
              <w:ind w:firstLine="480"/>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本项目车辆日进出辆次约100辆次，车轮清洗过程中清洗废水循环使用，车轮清洗废水在循环使用过程自然耗散量约20m³/d。耗散部分由新鲜水补充。</w:t>
            </w:r>
          </w:p>
          <w:p w14:paraId="7BCCFBAF">
            <w:pPr>
              <w:pStyle w:val="44"/>
              <w:ind w:left="0" w:leftChars="0" w:firstLine="0" w:firstLineChars="0"/>
              <w:rPr>
                <w:rFonts w:hint="default" w:ascii="Times New Roman" w:hAnsi="Times New Roman" w:cs="Times New Roman"/>
                <w:color w:val="auto"/>
                <w:lang w:val="en-US" w:eastAsia="zh-CN"/>
              </w:rPr>
            </w:pPr>
            <w:r>
              <w:drawing>
                <wp:inline distT="0" distB="0" distL="114300" distR="114300">
                  <wp:extent cx="5107940" cy="4003040"/>
                  <wp:effectExtent l="0" t="0" r="16510" b="16510"/>
                  <wp:docPr id="1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1"/>
                          <pic:cNvPicPr>
                            <a:picLocks noChangeAspect="1"/>
                          </pic:cNvPicPr>
                        </pic:nvPicPr>
                        <pic:blipFill>
                          <a:blip r:embed="rId12"/>
                          <a:stretch>
                            <a:fillRect/>
                          </a:stretch>
                        </pic:blipFill>
                        <pic:spPr>
                          <a:xfrm>
                            <a:off x="0" y="0"/>
                            <a:ext cx="5107940" cy="4003040"/>
                          </a:xfrm>
                          <a:prstGeom prst="rect">
                            <a:avLst/>
                          </a:prstGeom>
                          <a:noFill/>
                          <a:ln>
                            <a:noFill/>
                          </a:ln>
                        </pic:spPr>
                      </pic:pic>
                    </a:graphicData>
                  </a:graphic>
                </wp:inline>
              </w:drawing>
            </w:r>
          </w:p>
          <w:p w14:paraId="4F9752BB">
            <w:pPr>
              <w:pStyle w:val="45"/>
              <w:rPr>
                <w:rFonts w:hint="default" w:ascii="Times New Roman" w:hAnsi="Times New Roman" w:cs="Times New Roman"/>
                <w:bCs/>
                <w:color w:val="auto"/>
              </w:rPr>
            </w:pPr>
            <w:r>
              <w:rPr>
                <w:rFonts w:hint="default" w:ascii="Times New Roman" w:hAnsi="Times New Roman" w:cs="Times New Roman"/>
                <w:color w:val="auto"/>
              </w:rPr>
              <w:t>图2-3项目水平衡图（单位：m</w:t>
            </w:r>
            <w:r>
              <w:rPr>
                <w:rFonts w:hint="default" w:ascii="Times New Roman" w:hAnsi="Times New Roman" w:cs="Times New Roman"/>
                <w:color w:val="auto"/>
                <w:vertAlign w:val="superscript"/>
              </w:rPr>
              <w:t>3</w:t>
            </w:r>
            <w:r>
              <w:rPr>
                <w:rFonts w:hint="default" w:ascii="Times New Roman" w:hAnsi="Times New Roman" w:cs="Times New Roman"/>
                <w:color w:val="auto"/>
              </w:rPr>
              <w:t>/d）</w:t>
            </w:r>
          </w:p>
        </w:tc>
      </w:tr>
      <w:tr w14:paraId="34FA58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71" w:hRule="atLeast"/>
          <w:jc w:val="center"/>
        </w:trPr>
        <w:tc>
          <w:tcPr>
            <w:tcW w:w="375" w:type="dxa"/>
            <w:noWrap w:val="0"/>
            <w:vAlign w:val="center"/>
          </w:tcPr>
          <w:p w14:paraId="7A5411FB">
            <w:pPr>
              <w:pStyle w:val="19"/>
              <w:adjustRightInd w:val="0"/>
              <w:snapToGrid w:val="0"/>
              <w:spacing w:before="0" w:beforeAutospacing="0" w:after="0" w:afterAutospacing="0"/>
              <w:jc w:val="center"/>
              <w:rPr>
                <w:rFonts w:hint="default" w:ascii="Times New Roman" w:hAnsi="Times New Roman" w:cs="Times New Roman"/>
                <w:color w:val="auto"/>
                <w:sz w:val="21"/>
                <w:szCs w:val="21"/>
              </w:rPr>
            </w:pPr>
            <w:r>
              <w:rPr>
                <w:rFonts w:hint="default" w:ascii="Times New Roman" w:hAnsi="Times New Roman" w:cs="Times New Roman"/>
                <w:bCs/>
                <w:color w:val="auto"/>
                <w:kern w:val="2"/>
                <w:sz w:val="21"/>
                <w:szCs w:val="21"/>
              </w:rPr>
              <w:t>与项目有关的原有环境污染问题</w:t>
            </w:r>
          </w:p>
        </w:tc>
        <w:tc>
          <w:tcPr>
            <w:tcW w:w="8609" w:type="dxa"/>
            <w:noWrap w:val="0"/>
            <w:vAlign w:val="top"/>
          </w:tcPr>
          <w:p w14:paraId="35829D23">
            <w:pPr>
              <w:pStyle w:val="44"/>
              <w:ind w:firstLine="480"/>
              <w:rPr>
                <w:rFonts w:hint="default" w:ascii="Times New Roman" w:hAnsi="Times New Roman" w:cs="Times New Roman"/>
                <w:color w:val="auto"/>
                <w:lang w:val="en-US" w:eastAsia="zh-CN"/>
              </w:rPr>
            </w:pPr>
            <w:r>
              <w:drawing>
                <wp:anchor distT="0" distB="0" distL="114300" distR="114300" simplePos="0" relativeHeight="251665408" behindDoc="1" locked="0" layoutInCell="1" allowOverlap="1">
                  <wp:simplePos x="0" y="0"/>
                  <wp:positionH relativeFrom="column">
                    <wp:posOffset>1936750</wp:posOffset>
                  </wp:positionH>
                  <wp:positionV relativeFrom="paragraph">
                    <wp:posOffset>1297305</wp:posOffset>
                  </wp:positionV>
                  <wp:extent cx="3259455" cy="2529840"/>
                  <wp:effectExtent l="0" t="0" r="17145" b="3810"/>
                  <wp:wrapNone/>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3"/>
                          <a:stretch>
                            <a:fillRect/>
                          </a:stretch>
                        </pic:blipFill>
                        <pic:spPr>
                          <a:xfrm>
                            <a:off x="0" y="0"/>
                            <a:ext cx="3259455" cy="2529840"/>
                          </a:xfrm>
                          <a:prstGeom prst="rect">
                            <a:avLst/>
                          </a:prstGeom>
                          <a:noFill/>
                          <a:ln>
                            <a:noFill/>
                          </a:ln>
                        </pic:spPr>
                      </pic:pic>
                    </a:graphicData>
                  </a:graphic>
                </wp:anchor>
              </w:drawing>
            </w:r>
            <w:r>
              <w:drawing>
                <wp:anchor distT="0" distB="0" distL="114300" distR="114300" simplePos="0" relativeHeight="251665408" behindDoc="1" locked="0" layoutInCell="1" allowOverlap="1">
                  <wp:simplePos x="0" y="0"/>
                  <wp:positionH relativeFrom="column">
                    <wp:posOffset>155575</wp:posOffset>
                  </wp:positionH>
                  <wp:positionV relativeFrom="paragraph">
                    <wp:posOffset>1276350</wp:posOffset>
                  </wp:positionV>
                  <wp:extent cx="1708785" cy="2523490"/>
                  <wp:effectExtent l="0" t="0" r="5715" b="10160"/>
                  <wp:wrapNone/>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4"/>
                          <a:stretch>
                            <a:fillRect/>
                          </a:stretch>
                        </pic:blipFill>
                        <pic:spPr>
                          <a:xfrm>
                            <a:off x="0" y="0"/>
                            <a:ext cx="1708785" cy="2523490"/>
                          </a:xfrm>
                          <a:prstGeom prst="rect">
                            <a:avLst/>
                          </a:prstGeom>
                          <a:noFill/>
                          <a:ln>
                            <a:noFill/>
                          </a:ln>
                        </pic:spPr>
                      </pic:pic>
                    </a:graphicData>
                  </a:graphic>
                </wp:anchor>
              </w:drawing>
            </w:r>
            <w:r>
              <w:rPr>
                <w:rFonts w:hint="default" w:ascii="Times New Roman" w:hAnsi="Times New Roman" w:cs="Times New Roman"/>
                <w:color w:val="auto"/>
              </w:rPr>
              <w:t>本项目为新建项目，根据现场踏勘，</w:t>
            </w:r>
            <w:r>
              <w:rPr>
                <w:rFonts w:hint="eastAsia" w:ascii="Times New Roman" w:hAnsi="Times New Roman" w:cs="Times New Roman"/>
                <w:color w:val="auto"/>
                <w:lang w:val="en-US" w:eastAsia="zh-CN"/>
              </w:rPr>
              <w:t>现场有一处遂宁市安居区盛达运航建材厂闲置的搅拌站设施，根据调查该搅拌站为2019年底因白观路（乡村道路）建设而设置的配套临时拌和站</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2020年白观路建成后该搅拌站一直处于闲置状态。现场图片如下：</w:t>
            </w:r>
          </w:p>
          <w:p w14:paraId="6A868963">
            <w:pPr>
              <w:pStyle w:val="44"/>
              <w:spacing w:before="120" w:beforeLines="50"/>
              <w:ind w:firstLine="0" w:firstLineChars="0"/>
              <w:jc w:val="center"/>
              <w:rPr>
                <w:rFonts w:hint="default" w:ascii="Times New Roman" w:hAnsi="Times New Roman" w:cs="Times New Roman"/>
                <w:color w:val="auto"/>
              </w:rPr>
            </w:pPr>
          </w:p>
          <w:p w14:paraId="687E7C17">
            <w:pPr>
              <w:pStyle w:val="44"/>
              <w:spacing w:before="120" w:beforeLines="50"/>
              <w:ind w:firstLine="0" w:firstLineChars="0"/>
              <w:jc w:val="center"/>
              <w:rPr>
                <w:rFonts w:hint="default" w:ascii="Times New Roman" w:hAnsi="Times New Roman" w:cs="Times New Roman"/>
                <w:color w:val="auto"/>
              </w:rPr>
            </w:pPr>
          </w:p>
          <w:p w14:paraId="3DE06CA9">
            <w:pPr>
              <w:pStyle w:val="44"/>
              <w:spacing w:before="120" w:beforeLines="50"/>
              <w:ind w:firstLine="0" w:firstLineChars="0"/>
              <w:jc w:val="center"/>
              <w:rPr>
                <w:rFonts w:hint="default" w:ascii="Times New Roman" w:hAnsi="Times New Roman" w:cs="Times New Roman"/>
                <w:color w:val="auto"/>
              </w:rPr>
            </w:pPr>
          </w:p>
          <w:p w14:paraId="719F8F8D">
            <w:pPr>
              <w:pStyle w:val="44"/>
              <w:spacing w:before="120" w:beforeLines="50"/>
              <w:ind w:firstLine="0" w:firstLineChars="0"/>
              <w:jc w:val="center"/>
              <w:rPr>
                <w:rFonts w:hint="default" w:ascii="Times New Roman" w:hAnsi="Times New Roman" w:cs="Times New Roman"/>
                <w:color w:val="auto"/>
              </w:rPr>
            </w:pPr>
          </w:p>
          <w:p w14:paraId="3F38E471">
            <w:pPr>
              <w:pStyle w:val="44"/>
              <w:spacing w:before="120" w:beforeLines="50"/>
              <w:ind w:firstLine="0" w:firstLineChars="0"/>
              <w:jc w:val="center"/>
              <w:rPr>
                <w:rFonts w:hint="default" w:ascii="Times New Roman" w:hAnsi="Times New Roman" w:cs="Times New Roman"/>
                <w:color w:val="auto"/>
              </w:rPr>
            </w:pPr>
          </w:p>
          <w:p w14:paraId="073DCFB2">
            <w:pPr>
              <w:pStyle w:val="44"/>
              <w:spacing w:before="120" w:beforeLines="50"/>
              <w:ind w:firstLine="0" w:firstLineChars="0"/>
              <w:jc w:val="center"/>
              <w:rPr>
                <w:rFonts w:hint="default" w:ascii="Times New Roman" w:hAnsi="Times New Roman" w:cs="Times New Roman"/>
                <w:color w:val="auto"/>
              </w:rPr>
            </w:pPr>
          </w:p>
          <w:p w14:paraId="65F2123E">
            <w:pPr>
              <w:pStyle w:val="44"/>
              <w:spacing w:before="120" w:beforeLines="50"/>
              <w:ind w:firstLine="0" w:firstLineChars="0"/>
              <w:jc w:val="center"/>
            </w:pPr>
          </w:p>
          <w:p w14:paraId="7D454130">
            <w:pPr>
              <w:pStyle w:val="44"/>
              <w:spacing w:before="120" w:beforeLines="50"/>
              <w:ind w:firstLine="0" w:firstLineChars="0"/>
              <w:jc w:val="center"/>
              <w:rPr>
                <w:rFonts w:hint="default" w:ascii="Times New Roman" w:hAnsi="Times New Roman" w:cs="Times New Roman"/>
                <w:color w:val="auto"/>
              </w:rPr>
            </w:pPr>
            <w:r>
              <w:drawing>
                <wp:inline distT="0" distB="0" distL="114300" distR="114300">
                  <wp:extent cx="4819015" cy="2873375"/>
                  <wp:effectExtent l="0" t="0" r="635" b="317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5"/>
                          <a:stretch>
                            <a:fillRect/>
                          </a:stretch>
                        </pic:blipFill>
                        <pic:spPr>
                          <a:xfrm>
                            <a:off x="0" y="0"/>
                            <a:ext cx="4819015" cy="2873375"/>
                          </a:xfrm>
                          <a:prstGeom prst="rect">
                            <a:avLst/>
                          </a:prstGeom>
                          <a:noFill/>
                          <a:ln>
                            <a:noFill/>
                          </a:ln>
                        </pic:spPr>
                      </pic:pic>
                    </a:graphicData>
                  </a:graphic>
                </wp:inline>
              </w:drawing>
            </w:r>
          </w:p>
          <w:p w14:paraId="368C6EA6">
            <w:pPr>
              <w:pStyle w:val="44"/>
              <w:ind w:firstLine="480"/>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本次环评不含该拌和站，本项目所生产的碎石、机制砂不供给该搅拌站使用，仅供给中建八局搅拌站使用。该搅拌站后续由遂宁市安居区盛达运航建材厂自行拆除并完成迹地恢复。</w:t>
            </w:r>
          </w:p>
          <w:p w14:paraId="5F012FA6">
            <w:pPr>
              <w:pStyle w:val="44"/>
              <w:ind w:firstLine="480"/>
              <w:rPr>
                <w:rFonts w:hint="eastAsia" w:ascii="Times New Roman" w:hAnsi="Times New Roman" w:cs="Times New Roman"/>
                <w:color w:val="auto"/>
                <w:lang w:val="en-US" w:eastAsia="zh-CN"/>
              </w:rPr>
            </w:pPr>
          </w:p>
          <w:p w14:paraId="2DC76AB3">
            <w:pPr>
              <w:pStyle w:val="44"/>
              <w:ind w:firstLine="480"/>
              <w:rPr>
                <w:rFonts w:hint="eastAsia" w:ascii="Times New Roman" w:hAnsi="Times New Roman" w:cs="Times New Roman"/>
                <w:color w:val="auto"/>
                <w:lang w:val="en-US" w:eastAsia="zh-CN"/>
              </w:rPr>
            </w:pPr>
          </w:p>
          <w:p w14:paraId="4208972B">
            <w:pPr>
              <w:pStyle w:val="44"/>
              <w:ind w:firstLine="480"/>
              <w:rPr>
                <w:rFonts w:hint="eastAsia" w:ascii="Times New Roman" w:hAnsi="Times New Roman" w:cs="Times New Roman"/>
                <w:color w:val="auto"/>
                <w:lang w:val="en-US" w:eastAsia="zh-CN"/>
              </w:rPr>
            </w:pPr>
          </w:p>
          <w:p w14:paraId="1D9D9B19">
            <w:pPr>
              <w:pStyle w:val="44"/>
              <w:ind w:firstLine="480"/>
              <w:rPr>
                <w:rFonts w:hint="eastAsia" w:ascii="Times New Roman" w:hAnsi="Times New Roman" w:cs="Times New Roman"/>
                <w:color w:val="auto"/>
                <w:lang w:val="en-US" w:eastAsia="zh-CN"/>
              </w:rPr>
            </w:pPr>
          </w:p>
          <w:p w14:paraId="27BF7379">
            <w:pPr>
              <w:pStyle w:val="44"/>
              <w:ind w:firstLine="480"/>
              <w:rPr>
                <w:rFonts w:hint="eastAsia" w:ascii="Times New Roman" w:hAnsi="Times New Roman" w:cs="Times New Roman"/>
                <w:color w:val="auto"/>
                <w:lang w:val="en-US" w:eastAsia="zh-CN"/>
              </w:rPr>
            </w:pPr>
          </w:p>
          <w:p w14:paraId="29BCE4BE">
            <w:pPr>
              <w:pStyle w:val="44"/>
              <w:ind w:firstLine="480"/>
              <w:rPr>
                <w:rFonts w:hint="eastAsia" w:ascii="Times New Roman" w:hAnsi="Times New Roman" w:cs="Times New Roman"/>
                <w:color w:val="auto"/>
                <w:lang w:val="en-US" w:eastAsia="zh-CN"/>
              </w:rPr>
            </w:pPr>
          </w:p>
          <w:p w14:paraId="6C056D4E">
            <w:pPr>
              <w:pStyle w:val="44"/>
              <w:ind w:firstLine="480"/>
              <w:rPr>
                <w:rFonts w:hint="eastAsia" w:ascii="Times New Roman" w:hAnsi="Times New Roman" w:cs="Times New Roman"/>
                <w:color w:val="auto"/>
                <w:lang w:val="en-US" w:eastAsia="zh-CN"/>
              </w:rPr>
            </w:pPr>
          </w:p>
          <w:p w14:paraId="6CD9B075">
            <w:pPr>
              <w:pStyle w:val="44"/>
              <w:ind w:firstLine="480"/>
              <w:rPr>
                <w:rFonts w:hint="eastAsia" w:ascii="Times New Roman" w:hAnsi="Times New Roman" w:cs="Times New Roman"/>
                <w:color w:val="auto"/>
                <w:lang w:val="en-US" w:eastAsia="zh-CN"/>
              </w:rPr>
            </w:pPr>
          </w:p>
          <w:p w14:paraId="4428E757">
            <w:pPr>
              <w:pStyle w:val="44"/>
              <w:ind w:firstLine="480"/>
              <w:rPr>
                <w:rFonts w:hint="eastAsia" w:ascii="Times New Roman" w:hAnsi="Times New Roman" w:cs="Times New Roman"/>
                <w:color w:val="auto"/>
                <w:lang w:val="en-US" w:eastAsia="zh-CN"/>
              </w:rPr>
            </w:pPr>
          </w:p>
          <w:p w14:paraId="57B0CED7">
            <w:pPr>
              <w:pStyle w:val="44"/>
              <w:ind w:firstLine="480"/>
              <w:rPr>
                <w:rFonts w:hint="eastAsia" w:ascii="Times New Roman" w:hAnsi="Times New Roman" w:cs="Times New Roman"/>
                <w:color w:val="auto"/>
                <w:lang w:val="en-US" w:eastAsia="zh-CN"/>
              </w:rPr>
            </w:pPr>
          </w:p>
          <w:p w14:paraId="042E7E9D">
            <w:pPr>
              <w:pStyle w:val="44"/>
              <w:ind w:firstLine="480"/>
              <w:rPr>
                <w:rFonts w:hint="eastAsia" w:ascii="Times New Roman" w:hAnsi="Times New Roman" w:cs="Times New Roman"/>
                <w:color w:val="auto"/>
                <w:lang w:val="en-US" w:eastAsia="zh-CN"/>
              </w:rPr>
            </w:pPr>
          </w:p>
          <w:p w14:paraId="755D690F">
            <w:pPr>
              <w:pStyle w:val="44"/>
              <w:ind w:firstLine="480"/>
              <w:rPr>
                <w:rFonts w:hint="default" w:ascii="Times New Roman" w:hAnsi="Times New Roman" w:cs="Times New Roman"/>
                <w:color w:val="auto"/>
                <w:lang w:val="en-US" w:eastAsia="zh-CN"/>
              </w:rPr>
            </w:pPr>
          </w:p>
        </w:tc>
      </w:tr>
    </w:tbl>
    <w:p w14:paraId="6826B046">
      <w:pPr>
        <w:pStyle w:val="19"/>
        <w:jc w:val="center"/>
        <w:rPr>
          <w:rFonts w:hint="default" w:ascii="Times New Roman" w:hAnsi="Times New Roman" w:eastAsia="黑体" w:cs="Times New Roman"/>
          <w:snapToGrid w:val="0"/>
          <w:sz w:val="36"/>
          <w:szCs w:val="36"/>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14:paraId="432A09F4">
      <w:pPr>
        <w:pStyle w:val="19"/>
        <w:adjustRightInd w:val="0"/>
        <w:snapToGrid w:val="0"/>
        <w:spacing w:before="0" w:beforeAutospacing="0" w:after="0" w:afterAutospacing="0" w:line="14" w:lineRule="auto"/>
        <w:jc w:val="center"/>
        <w:outlineLvl w:val="0"/>
        <w:rPr>
          <w:rFonts w:hint="default" w:ascii="Times New Roman" w:hAnsi="Times New Roman" w:eastAsia="黑体" w:cs="Times New Roman"/>
          <w:snapToGrid w:val="0"/>
          <w:sz w:val="30"/>
          <w:szCs w:val="30"/>
        </w:rPr>
      </w:pPr>
    </w:p>
    <w:p w14:paraId="0AE89CD0">
      <w:pPr>
        <w:pStyle w:val="19"/>
        <w:spacing w:before="0" w:beforeAutospacing="0" w:after="0" w:afterAutospacing="0"/>
        <w:outlineLvl w:val="0"/>
        <w:rPr>
          <w:rFonts w:hint="default" w:ascii="Times New Roman" w:hAnsi="Times New Roman" w:eastAsia="黑体" w:cs="Times New Roman"/>
          <w:snapToGrid w:val="0"/>
          <w:sz w:val="30"/>
          <w:szCs w:val="30"/>
        </w:rPr>
      </w:pPr>
      <w:r>
        <w:rPr>
          <w:rFonts w:hint="default" w:ascii="Times New Roman" w:hAnsi="Times New Roman" w:eastAsia="黑体" w:cs="Times New Roman"/>
          <w:snapToGrid w:val="0"/>
          <w:sz w:val="30"/>
          <w:szCs w:val="30"/>
        </w:rPr>
        <w:t>三、区域环境质量现状、环境保护目标及评价标准</w:t>
      </w:r>
    </w:p>
    <w:tbl>
      <w:tblPr>
        <w:tblStyle w:val="2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65"/>
        <w:gridCol w:w="8525"/>
      </w:tblGrid>
      <w:tr w14:paraId="286E8D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906" w:hRule="atLeast"/>
          <w:jc w:val="center"/>
        </w:trPr>
        <w:tc>
          <w:tcPr>
            <w:tcW w:w="465" w:type="dxa"/>
            <w:noWrap w:val="0"/>
            <w:vAlign w:val="center"/>
          </w:tcPr>
          <w:p w14:paraId="625BC5CB">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区域</w:t>
            </w:r>
          </w:p>
          <w:p w14:paraId="3433CC74">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环境</w:t>
            </w:r>
          </w:p>
          <w:p w14:paraId="293970ED">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质量</w:t>
            </w:r>
          </w:p>
          <w:p w14:paraId="037B31A0">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现状</w:t>
            </w:r>
          </w:p>
        </w:tc>
        <w:tc>
          <w:tcPr>
            <w:tcW w:w="8525" w:type="dxa"/>
            <w:noWrap w:val="0"/>
            <w:vAlign w:val="center"/>
          </w:tcPr>
          <w:p w14:paraId="5E4A75C4">
            <w:pPr>
              <w:pStyle w:val="44"/>
              <w:spacing w:before="120" w:beforeLines="50"/>
              <w:ind w:firstLine="0" w:firstLineChars="0"/>
              <w:rPr>
                <w:rFonts w:hint="default" w:ascii="Times New Roman" w:hAnsi="Times New Roman" w:cs="Times New Roman"/>
                <w:b/>
                <w:bCs/>
              </w:rPr>
            </w:pPr>
            <w:r>
              <w:rPr>
                <w:rFonts w:hint="default" w:ascii="Times New Roman" w:hAnsi="Times New Roman" w:cs="Times New Roman"/>
                <w:b/>
                <w:bCs/>
              </w:rPr>
              <w:t>一、大气环境</w:t>
            </w:r>
          </w:p>
          <w:p w14:paraId="67E10709">
            <w:pPr>
              <w:pStyle w:val="44"/>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本次环境空气质量现状评价引用遂宁市污染防治攻坚战领导小组办公室2023年1月29日发布的关于2022年全市地表水和环境空气质量排名的通报（遂污防攻坚办〔2023〕2号）中公布的数据。</w:t>
            </w:r>
          </w:p>
          <w:p w14:paraId="123A3919">
            <w:pPr>
              <w:pStyle w:val="44"/>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202</w:t>
            </w:r>
            <w:r>
              <w:rPr>
                <w:rFonts w:hint="eastAsia"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年</w:t>
            </w:r>
            <w:r>
              <w:rPr>
                <w:rFonts w:hint="eastAsia" w:ascii="Times New Roman" w:hAnsi="Times New Roman" w:cs="Times New Roman"/>
                <w:color w:val="000000" w:themeColor="text1"/>
                <w:lang w:val="en-US" w:eastAsia="zh-CN"/>
                <w14:textFill>
                  <w14:solidFill>
                    <w14:schemeClr w14:val="tx1"/>
                  </w14:solidFill>
                </w14:textFill>
              </w:rPr>
              <w:t>安居区</w:t>
            </w:r>
            <w:r>
              <w:rPr>
                <w:rFonts w:hint="default" w:ascii="Times New Roman" w:hAnsi="Times New Roman" w:cs="Times New Roman"/>
                <w:color w:val="000000" w:themeColor="text1"/>
                <w14:textFill>
                  <w14:solidFill>
                    <w14:schemeClr w14:val="tx1"/>
                  </w14:solidFill>
                </w14:textFill>
              </w:rPr>
              <w:t>环境空气质量详见下表3-1。</w:t>
            </w:r>
          </w:p>
          <w:p w14:paraId="7C3BB212">
            <w:pPr>
              <w:pStyle w:val="45"/>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表3-1202</w:t>
            </w:r>
            <w:r>
              <w:rPr>
                <w:rFonts w:hint="eastAsia"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年</w:t>
            </w:r>
            <w:r>
              <w:rPr>
                <w:rFonts w:hint="eastAsia" w:ascii="Times New Roman" w:hAnsi="Times New Roman" w:cs="Times New Roman"/>
                <w:color w:val="000000" w:themeColor="text1"/>
                <w:lang w:val="en-US" w:eastAsia="zh-CN"/>
                <w14:textFill>
                  <w14:solidFill>
                    <w14:schemeClr w14:val="tx1"/>
                  </w14:solidFill>
                </w14:textFill>
              </w:rPr>
              <w:t>安居区</w:t>
            </w:r>
            <w:r>
              <w:rPr>
                <w:rFonts w:hint="default" w:ascii="Times New Roman" w:hAnsi="Times New Roman" w:cs="Times New Roman"/>
                <w:color w:val="000000" w:themeColor="text1"/>
                <w14:textFill>
                  <w14:solidFill>
                    <w14:schemeClr w14:val="tx1"/>
                  </w14:solidFill>
                </w14:textFill>
              </w:rPr>
              <w:t>城市环境空气质量</w:t>
            </w:r>
          </w:p>
          <w:tbl>
            <w:tblPr>
              <w:tblStyle w:val="22"/>
              <w:tblW w:w="0" w:type="auto"/>
              <w:tblInd w:w="0" w:type="dxa"/>
              <w:tblLayout w:type="fixed"/>
              <w:tblCellMar>
                <w:top w:w="0" w:type="dxa"/>
                <w:left w:w="108" w:type="dxa"/>
                <w:bottom w:w="0" w:type="dxa"/>
                <w:right w:w="108" w:type="dxa"/>
              </w:tblCellMar>
            </w:tblPr>
            <w:tblGrid>
              <w:gridCol w:w="1079"/>
              <w:gridCol w:w="1079"/>
              <w:gridCol w:w="1079"/>
              <w:gridCol w:w="1079"/>
              <w:gridCol w:w="1079"/>
              <w:gridCol w:w="1079"/>
              <w:gridCol w:w="1079"/>
              <w:gridCol w:w="882"/>
            </w:tblGrid>
            <w:tr w14:paraId="78DD5DF2">
              <w:tblPrEx>
                <w:tblCellMar>
                  <w:top w:w="0" w:type="dxa"/>
                  <w:left w:w="108" w:type="dxa"/>
                  <w:bottom w:w="0" w:type="dxa"/>
                  <w:right w:w="108" w:type="dxa"/>
                </w:tblCellMar>
              </w:tblPrEx>
              <w:trPr>
                <w:trHeight w:val="1634" w:hRule="atLeast"/>
              </w:trPr>
              <w:tc>
                <w:tcPr>
                  <w:tcW w:w="1079" w:type="dxa"/>
                  <w:tcBorders>
                    <w:top w:val="single" w:color="000000" w:sz="12" w:space="0"/>
                    <w:left w:val="nil"/>
                    <w:bottom w:val="single" w:color="000000" w:sz="8" w:space="0"/>
                    <w:right w:val="single" w:color="000000" w:sz="8" w:space="0"/>
                  </w:tcBorders>
                  <w:noWrap w:val="0"/>
                  <w:vAlign w:val="center"/>
                </w:tcPr>
                <w:p w14:paraId="700CA696">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各县区、园区</w:t>
                  </w:r>
                </w:p>
              </w:tc>
              <w:tc>
                <w:tcPr>
                  <w:tcW w:w="1079" w:type="dxa"/>
                  <w:tcBorders>
                    <w:top w:val="single" w:color="000000" w:sz="12" w:space="0"/>
                    <w:left w:val="nil"/>
                    <w:bottom w:val="single" w:color="000000" w:sz="8" w:space="0"/>
                    <w:right w:val="single" w:color="000000" w:sz="8" w:space="0"/>
                  </w:tcBorders>
                  <w:noWrap w:val="0"/>
                  <w:vAlign w:val="center"/>
                </w:tcPr>
                <w:p w14:paraId="56F980CF">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监测站点</w:t>
                  </w:r>
                </w:p>
              </w:tc>
              <w:tc>
                <w:tcPr>
                  <w:tcW w:w="1079" w:type="dxa"/>
                  <w:tcBorders>
                    <w:top w:val="single" w:color="000000" w:sz="12" w:space="0"/>
                    <w:left w:val="nil"/>
                    <w:bottom w:val="single" w:color="000000" w:sz="8" w:space="0"/>
                    <w:right w:val="single" w:color="000000" w:sz="8" w:space="0"/>
                  </w:tcBorders>
                  <w:noWrap w:val="0"/>
                  <w:vAlign w:val="center"/>
                </w:tcPr>
                <w:p w14:paraId="22A84228">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SO</w:t>
                  </w:r>
                  <w:r>
                    <w:rPr>
                      <w:rFonts w:hint="default" w:ascii="Times New Roman" w:hAnsi="Times New Roman" w:cs="Times New Roman"/>
                      <w:b/>
                      <w:bCs/>
                      <w:color w:val="auto"/>
                      <w:kern w:val="0"/>
                      <w:szCs w:val="21"/>
                      <w:vertAlign w:val="subscript"/>
                    </w:rPr>
                    <w:t>2</w:t>
                  </w:r>
                  <w:r>
                    <w:rPr>
                      <w:rFonts w:hint="default" w:ascii="Times New Roman" w:hAnsi="Times New Roman" w:cs="Times New Roman"/>
                      <w:b/>
                      <w:bCs/>
                      <w:color w:val="auto"/>
                      <w:kern w:val="0"/>
                      <w:szCs w:val="21"/>
                    </w:rPr>
                    <w:t>平均浓度（</w:t>
                  </w:r>
                  <w:r>
                    <w:rPr>
                      <w:rFonts w:hint="default" w:ascii="Times New Roman" w:hAnsi="Times New Roman" w:cs="Times New Roman"/>
                      <w:color w:val="auto"/>
                      <w:kern w:val="0"/>
                      <w:szCs w:val="21"/>
                    </w:rPr>
                    <w:t>μg/m</w:t>
                  </w:r>
                  <w:r>
                    <w:rPr>
                      <w:rFonts w:hint="default" w:ascii="Times New Roman" w:hAnsi="Times New Roman" w:cs="Times New Roman"/>
                      <w:color w:val="auto"/>
                      <w:kern w:val="0"/>
                      <w:szCs w:val="21"/>
                      <w:vertAlign w:val="superscript"/>
                    </w:rPr>
                    <w:t>3</w:t>
                  </w:r>
                  <w:r>
                    <w:rPr>
                      <w:rFonts w:hint="default" w:ascii="Times New Roman" w:hAnsi="Times New Roman" w:cs="Times New Roman"/>
                      <w:b/>
                      <w:bCs/>
                      <w:color w:val="auto"/>
                      <w:kern w:val="0"/>
                      <w:szCs w:val="21"/>
                    </w:rPr>
                    <w:t>）</w:t>
                  </w:r>
                </w:p>
              </w:tc>
              <w:tc>
                <w:tcPr>
                  <w:tcW w:w="1079" w:type="dxa"/>
                  <w:tcBorders>
                    <w:top w:val="single" w:color="000000" w:sz="12" w:space="0"/>
                    <w:left w:val="nil"/>
                    <w:bottom w:val="single" w:color="000000" w:sz="8" w:space="0"/>
                    <w:right w:val="single" w:color="000000" w:sz="8" w:space="0"/>
                  </w:tcBorders>
                  <w:noWrap w:val="0"/>
                  <w:vAlign w:val="center"/>
                </w:tcPr>
                <w:p w14:paraId="67CC43FB">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NO</w:t>
                  </w:r>
                  <w:r>
                    <w:rPr>
                      <w:rFonts w:hint="default" w:ascii="Times New Roman" w:hAnsi="Times New Roman" w:cs="Times New Roman"/>
                      <w:b/>
                      <w:bCs/>
                      <w:color w:val="auto"/>
                      <w:kern w:val="0"/>
                      <w:szCs w:val="21"/>
                      <w:vertAlign w:val="subscript"/>
                    </w:rPr>
                    <w:t>2</w:t>
                  </w:r>
                  <w:r>
                    <w:rPr>
                      <w:rFonts w:hint="default" w:ascii="Times New Roman" w:hAnsi="Times New Roman" w:cs="Times New Roman"/>
                      <w:b/>
                      <w:bCs/>
                      <w:color w:val="auto"/>
                      <w:kern w:val="0"/>
                      <w:szCs w:val="21"/>
                    </w:rPr>
                    <w:t>平均浓度（</w:t>
                  </w:r>
                  <w:r>
                    <w:rPr>
                      <w:rFonts w:hint="default" w:ascii="Times New Roman" w:hAnsi="Times New Roman" w:cs="Times New Roman"/>
                      <w:color w:val="auto"/>
                      <w:kern w:val="0"/>
                      <w:szCs w:val="21"/>
                    </w:rPr>
                    <w:t>μg/m</w:t>
                  </w:r>
                  <w:r>
                    <w:rPr>
                      <w:rFonts w:hint="default" w:ascii="Times New Roman" w:hAnsi="Times New Roman" w:cs="Times New Roman"/>
                      <w:color w:val="auto"/>
                      <w:kern w:val="0"/>
                      <w:szCs w:val="21"/>
                      <w:vertAlign w:val="superscript"/>
                    </w:rPr>
                    <w:t>3</w:t>
                  </w:r>
                  <w:r>
                    <w:rPr>
                      <w:rFonts w:hint="default" w:ascii="Times New Roman" w:hAnsi="Times New Roman" w:cs="Times New Roman"/>
                      <w:b/>
                      <w:bCs/>
                      <w:color w:val="auto"/>
                      <w:kern w:val="0"/>
                      <w:szCs w:val="21"/>
                    </w:rPr>
                    <w:t>）</w:t>
                  </w:r>
                </w:p>
              </w:tc>
              <w:tc>
                <w:tcPr>
                  <w:tcW w:w="1079" w:type="dxa"/>
                  <w:tcBorders>
                    <w:top w:val="single" w:color="000000" w:sz="12" w:space="0"/>
                    <w:left w:val="nil"/>
                    <w:bottom w:val="single" w:color="000000" w:sz="8" w:space="0"/>
                    <w:right w:val="single" w:color="000000" w:sz="8" w:space="0"/>
                  </w:tcBorders>
                  <w:noWrap w:val="0"/>
                  <w:vAlign w:val="center"/>
                </w:tcPr>
                <w:p w14:paraId="7207DBFA">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O</w:t>
                  </w:r>
                  <w:r>
                    <w:rPr>
                      <w:rFonts w:hint="default" w:ascii="Times New Roman" w:hAnsi="Times New Roman" w:cs="Times New Roman"/>
                      <w:b/>
                      <w:bCs/>
                      <w:color w:val="auto"/>
                      <w:kern w:val="0"/>
                      <w:szCs w:val="21"/>
                      <w:vertAlign w:val="subscript"/>
                    </w:rPr>
                    <w:t>3</w:t>
                  </w:r>
                  <w:r>
                    <w:rPr>
                      <w:rFonts w:hint="default" w:ascii="Times New Roman" w:hAnsi="Times New Roman" w:cs="Times New Roman"/>
                      <w:b/>
                      <w:bCs/>
                      <w:color w:val="auto"/>
                      <w:kern w:val="0"/>
                      <w:szCs w:val="21"/>
                    </w:rPr>
                    <w:t>-8h90百分位（</w:t>
                  </w:r>
                  <w:r>
                    <w:rPr>
                      <w:rFonts w:hint="default" w:ascii="Times New Roman" w:hAnsi="Times New Roman" w:cs="Times New Roman"/>
                      <w:color w:val="auto"/>
                      <w:kern w:val="0"/>
                      <w:szCs w:val="21"/>
                    </w:rPr>
                    <w:t>μg/m</w:t>
                  </w:r>
                  <w:r>
                    <w:rPr>
                      <w:rFonts w:hint="default" w:ascii="Times New Roman" w:hAnsi="Times New Roman" w:cs="Times New Roman"/>
                      <w:color w:val="auto"/>
                      <w:kern w:val="0"/>
                      <w:szCs w:val="21"/>
                      <w:vertAlign w:val="superscript"/>
                    </w:rPr>
                    <w:t>3</w:t>
                  </w:r>
                  <w:r>
                    <w:rPr>
                      <w:rFonts w:hint="default" w:ascii="Times New Roman" w:hAnsi="Times New Roman" w:cs="Times New Roman"/>
                      <w:b/>
                      <w:bCs/>
                      <w:color w:val="auto"/>
                      <w:kern w:val="0"/>
                      <w:szCs w:val="21"/>
                    </w:rPr>
                    <w:t>）</w:t>
                  </w:r>
                </w:p>
              </w:tc>
              <w:tc>
                <w:tcPr>
                  <w:tcW w:w="1079" w:type="dxa"/>
                  <w:tcBorders>
                    <w:top w:val="single" w:color="000000" w:sz="12" w:space="0"/>
                    <w:left w:val="nil"/>
                    <w:bottom w:val="single" w:color="000000" w:sz="8" w:space="0"/>
                    <w:right w:val="single" w:color="000000" w:sz="8" w:space="0"/>
                  </w:tcBorders>
                  <w:noWrap w:val="0"/>
                  <w:vAlign w:val="center"/>
                </w:tcPr>
                <w:p w14:paraId="0E478C3D">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CO95百分位（</w:t>
                  </w:r>
                  <w:r>
                    <w:rPr>
                      <w:rFonts w:hint="default" w:ascii="Times New Roman" w:hAnsi="Times New Roman" w:cs="Times New Roman"/>
                      <w:color w:val="auto"/>
                      <w:kern w:val="0"/>
                      <w:szCs w:val="21"/>
                    </w:rPr>
                    <w:t>mg/m</w:t>
                  </w:r>
                  <w:r>
                    <w:rPr>
                      <w:rFonts w:hint="default" w:ascii="Times New Roman" w:hAnsi="Times New Roman" w:cs="Times New Roman"/>
                      <w:color w:val="auto"/>
                      <w:kern w:val="0"/>
                      <w:szCs w:val="21"/>
                      <w:vertAlign w:val="superscript"/>
                    </w:rPr>
                    <w:t>3</w:t>
                  </w:r>
                  <w:r>
                    <w:rPr>
                      <w:rFonts w:hint="default" w:ascii="Times New Roman" w:hAnsi="Times New Roman" w:cs="Times New Roman"/>
                      <w:b/>
                      <w:bCs/>
                      <w:color w:val="auto"/>
                      <w:kern w:val="0"/>
                      <w:szCs w:val="21"/>
                    </w:rPr>
                    <w:t>）</w:t>
                  </w:r>
                </w:p>
              </w:tc>
              <w:tc>
                <w:tcPr>
                  <w:tcW w:w="1079" w:type="dxa"/>
                  <w:tcBorders>
                    <w:top w:val="single" w:color="000000" w:sz="12" w:space="0"/>
                    <w:left w:val="nil"/>
                    <w:bottom w:val="single" w:color="000000" w:sz="8" w:space="0"/>
                    <w:right w:val="single" w:color="000000" w:sz="8" w:space="0"/>
                  </w:tcBorders>
                  <w:noWrap w:val="0"/>
                  <w:vAlign w:val="center"/>
                </w:tcPr>
                <w:p w14:paraId="52415BC4">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PM</w:t>
                  </w:r>
                  <w:r>
                    <w:rPr>
                      <w:rFonts w:hint="default" w:ascii="Times New Roman" w:hAnsi="Times New Roman" w:cs="Times New Roman"/>
                      <w:b/>
                      <w:bCs/>
                      <w:color w:val="auto"/>
                      <w:kern w:val="0"/>
                      <w:szCs w:val="21"/>
                      <w:vertAlign w:val="subscript"/>
                    </w:rPr>
                    <w:t>10</w:t>
                  </w:r>
                  <w:r>
                    <w:rPr>
                      <w:rFonts w:hint="default" w:ascii="Times New Roman" w:hAnsi="Times New Roman" w:cs="Times New Roman"/>
                      <w:b/>
                      <w:bCs/>
                      <w:color w:val="auto"/>
                      <w:kern w:val="0"/>
                      <w:szCs w:val="21"/>
                    </w:rPr>
                    <w:t>平均浓度（</w:t>
                  </w:r>
                  <w:r>
                    <w:rPr>
                      <w:rFonts w:hint="default" w:ascii="Times New Roman" w:hAnsi="Times New Roman" w:cs="Times New Roman"/>
                      <w:color w:val="auto"/>
                      <w:kern w:val="0"/>
                      <w:szCs w:val="21"/>
                    </w:rPr>
                    <w:t>μg/m</w:t>
                  </w:r>
                  <w:r>
                    <w:rPr>
                      <w:rFonts w:hint="default" w:ascii="Times New Roman" w:hAnsi="Times New Roman" w:cs="Times New Roman"/>
                      <w:color w:val="auto"/>
                      <w:kern w:val="0"/>
                      <w:szCs w:val="21"/>
                      <w:vertAlign w:val="superscript"/>
                    </w:rPr>
                    <w:t>3</w:t>
                  </w:r>
                  <w:r>
                    <w:rPr>
                      <w:rFonts w:hint="default" w:ascii="Times New Roman" w:hAnsi="Times New Roman" w:cs="Times New Roman"/>
                      <w:b/>
                      <w:bCs/>
                      <w:color w:val="auto"/>
                      <w:kern w:val="0"/>
                      <w:szCs w:val="21"/>
                    </w:rPr>
                    <w:t>）</w:t>
                  </w:r>
                </w:p>
              </w:tc>
              <w:tc>
                <w:tcPr>
                  <w:tcW w:w="882" w:type="dxa"/>
                  <w:tcBorders>
                    <w:top w:val="single" w:color="000000" w:sz="12" w:space="0"/>
                    <w:left w:val="nil"/>
                    <w:bottom w:val="single" w:color="000000" w:sz="8" w:space="0"/>
                    <w:right w:val="nil"/>
                  </w:tcBorders>
                  <w:noWrap w:val="0"/>
                  <w:vAlign w:val="center"/>
                </w:tcPr>
                <w:p w14:paraId="6FFE615A">
                  <w:pPr>
                    <w:widowControl/>
                    <w:jc w:val="center"/>
                    <w:rPr>
                      <w:rFonts w:hint="default" w:ascii="Times New Roman" w:hAnsi="Times New Roman" w:cs="Times New Roman"/>
                      <w:b/>
                      <w:bCs/>
                      <w:color w:val="auto"/>
                      <w:kern w:val="0"/>
                      <w:szCs w:val="21"/>
                    </w:rPr>
                  </w:pPr>
                  <w:r>
                    <w:rPr>
                      <w:rFonts w:hint="default" w:ascii="Times New Roman" w:hAnsi="Times New Roman" w:cs="Times New Roman"/>
                      <w:b/>
                      <w:bCs/>
                      <w:color w:val="auto"/>
                      <w:kern w:val="0"/>
                      <w:szCs w:val="21"/>
                    </w:rPr>
                    <w:t>PM</w:t>
                  </w:r>
                  <w:r>
                    <w:rPr>
                      <w:rFonts w:hint="default" w:ascii="Times New Roman" w:hAnsi="Times New Roman" w:cs="Times New Roman"/>
                      <w:b/>
                      <w:bCs/>
                      <w:color w:val="auto"/>
                      <w:kern w:val="0"/>
                      <w:szCs w:val="21"/>
                      <w:vertAlign w:val="subscript"/>
                    </w:rPr>
                    <w:t>2.5</w:t>
                  </w:r>
                  <w:r>
                    <w:rPr>
                      <w:rFonts w:hint="default" w:ascii="Times New Roman" w:hAnsi="Times New Roman" w:cs="Times New Roman"/>
                      <w:b/>
                      <w:bCs/>
                      <w:color w:val="auto"/>
                      <w:kern w:val="0"/>
                      <w:szCs w:val="21"/>
                    </w:rPr>
                    <w:t>平均浓度（</w:t>
                  </w:r>
                  <w:r>
                    <w:rPr>
                      <w:rFonts w:hint="default" w:ascii="Times New Roman" w:hAnsi="Times New Roman" w:cs="Times New Roman"/>
                      <w:color w:val="auto"/>
                      <w:kern w:val="0"/>
                      <w:szCs w:val="21"/>
                    </w:rPr>
                    <w:t>μg/m</w:t>
                  </w:r>
                  <w:r>
                    <w:rPr>
                      <w:rFonts w:hint="default" w:ascii="Times New Roman" w:hAnsi="Times New Roman" w:cs="Times New Roman"/>
                      <w:color w:val="auto"/>
                      <w:kern w:val="0"/>
                      <w:szCs w:val="21"/>
                      <w:vertAlign w:val="superscript"/>
                    </w:rPr>
                    <w:t>3</w:t>
                  </w:r>
                  <w:r>
                    <w:rPr>
                      <w:rFonts w:hint="default" w:ascii="Times New Roman" w:hAnsi="Times New Roman" w:cs="Times New Roman"/>
                      <w:b/>
                      <w:bCs/>
                      <w:color w:val="auto"/>
                      <w:kern w:val="0"/>
                      <w:szCs w:val="21"/>
                    </w:rPr>
                    <w:t>）</w:t>
                  </w:r>
                </w:p>
              </w:tc>
            </w:tr>
            <w:tr w14:paraId="03F446BF">
              <w:tblPrEx>
                <w:tblCellMar>
                  <w:top w:w="0" w:type="dxa"/>
                  <w:left w:w="108" w:type="dxa"/>
                  <w:bottom w:w="0" w:type="dxa"/>
                  <w:right w:w="108" w:type="dxa"/>
                </w:tblCellMar>
              </w:tblPrEx>
              <w:trPr>
                <w:trHeight w:val="732" w:hRule="atLeast"/>
              </w:trPr>
              <w:tc>
                <w:tcPr>
                  <w:tcW w:w="1079" w:type="dxa"/>
                  <w:tcBorders>
                    <w:top w:val="nil"/>
                    <w:left w:val="nil"/>
                    <w:bottom w:val="single" w:color="000000" w:sz="8" w:space="0"/>
                    <w:right w:val="single" w:color="000000" w:sz="8" w:space="0"/>
                  </w:tcBorders>
                  <w:noWrap w:val="0"/>
                  <w:vAlign w:val="center"/>
                </w:tcPr>
                <w:p w14:paraId="187C7D67">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安居区年均值</w:t>
                  </w:r>
                </w:p>
              </w:tc>
              <w:tc>
                <w:tcPr>
                  <w:tcW w:w="1079" w:type="dxa"/>
                  <w:tcBorders>
                    <w:top w:val="nil"/>
                    <w:left w:val="nil"/>
                    <w:bottom w:val="single" w:color="000000" w:sz="8" w:space="0"/>
                    <w:right w:val="single" w:color="000000" w:sz="8" w:space="0"/>
                  </w:tcBorders>
                  <w:noWrap w:val="0"/>
                  <w:vAlign w:val="center"/>
                </w:tcPr>
                <w:p w14:paraId="470B8F34">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安居检</w:t>
                  </w:r>
                </w:p>
                <w:p w14:paraId="11156DA9">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察院</w:t>
                  </w:r>
                </w:p>
              </w:tc>
              <w:tc>
                <w:tcPr>
                  <w:tcW w:w="1079" w:type="dxa"/>
                  <w:tcBorders>
                    <w:top w:val="nil"/>
                    <w:left w:val="single" w:color="000000" w:sz="8" w:space="0"/>
                    <w:bottom w:val="single" w:color="000000" w:sz="8" w:space="0"/>
                    <w:right w:val="single" w:color="000000" w:sz="8" w:space="0"/>
                  </w:tcBorders>
                  <w:noWrap w:val="0"/>
                  <w:vAlign w:val="center"/>
                </w:tcPr>
                <w:p w14:paraId="27BAB233">
                  <w:pPr>
                    <w:widowControl/>
                    <w:jc w:val="center"/>
                    <w:rPr>
                      <w:rFonts w:hint="default" w:ascii="Times New Roman" w:hAnsi="Times New Roman" w:eastAsia="宋体" w:cs="Times New Roman"/>
                      <w:color w:val="auto"/>
                      <w:kern w:val="0"/>
                      <w:szCs w:val="21"/>
                      <w:lang w:val="en-US" w:eastAsia="zh-CN"/>
                    </w:rPr>
                  </w:pPr>
                  <w:r>
                    <w:rPr>
                      <w:rFonts w:hint="default" w:ascii="Times New Roman" w:hAnsi="Times New Roman" w:cs="Times New Roman"/>
                      <w:color w:val="auto"/>
                      <w:kern w:val="0"/>
                      <w:szCs w:val="21"/>
                      <w:lang w:val="en-US" w:eastAsia="zh-CN"/>
                    </w:rPr>
                    <w:t>6.5</w:t>
                  </w:r>
                </w:p>
              </w:tc>
              <w:tc>
                <w:tcPr>
                  <w:tcW w:w="1079" w:type="dxa"/>
                  <w:tcBorders>
                    <w:top w:val="nil"/>
                    <w:left w:val="single" w:color="000000" w:sz="8" w:space="0"/>
                    <w:bottom w:val="single" w:color="000000" w:sz="8" w:space="0"/>
                    <w:right w:val="single" w:color="000000" w:sz="8" w:space="0"/>
                  </w:tcBorders>
                  <w:noWrap w:val="0"/>
                  <w:vAlign w:val="center"/>
                </w:tcPr>
                <w:p w14:paraId="1ECAC975">
                  <w:pPr>
                    <w:widowControl/>
                    <w:jc w:val="center"/>
                    <w:rPr>
                      <w:rFonts w:hint="default" w:ascii="Times New Roman" w:hAnsi="Times New Roman" w:eastAsia="宋体" w:cs="Times New Roman"/>
                      <w:color w:val="auto"/>
                      <w:kern w:val="0"/>
                      <w:szCs w:val="21"/>
                      <w:lang w:val="en-US" w:eastAsia="zh-CN"/>
                    </w:rPr>
                  </w:pPr>
                  <w:r>
                    <w:rPr>
                      <w:rFonts w:hint="default" w:ascii="Times New Roman" w:hAnsi="Times New Roman" w:cs="Times New Roman"/>
                      <w:color w:val="auto"/>
                      <w:kern w:val="0"/>
                      <w:szCs w:val="21"/>
                      <w:lang w:val="en-US" w:eastAsia="zh-CN"/>
                    </w:rPr>
                    <w:t>14</w:t>
                  </w:r>
                </w:p>
              </w:tc>
              <w:tc>
                <w:tcPr>
                  <w:tcW w:w="1079" w:type="dxa"/>
                  <w:tcBorders>
                    <w:top w:val="nil"/>
                    <w:left w:val="single" w:color="000000" w:sz="8" w:space="0"/>
                    <w:bottom w:val="single" w:color="000000" w:sz="8" w:space="0"/>
                    <w:right w:val="single" w:color="000000" w:sz="8" w:space="0"/>
                  </w:tcBorders>
                  <w:noWrap w:val="0"/>
                  <w:vAlign w:val="center"/>
                </w:tcPr>
                <w:p w14:paraId="2BD233A7">
                  <w:pPr>
                    <w:widowControl/>
                    <w:jc w:val="center"/>
                    <w:rPr>
                      <w:rFonts w:hint="default" w:ascii="Times New Roman" w:hAnsi="Times New Roman" w:eastAsia="宋体" w:cs="Times New Roman"/>
                      <w:color w:val="auto"/>
                      <w:kern w:val="0"/>
                      <w:szCs w:val="21"/>
                      <w:lang w:val="en-US" w:eastAsia="zh-CN"/>
                    </w:rPr>
                  </w:pPr>
                  <w:r>
                    <w:rPr>
                      <w:rFonts w:hint="default" w:ascii="Times New Roman" w:hAnsi="Times New Roman" w:cs="Times New Roman"/>
                      <w:color w:val="auto"/>
                      <w:kern w:val="0"/>
                      <w:szCs w:val="21"/>
                      <w:lang w:val="en-US" w:eastAsia="zh-CN"/>
                    </w:rPr>
                    <w:t>76</w:t>
                  </w:r>
                </w:p>
              </w:tc>
              <w:tc>
                <w:tcPr>
                  <w:tcW w:w="1079" w:type="dxa"/>
                  <w:tcBorders>
                    <w:top w:val="nil"/>
                    <w:left w:val="single" w:color="000000" w:sz="8" w:space="0"/>
                    <w:bottom w:val="single" w:color="000000" w:sz="8" w:space="0"/>
                    <w:right w:val="single" w:color="000000" w:sz="8" w:space="0"/>
                  </w:tcBorders>
                  <w:noWrap w:val="0"/>
                  <w:vAlign w:val="center"/>
                </w:tcPr>
                <w:p w14:paraId="49560DD0">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1.1</w:t>
                  </w:r>
                </w:p>
              </w:tc>
              <w:tc>
                <w:tcPr>
                  <w:tcW w:w="1079" w:type="dxa"/>
                  <w:tcBorders>
                    <w:top w:val="nil"/>
                    <w:left w:val="single" w:color="000000" w:sz="8" w:space="0"/>
                    <w:bottom w:val="single" w:color="000000" w:sz="8" w:space="0"/>
                    <w:right w:val="single" w:color="000000" w:sz="8" w:space="0"/>
                  </w:tcBorders>
                  <w:noWrap w:val="0"/>
                  <w:vAlign w:val="center"/>
                </w:tcPr>
                <w:p w14:paraId="23B2C966">
                  <w:pPr>
                    <w:widowControl/>
                    <w:jc w:val="center"/>
                    <w:rPr>
                      <w:rFonts w:hint="default" w:ascii="Times New Roman" w:hAnsi="Times New Roman" w:eastAsia="宋体" w:cs="Times New Roman"/>
                      <w:color w:val="auto"/>
                      <w:kern w:val="0"/>
                      <w:szCs w:val="21"/>
                      <w:lang w:val="en-US" w:eastAsia="zh-CN"/>
                    </w:rPr>
                  </w:pPr>
                  <w:r>
                    <w:rPr>
                      <w:rFonts w:hint="default" w:ascii="Times New Roman" w:hAnsi="Times New Roman" w:cs="Times New Roman"/>
                      <w:color w:val="auto"/>
                      <w:kern w:val="0"/>
                      <w:szCs w:val="21"/>
                      <w:lang w:val="en-US" w:eastAsia="zh-CN"/>
                    </w:rPr>
                    <w:t>55.4</w:t>
                  </w:r>
                </w:p>
              </w:tc>
              <w:tc>
                <w:tcPr>
                  <w:tcW w:w="882" w:type="dxa"/>
                  <w:tcBorders>
                    <w:top w:val="nil"/>
                    <w:left w:val="single" w:color="000000" w:sz="8" w:space="0"/>
                    <w:bottom w:val="single" w:color="000000" w:sz="8" w:space="0"/>
                    <w:right w:val="nil"/>
                  </w:tcBorders>
                  <w:noWrap w:val="0"/>
                  <w:vAlign w:val="center"/>
                </w:tcPr>
                <w:p w14:paraId="450F369B">
                  <w:pPr>
                    <w:widowControl/>
                    <w:jc w:val="center"/>
                    <w:rPr>
                      <w:rFonts w:hint="default" w:ascii="Times New Roman" w:hAnsi="Times New Roman" w:eastAsia="宋体" w:cs="Times New Roman"/>
                      <w:color w:val="auto"/>
                      <w:kern w:val="0"/>
                      <w:szCs w:val="21"/>
                      <w:lang w:val="en-US" w:eastAsia="zh-CN"/>
                    </w:rPr>
                  </w:pPr>
                  <w:r>
                    <w:rPr>
                      <w:rFonts w:hint="default" w:ascii="Times New Roman" w:hAnsi="Times New Roman" w:cs="Times New Roman"/>
                      <w:color w:val="auto"/>
                      <w:kern w:val="0"/>
                      <w:szCs w:val="21"/>
                      <w:lang w:val="en-US" w:eastAsia="zh-CN"/>
                    </w:rPr>
                    <w:t>29.8</w:t>
                  </w:r>
                </w:p>
              </w:tc>
            </w:tr>
            <w:tr w14:paraId="42A31E5D">
              <w:tblPrEx>
                <w:tblCellMar>
                  <w:top w:w="0" w:type="dxa"/>
                  <w:left w:w="108" w:type="dxa"/>
                  <w:bottom w:w="0" w:type="dxa"/>
                  <w:right w:w="108" w:type="dxa"/>
                </w:tblCellMar>
              </w:tblPrEx>
              <w:trPr>
                <w:trHeight w:val="366" w:hRule="atLeast"/>
              </w:trPr>
              <w:tc>
                <w:tcPr>
                  <w:tcW w:w="2158" w:type="dxa"/>
                  <w:gridSpan w:val="2"/>
                  <w:tcBorders>
                    <w:top w:val="single" w:color="000000" w:sz="8" w:space="0"/>
                    <w:left w:val="nil"/>
                    <w:bottom w:val="single" w:color="000000" w:sz="8" w:space="0"/>
                    <w:right w:val="single" w:color="000000" w:sz="8" w:space="0"/>
                  </w:tcBorders>
                  <w:noWrap w:val="0"/>
                  <w:vAlign w:val="center"/>
                </w:tcPr>
                <w:p w14:paraId="6565BA5E">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标准值</w:t>
                  </w:r>
                </w:p>
              </w:tc>
              <w:tc>
                <w:tcPr>
                  <w:tcW w:w="1079" w:type="dxa"/>
                  <w:tcBorders>
                    <w:top w:val="nil"/>
                    <w:left w:val="nil"/>
                    <w:bottom w:val="single" w:color="000000" w:sz="8" w:space="0"/>
                    <w:right w:val="single" w:color="000000" w:sz="8" w:space="0"/>
                  </w:tcBorders>
                  <w:noWrap w:val="0"/>
                  <w:vAlign w:val="center"/>
                </w:tcPr>
                <w:p w14:paraId="098466E4">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60</w:t>
                  </w:r>
                </w:p>
              </w:tc>
              <w:tc>
                <w:tcPr>
                  <w:tcW w:w="1079" w:type="dxa"/>
                  <w:tcBorders>
                    <w:top w:val="nil"/>
                    <w:left w:val="nil"/>
                    <w:bottom w:val="single" w:color="000000" w:sz="8" w:space="0"/>
                    <w:right w:val="single" w:color="000000" w:sz="8" w:space="0"/>
                  </w:tcBorders>
                  <w:noWrap w:val="0"/>
                  <w:vAlign w:val="center"/>
                </w:tcPr>
                <w:p w14:paraId="451062A3">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40</w:t>
                  </w:r>
                </w:p>
              </w:tc>
              <w:tc>
                <w:tcPr>
                  <w:tcW w:w="1079" w:type="dxa"/>
                  <w:tcBorders>
                    <w:top w:val="nil"/>
                    <w:left w:val="nil"/>
                    <w:bottom w:val="single" w:color="000000" w:sz="8" w:space="0"/>
                    <w:right w:val="single" w:color="000000" w:sz="8" w:space="0"/>
                  </w:tcBorders>
                  <w:noWrap w:val="0"/>
                  <w:vAlign w:val="center"/>
                </w:tcPr>
                <w:p w14:paraId="1FB02336">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160</w:t>
                  </w:r>
                </w:p>
              </w:tc>
              <w:tc>
                <w:tcPr>
                  <w:tcW w:w="1079" w:type="dxa"/>
                  <w:tcBorders>
                    <w:top w:val="nil"/>
                    <w:left w:val="nil"/>
                    <w:bottom w:val="single" w:color="000000" w:sz="8" w:space="0"/>
                    <w:right w:val="single" w:color="000000" w:sz="8" w:space="0"/>
                  </w:tcBorders>
                  <w:noWrap w:val="0"/>
                  <w:vAlign w:val="center"/>
                </w:tcPr>
                <w:p w14:paraId="741333C6">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4</w:t>
                  </w:r>
                </w:p>
              </w:tc>
              <w:tc>
                <w:tcPr>
                  <w:tcW w:w="1079" w:type="dxa"/>
                  <w:tcBorders>
                    <w:top w:val="nil"/>
                    <w:left w:val="nil"/>
                    <w:bottom w:val="single" w:color="000000" w:sz="8" w:space="0"/>
                    <w:right w:val="single" w:color="000000" w:sz="8" w:space="0"/>
                  </w:tcBorders>
                  <w:noWrap w:val="0"/>
                  <w:vAlign w:val="center"/>
                </w:tcPr>
                <w:p w14:paraId="59568E00">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70</w:t>
                  </w:r>
                </w:p>
              </w:tc>
              <w:tc>
                <w:tcPr>
                  <w:tcW w:w="882" w:type="dxa"/>
                  <w:tcBorders>
                    <w:top w:val="nil"/>
                    <w:left w:val="nil"/>
                    <w:bottom w:val="single" w:color="000000" w:sz="8" w:space="0"/>
                    <w:right w:val="nil"/>
                  </w:tcBorders>
                  <w:noWrap w:val="0"/>
                  <w:vAlign w:val="center"/>
                </w:tcPr>
                <w:p w14:paraId="066A17BC">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35</w:t>
                  </w:r>
                </w:p>
              </w:tc>
            </w:tr>
            <w:tr w14:paraId="039C67C1">
              <w:tblPrEx>
                <w:tblCellMar>
                  <w:top w:w="0" w:type="dxa"/>
                  <w:left w:w="108" w:type="dxa"/>
                  <w:bottom w:w="0" w:type="dxa"/>
                  <w:right w:w="108" w:type="dxa"/>
                </w:tblCellMar>
              </w:tblPrEx>
              <w:trPr>
                <w:trHeight w:val="530" w:hRule="atLeast"/>
              </w:trPr>
              <w:tc>
                <w:tcPr>
                  <w:tcW w:w="2158" w:type="dxa"/>
                  <w:gridSpan w:val="2"/>
                  <w:tcBorders>
                    <w:top w:val="single" w:color="000000" w:sz="8" w:space="0"/>
                    <w:left w:val="nil"/>
                    <w:bottom w:val="single" w:color="000000" w:sz="8" w:space="0"/>
                    <w:right w:val="single" w:color="000000" w:sz="8" w:space="0"/>
                  </w:tcBorders>
                  <w:noWrap w:val="0"/>
                  <w:vAlign w:val="center"/>
                </w:tcPr>
                <w:p w14:paraId="4A058B5E">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占标率（%）</w:t>
                  </w:r>
                </w:p>
              </w:tc>
              <w:tc>
                <w:tcPr>
                  <w:tcW w:w="1079" w:type="dxa"/>
                  <w:tcBorders>
                    <w:top w:val="nil"/>
                    <w:left w:val="nil"/>
                    <w:bottom w:val="single" w:color="000000" w:sz="8" w:space="0"/>
                    <w:right w:val="single" w:color="000000" w:sz="8" w:space="0"/>
                  </w:tcBorders>
                  <w:noWrap w:val="0"/>
                  <w:vAlign w:val="center"/>
                </w:tcPr>
                <w:p w14:paraId="681CD7F2">
                  <w:pPr>
                    <w:keepNext w:val="0"/>
                    <w:keepLines w:val="0"/>
                    <w:widowControl/>
                    <w:suppressLineNumbers w:val="0"/>
                    <w:jc w:val="center"/>
                    <w:textAlignment w:val="center"/>
                    <w:rPr>
                      <w:rFonts w:hint="default" w:ascii="Times New Roman" w:hAnsi="Times New Roman" w:cs="Times New Roman"/>
                      <w:color w:val="auto"/>
                      <w:kern w:val="0"/>
                      <w:szCs w:val="21"/>
                    </w:rPr>
                  </w:pPr>
                  <w:r>
                    <w:rPr>
                      <w:rFonts w:hint="default" w:ascii="Times New Roman" w:hAnsi="Times New Roman" w:eastAsia="等线" w:cs="Times New Roman"/>
                      <w:i w:val="0"/>
                      <w:iCs w:val="0"/>
                      <w:color w:val="000000"/>
                      <w:kern w:val="0"/>
                      <w:sz w:val="21"/>
                      <w:szCs w:val="21"/>
                      <w:u w:val="none"/>
                      <w:lang w:val="en-US" w:eastAsia="zh-CN" w:bidi="ar"/>
                    </w:rPr>
                    <w:t>10.83%</w:t>
                  </w:r>
                </w:p>
              </w:tc>
              <w:tc>
                <w:tcPr>
                  <w:tcW w:w="1079" w:type="dxa"/>
                  <w:tcBorders>
                    <w:top w:val="nil"/>
                    <w:left w:val="nil"/>
                    <w:bottom w:val="single" w:color="000000" w:sz="8" w:space="0"/>
                    <w:right w:val="single" w:color="000000" w:sz="8" w:space="0"/>
                  </w:tcBorders>
                  <w:noWrap w:val="0"/>
                  <w:vAlign w:val="center"/>
                </w:tcPr>
                <w:p w14:paraId="1B43091D">
                  <w:pPr>
                    <w:keepNext w:val="0"/>
                    <w:keepLines w:val="0"/>
                    <w:widowControl/>
                    <w:suppressLineNumbers w:val="0"/>
                    <w:jc w:val="center"/>
                    <w:textAlignment w:val="center"/>
                    <w:rPr>
                      <w:rFonts w:hint="default" w:ascii="Times New Roman" w:hAnsi="Times New Roman" w:cs="Times New Roman"/>
                      <w:color w:val="auto"/>
                      <w:kern w:val="0"/>
                      <w:szCs w:val="21"/>
                    </w:rPr>
                  </w:pPr>
                  <w:r>
                    <w:rPr>
                      <w:rFonts w:hint="default" w:ascii="Times New Roman" w:hAnsi="Times New Roman" w:eastAsia="等线" w:cs="Times New Roman"/>
                      <w:i w:val="0"/>
                      <w:iCs w:val="0"/>
                      <w:color w:val="000000"/>
                      <w:kern w:val="0"/>
                      <w:sz w:val="21"/>
                      <w:szCs w:val="21"/>
                      <w:u w:val="none"/>
                      <w:lang w:val="en-US" w:eastAsia="zh-CN" w:bidi="ar"/>
                    </w:rPr>
                    <w:t>35.00%</w:t>
                  </w:r>
                </w:p>
              </w:tc>
              <w:tc>
                <w:tcPr>
                  <w:tcW w:w="1079" w:type="dxa"/>
                  <w:tcBorders>
                    <w:top w:val="nil"/>
                    <w:left w:val="nil"/>
                    <w:bottom w:val="single" w:color="000000" w:sz="8" w:space="0"/>
                    <w:right w:val="single" w:color="000000" w:sz="8" w:space="0"/>
                  </w:tcBorders>
                  <w:noWrap w:val="0"/>
                  <w:vAlign w:val="center"/>
                </w:tcPr>
                <w:p w14:paraId="483FF5FF">
                  <w:pPr>
                    <w:keepNext w:val="0"/>
                    <w:keepLines w:val="0"/>
                    <w:widowControl/>
                    <w:suppressLineNumbers w:val="0"/>
                    <w:jc w:val="center"/>
                    <w:textAlignment w:val="center"/>
                    <w:rPr>
                      <w:rFonts w:hint="default" w:ascii="Times New Roman" w:hAnsi="Times New Roman" w:cs="Times New Roman"/>
                      <w:color w:val="auto"/>
                      <w:kern w:val="0"/>
                      <w:szCs w:val="21"/>
                    </w:rPr>
                  </w:pPr>
                  <w:r>
                    <w:rPr>
                      <w:rFonts w:hint="default" w:ascii="Times New Roman" w:hAnsi="Times New Roman" w:eastAsia="等线" w:cs="Times New Roman"/>
                      <w:i w:val="0"/>
                      <w:iCs w:val="0"/>
                      <w:color w:val="000000"/>
                      <w:kern w:val="0"/>
                      <w:sz w:val="21"/>
                      <w:szCs w:val="21"/>
                      <w:u w:val="none"/>
                      <w:lang w:val="en-US" w:eastAsia="zh-CN" w:bidi="ar"/>
                    </w:rPr>
                    <w:t>47.50%</w:t>
                  </w:r>
                </w:p>
              </w:tc>
              <w:tc>
                <w:tcPr>
                  <w:tcW w:w="1079" w:type="dxa"/>
                  <w:tcBorders>
                    <w:top w:val="nil"/>
                    <w:left w:val="nil"/>
                    <w:bottom w:val="single" w:color="000000" w:sz="8" w:space="0"/>
                    <w:right w:val="single" w:color="000000" w:sz="8" w:space="0"/>
                  </w:tcBorders>
                  <w:noWrap w:val="0"/>
                  <w:vAlign w:val="center"/>
                </w:tcPr>
                <w:p w14:paraId="272B875B">
                  <w:pPr>
                    <w:keepNext w:val="0"/>
                    <w:keepLines w:val="0"/>
                    <w:widowControl/>
                    <w:suppressLineNumbers w:val="0"/>
                    <w:jc w:val="center"/>
                    <w:textAlignment w:val="center"/>
                    <w:rPr>
                      <w:rFonts w:hint="default" w:ascii="Times New Roman" w:hAnsi="Times New Roman" w:cs="Times New Roman"/>
                      <w:color w:val="auto"/>
                      <w:kern w:val="0"/>
                      <w:szCs w:val="21"/>
                    </w:rPr>
                  </w:pPr>
                  <w:r>
                    <w:rPr>
                      <w:rFonts w:hint="default" w:ascii="Times New Roman" w:hAnsi="Times New Roman" w:eastAsia="等线" w:cs="Times New Roman"/>
                      <w:i w:val="0"/>
                      <w:iCs w:val="0"/>
                      <w:color w:val="000000"/>
                      <w:kern w:val="0"/>
                      <w:sz w:val="21"/>
                      <w:szCs w:val="21"/>
                      <w:u w:val="none"/>
                      <w:lang w:val="en-US" w:eastAsia="zh-CN" w:bidi="ar"/>
                    </w:rPr>
                    <w:t>27.50%</w:t>
                  </w:r>
                </w:p>
              </w:tc>
              <w:tc>
                <w:tcPr>
                  <w:tcW w:w="1079" w:type="dxa"/>
                  <w:tcBorders>
                    <w:top w:val="nil"/>
                    <w:left w:val="nil"/>
                    <w:bottom w:val="single" w:color="000000" w:sz="8" w:space="0"/>
                    <w:right w:val="single" w:color="000000" w:sz="8" w:space="0"/>
                  </w:tcBorders>
                  <w:noWrap w:val="0"/>
                  <w:vAlign w:val="center"/>
                </w:tcPr>
                <w:p w14:paraId="6B8D26CD">
                  <w:pPr>
                    <w:keepNext w:val="0"/>
                    <w:keepLines w:val="0"/>
                    <w:widowControl/>
                    <w:suppressLineNumbers w:val="0"/>
                    <w:jc w:val="center"/>
                    <w:textAlignment w:val="center"/>
                    <w:rPr>
                      <w:rFonts w:hint="default" w:ascii="Times New Roman" w:hAnsi="Times New Roman" w:cs="Times New Roman"/>
                      <w:color w:val="auto"/>
                      <w:kern w:val="0"/>
                      <w:szCs w:val="21"/>
                    </w:rPr>
                  </w:pPr>
                  <w:r>
                    <w:rPr>
                      <w:rFonts w:hint="default" w:ascii="Times New Roman" w:hAnsi="Times New Roman" w:eastAsia="等线" w:cs="Times New Roman"/>
                      <w:i w:val="0"/>
                      <w:iCs w:val="0"/>
                      <w:color w:val="000000"/>
                      <w:kern w:val="0"/>
                      <w:sz w:val="21"/>
                      <w:szCs w:val="21"/>
                      <w:u w:val="none"/>
                      <w:lang w:val="en-US" w:eastAsia="zh-CN" w:bidi="ar"/>
                    </w:rPr>
                    <w:t>79.14%</w:t>
                  </w:r>
                </w:p>
              </w:tc>
              <w:tc>
                <w:tcPr>
                  <w:tcW w:w="882" w:type="dxa"/>
                  <w:tcBorders>
                    <w:top w:val="nil"/>
                    <w:left w:val="nil"/>
                    <w:bottom w:val="single" w:color="000000" w:sz="8" w:space="0"/>
                    <w:right w:val="single" w:color="000000" w:sz="8" w:space="0"/>
                  </w:tcBorders>
                  <w:noWrap w:val="0"/>
                  <w:vAlign w:val="center"/>
                </w:tcPr>
                <w:p w14:paraId="1C010182">
                  <w:pPr>
                    <w:keepNext w:val="0"/>
                    <w:keepLines w:val="0"/>
                    <w:widowControl/>
                    <w:suppressLineNumbers w:val="0"/>
                    <w:jc w:val="center"/>
                    <w:textAlignment w:val="center"/>
                    <w:rPr>
                      <w:rFonts w:hint="default" w:ascii="Times New Roman" w:hAnsi="Times New Roman" w:cs="Times New Roman"/>
                      <w:color w:val="auto"/>
                      <w:kern w:val="0"/>
                      <w:szCs w:val="21"/>
                    </w:rPr>
                  </w:pPr>
                  <w:r>
                    <w:rPr>
                      <w:rFonts w:hint="default" w:ascii="Times New Roman" w:hAnsi="Times New Roman" w:eastAsia="等线" w:cs="Times New Roman"/>
                      <w:i w:val="0"/>
                      <w:iCs w:val="0"/>
                      <w:color w:val="000000"/>
                      <w:kern w:val="0"/>
                      <w:sz w:val="21"/>
                      <w:szCs w:val="21"/>
                      <w:u w:val="none"/>
                      <w:lang w:val="en-US" w:eastAsia="zh-CN" w:bidi="ar"/>
                    </w:rPr>
                    <w:t>85.14%</w:t>
                  </w:r>
                </w:p>
              </w:tc>
            </w:tr>
            <w:tr w14:paraId="2192D21D">
              <w:tblPrEx>
                <w:tblCellMar>
                  <w:top w:w="0" w:type="dxa"/>
                  <w:left w:w="108" w:type="dxa"/>
                  <w:bottom w:w="0" w:type="dxa"/>
                  <w:right w:w="108" w:type="dxa"/>
                </w:tblCellMar>
              </w:tblPrEx>
              <w:trPr>
                <w:trHeight w:val="640" w:hRule="atLeast"/>
              </w:trPr>
              <w:tc>
                <w:tcPr>
                  <w:tcW w:w="2158" w:type="dxa"/>
                  <w:gridSpan w:val="2"/>
                  <w:tcBorders>
                    <w:top w:val="single" w:color="000000" w:sz="8" w:space="0"/>
                    <w:left w:val="nil"/>
                    <w:bottom w:val="single" w:color="000000" w:sz="12" w:space="0"/>
                    <w:right w:val="single" w:color="000000" w:sz="8" w:space="0"/>
                  </w:tcBorders>
                  <w:noWrap w:val="0"/>
                  <w:vAlign w:val="center"/>
                </w:tcPr>
                <w:p w14:paraId="459C0F67">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达标情况</w:t>
                  </w:r>
                </w:p>
              </w:tc>
              <w:tc>
                <w:tcPr>
                  <w:tcW w:w="1079" w:type="dxa"/>
                  <w:tcBorders>
                    <w:top w:val="nil"/>
                    <w:left w:val="nil"/>
                    <w:bottom w:val="single" w:color="000000" w:sz="12" w:space="0"/>
                    <w:right w:val="single" w:color="000000" w:sz="8" w:space="0"/>
                  </w:tcBorders>
                  <w:noWrap w:val="0"/>
                  <w:vAlign w:val="center"/>
                </w:tcPr>
                <w:p w14:paraId="7A4504A0">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w:t>
                  </w:r>
                </w:p>
              </w:tc>
              <w:tc>
                <w:tcPr>
                  <w:tcW w:w="1079" w:type="dxa"/>
                  <w:tcBorders>
                    <w:top w:val="nil"/>
                    <w:left w:val="nil"/>
                    <w:bottom w:val="single" w:color="000000" w:sz="12" w:space="0"/>
                    <w:right w:val="single" w:color="000000" w:sz="8" w:space="0"/>
                  </w:tcBorders>
                  <w:noWrap w:val="0"/>
                  <w:vAlign w:val="center"/>
                </w:tcPr>
                <w:p w14:paraId="7B121BD0">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w:t>
                  </w:r>
                </w:p>
              </w:tc>
              <w:tc>
                <w:tcPr>
                  <w:tcW w:w="1079" w:type="dxa"/>
                  <w:tcBorders>
                    <w:top w:val="nil"/>
                    <w:left w:val="nil"/>
                    <w:bottom w:val="single" w:color="000000" w:sz="12" w:space="0"/>
                    <w:right w:val="single" w:color="000000" w:sz="8" w:space="0"/>
                  </w:tcBorders>
                  <w:noWrap w:val="0"/>
                  <w:vAlign w:val="center"/>
                </w:tcPr>
                <w:p w14:paraId="09BE9DB0">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w:t>
                  </w:r>
                </w:p>
              </w:tc>
              <w:tc>
                <w:tcPr>
                  <w:tcW w:w="1079" w:type="dxa"/>
                  <w:tcBorders>
                    <w:top w:val="nil"/>
                    <w:left w:val="nil"/>
                    <w:bottom w:val="single" w:color="000000" w:sz="12" w:space="0"/>
                    <w:right w:val="single" w:color="000000" w:sz="8" w:space="0"/>
                  </w:tcBorders>
                  <w:noWrap w:val="0"/>
                  <w:vAlign w:val="center"/>
                </w:tcPr>
                <w:p w14:paraId="2F52B1EE">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w:t>
                  </w:r>
                </w:p>
              </w:tc>
              <w:tc>
                <w:tcPr>
                  <w:tcW w:w="1079" w:type="dxa"/>
                  <w:tcBorders>
                    <w:top w:val="nil"/>
                    <w:left w:val="nil"/>
                    <w:bottom w:val="single" w:color="000000" w:sz="12" w:space="0"/>
                    <w:right w:val="single" w:color="000000" w:sz="8" w:space="0"/>
                  </w:tcBorders>
                  <w:noWrap w:val="0"/>
                  <w:vAlign w:val="center"/>
                </w:tcPr>
                <w:p w14:paraId="30B0D3C8">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w:t>
                  </w:r>
                </w:p>
              </w:tc>
              <w:tc>
                <w:tcPr>
                  <w:tcW w:w="882" w:type="dxa"/>
                  <w:tcBorders>
                    <w:top w:val="nil"/>
                    <w:left w:val="nil"/>
                    <w:bottom w:val="single" w:color="000000" w:sz="12" w:space="0"/>
                    <w:right w:val="nil"/>
                  </w:tcBorders>
                  <w:noWrap w:val="0"/>
                  <w:vAlign w:val="center"/>
                </w:tcPr>
                <w:p w14:paraId="526C4EE6">
                  <w:pPr>
                    <w:widowControl/>
                    <w:jc w:val="center"/>
                    <w:rPr>
                      <w:rFonts w:hint="default" w:ascii="Times New Roman" w:hAnsi="Times New Roman" w:cs="Times New Roman"/>
                      <w:color w:val="auto"/>
                      <w:kern w:val="0"/>
                      <w:szCs w:val="21"/>
                    </w:rPr>
                  </w:pPr>
                  <w:r>
                    <w:rPr>
                      <w:rFonts w:hint="default" w:ascii="Times New Roman" w:hAnsi="Times New Roman" w:cs="Times New Roman"/>
                      <w:color w:val="auto"/>
                      <w:kern w:val="0"/>
                      <w:szCs w:val="21"/>
                    </w:rPr>
                    <w:t>达标</w:t>
                  </w:r>
                </w:p>
              </w:tc>
            </w:tr>
          </w:tbl>
          <w:p w14:paraId="64BB0260">
            <w:pPr>
              <w:pStyle w:val="44"/>
              <w:ind w:firstLine="480"/>
              <w:rPr>
                <w:rFonts w:hint="default"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为了解</w:t>
            </w:r>
            <w:r>
              <w:rPr>
                <w:rFonts w:hint="eastAsia" w:ascii="Times New Roman" w:hAnsi="Times New Roman" w:cs="Times New Roman"/>
                <w:color w:val="000000" w:themeColor="text1"/>
                <w:lang w:eastAsia="zh-CN"/>
                <w14:textFill>
                  <w14:solidFill>
                    <w14:schemeClr w14:val="tx1"/>
                  </w14:solidFill>
                </w14:textFill>
              </w:rPr>
              <w:t>本项目</w:t>
            </w:r>
            <w:r>
              <w:rPr>
                <w:rFonts w:hint="eastAsia" w:ascii="Times New Roman" w:hAnsi="Times New Roman" w:cs="Times New Roman"/>
                <w:color w:val="000000" w:themeColor="text1"/>
                <w:lang w:val="en-US" w:eastAsia="zh-CN"/>
                <w14:textFill>
                  <w14:solidFill>
                    <w14:schemeClr w14:val="tx1"/>
                  </w14:solidFill>
                </w14:textFill>
              </w:rPr>
              <w:t>区域TSP环境质量现状， 建设单位委托四川九成检测技术有限公司对项目区域TSP环境质量现状进行了监测。监测点位设置在本项目南侧厂界外，监测时间为2023年10月9日——2023年10月12日</w:t>
            </w:r>
            <w:r>
              <w:rPr>
                <w:rFonts w:hint="eastAsia" w:ascii="Times New Roman" w:hAnsi="Times New Roman" w:cs="Times New Roman"/>
                <w:color w:val="000000" w:themeColor="text1"/>
                <w:sz w:val="24"/>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TSP数据如下：</w:t>
            </w:r>
          </w:p>
          <w:p w14:paraId="3912926F">
            <w:pPr>
              <w:pStyle w:val="45"/>
              <w:keepNext w:val="0"/>
              <w:keepLines w:val="0"/>
              <w:pageBreakBefore w:val="0"/>
              <w:widowControl w:val="0"/>
              <w:kinsoku/>
              <w:wordWrap/>
              <w:overflowPunct/>
              <w:topLinePunct w:val="0"/>
              <w:autoSpaceDE/>
              <w:autoSpaceDN/>
              <w:bidi w:val="0"/>
              <w:adjustRightInd/>
              <w:snapToGrid/>
              <w:spacing w:before="157" w:beforeLines="50"/>
              <w:textAlignment w:val="auto"/>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表3-</w:t>
            </w:r>
            <w:r>
              <w:rPr>
                <w:rFonts w:hint="eastAsia"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TSP监测值</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718"/>
              <w:gridCol w:w="3648"/>
              <w:gridCol w:w="1854"/>
            </w:tblGrid>
            <w:tr w14:paraId="3EBE07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718" w:type="dxa"/>
                  <w:noWrap w:val="0"/>
                  <w:vAlign w:val="center"/>
                </w:tcPr>
                <w:p w14:paraId="5FD5582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监测时间</w:t>
                  </w:r>
                </w:p>
              </w:tc>
              <w:tc>
                <w:tcPr>
                  <w:tcW w:w="3648" w:type="dxa"/>
                  <w:noWrap w:val="0"/>
                  <w:vAlign w:val="center"/>
                </w:tcPr>
                <w:p w14:paraId="65BDAE94">
                  <w:pPr>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24小时均值监测值（mg/m³）</w:t>
                  </w:r>
                </w:p>
              </w:tc>
              <w:tc>
                <w:tcPr>
                  <w:tcW w:w="1854" w:type="dxa"/>
                  <w:noWrap w:val="0"/>
                  <w:vAlign w:val="center"/>
                </w:tcPr>
                <w:p w14:paraId="5003EF4E">
                  <w:pPr>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标准值（mg/m³）</w:t>
                  </w:r>
                </w:p>
              </w:tc>
            </w:tr>
            <w:tr w14:paraId="0FB0BD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718" w:type="dxa"/>
                  <w:noWrap w:val="0"/>
                  <w:vAlign w:val="center"/>
                </w:tcPr>
                <w:p w14:paraId="1F2226D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color w:val="000000" w:themeColor="text1"/>
                      <w:sz w:val="21"/>
                      <w:szCs w:val="2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2023.10.9-2023.10.10</w:t>
                  </w:r>
                </w:p>
              </w:tc>
              <w:tc>
                <w:tcPr>
                  <w:tcW w:w="3648" w:type="dxa"/>
                  <w:noWrap w:val="0"/>
                  <w:vAlign w:val="center"/>
                </w:tcPr>
                <w:p w14:paraId="7D538502">
                  <w:pPr>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0.116</w:t>
                  </w:r>
                </w:p>
              </w:tc>
              <w:tc>
                <w:tcPr>
                  <w:tcW w:w="1854" w:type="dxa"/>
                  <w:vMerge w:val="restart"/>
                  <w:noWrap w:val="0"/>
                  <w:vAlign w:val="center"/>
                </w:tcPr>
                <w:p w14:paraId="500B9251">
                  <w:pPr>
                    <w:widowControl/>
                    <w:ind w:firstLine="0" w:firstLineChars="0"/>
                    <w:jc w:val="center"/>
                    <w:textAlignment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kern w:val="0"/>
                      <w:sz w:val="21"/>
                      <w:szCs w:val="21"/>
                      <w:lang w:bidi="ar"/>
                      <w14:textFill>
                        <w14:solidFill>
                          <w14:schemeClr w14:val="tx1"/>
                        </w14:solidFill>
                      </w14:textFill>
                    </w:rPr>
                    <w:t>0.3</w:t>
                  </w:r>
                </w:p>
              </w:tc>
            </w:tr>
            <w:tr w14:paraId="09FC31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718" w:type="dxa"/>
                  <w:noWrap w:val="0"/>
                  <w:vAlign w:val="center"/>
                </w:tcPr>
                <w:p w14:paraId="4B18022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color w:val="000000" w:themeColor="text1"/>
                      <w:sz w:val="21"/>
                      <w:szCs w:val="2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2023.10.10-2023.10.11</w:t>
                  </w:r>
                </w:p>
              </w:tc>
              <w:tc>
                <w:tcPr>
                  <w:tcW w:w="3648" w:type="dxa"/>
                  <w:noWrap w:val="0"/>
                  <w:vAlign w:val="center"/>
                </w:tcPr>
                <w:p w14:paraId="0C75F8EA">
                  <w:pPr>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0.131</w:t>
                  </w:r>
                </w:p>
              </w:tc>
              <w:tc>
                <w:tcPr>
                  <w:tcW w:w="1854" w:type="dxa"/>
                  <w:vMerge w:val="continue"/>
                  <w:noWrap w:val="0"/>
                  <w:vAlign w:val="center"/>
                </w:tcPr>
                <w:p w14:paraId="6AB3B42E">
                  <w:pPr>
                    <w:widowControl/>
                    <w:jc w:val="center"/>
                    <w:textAlignment w:val="center"/>
                    <w:rPr>
                      <w:rFonts w:hint="default" w:ascii="Times New Roman" w:hAnsi="Times New Roman" w:cs="Times New Roman"/>
                      <w:color w:val="000000" w:themeColor="text1"/>
                      <w:sz w:val="21"/>
                      <w:szCs w:val="21"/>
                      <w14:textFill>
                        <w14:solidFill>
                          <w14:schemeClr w14:val="tx1"/>
                        </w14:solidFill>
                      </w14:textFill>
                    </w:rPr>
                  </w:pPr>
                </w:p>
              </w:tc>
            </w:tr>
            <w:tr w14:paraId="447243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718" w:type="dxa"/>
                  <w:noWrap w:val="0"/>
                  <w:vAlign w:val="center"/>
                </w:tcPr>
                <w:p w14:paraId="43F4460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color w:val="000000" w:themeColor="text1"/>
                      <w:sz w:val="21"/>
                      <w:szCs w:val="21"/>
                      <w:lang w:val="en-US"/>
                      <w14:textFill>
                        <w14:solidFill>
                          <w14:schemeClr w14:val="tx1"/>
                        </w14:solidFill>
                      </w14:textFill>
                    </w:rPr>
                  </w:pPr>
                  <w:r>
                    <w:rPr>
                      <w:rFonts w:hint="eastAsia" w:cs="Times New Roman"/>
                      <w:color w:val="000000" w:themeColor="text1"/>
                      <w:lang w:val="en-US" w:eastAsia="zh-CN"/>
                      <w14:textFill>
                        <w14:solidFill>
                          <w14:schemeClr w14:val="tx1"/>
                        </w14:solidFill>
                      </w14:textFill>
                    </w:rPr>
                    <w:t>2023.10.11-2023.10.12</w:t>
                  </w:r>
                </w:p>
              </w:tc>
              <w:tc>
                <w:tcPr>
                  <w:tcW w:w="3648" w:type="dxa"/>
                  <w:noWrap w:val="0"/>
                  <w:vAlign w:val="center"/>
                </w:tcPr>
                <w:p w14:paraId="3F46C7CD">
                  <w:pPr>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0.143</w:t>
                  </w:r>
                </w:p>
              </w:tc>
              <w:tc>
                <w:tcPr>
                  <w:tcW w:w="1854" w:type="dxa"/>
                  <w:vMerge w:val="continue"/>
                  <w:noWrap w:val="0"/>
                  <w:vAlign w:val="center"/>
                </w:tcPr>
                <w:p w14:paraId="5617E666">
                  <w:pPr>
                    <w:widowControl/>
                    <w:jc w:val="center"/>
                    <w:textAlignment w:val="center"/>
                    <w:rPr>
                      <w:rFonts w:hint="default" w:ascii="Times New Roman" w:hAnsi="Times New Roman" w:cs="Times New Roman"/>
                      <w:color w:val="000000" w:themeColor="text1"/>
                      <w:sz w:val="21"/>
                      <w:szCs w:val="21"/>
                      <w14:textFill>
                        <w14:solidFill>
                          <w14:schemeClr w14:val="tx1"/>
                        </w14:solidFill>
                      </w14:textFill>
                    </w:rPr>
                  </w:pPr>
                </w:p>
              </w:tc>
            </w:tr>
          </w:tbl>
          <w:p w14:paraId="33B67A80">
            <w:pPr>
              <w:pStyle w:val="44"/>
              <w:ind w:firstLine="480"/>
              <w:jc w:val="both"/>
              <w:rPr>
                <w:rFonts w:hint="default" w:ascii="Times New Roman" w:hAnsi="Times New Roman" w:cs="Times New Roman"/>
                <w:color w:val="FF0000"/>
              </w:rPr>
            </w:pPr>
            <w:r>
              <w:rPr>
                <w:rFonts w:hint="default" w:ascii="Times New Roman" w:hAnsi="Times New Roman" w:cs="Times New Roman"/>
                <w:color w:val="000000" w:themeColor="text1"/>
                <w14:textFill>
                  <w14:solidFill>
                    <w14:schemeClr w14:val="tx1"/>
                  </w14:solidFill>
                </w14:textFill>
              </w:rPr>
              <w:t>根据遂宁市污染防治攻坚战领导小组办公室202</w:t>
            </w:r>
            <w:r>
              <w:rPr>
                <w:rFonts w:hint="eastAsia"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年</w:t>
            </w:r>
            <w:r>
              <w:rPr>
                <w:rFonts w:hint="eastAsia"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月发布的数据，2020年，遂宁市区域环境空气质量符合《环境空气质量标准》（GB3095-2012）二级标准，</w:t>
            </w:r>
            <w:r>
              <w:rPr>
                <w:rFonts w:hint="default" w:ascii="Times New Roman" w:hAnsi="Times New Roman" w:cs="Times New Roman"/>
                <w:color w:val="000000" w:themeColor="text1"/>
                <w:lang w:eastAsia="zh-CN"/>
                <w14:textFill>
                  <w14:solidFill>
                    <w14:schemeClr w14:val="tx1"/>
                  </w14:solidFill>
                </w14:textFill>
              </w:rPr>
              <w:t>根据补充</w:t>
            </w:r>
            <w:r>
              <w:rPr>
                <w:rFonts w:hint="eastAsia" w:ascii="Times New Roman" w:hAnsi="Times New Roman" w:cs="Times New Roman"/>
                <w:color w:val="000000" w:themeColor="text1"/>
                <w:lang w:val="en-US" w:eastAsia="zh-CN"/>
                <w14:textFill>
                  <w14:solidFill>
                    <w14:schemeClr w14:val="tx1"/>
                  </w14:solidFill>
                </w14:textFill>
              </w:rPr>
              <w:t>监测</w:t>
            </w:r>
            <w:r>
              <w:rPr>
                <w:rFonts w:hint="default" w:ascii="Times New Roman" w:hAnsi="Times New Roman" w:cs="Times New Roman"/>
                <w:color w:val="000000" w:themeColor="text1"/>
                <w:lang w:eastAsia="zh-CN"/>
                <w14:textFill>
                  <w14:solidFill>
                    <w14:schemeClr w14:val="tx1"/>
                  </w14:solidFill>
                </w14:textFill>
              </w:rPr>
              <w:t>数据，</w:t>
            </w:r>
            <w:r>
              <w:rPr>
                <w:rFonts w:hint="default" w:ascii="Times New Roman" w:hAnsi="Times New Roman" w:cs="Times New Roman"/>
                <w:color w:val="000000" w:themeColor="text1"/>
                <w14:textFill>
                  <w14:solidFill>
                    <w14:schemeClr w14:val="tx1"/>
                  </w14:solidFill>
                </w14:textFill>
              </w:rPr>
              <w:t>项目区域TSP满足《环境空气质量标准》（GB3095-2012）的二级限值要求</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因此项目区域大气环境质量良好。</w:t>
            </w:r>
          </w:p>
          <w:p w14:paraId="5DF4E103">
            <w:pPr>
              <w:pStyle w:val="44"/>
              <w:ind w:firstLine="0" w:firstLineChars="0"/>
              <w:rPr>
                <w:rFonts w:hint="default" w:ascii="Times New Roman" w:hAnsi="Times New Roman" w:cs="Times New Roman"/>
                <w:b/>
                <w:bCs/>
              </w:rPr>
            </w:pPr>
            <w:r>
              <w:rPr>
                <w:rFonts w:hint="default" w:ascii="Times New Roman" w:hAnsi="Times New Roman" w:cs="Times New Roman"/>
                <w:b/>
                <w:bCs/>
              </w:rPr>
              <w:t>二、地表水环境</w:t>
            </w:r>
          </w:p>
          <w:p w14:paraId="3FE260E7">
            <w:pPr>
              <w:pStyle w:val="44"/>
              <w:ind w:firstLine="480"/>
              <w:rPr>
                <w:rFonts w:hint="default" w:ascii="Times New Roman" w:hAnsi="Times New Roman" w:cs="Times New Roman"/>
              </w:rPr>
            </w:pPr>
            <w:r>
              <w:rPr>
                <w:rFonts w:hint="default" w:ascii="Times New Roman" w:hAnsi="Times New Roman" w:cs="Times New Roman"/>
              </w:rPr>
              <w:t>本项目处于</w:t>
            </w:r>
            <w:r>
              <w:rPr>
                <w:rFonts w:hint="eastAsia" w:ascii="Times New Roman" w:hAnsi="Times New Roman" w:cs="Times New Roman"/>
                <w:lang w:eastAsia="zh-CN"/>
              </w:rPr>
              <w:t>遂宁市</w:t>
            </w:r>
            <w:r>
              <w:rPr>
                <w:rFonts w:hint="eastAsia" w:ascii="Times New Roman" w:hAnsi="Times New Roman" w:cs="Times New Roman"/>
                <w:lang w:val="en-US" w:eastAsia="zh-CN"/>
              </w:rPr>
              <w:t>安居区白马镇卧龙桥村</w:t>
            </w:r>
            <w:r>
              <w:rPr>
                <w:rFonts w:hint="default" w:ascii="Times New Roman" w:hAnsi="Times New Roman" w:cs="Times New Roman"/>
              </w:rPr>
              <w:t>，项目附近地表水体为</w:t>
            </w:r>
            <w:r>
              <w:rPr>
                <w:rFonts w:hint="eastAsia" w:ascii="Times New Roman" w:hAnsi="Times New Roman" w:cs="Times New Roman"/>
                <w:lang w:val="en-US" w:eastAsia="zh-CN"/>
              </w:rPr>
              <w:t>白安河</w:t>
            </w:r>
            <w:r>
              <w:rPr>
                <w:rFonts w:hint="default" w:ascii="Times New Roman" w:hAnsi="Times New Roman" w:cs="Times New Roman"/>
              </w:rPr>
              <w:t>（</w:t>
            </w:r>
            <w:r>
              <w:rPr>
                <w:rFonts w:hint="eastAsia" w:ascii="Times New Roman" w:hAnsi="Times New Roman" w:cs="Times New Roman"/>
                <w:lang w:val="en-US" w:eastAsia="zh-CN"/>
              </w:rPr>
              <w:t>琼江左岸一级支流</w:t>
            </w:r>
            <w:r>
              <w:rPr>
                <w:rFonts w:hint="default" w:ascii="Times New Roman" w:hAnsi="Times New Roman" w:cs="Times New Roman"/>
              </w:rPr>
              <w:t>）。</w:t>
            </w:r>
          </w:p>
          <w:p w14:paraId="3D8EFD39">
            <w:pPr>
              <w:pStyle w:val="44"/>
              <w:ind w:firstLine="480"/>
              <w:rPr>
                <w:rFonts w:hint="default" w:ascii="Times New Roman" w:hAnsi="Times New Roman" w:cs="Times New Roman"/>
              </w:rPr>
            </w:pPr>
            <w:r>
              <w:rPr>
                <w:rFonts w:hint="default" w:ascii="Times New Roman" w:hAnsi="Times New Roman" w:cs="Times New Roman"/>
              </w:rPr>
              <w:t>本次环境</w:t>
            </w:r>
            <w:r>
              <w:rPr>
                <w:rFonts w:hint="eastAsia" w:ascii="Times New Roman" w:hAnsi="Times New Roman" w:cs="Times New Roman"/>
                <w:lang w:val="en-US" w:eastAsia="zh-CN"/>
              </w:rPr>
              <w:t>地表水</w:t>
            </w:r>
            <w:r>
              <w:rPr>
                <w:rFonts w:hint="default" w:ascii="Times New Roman" w:hAnsi="Times New Roman" w:cs="Times New Roman"/>
              </w:rPr>
              <w:t>质量现状评价引用遂宁市污染防治攻坚战领导小组办公室2023年1月29日发布的关于2022年全市地表水和环境空气质量排名的通报（遂污防攻坚办〔2023〕2号）中公布的数据。</w:t>
            </w:r>
          </w:p>
          <w:p w14:paraId="5F98A296">
            <w:pPr>
              <w:pStyle w:val="44"/>
              <w:ind w:firstLine="480"/>
              <w:rPr>
                <w:rFonts w:hint="default" w:ascii="Times New Roman" w:hAnsi="Times New Roman" w:cs="Times New Roman"/>
              </w:rPr>
            </w:pPr>
            <w:r>
              <w:rPr>
                <w:rFonts w:hint="default" w:ascii="Times New Roman" w:hAnsi="Times New Roman" w:cs="Times New Roman"/>
              </w:rPr>
              <w:t>2022年项目涉及地表水环境质量详见下表。</w:t>
            </w:r>
          </w:p>
          <w:p w14:paraId="5209A556">
            <w:pPr>
              <w:pStyle w:val="45"/>
              <w:rPr>
                <w:rFonts w:hint="default" w:ascii="Times New Roman" w:hAnsi="Times New Roman" w:cs="Times New Roman"/>
              </w:rPr>
            </w:pPr>
            <w:r>
              <w:rPr>
                <w:rFonts w:hint="default" w:ascii="Times New Roman" w:hAnsi="Times New Roman" w:cs="Times New Roman"/>
              </w:rPr>
              <w:t>表3-3</w:t>
            </w:r>
            <w:r>
              <w:rPr>
                <w:rFonts w:hint="eastAsia" w:ascii="Times New Roman" w:hAnsi="Times New Roman" w:cs="Times New Roman"/>
                <w:lang w:val="en-US" w:eastAsia="zh-CN"/>
              </w:rPr>
              <w:t xml:space="preserve"> </w:t>
            </w:r>
            <w:r>
              <w:rPr>
                <w:rFonts w:hint="default" w:ascii="Times New Roman" w:hAnsi="Times New Roman" w:cs="Times New Roman"/>
              </w:rPr>
              <w:t>202</w:t>
            </w:r>
            <w:r>
              <w:rPr>
                <w:rFonts w:hint="eastAsia" w:ascii="Times New Roman" w:hAnsi="Times New Roman" w:cs="Times New Roman"/>
                <w:lang w:val="en-US" w:eastAsia="zh-CN"/>
              </w:rPr>
              <w:t>2</w:t>
            </w:r>
            <w:r>
              <w:rPr>
                <w:rFonts w:hint="default" w:ascii="Times New Roman" w:hAnsi="Times New Roman" w:cs="Times New Roman"/>
              </w:rPr>
              <w:t>年地表水环境质量公告数据</w:t>
            </w:r>
          </w:p>
          <w:tbl>
            <w:tblPr>
              <w:tblStyle w:val="22"/>
              <w:tblW w:w="8256" w:type="dxa"/>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528"/>
              <w:gridCol w:w="804"/>
              <w:gridCol w:w="852"/>
              <w:gridCol w:w="757"/>
              <w:gridCol w:w="514"/>
              <w:gridCol w:w="628"/>
              <w:gridCol w:w="886"/>
              <w:gridCol w:w="685"/>
              <w:gridCol w:w="756"/>
              <w:gridCol w:w="918"/>
              <w:gridCol w:w="928"/>
            </w:tblGrid>
            <w:tr w14:paraId="5B300A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trPr>
              <w:tc>
                <w:tcPr>
                  <w:tcW w:w="528" w:type="dxa"/>
                  <w:vMerge w:val="restart"/>
                  <w:tcBorders>
                    <w:tl2br w:val="nil"/>
                    <w:tr2bl w:val="nil"/>
                  </w:tcBorders>
                  <w:noWrap w:val="0"/>
                  <w:vAlign w:val="center"/>
                </w:tcPr>
                <w:p w14:paraId="12F59B31">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断面所在辖区</w:t>
                  </w:r>
                </w:p>
              </w:tc>
              <w:tc>
                <w:tcPr>
                  <w:tcW w:w="804" w:type="dxa"/>
                  <w:vMerge w:val="restart"/>
                  <w:tcBorders>
                    <w:tl2br w:val="nil"/>
                    <w:tr2bl w:val="nil"/>
                  </w:tcBorders>
                  <w:noWrap w:val="0"/>
                  <w:vAlign w:val="center"/>
                </w:tcPr>
                <w:p w14:paraId="061A7798">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支流</w:t>
                  </w:r>
                </w:p>
              </w:tc>
              <w:tc>
                <w:tcPr>
                  <w:tcW w:w="852" w:type="dxa"/>
                  <w:vMerge w:val="restart"/>
                  <w:tcBorders>
                    <w:tl2br w:val="nil"/>
                    <w:tr2bl w:val="nil"/>
                  </w:tcBorders>
                  <w:noWrap w:val="0"/>
                  <w:vAlign w:val="center"/>
                </w:tcPr>
                <w:p w14:paraId="04E60381">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断面名称</w:t>
                  </w:r>
                </w:p>
              </w:tc>
              <w:tc>
                <w:tcPr>
                  <w:tcW w:w="757" w:type="dxa"/>
                  <w:vMerge w:val="restart"/>
                  <w:tcBorders>
                    <w:tl2br w:val="nil"/>
                    <w:tr2bl w:val="nil"/>
                  </w:tcBorders>
                  <w:noWrap w:val="0"/>
                  <w:vAlign w:val="center"/>
                </w:tcPr>
                <w:p w14:paraId="121118D9">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断面级别</w:t>
                  </w:r>
                </w:p>
              </w:tc>
              <w:tc>
                <w:tcPr>
                  <w:tcW w:w="514" w:type="dxa"/>
                  <w:vMerge w:val="restart"/>
                  <w:tcBorders>
                    <w:tl2br w:val="nil"/>
                    <w:tr2bl w:val="nil"/>
                  </w:tcBorders>
                  <w:noWrap w:val="0"/>
                  <w:vAlign w:val="center"/>
                </w:tcPr>
                <w:p w14:paraId="24DE86F2">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断面水质类别</w:t>
                  </w:r>
                </w:p>
              </w:tc>
              <w:tc>
                <w:tcPr>
                  <w:tcW w:w="4801" w:type="dxa"/>
                  <w:gridSpan w:val="6"/>
                  <w:tcBorders>
                    <w:tl2br w:val="nil"/>
                    <w:tr2bl w:val="nil"/>
                  </w:tcBorders>
                  <w:noWrap w:val="0"/>
                  <w:vAlign w:val="center"/>
                </w:tcPr>
                <w:p w14:paraId="596C76B4">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单项指标浓度</w:t>
                  </w:r>
                </w:p>
              </w:tc>
            </w:tr>
            <w:tr w14:paraId="4B8F16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751" w:hRule="atLeast"/>
              </w:trPr>
              <w:tc>
                <w:tcPr>
                  <w:tcW w:w="528" w:type="dxa"/>
                  <w:vMerge w:val="continue"/>
                  <w:tcBorders>
                    <w:tl2br w:val="nil"/>
                    <w:tr2bl w:val="nil"/>
                  </w:tcBorders>
                  <w:noWrap w:val="0"/>
                  <w:vAlign w:val="center"/>
                </w:tcPr>
                <w:p w14:paraId="5C897034">
                  <w:pPr>
                    <w:jc w:val="center"/>
                    <w:rPr>
                      <w:rFonts w:hint="default" w:ascii="Times New Roman" w:hAnsi="Times New Roman" w:eastAsia="宋体" w:cs="Times New Roman"/>
                      <w:i w:val="0"/>
                      <w:iCs w:val="0"/>
                      <w:color w:val="000000"/>
                      <w:sz w:val="22"/>
                      <w:szCs w:val="22"/>
                      <w:u w:val="none"/>
                    </w:rPr>
                  </w:pPr>
                </w:p>
              </w:tc>
              <w:tc>
                <w:tcPr>
                  <w:tcW w:w="804" w:type="dxa"/>
                  <w:vMerge w:val="continue"/>
                  <w:tcBorders>
                    <w:tl2br w:val="nil"/>
                    <w:tr2bl w:val="nil"/>
                  </w:tcBorders>
                  <w:noWrap w:val="0"/>
                  <w:vAlign w:val="center"/>
                </w:tcPr>
                <w:p w14:paraId="6CBACF95">
                  <w:pPr>
                    <w:jc w:val="center"/>
                    <w:rPr>
                      <w:rFonts w:hint="default" w:ascii="Times New Roman" w:hAnsi="Times New Roman" w:eastAsia="宋体" w:cs="Times New Roman"/>
                      <w:i w:val="0"/>
                      <w:iCs w:val="0"/>
                      <w:color w:val="000000"/>
                      <w:sz w:val="22"/>
                      <w:szCs w:val="22"/>
                      <w:u w:val="none"/>
                    </w:rPr>
                  </w:pPr>
                </w:p>
              </w:tc>
              <w:tc>
                <w:tcPr>
                  <w:tcW w:w="852" w:type="dxa"/>
                  <w:vMerge w:val="continue"/>
                  <w:tcBorders>
                    <w:tl2br w:val="nil"/>
                    <w:tr2bl w:val="nil"/>
                  </w:tcBorders>
                  <w:noWrap w:val="0"/>
                  <w:vAlign w:val="center"/>
                </w:tcPr>
                <w:p w14:paraId="53AE6F42">
                  <w:pPr>
                    <w:jc w:val="center"/>
                    <w:rPr>
                      <w:rFonts w:hint="default" w:ascii="Times New Roman" w:hAnsi="Times New Roman" w:eastAsia="宋体" w:cs="Times New Roman"/>
                      <w:i w:val="0"/>
                      <w:iCs w:val="0"/>
                      <w:color w:val="000000"/>
                      <w:sz w:val="22"/>
                      <w:szCs w:val="22"/>
                      <w:u w:val="none"/>
                    </w:rPr>
                  </w:pPr>
                </w:p>
              </w:tc>
              <w:tc>
                <w:tcPr>
                  <w:tcW w:w="757" w:type="dxa"/>
                  <w:vMerge w:val="continue"/>
                  <w:tcBorders>
                    <w:tl2br w:val="nil"/>
                    <w:tr2bl w:val="nil"/>
                  </w:tcBorders>
                  <w:noWrap w:val="0"/>
                  <w:vAlign w:val="center"/>
                </w:tcPr>
                <w:p w14:paraId="7EAB31F7">
                  <w:pPr>
                    <w:jc w:val="center"/>
                    <w:rPr>
                      <w:rFonts w:hint="default" w:ascii="Times New Roman" w:hAnsi="Times New Roman" w:eastAsia="宋体" w:cs="Times New Roman"/>
                      <w:i w:val="0"/>
                      <w:iCs w:val="0"/>
                      <w:color w:val="000000"/>
                      <w:sz w:val="22"/>
                      <w:szCs w:val="22"/>
                      <w:u w:val="none"/>
                    </w:rPr>
                  </w:pPr>
                </w:p>
              </w:tc>
              <w:tc>
                <w:tcPr>
                  <w:tcW w:w="514" w:type="dxa"/>
                  <w:vMerge w:val="continue"/>
                  <w:tcBorders>
                    <w:tl2br w:val="nil"/>
                    <w:tr2bl w:val="nil"/>
                  </w:tcBorders>
                  <w:noWrap w:val="0"/>
                  <w:vAlign w:val="center"/>
                </w:tcPr>
                <w:p w14:paraId="798420B7">
                  <w:pPr>
                    <w:jc w:val="center"/>
                    <w:rPr>
                      <w:rFonts w:hint="default" w:ascii="Times New Roman" w:hAnsi="Times New Roman" w:eastAsia="宋体" w:cs="Times New Roman"/>
                      <w:i w:val="0"/>
                      <w:iCs w:val="0"/>
                      <w:color w:val="000000"/>
                      <w:sz w:val="22"/>
                      <w:szCs w:val="22"/>
                      <w:u w:val="none"/>
                    </w:rPr>
                  </w:pPr>
                </w:p>
              </w:tc>
              <w:tc>
                <w:tcPr>
                  <w:tcW w:w="628" w:type="dxa"/>
                  <w:tcBorders>
                    <w:tl2br w:val="nil"/>
                    <w:tr2bl w:val="nil"/>
                  </w:tcBorders>
                  <w:noWrap w:val="0"/>
                  <w:vAlign w:val="center"/>
                </w:tcPr>
                <w:p w14:paraId="39E5C1A6">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pH</w:t>
                  </w:r>
                </w:p>
              </w:tc>
              <w:tc>
                <w:tcPr>
                  <w:tcW w:w="886" w:type="dxa"/>
                  <w:tcBorders>
                    <w:tl2br w:val="nil"/>
                    <w:tr2bl w:val="nil"/>
                  </w:tcBorders>
                  <w:noWrap w:val="0"/>
                  <w:vAlign w:val="center"/>
                </w:tcPr>
                <w:p w14:paraId="2717F66E">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溶解氧</w:t>
                  </w:r>
                </w:p>
              </w:tc>
              <w:tc>
                <w:tcPr>
                  <w:tcW w:w="685" w:type="dxa"/>
                  <w:tcBorders>
                    <w:tl2br w:val="nil"/>
                    <w:tr2bl w:val="nil"/>
                  </w:tcBorders>
                  <w:noWrap w:val="0"/>
                  <w:vAlign w:val="center"/>
                </w:tcPr>
                <w:p w14:paraId="18FC0786">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高锰酸盐指数</w:t>
                  </w:r>
                </w:p>
              </w:tc>
              <w:tc>
                <w:tcPr>
                  <w:tcW w:w="756" w:type="dxa"/>
                  <w:tcBorders>
                    <w:tl2br w:val="nil"/>
                    <w:tr2bl w:val="nil"/>
                  </w:tcBorders>
                  <w:noWrap w:val="0"/>
                  <w:vAlign w:val="center"/>
                </w:tcPr>
                <w:p w14:paraId="2477D80B">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化学需氧量</w:t>
                  </w:r>
                </w:p>
              </w:tc>
              <w:tc>
                <w:tcPr>
                  <w:tcW w:w="918" w:type="dxa"/>
                  <w:tcBorders>
                    <w:tl2br w:val="nil"/>
                    <w:tr2bl w:val="nil"/>
                  </w:tcBorders>
                  <w:noWrap w:val="0"/>
                  <w:vAlign w:val="center"/>
                </w:tcPr>
                <w:p w14:paraId="70DF0C67">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氨氮</w:t>
                  </w:r>
                </w:p>
              </w:tc>
              <w:tc>
                <w:tcPr>
                  <w:tcW w:w="928" w:type="dxa"/>
                  <w:tcBorders>
                    <w:tl2br w:val="nil"/>
                    <w:tr2bl w:val="nil"/>
                  </w:tcBorders>
                  <w:noWrap w:val="0"/>
                  <w:vAlign w:val="center"/>
                </w:tcPr>
                <w:p w14:paraId="1BE6A5CA">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总磷</w:t>
                  </w:r>
                </w:p>
              </w:tc>
            </w:tr>
            <w:tr w14:paraId="202CAF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80" w:hRule="atLeast"/>
              </w:trPr>
              <w:tc>
                <w:tcPr>
                  <w:tcW w:w="528" w:type="dxa"/>
                  <w:vMerge w:val="restart"/>
                  <w:tcBorders>
                    <w:tl2br w:val="nil"/>
                    <w:tr2bl w:val="nil"/>
                  </w:tcBorders>
                  <w:noWrap w:val="0"/>
                  <w:vAlign w:val="center"/>
                </w:tcPr>
                <w:p w14:paraId="4982F97B">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r>
                    <w:rPr>
                      <w:rFonts w:hint="eastAsia" w:cs="Times New Roman"/>
                      <w:i w:val="0"/>
                      <w:iCs w:val="0"/>
                      <w:color w:val="000000"/>
                      <w:kern w:val="0"/>
                      <w:sz w:val="22"/>
                      <w:szCs w:val="22"/>
                      <w:u w:val="none"/>
                      <w:lang w:val="en-US" w:eastAsia="zh-CN" w:bidi="ar"/>
                    </w:rPr>
                    <w:t>安居区</w:t>
                  </w:r>
                </w:p>
              </w:tc>
              <w:tc>
                <w:tcPr>
                  <w:tcW w:w="804" w:type="dxa"/>
                  <w:tcBorders>
                    <w:tl2br w:val="nil"/>
                    <w:tr2bl w:val="nil"/>
                  </w:tcBorders>
                  <w:noWrap w:val="0"/>
                  <w:vAlign w:val="center"/>
                </w:tcPr>
                <w:p w14:paraId="141DAC2A">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白安河</w:t>
                  </w:r>
                </w:p>
              </w:tc>
              <w:tc>
                <w:tcPr>
                  <w:tcW w:w="852" w:type="dxa"/>
                  <w:tcBorders>
                    <w:tl2br w:val="nil"/>
                    <w:tr2bl w:val="nil"/>
                  </w:tcBorders>
                  <w:noWrap w:val="0"/>
                  <w:vAlign w:val="center"/>
                </w:tcPr>
                <w:p w14:paraId="1F43D77E">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区疾控中心</w:t>
                  </w:r>
                </w:p>
              </w:tc>
              <w:tc>
                <w:tcPr>
                  <w:tcW w:w="757" w:type="dxa"/>
                  <w:tcBorders>
                    <w:tl2br w:val="nil"/>
                    <w:tr2bl w:val="nil"/>
                  </w:tcBorders>
                  <w:noWrap w:val="0"/>
                  <w:vAlign w:val="center"/>
                </w:tcPr>
                <w:p w14:paraId="654B0840">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市控</w:t>
                  </w:r>
                </w:p>
              </w:tc>
              <w:tc>
                <w:tcPr>
                  <w:tcW w:w="514" w:type="dxa"/>
                  <w:tcBorders>
                    <w:tl2br w:val="nil"/>
                    <w:tr2bl w:val="nil"/>
                  </w:tcBorders>
                  <w:noWrap w:val="0"/>
                  <w:vAlign w:val="center"/>
                </w:tcPr>
                <w:p w14:paraId="1513E601">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Ⅳ</w:t>
                  </w:r>
                </w:p>
              </w:tc>
              <w:tc>
                <w:tcPr>
                  <w:tcW w:w="628" w:type="dxa"/>
                  <w:tcBorders>
                    <w:tl2br w:val="nil"/>
                    <w:tr2bl w:val="nil"/>
                  </w:tcBorders>
                  <w:noWrap w:val="0"/>
                  <w:vAlign w:val="center"/>
                </w:tcPr>
                <w:p w14:paraId="3F4CD822">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8.3</w:t>
                  </w:r>
                </w:p>
              </w:tc>
              <w:tc>
                <w:tcPr>
                  <w:tcW w:w="886" w:type="dxa"/>
                  <w:tcBorders>
                    <w:tl2br w:val="nil"/>
                    <w:tr2bl w:val="nil"/>
                  </w:tcBorders>
                  <w:noWrap w:val="0"/>
                  <w:vAlign w:val="center"/>
                </w:tcPr>
                <w:p w14:paraId="2E063123">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10.65</w:t>
                  </w:r>
                </w:p>
              </w:tc>
              <w:tc>
                <w:tcPr>
                  <w:tcW w:w="685" w:type="dxa"/>
                  <w:tcBorders>
                    <w:tl2br w:val="nil"/>
                    <w:tr2bl w:val="nil"/>
                  </w:tcBorders>
                  <w:noWrap w:val="0"/>
                  <w:vAlign w:val="center"/>
                </w:tcPr>
                <w:p w14:paraId="52A4C3DA">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5.9</w:t>
                  </w:r>
                </w:p>
              </w:tc>
              <w:tc>
                <w:tcPr>
                  <w:tcW w:w="756" w:type="dxa"/>
                  <w:tcBorders>
                    <w:tl2br w:val="nil"/>
                    <w:tr2bl w:val="nil"/>
                  </w:tcBorders>
                  <w:noWrap w:val="0"/>
                  <w:vAlign w:val="center"/>
                </w:tcPr>
                <w:p w14:paraId="419AA05F">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21.2</w:t>
                  </w:r>
                </w:p>
              </w:tc>
              <w:tc>
                <w:tcPr>
                  <w:tcW w:w="918" w:type="dxa"/>
                  <w:tcBorders>
                    <w:tl2br w:val="nil"/>
                    <w:tr2bl w:val="nil"/>
                  </w:tcBorders>
                  <w:noWrap w:val="0"/>
                  <w:vAlign w:val="center"/>
                </w:tcPr>
                <w:p w14:paraId="156AAF1D">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0.217</w:t>
                  </w:r>
                </w:p>
              </w:tc>
              <w:tc>
                <w:tcPr>
                  <w:tcW w:w="928" w:type="dxa"/>
                  <w:tcBorders>
                    <w:tl2br w:val="nil"/>
                    <w:tr2bl w:val="nil"/>
                  </w:tcBorders>
                  <w:noWrap w:val="0"/>
                  <w:vAlign w:val="center"/>
                </w:tcPr>
                <w:p w14:paraId="009B32FE">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0.152</w:t>
                  </w:r>
                </w:p>
              </w:tc>
            </w:tr>
            <w:tr w14:paraId="55D547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90" w:hRule="atLeast"/>
              </w:trPr>
              <w:tc>
                <w:tcPr>
                  <w:tcW w:w="528" w:type="dxa"/>
                  <w:vMerge w:val="continue"/>
                  <w:tcBorders>
                    <w:tl2br w:val="nil"/>
                    <w:tr2bl w:val="nil"/>
                  </w:tcBorders>
                  <w:noWrap w:val="0"/>
                  <w:vAlign w:val="center"/>
                </w:tcPr>
                <w:p w14:paraId="0D1F57FC">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rPr>
                  </w:pPr>
                </w:p>
              </w:tc>
              <w:tc>
                <w:tcPr>
                  <w:tcW w:w="804" w:type="dxa"/>
                  <w:tcBorders>
                    <w:tl2br w:val="nil"/>
                    <w:tr2bl w:val="nil"/>
                  </w:tcBorders>
                  <w:noWrap w:val="0"/>
                  <w:vAlign w:val="center"/>
                </w:tcPr>
                <w:p w14:paraId="10F7AD70">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eastAsia" w:cs="Times New Roman"/>
                      <w:i w:val="0"/>
                      <w:iCs w:val="0"/>
                      <w:color w:val="000000"/>
                      <w:kern w:val="0"/>
                      <w:sz w:val="22"/>
                      <w:szCs w:val="22"/>
                      <w:u w:val="none"/>
                      <w:lang w:val="en-US" w:eastAsia="zh-CN" w:bidi="ar"/>
                    </w:rPr>
                    <w:t>琼江</w:t>
                  </w:r>
                </w:p>
              </w:tc>
              <w:tc>
                <w:tcPr>
                  <w:tcW w:w="852" w:type="dxa"/>
                  <w:tcBorders>
                    <w:tl2br w:val="nil"/>
                    <w:tr2bl w:val="nil"/>
                  </w:tcBorders>
                  <w:noWrap w:val="0"/>
                  <w:vAlign w:val="center"/>
                </w:tcPr>
                <w:p w14:paraId="12F32D87">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eastAsia" w:cs="Times New Roman"/>
                      <w:i w:val="0"/>
                      <w:iCs w:val="0"/>
                      <w:color w:val="000000"/>
                      <w:kern w:val="0"/>
                      <w:sz w:val="22"/>
                      <w:szCs w:val="22"/>
                      <w:u w:val="none"/>
                      <w:lang w:val="en-US" w:eastAsia="zh-CN" w:bidi="ar"/>
                    </w:rPr>
                    <w:t>大安</w:t>
                  </w:r>
                </w:p>
              </w:tc>
              <w:tc>
                <w:tcPr>
                  <w:tcW w:w="757" w:type="dxa"/>
                  <w:tcBorders>
                    <w:tl2br w:val="nil"/>
                    <w:tr2bl w:val="nil"/>
                  </w:tcBorders>
                  <w:noWrap w:val="0"/>
                  <w:vAlign w:val="center"/>
                </w:tcPr>
                <w:p w14:paraId="14235DC2">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rPr>
                  </w:pPr>
                  <w:r>
                    <w:rPr>
                      <w:rFonts w:hint="eastAsia" w:cs="Times New Roman"/>
                      <w:i w:val="0"/>
                      <w:iCs w:val="0"/>
                      <w:color w:val="000000"/>
                      <w:kern w:val="0"/>
                      <w:sz w:val="22"/>
                      <w:szCs w:val="22"/>
                      <w:u w:val="none"/>
                      <w:lang w:val="en-US" w:eastAsia="zh-CN" w:bidi="ar"/>
                    </w:rPr>
                    <w:t>国</w:t>
                  </w:r>
                  <w:r>
                    <w:rPr>
                      <w:rFonts w:hint="default" w:ascii="Times New Roman" w:hAnsi="Times New Roman" w:eastAsia="宋体" w:cs="Times New Roman"/>
                      <w:i w:val="0"/>
                      <w:iCs w:val="0"/>
                      <w:color w:val="000000"/>
                      <w:kern w:val="0"/>
                      <w:sz w:val="22"/>
                      <w:szCs w:val="22"/>
                      <w:u w:val="none"/>
                      <w:lang w:val="en-US" w:eastAsia="zh-CN" w:bidi="ar"/>
                    </w:rPr>
                    <w:t>控</w:t>
                  </w:r>
                </w:p>
              </w:tc>
              <w:tc>
                <w:tcPr>
                  <w:tcW w:w="514" w:type="dxa"/>
                  <w:tcBorders>
                    <w:tl2br w:val="nil"/>
                    <w:tr2bl w:val="nil"/>
                  </w:tcBorders>
                  <w:noWrap w:val="0"/>
                  <w:vAlign w:val="center"/>
                </w:tcPr>
                <w:p w14:paraId="64E56920">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III</w:t>
                  </w:r>
                </w:p>
              </w:tc>
              <w:tc>
                <w:tcPr>
                  <w:tcW w:w="628" w:type="dxa"/>
                  <w:tcBorders>
                    <w:tl2br w:val="nil"/>
                    <w:tr2bl w:val="nil"/>
                  </w:tcBorders>
                  <w:noWrap w:val="0"/>
                  <w:vAlign w:val="center"/>
                </w:tcPr>
                <w:p w14:paraId="4B3FBB63">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7.7</w:t>
                  </w:r>
                </w:p>
              </w:tc>
              <w:tc>
                <w:tcPr>
                  <w:tcW w:w="886" w:type="dxa"/>
                  <w:tcBorders>
                    <w:tl2br w:val="nil"/>
                    <w:tr2bl w:val="nil"/>
                  </w:tcBorders>
                  <w:noWrap w:val="0"/>
                  <w:vAlign w:val="center"/>
                </w:tcPr>
                <w:p w14:paraId="5B848DD4">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9.15</w:t>
                  </w:r>
                </w:p>
              </w:tc>
              <w:tc>
                <w:tcPr>
                  <w:tcW w:w="685" w:type="dxa"/>
                  <w:tcBorders>
                    <w:tl2br w:val="nil"/>
                    <w:tr2bl w:val="nil"/>
                  </w:tcBorders>
                  <w:noWrap w:val="0"/>
                  <w:vAlign w:val="center"/>
                </w:tcPr>
                <w:p w14:paraId="2675B588">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5.0</w:t>
                  </w:r>
                </w:p>
              </w:tc>
              <w:tc>
                <w:tcPr>
                  <w:tcW w:w="756" w:type="dxa"/>
                  <w:tcBorders>
                    <w:tl2br w:val="nil"/>
                    <w:tr2bl w:val="nil"/>
                  </w:tcBorders>
                  <w:noWrap w:val="0"/>
                  <w:vAlign w:val="center"/>
                </w:tcPr>
                <w:p w14:paraId="7B418D63">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18.2</w:t>
                  </w:r>
                </w:p>
              </w:tc>
              <w:tc>
                <w:tcPr>
                  <w:tcW w:w="918" w:type="dxa"/>
                  <w:tcBorders>
                    <w:tl2br w:val="nil"/>
                    <w:tr2bl w:val="nil"/>
                  </w:tcBorders>
                  <w:noWrap w:val="0"/>
                  <w:vAlign w:val="center"/>
                </w:tcPr>
                <w:p w14:paraId="5C8EE3E6">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0.138</w:t>
                  </w:r>
                </w:p>
              </w:tc>
              <w:tc>
                <w:tcPr>
                  <w:tcW w:w="928" w:type="dxa"/>
                  <w:tcBorders>
                    <w:tl2br w:val="nil"/>
                    <w:tr2bl w:val="nil"/>
                  </w:tcBorders>
                  <w:noWrap w:val="0"/>
                  <w:vAlign w:val="center"/>
                </w:tcPr>
                <w:p w14:paraId="6CF29D82">
                  <w:pPr>
                    <w:keepNext w:val="0"/>
                    <w:keepLines w:val="0"/>
                    <w:widowControl/>
                    <w:suppressLineNumbers w:val="0"/>
                    <w:jc w:val="left"/>
                    <w:textAlignment w:val="center"/>
                    <w:rPr>
                      <w:rFonts w:hint="default" w:ascii="Times New Roman" w:hAnsi="Times New Roman" w:eastAsia="宋体" w:cs="Times New Roman"/>
                      <w:i w:val="0"/>
                      <w:iCs w:val="0"/>
                      <w:color w:val="000000"/>
                      <w:sz w:val="22"/>
                      <w:szCs w:val="22"/>
                      <w:u w:val="none"/>
                      <w:lang w:val="en-US"/>
                    </w:rPr>
                  </w:pPr>
                  <w:r>
                    <w:rPr>
                      <w:rFonts w:hint="eastAsia" w:cs="Times New Roman"/>
                      <w:i w:val="0"/>
                      <w:iCs w:val="0"/>
                      <w:color w:val="000000"/>
                      <w:kern w:val="0"/>
                      <w:sz w:val="22"/>
                      <w:szCs w:val="22"/>
                      <w:u w:val="none"/>
                      <w:lang w:val="en-US" w:eastAsia="zh-CN" w:bidi="ar"/>
                    </w:rPr>
                    <w:t>0.105</w:t>
                  </w:r>
                </w:p>
              </w:tc>
            </w:tr>
          </w:tbl>
          <w:p w14:paraId="18D984DE">
            <w:pPr>
              <w:pStyle w:val="44"/>
              <w:ind w:firstLine="480"/>
              <w:jc w:val="both"/>
              <w:rPr>
                <w:rFonts w:hint="eastAsia" w:ascii="Times New Roman" w:hAnsi="Times New Roman" w:eastAsia="宋体" w:cs="Times New Roman"/>
                <w:lang w:eastAsia="zh-CN"/>
              </w:rPr>
            </w:pPr>
            <w:r>
              <w:rPr>
                <w:rFonts w:hint="default" w:ascii="Times New Roman" w:hAnsi="Times New Roman" w:cs="Times New Roman"/>
              </w:rPr>
              <w:t>根据环境质量公报，</w:t>
            </w:r>
            <w:r>
              <w:rPr>
                <w:rFonts w:hint="eastAsia" w:ascii="Times New Roman" w:hAnsi="Times New Roman" w:cs="Times New Roman"/>
                <w:lang w:val="en-US" w:eastAsia="zh-CN"/>
              </w:rPr>
              <w:t>琼江大安断</w:t>
            </w:r>
            <w:r>
              <w:rPr>
                <w:rFonts w:hint="default" w:ascii="Times New Roman" w:hAnsi="Times New Roman" w:cs="Times New Roman"/>
              </w:rPr>
              <w:t>面，水质符合规定水质标准，满足《地表水环境质量标准》（GB3838-2002）III类水质要求。</w:t>
            </w:r>
            <w:r>
              <w:rPr>
                <w:rFonts w:hint="eastAsia" w:ascii="Times New Roman" w:hAnsi="Times New Roman" w:cs="Times New Roman"/>
                <w:lang w:val="en-US" w:eastAsia="zh-CN"/>
              </w:rPr>
              <w:t>白安河</w:t>
            </w:r>
            <w:r>
              <w:rPr>
                <w:rFonts w:hint="default" w:ascii="Times New Roman" w:hAnsi="Times New Roman" w:cs="Times New Roman"/>
              </w:rPr>
              <w:t>水质不满足《地表水环境质量标准》（GB3838-2002）III类水质要求</w:t>
            </w:r>
            <w:r>
              <w:rPr>
                <w:rFonts w:hint="eastAsia" w:ascii="Times New Roman" w:hAnsi="Times New Roman" w:cs="Times New Roman"/>
                <w:lang w:eastAsia="zh-CN"/>
              </w:rPr>
              <w:t>。</w:t>
            </w:r>
          </w:p>
          <w:p w14:paraId="11313F6B">
            <w:pPr>
              <w:pStyle w:val="9"/>
              <w:spacing w:line="360" w:lineRule="auto"/>
              <w:ind w:left="0"/>
              <w:rPr>
                <w:rFonts w:hint="default" w:ascii="Times New Roman" w:hAnsi="Times New Roman" w:eastAsia="宋体" w:cs="Times New Roman"/>
                <w:b/>
                <w:bCs/>
                <w:sz w:val="24"/>
                <w:szCs w:val="21"/>
              </w:rPr>
            </w:pPr>
            <w:r>
              <w:rPr>
                <w:rFonts w:hint="default" w:ascii="Times New Roman" w:hAnsi="Times New Roman" w:eastAsia="宋体" w:cs="Times New Roman"/>
                <w:b/>
                <w:bCs/>
                <w:sz w:val="24"/>
                <w:szCs w:val="21"/>
              </w:rPr>
              <w:t>三、声环境质量现状监测与评价</w:t>
            </w:r>
          </w:p>
          <w:p w14:paraId="043374A4">
            <w:pPr>
              <w:tabs>
                <w:tab w:val="left" w:pos="7237"/>
              </w:tabs>
              <w:spacing w:line="420" w:lineRule="auto"/>
              <w:ind w:firstLine="480" w:firstLineChars="200"/>
              <w:rPr>
                <w:rFonts w:hint="eastAsia" w:ascii="Times New Roman" w:hAnsi="Times New Roman" w:eastAsia="宋体" w:cs="Times New Roman"/>
                <w:color w:val="000000" w:themeColor="text1"/>
                <w:sz w:val="24"/>
                <w:lang w:eastAsia="zh-CN"/>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本项目周边50m范围内无声环境保护目标，根据《建设项目环境影响报告表编制技术指南（污染影响类）</w:t>
            </w:r>
            <w:r>
              <w:rPr>
                <w:rFonts w:hint="eastAsia" w:cs="Times New Roman"/>
                <w:color w:val="000000" w:themeColor="text1"/>
                <w:sz w:val="24"/>
                <w:lang w:eastAsia="zh-CN"/>
                <w14:textFill>
                  <w14:solidFill>
                    <w14:schemeClr w14:val="tx1"/>
                  </w14:solidFill>
                </w14:textFill>
              </w:rPr>
              <w:t>（试行）》</w:t>
            </w:r>
            <w:r>
              <w:rPr>
                <w:rFonts w:hint="default" w:ascii="Times New Roman" w:hAnsi="Times New Roman" w:cs="Times New Roman"/>
                <w:color w:val="000000" w:themeColor="text1"/>
                <w:sz w:val="24"/>
                <w14:textFill>
                  <w14:solidFill>
                    <w14:schemeClr w14:val="tx1"/>
                  </w14:solidFill>
                </w14:textFill>
              </w:rPr>
              <w:t>，本项目无需进行声环境现状监测</w:t>
            </w:r>
            <w:r>
              <w:rPr>
                <w:rFonts w:hint="eastAsia" w:ascii="Times New Roman" w:hAnsi="Times New Roman" w:cs="Times New Roman"/>
                <w:color w:val="000000" w:themeColor="text1"/>
                <w:sz w:val="24"/>
                <w:lang w:eastAsia="zh-CN"/>
                <w14:textFill>
                  <w14:solidFill>
                    <w14:schemeClr w14:val="tx1"/>
                  </w14:solidFill>
                </w14:textFill>
              </w:rPr>
              <w:t>。</w:t>
            </w:r>
          </w:p>
          <w:p w14:paraId="1840972C">
            <w:pPr>
              <w:pStyle w:val="9"/>
              <w:spacing w:line="360" w:lineRule="auto"/>
              <w:ind w:left="0"/>
              <w:rPr>
                <w:rFonts w:hint="default" w:ascii="Times New Roman" w:hAnsi="Times New Roman" w:eastAsia="宋体" w:cs="Times New Roman"/>
                <w:b/>
                <w:bCs/>
                <w:sz w:val="24"/>
                <w:szCs w:val="21"/>
              </w:rPr>
            </w:pPr>
            <w:r>
              <w:rPr>
                <w:rFonts w:hint="default" w:ascii="Times New Roman" w:hAnsi="Times New Roman" w:eastAsia="宋体" w:cs="Times New Roman"/>
                <w:b/>
                <w:bCs/>
                <w:sz w:val="24"/>
                <w:szCs w:val="21"/>
              </w:rPr>
              <w:t>四、地下水及土壤环境质量现状</w:t>
            </w:r>
          </w:p>
          <w:p w14:paraId="40FB1313">
            <w:pPr>
              <w:pStyle w:val="44"/>
              <w:ind w:firstLine="480"/>
              <w:rPr>
                <w:rFonts w:hint="default" w:ascii="Times New Roman" w:hAnsi="Times New Roman" w:cs="Times New Roman"/>
              </w:rPr>
            </w:pPr>
            <w:r>
              <w:rPr>
                <w:rFonts w:hint="default" w:ascii="Times New Roman" w:hAnsi="Times New Roman" w:cs="Times New Roman"/>
                <w:color w:val="auto"/>
              </w:rPr>
              <w:t>根据《建设项目环境影响报告表编制技术指南（污染影响类）</w:t>
            </w:r>
            <w:r>
              <w:rPr>
                <w:rFonts w:hint="eastAsia" w:ascii="Times New Roman" w:hAnsi="Times New Roman" w:cs="Times New Roman"/>
                <w:color w:val="auto"/>
                <w:lang w:eastAsia="zh-CN"/>
              </w:rPr>
              <w:t>（试行）》</w:t>
            </w:r>
            <w:r>
              <w:rPr>
                <w:rFonts w:hint="default" w:ascii="Times New Roman" w:hAnsi="Times New Roman" w:cs="Times New Roman"/>
                <w:color w:val="auto"/>
              </w:rPr>
              <w:t>本项目原则上不开展</w:t>
            </w:r>
            <w:r>
              <w:rPr>
                <w:rFonts w:hint="default" w:ascii="Times New Roman" w:hAnsi="Times New Roman" w:cs="Times New Roman"/>
                <w:color w:val="auto"/>
                <w:lang w:eastAsia="zh-CN"/>
              </w:rPr>
              <w:t>土壤和地下水</w:t>
            </w:r>
            <w:r>
              <w:rPr>
                <w:rFonts w:hint="default" w:ascii="Times New Roman" w:hAnsi="Times New Roman" w:cs="Times New Roman"/>
                <w:color w:val="auto"/>
              </w:rPr>
              <w:t>环境</w:t>
            </w:r>
            <w:r>
              <w:rPr>
                <w:rFonts w:hint="default" w:ascii="Times New Roman" w:hAnsi="Times New Roman" w:cs="Times New Roman"/>
                <w:color w:val="auto"/>
                <w:lang w:eastAsia="zh-CN"/>
              </w:rPr>
              <w:t>质量</w:t>
            </w:r>
            <w:r>
              <w:rPr>
                <w:rFonts w:hint="default" w:ascii="Times New Roman" w:hAnsi="Times New Roman" w:cs="Times New Roman"/>
                <w:color w:val="auto"/>
              </w:rPr>
              <w:t>现状调查</w:t>
            </w:r>
            <w:r>
              <w:rPr>
                <w:rFonts w:hint="default" w:ascii="Times New Roman" w:hAnsi="Times New Roman" w:cs="Times New Roman"/>
              </w:rPr>
              <w:t>。</w:t>
            </w:r>
          </w:p>
          <w:p w14:paraId="31806F46">
            <w:pPr>
              <w:pStyle w:val="9"/>
              <w:spacing w:line="360" w:lineRule="auto"/>
              <w:ind w:left="0"/>
              <w:rPr>
                <w:rFonts w:hint="default" w:ascii="Times New Roman" w:hAnsi="Times New Roman" w:eastAsia="宋体" w:cs="Times New Roman"/>
                <w:b/>
                <w:bCs/>
                <w:sz w:val="24"/>
                <w:szCs w:val="21"/>
              </w:rPr>
            </w:pPr>
            <w:r>
              <w:rPr>
                <w:rFonts w:hint="default" w:ascii="Times New Roman" w:hAnsi="Times New Roman" w:eastAsia="宋体" w:cs="Times New Roman"/>
                <w:b/>
                <w:bCs/>
                <w:sz w:val="24"/>
                <w:szCs w:val="21"/>
              </w:rPr>
              <w:t>六、生态环境</w:t>
            </w:r>
          </w:p>
          <w:p w14:paraId="4FF61081">
            <w:pPr>
              <w:pStyle w:val="44"/>
              <w:ind w:firstLine="480"/>
              <w:rPr>
                <w:rFonts w:hint="default" w:ascii="Times New Roman" w:hAnsi="Times New Roman" w:cs="Times New Roman"/>
              </w:rPr>
            </w:pPr>
            <w:r>
              <w:rPr>
                <w:rFonts w:hint="default" w:ascii="Times New Roman" w:hAnsi="Times New Roman" w:cs="Times New Roman"/>
              </w:rPr>
              <w:t>本项目位于</w:t>
            </w:r>
            <w:r>
              <w:rPr>
                <w:rFonts w:hint="eastAsia" w:ascii="Times New Roman" w:hAnsi="Times New Roman" w:cs="Times New Roman"/>
                <w:lang w:eastAsia="zh-CN"/>
              </w:rPr>
              <w:t>遂宁市白马镇卧龙桥村8社</w:t>
            </w:r>
            <w:r>
              <w:rPr>
                <w:rFonts w:hint="default" w:ascii="Times New Roman" w:hAnsi="Times New Roman" w:cs="Times New Roman"/>
              </w:rPr>
              <w:t>，项目在</w:t>
            </w:r>
            <w:r>
              <w:rPr>
                <w:rFonts w:hint="default" w:ascii="Times New Roman" w:hAnsi="Times New Roman" w:cs="Times New Roman"/>
                <w:color w:val="auto"/>
              </w:rPr>
              <w:t>建设用地</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公路用地</w:t>
            </w:r>
            <w:r>
              <w:rPr>
                <w:rFonts w:hint="eastAsia" w:ascii="Times New Roman" w:hAnsi="Times New Roman" w:cs="Times New Roman"/>
                <w:color w:val="auto"/>
                <w:lang w:eastAsia="zh-CN"/>
              </w:rPr>
              <w:t>）</w:t>
            </w:r>
            <w:r>
              <w:rPr>
                <w:rFonts w:hint="default" w:ascii="Times New Roman" w:hAnsi="Times New Roman" w:cs="Times New Roman"/>
                <w:color w:val="auto"/>
              </w:rPr>
              <w:t>上建设，不占用耕地或基本农田，项目用地不超出</w:t>
            </w:r>
            <w:r>
              <w:rPr>
                <w:rFonts w:hint="eastAsia" w:ascii="Times New Roman" w:hAnsi="Times New Roman" w:cs="Times New Roman"/>
                <w:color w:val="auto"/>
                <w:lang w:eastAsia="zh-CN"/>
              </w:rPr>
              <w:t>规定占地范围</w:t>
            </w:r>
            <w:r>
              <w:rPr>
                <w:rFonts w:hint="default" w:ascii="Times New Roman" w:hAnsi="Times New Roman" w:cs="Times New Roman"/>
                <w:color w:val="auto"/>
              </w:rPr>
              <w:t>，因此本项目的</w:t>
            </w:r>
            <w:r>
              <w:rPr>
                <w:rFonts w:hint="default" w:ascii="Times New Roman" w:hAnsi="Times New Roman" w:cs="Times New Roman"/>
              </w:rPr>
              <w:t>运营不会对周边生态环境造成明显影响。</w:t>
            </w:r>
          </w:p>
          <w:p w14:paraId="347AA291">
            <w:pPr>
              <w:adjustRightInd w:val="0"/>
              <w:snapToGrid w:val="0"/>
              <w:jc w:val="left"/>
              <w:rPr>
                <w:rFonts w:hint="default" w:ascii="Times New Roman" w:hAnsi="Times New Roman" w:cs="Times New Roman"/>
                <w:kern w:val="0"/>
                <w:szCs w:val="21"/>
              </w:rPr>
            </w:pPr>
          </w:p>
        </w:tc>
      </w:tr>
      <w:tr w14:paraId="790C75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43" w:hRule="atLeast"/>
          <w:jc w:val="center"/>
        </w:trPr>
        <w:tc>
          <w:tcPr>
            <w:tcW w:w="465" w:type="dxa"/>
            <w:noWrap w:val="0"/>
            <w:vAlign w:val="center"/>
          </w:tcPr>
          <w:p w14:paraId="0B4F9224">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环境</w:t>
            </w:r>
          </w:p>
          <w:p w14:paraId="3844DFE0">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保护</w:t>
            </w:r>
          </w:p>
          <w:p w14:paraId="07272751">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目标</w:t>
            </w:r>
          </w:p>
        </w:tc>
        <w:tc>
          <w:tcPr>
            <w:tcW w:w="8525" w:type="dxa"/>
            <w:noWrap w:val="0"/>
            <w:vAlign w:val="top"/>
          </w:tcPr>
          <w:p w14:paraId="12751CF9">
            <w:pPr>
              <w:pStyle w:val="44"/>
              <w:numPr>
                <w:ilvl w:val="0"/>
                <w:numId w:val="1"/>
              </w:numPr>
              <w:ind w:firstLine="482"/>
              <w:rPr>
                <w:rFonts w:hint="default" w:ascii="Times New Roman" w:hAnsi="Times New Roman" w:cs="Times New Roman"/>
                <w:b/>
                <w:bCs/>
              </w:rPr>
            </w:pPr>
            <w:r>
              <w:rPr>
                <w:rFonts w:hint="default" w:ascii="Times New Roman" w:hAnsi="Times New Roman" w:cs="Times New Roman"/>
                <w:b/>
                <w:bCs/>
              </w:rPr>
              <w:t>外环境关系</w:t>
            </w:r>
          </w:p>
          <w:p w14:paraId="59793D3B">
            <w:pPr>
              <w:pStyle w:val="44"/>
              <w:ind w:firstLine="48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auto"/>
              </w:rPr>
              <w:t>本项目</w:t>
            </w:r>
            <w:r>
              <w:rPr>
                <w:rFonts w:hint="eastAsia" w:ascii="Times New Roman" w:hAnsi="Times New Roman" w:cs="Times New Roman"/>
                <w:color w:val="auto"/>
                <w:lang w:eastAsia="zh-CN"/>
              </w:rPr>
              <w:t>位于遂宁市白马镇卧龙桥村8社，</w:t>
            </w:r>
            <w:r>
              <w:rPr>
                <w:rFonts w:hint="default" w:ascii="Times New Roman" w:hAnsi="Times New Roman" w:cs="Times New Roman"/>
                <w:color w:val="auto"/>
              </w:rPr>
              <w:t>项目</w:t>
            </w:r>
            <w:r>
              <w:rPr>
                <w:rFonts w:hint="eastAsia" w:ascii="Times New Roman" w:hAnsi="Times New Roman" w:cs="Times New Roman"/>
                <w:color w:val="auto"/>
                <w:lang w:eastAsia="zh-CN"/>
              </w:rPr>
              <w:t>南</w:t>
            </w:r>
            <w:r>
              <w:rPr>
                <w:rFonts w:hint="default" w:ascii="Times New Roman" w:hAnsi="Times New Roman" w:cs="Times New Roman"/>
                <w:color w:val="auto"/>
              </w:rPr>
              <w:t>侧</w:t>
            </w:r>
            <w:r>
              <w:rPr>
                <w:rFonts w:hint="eastAsia" w:ascii="Times New Roman" w:hAnsi="Times New Roman" w:cs="Times New Roman"/>
                <w:color w:val="auto"/>
                <w:lang w:val="en-US" w:eastAsia="zh-CN"/>
              </w:rPr>
              <w:t>198</w:t>
            </w:r>
            <w:r>
              <w:rPr>
                <w:rFonts w:hint="default" w:ascii="Times New Roman" w:hAnsi="Times New Roman" w:cs="Times New Roman"/>
                <w:color w:val="auto"/>
              </w:rPr>
              <w:t>m</w:t>
            </w:r>
            <w:r>
              <w:rPr>
                <w:rFonts w:hint="eastAsia" w:ascii="Times New Roman" w:hAnsi="Times New Roman" w:cs="Times New Roman"/>
                <w:color w:val="auto"/>
                <w:lang w:val="en-US" w:eastAsia="zh-CN"/>
              </w:rPr>
              <w:t>-500m</w:t>
            </w:r>
            <w:r>
              <w:rPr>
                <w:rFonts w:hint="default" w:ascii="Times New Roman" w:hAnsi="Times New Roman" w:cs="Times New Roman"/>
                <w:color w:val="auto"/>
              </w:rPr>
              <w:t>为</w:t>
            </w:r>
            <w:r>
              <w:rPr>
                <w:rFonts w:hint="eastAsia" w:ascii="Times New Roman" w:hAnsi="Times New Roman" w:cs="Times New Roman"/>
                <w:color w:val="auto"/>
                <w:lang w:eastAsia="zh-CN"/>
              </w:rPr>
              <w:t>卧龙桥村</w:t>
            </w:r>
            <w:r>
              <w:rPr>
                <w:rFonts w:hint="default" w:ascii="Times New Roman" w:hAnsi="Times New Roman" w:cs="Times New Roman"/>
                <w:color w:val="auto"/>
              </w:rPr>
              <w:t>民约</w:t>
            </w:r>
            <w:r>
              <w:rPr>
                <w:rFonts w:hint="eastAsia" w:ascii="Times New Roman" w:hAnsi="Times New Roman" w:cs="Times New Roman"/>
                <w:color w:val="auto"/>
                <w:lang w:val="en-US" w:eastAsia="zh-CN"/>
              </w:rPr>
              <w:t>11</w:t>
            </w:r>
            <w:r>
              <w:rPr>
                <w:rFonts w:hint="default" w:ascii="Times New Roman" w:hAnsi="Times New Roman" w:cs="Times New Roman"/>
                <w:color w:val="auto"/>
              </w:rPr>
              <w:t>户，项目</w:t>
            </w:r>
            <w:r>
              <w:rPr>
                <w:rFonts w:hint="eastAsia" w:ascii="Times New Roman" w:hAnsi="Times New Roman" w:cs="Times New Roman"/>
                <w:color w:val="auto"/>
                <w:lang w:eastAsia="zh-CN"/>
              </w:rPr>
              <w:t>北</w:t>
            </w:r>
            <w:r>
              <w:rPr>
                <w:rFonts w:hint="default" w:ascii="Times New Roman" w:hAnsi="Times New Roman" w:cs="Times New Roman"/>
                <w:color w:val="auto"/>
              </w:rPr>
              <w:t>侧</w:t>
            </w:r>
            <w:r>
              <w:rPr>
                <w:rFonts w:hint="eastAsia" w:ascii="Times New Roman" w:hAnsi="Times New Roman" w:cs="Times New Roman"/>
                <w:color w:val="auto"/>
                <w:lang w:val="en-US" w:eastAsia="zh-CN"/>
              </w:rPr>
              <w:t>160m-500m为</w:t>
            </w:r>
            <w:r>
              <w:rPr>
                <w:rFonts w:hint="eastAsia" w:ascii="Times New Roman" w:hAnsi="Times New Roman" w:cs="Times New Roman"/>
                <w:color w:val="auto"/>
                <w:lang w:eastAsia="zh-CN"/>
              </w:rPr>
              <w:t>卧龙桥村</w:t>
            </w:r>
            <w:r>
              <w:rPr>
                <w:rFonts w:hint="eastAsia" w:ascii="Times New Roman" w:hAnsi="Times New Roman" w:cs="Times New Roman"/>
                <w:color w:val="auto"/>
                <w:lang w:val="en-US" w:eastAsia="zh-CN"/>
              </w:rPr>
              <w:t>民约30户</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项目西</w:t>
            </w:r>
            <w:r>
              <w:rPr>
                <w:rFonts w:hint="eastAsia" w:ascii="Times New Roman" w:hAnsi="Times New Roman" w:cs="Times New Roman"/>
                <w:color w:val="000000" w:themeColor="text1"/>
                <w:lang w:val="en-US" w:eastAsia="zh-CN"/>
                <w14:textFill>
                  <w14:solidFill>
                    <w14:schemeClr w14:val="tx1"/>
                  </w14:solidFill>
                </w14:textFill>
              </w:rPr>
              <w:t>侧为自然山体，高差约30m，东侧紧邻山林高差约10m</w:t>
            </w:r>
            <w:r>
              <w:rPr>
                <w:rFonts w:hint="default" w:ascii="Times New Roman" w:hAnsi="Times New Roman" w:cs="Times New Roman"/>
                <w:color w:val="000000" w:themeColor="text1"/>
                <w14:textFill>
                  <w14:solidFill>
                    <w14:schemeClr w14:val="tx1"/>
                  </w14:solidFill>
                </w14:textFill>
              </w:rPr>
              <w:t>。</w:t>
            </w:r>
          </w:p>
          <w:p w14:paraId="393C1B89">
            <w:pPr>
              <w:pStyle w:val="44"/>
              <w:ind w:firstLine="482"/>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b/>
                <w:bCs/>
                <w:color w:val="000000" w:themeColor="text1"/>
                <w14:textFill>
                  <w14:solidFill>
                    <w14:schemeClr w14:val="tx1"/>
                  </w14:solidFill>
                </w14:textFill>
              </w:rPr>
              <w:t>选址合理性分析</w:t>
            </w:r>
            <w:r>
              <w:rPr>
                <w:rFonts w:hint="eastAsia" w:ascii="Times New Roman" w:hAnsi="Times New Roman" w:cs="Times New Roman"/>
                <w:b/>
                <w:bCs/>
                <w:color w:val="000000" w:themeColor="text1"/>
                <w:lang w:val="en-US" w:eastAsia="zh-CN"/>
                <w14:textFill>
                  <w14:solidFill>
                    <w14:schemeClr w14:val="tx1"/>
                  </w14:solidFill>
                </w14:textFill>
              </w:rPr>
              <w:t>及规划符合性</w:t>
            </w:r>
            <w:r>
              <w:rPr>
                <w:rFonts w:hint="default" w:ascii="Times New Roman" w:hAnsi="Times New Roman" w:cs="Times New Roman"/>
                <w:b/>
                <w:bCs/>
                <w:color w:val="000000" w:themeColor="text1"/>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根据现场踏勘，本项目运营</w:t>
            </w:r>
            <w:r>
              <w:rPr>
                <w:rFonts w:hint="eastAsia" w:ascii="Times New Roman" w:hAnsi="Times New Roman" w:cs="Times New Roman"/>
                <w:color w:val="000000" w:themeColor="text1"/>
                <w:lang w:val="en-US" w:eastAsia="zh-CN"/>
                <w14:textFill>
                  <w14:solidFill>
                    <w14:schemeClr w14:val="tx1"/>
                  </w14:solidFill>
                </w14:textFill>
              </w:rPr>
              <w:t>期</w:t>
            </w:r>
            <w:r>
              <w:rPr>
                <w:rFonts w:hint="default" w:ascii="Times New Roman" w:hAnsi="Times New Roman" w:cs="Times New Roman"/>
                <w:color w:val="000000" w:themeColor="text1"/>
                <w14:textFill>
                  <w14:solidFill>
                    <w14:schemeClr w14:val="tx1"/>
                  </w14:solidFill>
                </w14:textFill>
              </w:rPr>
              <w:t>仅产生少量的粉尘和噪声，项目</w:t>
            </w:r>
            <w:r>
              <w:rPr>
                <w:rFonts w:hint="eastAsia" w:ascii="Times New Roman" w:hAnsi="Times New Roman" w:cs="Times New Roman"/>
                <w:color w:val="000000" w:themeColor="text1"/>
                <w:lang w:eastAsia="zh-CN"/>
                <w14:textFill>
                  <w14:solidFill>
                    <w14:schemeClr w14:val="tx1"/>
                  </w14:solidFill>
                </w14:textFill>
              </w:rPr>
              <w:t>拟</w:t>
            </w:r>
            <w:r>
              <w:rPr>
                <w:rFonts w:hint="default" w:ascii="Times New Roman" w:hAnsi="Times New Roman" w:cs="Times New Roman"/>
                <w:color w:val="000000" w:themeColor="text1"/>
                <w14:textFill>
                  <w14:solidFill>
                    <w14:schemeClr w14:val="tx1"/>
                  </w14:solidFill>
                </w14:textFill>
              </w:rPr>
              <w:t>采取封闭式原料堆场堆放砂石，厂区设施雾泡除尘装置抑尘，</w:t>
            </w:r>
            <w:r>
              <w:rPr>
                <w:rFonts w:hint="eastAsia" w:ascii="Times New Roman" w:hAnsi="Times New Roman" w:cs="Times New Roman"/>
                <w:color w:val="000000" w:themeColor="text1"/>
                <w:lang w:val="en-US" w:eastAsia="zh-CN"/>
                <w14:textFill>
                  <w14:solidFill>
                    <w14:schemeClr w14:val="tx1"/>
                  </w14:solidFill>
                </w14:textFill>
              </w:rPr>
              <w:t>生产车间和堆场采用</w:t>
            </w:r>
            <w:r>
              <w:rPr>
                <w:rFonts w:hint="eastAsia" w:ascii="Times New Roman" w:hAnsi="Times New Roman" w:cs="Times New Roman"/>
                <w:color w:val="000000" w:themeColor="text1"/>
                <w:lang w:eastAsia="zh-CN"/>
                <w14:textFill>
                  <w14:solidFill>
                    <w14:schemeClr w14:val="tx1"/>
                  </w14:solidFill>
                </w14:textFill>
              </w:rPr>
              <w:t>彩钢板全封闭</w:t>
            </w:r>
            <w:r>
              <w:rPr>
                <w:rFonts w:hint="eastAsia" w:ascii="Times New Roman" w:hAnsi="Times New Roman" w:cs="Times New Roman"/>
                <w:color w:val="000000" w:themeColor="text1"/>
                <w:lang w:val="en-US" w:eastAsia="zh-CN"/>
                <w14:textFill>
                  <w14:solidFill>
                    <w14:schemeClr w14:val="tx1"/>
                  </w14:solidFill>
                </w14:textFill>
              </w:rPr>
              <w:t>并设置水雾喷淋除尘设施</w:t>
            </w:r>
            <w:r>
              <w:rPr>
                <w:rFonts w:hint="default" w:ascii="Times New Roman" w:hAnsi="Times New Roman" w:cs="Times New Roman"/>
                <w:color w:val="000000" w:themeColor="text1"/>
                <w14:textFill>
                  <w14:solidFill>
                    <w14:schemeClr w14:val="tx1"/>
                  </w14:solidFill>
                </w14:textFill>
              </w:rPr>
              <w:t>，项目在采取以上污染防治措施后，对周边环境影响不明显。项目</w:t>
            </w:r>
            <w:r>
              <w:rPr>
                <w:rFonts w:hint="eastAsia" w:ascii="Times New Roman" w:hAnsi="Times New Roman" w:cs="Times New Roman"/>
                <w:color w:val="000000" w:themeColor="text1"/>
                <w:lang w:eastAsia="zh-CN"/>
                <w14:textFill>
                  <w14:solidFill>
                    <w14:schemeClr w14:val="tx1"/>
                  </w14:solidFill>
                </w14:textFill>
              </w:rPr>
              <w:t>的</w:t>
            </w:r>
            <w:r>
              <w:rPr>
                <w:rFonts w:hint="default" w:ascii="Times New Roman" w:hAnsi="Times New Roman" w:cs="Times New Roman"/>
                <w:color w:val="000000" w:themeColor="text1"/>
                <w14:textFill>
                  <w14:solidFill>
                    <w14:schemeClr w14:val="tx1"/>
                  </w14:solidFill>
                </w14:textFill>
              </w:rPr>
              <w:t>周边除农村零散居民点外无其他居民聚居区、学校、医院、行政办公等环境敏感点，也无自然保护区、饮用水源保护区、风景名胜区等生态敏感点及食品、药品制造等限制本项目建设的其他项目</w:t>
            </w:r>
            <w:r>
              <w:rPr>
                <w:rFonts w:hint="eastAsia" w:ascii="Times New Roman" w:hAnsi="Times New Roman" w:cs="Times New Roman"/>
                <w:color w:val="000000" w:themeColor="text1"/>
                <w:lang w:eastAsia="zh-CN"/>
                <w14:textFill>
                  <w14:solidFill>
                    <w14:schemeClr w14:val="tx1"/>
                  </w14:solidFill>
                </w14:textFill>
              </w:rPr>
              <w:t>，</w:t>
            </w:r>
            <w:r>
              <w:rPr>
                <w:rFonts w:hint="eastAsia" w:ascii="Times New Roman" w:hAnsi="Times New Roman" w:cs="Times New Roman"/>
                <w:color w:val="000000" w:themeColor="text1"/>
                <w:lang w:val="en-US" w:eastAsia="zh-CN"/>
                <w14:textFill>
                  <w14:solidFill>
                    <w14:schemeClr w14:val="tx1"/>
                  </w14:solidFill>
                </w14:textFill>
              </w:rPr>
              <w:t>项目依托地形可消减噪声对周边农村生活环境影响，</w:t>
            </w:r>
            <w:r>
              <w:rPr>
                <w:rFonts w:hint="default" w:ascii="Times New Roman" w:hAnsi="Times New Roman" w:cs="Times New Roman"/>
                <w:color w:val="000000" w:themeColor="text1"/>
                <w14:textFill>
                  <w14:solidFill>
                    <w14:schemeClr w14:val="tx1"/>
                  </w14:solidFill>
                </w14:textFill>
              </w:rPr>
              <w:t>因此本环评认为项目选址同区域环境具有相容性，选址具有合理性。</w:t>
            </w:r>
          </w:p>
          <w:p w14:paraId="6B177564">
            <w:pPr>
              <w:pStyle w:val="44"/>
              <w:ind w:firstLine="480"/>
              <w:jc w:val="both"/>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项目选址于城乡规划范围之外，用地为公路用地。</w:t>
            </w:r>
            <w:r>
              <w:rPr>
                <w:rFonts w:hint="eastAsia" w:ascii="Times New Roman" w:hAnsi="Times New Roman" w:eastAsia="宋体" w:cs="Times New Roman"/>
                <w:color w:val="000000" w:themeColor="text1"/>
                <w:lang w:val="en-US" w:eastAsia="zh-CN"/>
                <w14:textFill>
                  <w14:solidFill>
                    <w14:schemeClr w14:val="tx1"/>
                  </w14:solidFill>
                </w14:textFill>
              </w:rPr>
              <w:t>2023年6月8日遂宁市安居区白马镇人民政府出具证明材料</w:t>
            </w:r>
            <w:r>
              <w:rPr>
                <w:rFonts w:hint="eastAsia" w:ascii="Times New Roman" w:hAnsi="Times New Roman" w:cs="Times New Roman"/>
                <w:color w:val="000000" w:themeColor="text1"/>
                <w:lang w:val="en-US" w:eastAsia="zh-CN"/>
                <w14:textFill>
                  <w14:solidFill>
                    <w14:schemeClr w14:val="tx1"/>
                  </w14:solidFill>
                </w14:textFill>
              </w:rPr>
              <w:t>（附件3）</w:t>
            </w:r>
            <w:r>
              <w:rPr>
                <w:rFonts w:hint="eastAsia" w:ascii="Times New Roman" w:hAnsi="Times New Roman" w:eastAsia="宋体" w:cs="Times New Roman"/>
                <w:color w:val="000000" w:themeColor="text1"/>
                <w:lang w:val="en-US" w:eastAsia="zh-CN"/>
                <w14:textFill>
                  <w14:solidFill>
                    <w14:schemeClr w14:val="tx1"/>
                  </w14:solidFill>
                </w14:textFill>
              </w:rPr>
              <w:t>证实本项目用地符合白马镇的总体规划和用地性质。</w:t>
            </w:r>
          </w:p>
          <w:p w14:paraId="0A9DFEB7">
            <w:pPr>
              <w:pStyle w:val="44"/>
              <w:ind w:firstLine="482"/>
              <w:rPr>
                <w:rFonts w:hint="default" w:ascii="Times New Roman" w:hAnsi="Times New Roman" w:cs="Times New Roman"/>
                <w:b/>
                <w:bCs/>
              </w:rPr>
            </w:pPr>
            <w:r>
              <w:rPr>
                <w:rFonts w:hint="default" w:ascii="Times New Roman" w:hAnsi="Times New Roman" w:cs="Times New Roman"/>
                <w:b/>
                <w:bCs/>
              </w:rPr>
              <w:t>2、环境保护目标</w:t>
            </w:r>
          </w:p>
          <w:p w14:paraId="49A37146">
            <w:pPr>
              <w:pStyle w:val="44"/>
              <w:ind w:firstLine="480"/>
              <w:rPr>
                <w:rFonts w:hint="default" w:ascii="Times New Roman" w:hAnsi="Times New Roman" w:cs="Times New Roman"/>
              </w:rPr>
            </w:pPr>
            <w:r>
              <w:rPr>
                <w:rFonts w:hint="default" w:ascii="Times New Roman" w:hAnsi="Times New Roman" w:cs="Times New Roman"/>
              </w:rPr>
              <w:t>据现场调查结合《建设项目环境影响报告表编制技术指南（污染影响类）</w:t>
            </w:r>
            <w:bookmarkStart w:id="4" w:name="_GoBack"/>
            <w:bookmarkEnd w:id="4"/>
            <w:r>
              <w:rPr>
                <w:rFonts w:hint="eastAsia" w:ascii="Times New Roman" w:hAnsi="Times New Roman" w:cs="Times New Roman"/>
                <w:lang w:eastAsia="zh-CN"/>
              </w:rPr>
              <w:t>（试行）》</w:t>
            </w:r>
            <w:r>
              <w:rPr>
                <w:rFonts w:hint="default" w:ascii="Times New Roman" w:hAnsi="Times New Roman" w:cs="Times New Roman"/>
              </w:rPr>
              <w:t>确定本项目主要环境保护目标如下：</w:t>
            </w:r>
          </w:p>
          <w:p w14:paraId="5DBD563A">
            <w:pPr>
              <w:spacing w:line="420" w:lineRule="auto"/>
              <w:jc w:val="center"/>
              <w:rPr>
                <w:rFonts w:hint="default" w:ascii="Times New Roman" w:hAnsi="Times New Roman" w:cs="Times New Roman"/>
                <w:b/>
                <w:bCs/>
                <w:sz w:val="24"/>
              </w:rPr>
            </w:pPr>
            <w:r>
              <w:rPr>
                <w:rFonts w:hint="default" w:ascii="Times New Roman" w:hAnsi="Times New Roman" w:cs="Times New Roman"/>
                <w:b/>
                <w:bCs/>
                <w:sz w:val="24"/>
              </w:rPr>
              <w:t>表3-</w:t>
            </w:r>
            <w:r>
              <w:rPr>
                <w:rFonts w:hint="eastAsia" w:ascii="Times New Roman" w:hAnsi="Times New Roman" w:cs="Times New Roman"/>
                <w:b/>
                <w:bCs/>
                <w:sz w:val="24"/>
                <w:lang w:val="en-US" w:eastAsia="zh-CN"/>
              </w:rPr>
              <w:t>4</w:t>
            </w:r>
            <w:r>
              <w:rPr>
                <w:rFonts w:hint="default" w:ascii="Times New Roman" w:hAnsi="Times New Roman" w:cs="Times New Roman"/>
                <w:b/>
                <w:bCs/>
                <w:sz w:val="24"/>
              </w:rPr>
              <w:t>项目主要环境保护目标一览表</w:t>
            </w:r>
          </w:p>
          <w:tbl>
            <w:tblPr>
              <w:tblStyle w:val="22"/>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761"/>
              <w:gridCol w:w="855"/>
              <w:gridCol w:w="1665"/>
              <w:gridCol w:w="2338"/>
              <w:gridCol w:w="1498"/>
            </w:tblGrid>
            <w:tr w14:paraId="0D975A9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31" w:hRule="atLeast"/>
                <w:jc w:val="center"/>
              </w:trPr>
              <w:tc>
                <w:tcPr>
                  <w:tcW w:w="1761" w:type="dxa"/>
                  <w:noWrap w:val="0"/>
                  <w:vAlign w:val="center"/>
                </w:tcPr>
                <w:p w14:paraId="1656EEDC">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保护类别</w:t>
                  </w:r>
                </w:p>
              </w:tc>
              <w:tc>
                <w:tcPr>
                  <w:tcW w:w="855" w:type="dxa"/>
                  <w:noWrap w:val="0"/>
                  <w:vAlign w:val="center"/>
                </w:tcPr>
                <w:p w14:paraId="35BBCE08">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保护目标</w:t>
                  </w:r>
                </w:p>
              </w:tc>
              <w:tc>
                <w:tcPr>
                  <w:tcW w:w="1665" w:type="dxa"/>
                  <w:noWrap w:val="0"/>
                  <w:vAlign w:val="center"/>
                </w:tcPr>
                <w:p w14:paraId="676B1D69">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名称</w:t>
                  </w:r>
                </w:p>
              </w:tc>
              <w:tc>
                <w:tcPr>
                  <w:tcW w:w="2338" w:type="dxa"/>
                  <w:noWrap w:val="0"/>
                  <w:vAlign w:val="center"/>
                </w:tcPr>
                <w:p w14:paraId="6C6A5CC3">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与项目关系</w:t>
                  </w:r>
                </w:p>
              </w:tc>
              <w:tc>
                <w:tcPr>
                  <w:tcW w:w="1498" w:type="dxa"/>
                  <w:noWrap w:val="0"/>
                  <w:vAlign w:val="center"/>
                </w:tcPr>
                <w:p w14:paraId="63318FB0">
                  <w:pPr>
                    <w:jc w:val="center"/>
                    <w:rPr>
                      <w:rFonts w:hint="default" w:ascii="Times New Roman" w:hAnsi="Times New Roman" w:cs="Times New Roman"/>
                      <w:b/>
                      <w:color w:val="auto"/>
                      <w:szCs w:val="21"/>
                    </w:rPr>
                  </w:pPr>
                  <w:r>
                    <w:rPr>
                      <w:rFonts w:hint="default" w:ascii="Times New Roman" w:hAnsi="Times New Roman" w:cs="Times New Roman"/>
                      <w:b/>
                      <w:color w:val="auto"/>
                      <w:szCs w:val="21"/>
                    </w:rPr>
                    <w:t>功能类别</w:t>
                  </w:r>
                </w:p>
              </w:tc>
            </w:tr>
            <w:tr w14:paraId="3BE573D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01" w:hRule="atLeast"/>
                <w:jc w:val="center"/>
              </w:trPr>
              <w:tc>
                <w:tcPr>
                  <w:tcW w:w="1761" w:type="dxa"/>
                  <w:noWrap w:val="0"/>
                  <w:vAlign w:val="center"/>
                </w:tcPr>
                <w:p w14:paraId="06455E50">
                  <w:pPr>
                    <w:jc w:val="center"/>
                    <w:rPr>
                      <w:rFonts w:hint="default" w:ascii="Times New Roman" w:hAnsi="Times New Roman" w:cs="Times New Roman"/>
                      <w:bCs/>
                      <w:color w:val="auto"/>
                      <w:szCs w:val="21"/>
                    </w:rPr>
                  </w:pPr>
                  <w:r>
                    <w:rPr>
                      <w:rFonts w:hint="default" w:ascii="Times New Roman" w:hAnsi="Times New Roman" w:cs="Times New Roman"/>
                      <w:bCs/>
                      <w:color w:val="auto"/>
                      <w:szCs w:val="21"/>
                    </w:rPr>
                    <w:t>生态保护目标</w:t>
                  </w:r>
                </w:p>
              </w:tc>
              <w:tc>
                <w:tcPr>
                  <w:tcW w:w="6356" w:type="dxa"/>
                  <w:gridSpan w:val="4"/>
                  <w:noWrap w:val="0"/>
                  <w:vAlign w:val="center"/>
                </w:tcPr>
                <w:p w14:paraId="42651BB6">
                  <w:pPr>
                    <w:jc w:val="center"/>
                    <w:rPr>
                      <w:rFonts w:hint="default" w:ascii="Times New Roman" w:hAnsi="Times New Roman" w:cs="Times New Roman"/>
                      <w:bCs/>
                      <w:color w:val="auto"/>
                      <w:szCs w:val="21"/>
                    </w:rPr>
                  </w:pPr>
                  <w:r>
                    <w:rPr>
                      <w:rFonts w:hint="default" w:ascii="Times New Roman" w:hAnsi="Times New Roman" w:cs="Times New Roman"/>
                      <w:bCs/>
                      <w:color w:val="auto"/>
                      <w:szCs w:val="21"/>
                    </w:rPr>
                    <w:t>项目周边</w:t>
                  </w:r>
                  <w:r>
                    <w:rPr>
                      <w:rFonts w:hint="default" w:ascii="Times New Roman" w:hAnsi="Times New Roman" w:cs="Times New Roman"/>
                      <w:color w:val="auto"/>
                    </w:rPr>
                    <w:t>无自然保护区、饮用水源保护区、风景名胜区等</w:t>
                  </w:r>
                  <w:r>
                    <w:rPr>
                      <w:rFonts w:hint="default" w:ascii="Times New Roman" w:hAnsi="Times New Roman" w:cs="Times New Roman"/>
                      <w:bCs/>
                      <w:color w:val="auto"/>
                      <w:szCs w:val="21"/>
                    </w:rPr>
                    <w:t>生态环境保护目标</w:t>
                  </w:r>
                </w:p>
              </w:tc>
            </w:tr>
            <w:tr w14:paraId="03B76D4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3" w:hRule="atLeast"/>
                <w:jc w:val="center"/>
              </w:trPr>
              <w:tc>
                <w:tcPr>
                  <w:tcW w:w="1761" w:type="dxa"/>
                  <w:vMerge w:val="restart"/>
                  <w:noWrap w:val="0"/>
                  <w:vAlign w:val="center"/>
                </w:tcPr>
                <w:p w14:paraId="201EC48C">
                  <w:pPr>
                    <w:jc w:val="center"/>
                    <w:rPr>
                      <w:rFonts w:hint="default" w:ascii="Times New Roman" w:hAnsi="Times New Roman" w:cs="Times New Roman"/>
                      <w:bCs/>
                      <w:color w:val="000000" w:themeColor="text1"/>
                      <w:szCs w:val="21"/>
                      <w14:textFill>
                        <w14:solidFill>
                          <w14:schemeClr w14:val="tx1"/>
                        </w14:solidFill>
                      </w14:textFill>
                    </w:rPr>
                  </w:pPr>
                  <w:r>
                    <w:rPr>
                      <w:rFonts w:hint="default" w:ascii="Times New Roman" w:hAnsi="Times New Roman" w:cs="Times New Roman"/>
                      <w:bCs/>
                      <w:color w:val="000000" w:themeColor="text1"/>
                      <w:szCs w:val="21"/>
                      <w14:textFill>
                        <w14:solidFill>
                          <w14:schemeClr w14:val="tx1"/>
                        </w14:solidFill>
                      </w14:textFill>
                    </w:rPr>
                    <w:t>大气环境</w:t>
                  </w:r>
                </w:p>
                <w:p w14:paraId="7C0B3463">
                  <w:pPr>
                    <w:jc w:val="center"/>
                    <w:rPr>
                      <w:rFonts w:hint="default" w:ascii="Times New Roman" w:hAnsi="Times New Roman" w:cs="Times New Roman"/>
                      <w:bCs/>
                      <w:color w:val="000000" w:themeColor="text1"/>
                      <w:szCs w:val="21"/>
                      <w14:textFill>
                        <w14:solidFill>
                          <w14:schemeClr w14:val="tx1"/>
                        </w14:solidFill>
                      </w14:textFill>
                    </w:rPr>
                  </w:pPr>
                  <w:r>
                    <w:rPr>
                      <w:rFonts w:hint="default" w:ascii="Times New Roman" w:hAnsi="Times New Roman" w:cs="Times New Roman"/>
                      <w:bCs/>
                      <w:color w:val="000000" w:themeColor="text1"/>
                      <w:szCs w:val="21"/>
                      <w14:textFill>
                        <w14:solidFill>
                          <w14:schemeClr w14:val="tx1"/>
                        </w14:solidFill>
                      </w14:textFill>
                    </w:rPr>
                    <w:t>（调查范围500m）</w:t>
                  </w:r>
                </w:p>
                <w:p w14:paraId="601AE4BA">
                  <w:pPr>
                    <w:jc w:val="center"/>
                    <w:rPr>
                      <w:rFonts w:hint="default" w:ascii="Times New Roman" w:hAnsi="Times New Roman" w:cs="Times New Roman"/>
                      <w:bCs/>
                      <w:color w:val="000000" w:themeColor="text1"/>
                      <w:szCs w:val="21"/>
                      <w14:textFill>
                        <w14:solidFill>
                          <w14:schemeClr w14:val="tx1"/>
                        </w14:solidFill>
                      </w14:textFill>
                    </w:rPr>
                  </w:pPr>
                </w:p>
              </w:tc>
              <w:tc>
                <w:tcPr>
                  <w:tcW w:w="855" w:type="dxa"/>
                  <w:noWrap w:val="0"/>
                  <w:vAlign w:val="center"/>
                </w:tcPr>
                <w:p w14:paraId="052AAD25">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农村居民</w:t>
                  </w:r>
                </w:p>
              </w:tc>
              <w:tc>
                <w:tcPr>
                  <w:tcW w:w="1665" w:type="dxa"/>
                  <w:noWrap w:val="0"/>
                  <w:vAlign w:val="center"/>
                </w:tcPr>
                <w:p w14:paraId="28C52890">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卧龙桥村</w:t>
                  </w:r>
                  <w:r>
                    <w:rPr>
                      <w:rFonts w:hint="default" w:ascii="Times New Roman" w:hAnsi="Times New Roman" w:cs="Times New Roman"/>
                      <w:color w:val="000000" w:themeColor="text1"/>
                      <w:szCs w:val="21"/>
                      <w14:textFill>
                        <w14:solidFill>
                          <w14:schemeClr w14:val="tx1"/>
                        </w14:solidFill>
                      </w14:textFill>
                    </w:rPr>
                    <w:t>居民</w:t>
                  </w:r>
                </w:p>
              </w:tc>
              <w:tc>
                <w:tcPr>
                  <w:tcW w:w="2338" w:type="dxa"/>
                  <w:noWrap w:val="0"/>
                  <w:vAlign w:val="center"/>
                </w:tcPr>
                <w:p w14:paraId="630863FA">
                  <w:pPr>
                    <w:jc w:val="center"/>
                    <w:rPr>
                      <w:rFonts w:hint="default"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南</w:t>
                  </w:r>
                  <w:r>
                    <w:rPr>
                      <w:rFonts w:hint="default" w:ascii="Times New Roman" w:hAnsi="Times New Roman" w:cs="Times New Roman"/>
                      <w:color w:val="000000" w:themeColor="text1"/>
                      <w14:textFill>
                        <w14:solidFill>
                          <w14:schemeClr w14:val="tx1"/>
                        </w14:solidFill>
                      </w14:textFill>
                    </w:rPr>
                    <w:t>侧</w:t>
                  </w:r>
                  <w:r>
                    <w:rPr>
                      <w:rFonts w:hint="eastAsia" w:cs="Times New Roman"/>
                      <w:color w:val="000000" w:themeColor="text1"/>
                      <w:lang w:val="en-US" w:eastAsia="zh-CN"/>
                      <w14:textFill>
                        <w14:solidFill>
                          <w14:schemeClr w14:val="tx1"/>
                        </w14:solidFill>
                      </w14:textFill>
                    </w:rPr>
                    <w:t>160-500</w:t>
                  </w:r>
                  <w:r>
                    <w:rPr>
                      <w:rFonts w:hint="default" w:ascii="Times New Roman" w:hAnsi="Times New Roman" w:cs="Times New Roman"/>
                      <w:color w:val="000000" w:themeColor="text1"/>
                      <w14:textFill>
                        <w14:solidFill>
                          <w14:schemeClr w14:val="tx1"/>
                        </w14:solidFill>
                      </w14:textFill>
                    </w:rPr>
                    <w:t>m</w:t>
                  </w:r>
                </w:p>
                <w:p w14:paraId="266DCEB2">
                  <w:pPr>
                    <w:jc w:val="center"/>
                    <w:rPr>
                      <w:rFonts w:hint="default"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eastAsia="zh-CN"/>
                      <w14:textFill>
                        <w14:solidFill>
                          <w14:schemeClr w14:val="tx1"/>
                        </w14:solidFill>
                      </w14:textFill>
                    </w:rPr>
                    <w:t>（</w:t>
                  </w:r>
                  <w:r>
                    <w:rPr>
                      <w:rFonts w:hint="eastAsia" w:cs="Times New Roman"/>
                      <w:color w:val="000000" w:themeColor="text1"/>
                      <w:szCs w:val="21"/>
                      <w:lang w:val="en-US" w:eastAsia="zh-CN"/>
                      <w14:textFill>
                        <w14:solidFill>
                          <w14:schemeClr w14:val="tx1"/>
                        </w14:solidFill>
                      </w14:textFill>
                    </w:rPr>
                    <w:t>10</w:t>
                  </w:r>
                  <w:r>
                    <w:rPr>
                      <w:rFonts w:hint="default" w:ascii="Times New Roman" w:hAnsi="Times New Roman" w:cs="Times New Roman"/>
                      <w:color w:val="000000" w:themeColor="text1"/>
                      <w:szCs w:val="21"/>
                      <w14:textFill>
                        <w14:solidFill>
                          <w14:schemeClr w14:val="tx1"/>
                        </w14:solidFill>
                      </w14:textFill>
                    </w:rPr>
                    <w:t>户）</w:t>
                  </w:r>
                </w:p>
              </w:tc>
              <w:tc>
                <w:tcPr>
                  <w:tcW w:w="1498" w:type="dxa"/>
                  <w:vMerge w:val="restart"/>
                  <w:noWrap w:val="0"/>
                  <w:vAlign w:val="center"/>
                </w:tcPr>
                <w:p w14:paraId="43DF532F">
                  <w:pPr>
                    <w:jc w:val="center"/>
                    <w:rPr>
                      <w:rFonts w:hint="default" w:ascii="Times New Roman" w:hAnsi="Times New Roman" w:cs="Times New Roman"/>
                      <w:color w:val="auto"/>
                      <w:szCs w:val="21"/>
                    </w:rPr>
                  </w:pPr>
                  <w:r>
                    <w:rPr>
                      <w:rFonts w:hint="default" w:ascii="Times New Roman" w:hAnsi="Times New Roman" w:cs="Times New Roman"/>
                      <w:bCs/>
                      <w:color w:val="auto"/>
                      <w:szCs w:val="21"/>
                    </w:rPr>
                    <w:t>《环境空气质量标准》（GB3095-2012）二类区</w:t>
                  </w:r>
                </w:p>
              </w:tc>
            </w:tr>
            <w:tr w14:paraId="7F49D87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3" w:hRule="atLeast"/>
                <w:jc w:val="center"/>
              </w:trPr>
              <w:tc>
                <w:tcPr>
                  <w:tcW w:w="1761" w:type="dxa"/>
                  <w:vMerge w:val="continue"/>
                  <w:noWrap w:val="0"/>
                  <w:vAlign w:val="center"/>
                </w:tcPr>
                <w:p w14:paraId="4519FAA6">
                  <w:pPr>
                    <w:jc w:val="center"/>
                    <w:rPr>
                      <w:rFonts w:hint="default" w:ascii="Times New Roman" w:hAnsi="Times New Roman" w:cs="Times New Roman"/>
                      <w:bCs/>
                      <w:color w:val="000000" w:themeColor="text1"/>
                      <w:szCs w:val="21"/>
                      <w14:textFill>
                        <w14:solidFill>
                          <w14:schemeClr w14:val="tx1"/>
                        </w14:solidFill>
                      </w14:textFill>
                    </w:rPr>
                  </w:pPr>
                </w:p>
              </w:tc>
              <w:tc>
                <w:tcPr>
                  <w:tcW w:w="855" w:type="dxa"/>
                  <w:noWrap w:val="0"/>
                  <w:vAlign w:val="center"/>
                </w:tcPr>
                <w:p w14:paraId="0159175A">
                  <w:pPr>
                    <w:jc w:val="center"/>
                    <w:rPr>
                      <w:rFonts w:hint="default" w:ascii="Times New Roman" w:hAnsi="Times New Roman" w:cs="Times New Roman"/>
                      <w:color w:val="000000" w:themeColor="text1"/>
                      <w:szCs w:val="21"/>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农村居民</w:t>
                  </w:r>
                </w:p>
              </w:tc>
              <w:tc>
                <w:tcPr>
                  <w:tcW w:w="1665" w:type="dxa"/>
                  <w:noWrap w:val="0"/>
                  <w:vAlign w:val="center"/>
                </w:tcPr>
                <w:p w14:paraId="364E342D">
                  <w:pPr>
                    <w:jc w:val="center"/>
                    <w:rPr>
                      <w:rFonts w:hint="eastAsia" w:ascii="Times New Roman" w:hAnsi="Times New Roman" w:cs="Times New Roman"/>
                      <w:color w:val="000000" w:themeColor="text1"/>
                      <w:lang w:eastAsia="zh-CN"/>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卧龙桥</w:t>
                  </w:r>
                  <w:r>
                    <w:rPr>
                      <w:rFonts w:hint="eastAsia" w:cs="Times New Roman"/>
                      <w:color w:val="000000" w:themeColor="text1"/>
                      <w:lang w:val="en-US" w:eastAsia="zh-CN"/>
                      <w14:textFill>
                        <w14:solidFill>
                          <w14:schemeClr w14:val="tx1"/>
                        </w14:solidFill>
                      </w14:textFill>
                    </w:rPr>
                    <w:t>村</w:t>
                  </w:r>
                  <w:r>
                    <w:rPr>
                      <w:rFonts w:hint="default" w:ascii="Times New Roman" w:hAnsi="Times New Roman" w:cs="Times New Roman"/>
                      <w:color w:val="000000" w:themeColor="text1"/>
                      <w:szCs w:val="21"/>
                      <w14:textFill>
                        <w14:solidFill>
                          <w14:schemeClr w14:val="tx1"/>
                        </w14:solidFill>
                      </w14:textFill>
                    </w:rPr>
                    <w:t>居民</w:t>
                  </w:r>
                </w:p>
              </w:tc>
              <w:tc>
                <w:tcPr>
                  <w:tcW w:w="2338" w:type="dxa"/>
                  <w:noWrap w:val="0"/>
                  <w:vAlign w:val="center"/>
                </w:tcPr>
                <w:p w14:paraId="3AC080BF">
                  <w:pPr>
                    <w:jc w:val="center"/>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东侧240-500</w:t>
                  </w:r>
                  <w:r>
                    <w:rPr>
                      <w:rFonts w:hint="default" w:ascii="Times New Roman" w:hAnsi="Times New Roman" w:cs="Times New Roman"/>
                      <w:color w:val="000000" w:themeColor="text1"/>
                      <w14:textFill>
                        <w14:solidFill>
                          <w14:schemeClr w14:val="tx1"/>
                        </w14:solidFill>
                      </w14:textFill>
                    </w:rPr>
                    <w:t>m</w:t>
                  </w:r>
                </w:p>
                <w:p w14:paraId="7B24869A">
                  <w:pPr>
                    <w:jc w:val="center"/>
                    <w:rPr>
                      <w:rFonts w:hint="eastAsia" w:ascii="Times New Roman" w:hAnsi="Times New Roman" w:cs="Times New Roman"/>
                      <w:color w:val="000000" w:themeColor="text1"/>
                      <w:szCs w:val="21"/>
                      <w:lang w:eastAsia="zh-CN"/>
                      <w14:textFill>
                        <w14:solidFill>
                          <w14:schemeClr w14:val="tx1"/>
                        </w14:solidFill>
                      </w14:textFill>
                    </w:rPr>
                  </w:pPr>
                  <w:r>
                    <w:rPr>
                      <w:rFonts w:hint="eastAsia" w:ascii="Times New Roman" w:hAnsi="Times New Roman" w:cs="Times New Roman"/>
                      <w:color w:val="000000" w:themeColor="text1"/>
                      <w:szCs w:val="21"/>
                      <w:lang w:eastAsia="zh-CN"/>
                      <w14:textFill>
                        <w14:solidFill>
                          <w14:schemeClr w14:val="tx1"/>
                        </w14:solidFill>
                      </w14:textFill>
                    </w:rPr>
                    <w:t>（</w:t>
                  </w:r>
                  <w:r>
                    <w:rPr>
                      <w:rFonts w:hint="eastAsia" w:cs="Times New Roman"/>
                      <w:color w:val="000000" w:themeColor="text1"/>
                      <w:szCs w:val="21"/>
                      <w:lang w:val="en-US" w:eastAsia="zh-CN"/>
                      <w14:textFill>
                        <w14:solidFill>
                          <w14:schemeClr w14:val="tx1"/>
                        </w14:solidFill>
                      </w14:textFill>
                    </w:rPr>
                    <w:t>11</w:t>
                  </w:r>
                  <w:r>
                    <w:rPr>
                      <w:rFonts w:hint="default" w:ascii="Times New Roman" w:hAnsi="Times New Roman" w:cs="Times New Roman"/>
                      <w:color w:val="000000" w:themeColor="text1"/>
                      <w:szCs w:val="21"/>
                      <w14:textFill>
                        <w14:solidFill>
                          <w14:schemeClr w14:val="tx1"/>
                        </w14:solidFill>
                      </w14:textFill>
                    </w:rPr>
                    <w:t>户）</w:t>
                  </w:r>
                </w:p>
              </w:tc>
              <w:tc>
                <w:tcPr>
                  <w:tcW w:w="1498" w:type="dxa"/>
                  <w:vMerge w:val="continue"/>
                  <w:noWrap w:val="0"/>
                  <w:vAlign w:val="center"/>
                </w:tcPr>
                <w:p w14:paraId="3FA8C1A0">
                  <w:pPr>
                    <w:jc w:val="center"/>
                    <w:rPr>
                      <w:rFonts w:hint="default" w:ascii="Times New Roman" w:hAnsi="Times New Roman" w:cs="Times New Roman"/>
                      <w:bCs/>
                      <w:color w:val="auto"/>
                      <w:szCs w:val="21"/>
                    </w:rPr>
                  </w:pPr>
                </w:p>
              </w:tc>
            </w:tr>
            <w:tr w14:paraId="346618A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3" w:hRule="atLeast"/>
                <w:jc w:val="center"/>
              </w:trPr>
              <w:tc>
                <w:tcPr>
                  <w:tcW w:w="1761" w:type="dxa"/>
                  <w:vMerge w:val="continue"/>
                  <w:noWrap w:val="0"/>
                  <w:vAlign w:val="center"/>
                </w:tcPr>
                <w:p w14:paraId="6AEDBB3D">
                  <w:pPr>
                    <w:jc w:val="center"/>
                    <w:rPr>
                      <w:rFonts w:hint="default" w:ascii="Times New Roman" w:hAnsi="Times New Roman" w:cs="Times New Roman"/>
                      <w:bCs/>
                      <w:color w:val="000000" w:themeColor="text1"/>
                      <w:szCs w:val="21"/>
                      <w14:textFill>
                        <w14:solidFill>
                          <w14:schemeClr w14:val="tx1"/>
                        </w14:solidFill>
                      </w14:textFill>
                    </w:rPr>
                  </w:pPr>
                </w:p>
              </w:tc>
              <w:tc>
                <w:tcPr>
                  <w:tcW w:w="855" w:type="dxa"/>
                  <w:noWrap w:val="0"/>
                  <w:vAlign w:val="center"/>
                </w:tcPr>
                <w:p w14:paraId="0BB2498F">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农村居民</w:t>
                  </w:r>
                </w:p>
              </w:tc>
              <w:tc>
                <w:tcPr>
                  <w:tcW w:w="1665" w:type="dxa"/>
                  <w:noWrap w:val="0"/>
                  <w:vAlign w:val="center"/>
                </w:tcPr>
                <w:p w14:paraId="38AF31EE">
                  <w:pPr>
                    <w:jc w:val="center"/>
                    <w:rPr>
                      <w:rFonts w:hint="default" w:ascii="Times New Roman" w:hAnsi="Times New Roman" w:cs="Times New Roman"/>
                      <w:color w:val="000000" w:themeColor="text1"/>
                      <w14:textFill>
                        <w14:solidFill>
                          <w14:schemeClr w14:val="tx1"/>
                        </w14:solidFill>
                      </w14:textFill>
                    </w:rPr>
                  </w:pPr>
                  <w:r>
                    <w:rPr>
                      <w:rFonts w:hint="eastAsia" w:ascii="Times New Roman" w:hAnsi="Times New Roman" w:cs="Times New Roman"/>
                      <w:color w:val="000000" w:themeColor="text1"/>
                      <w:lang w:eastAsia="zh-CN"/>
                      <w14:textFill>
                        <w14:solidFill>
                          <w14:schemeClr w14:val="tx1"/>
                        </w14:solidFill>
                      </w14:textFill>
                    </w:rPr>
                    <w:t>卧龙桥村</w:t>
                  </w:r>
                  <w:r>
                    <w:rPr>
                      <w:rFonts w:hint="default" w:ascii="Times New Roman" w:hAnsi="Times New Roman" w:cs="Times New Roman"/>
                      <w:color w:val="000000" w:themeColor="text1"/>
                      <w:szCs w:val="21"/>
                      <w14:textFill>
                        <w14:solidFill>
                          <w14:schemeClr w14:val="tx1"/>
                        </w14:solidFill>
                      </w14:textFill>
                    </w:rPr>
                    <w:t>居民</w:t>
                  </w:r>
                </w:p>
              </w:tc>
              <w:tc>
                <w:tcPr>
                  <w:tcW w:w="2338" w:type="dxa"/>
                  <w:noWrap w:val="0"/>
                  <w:vAlign w:val="center"/>
                </w:tcPr>
                <w:p w14:paraId="47550F8C">
                  <w:pPr>
                    <w:jc w:val="center"/>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北</w:t>
                  </w:r>
                  <w:r>
                    <w:rPr>
                      <w:rFonts w:hint="eastAsia" w:ascii="Times New Roman" w:hAnsi="Times New Roman" w:cs="Times New Roman"/>
                      <w:color w:val="000000" w:themeColor="text1"/>
                      <w:lang w:eastAsia="zh-CN"/>
                      <w14:textFill>
                        <w14:solidFill>
                          <w14:schemeClr w14:val="tx1"/>
                        </w14:solidFill>
                      </w14:textFill>
                    </w:rPr>
                    <w:t>侧</w:t>
                  </w:r>
                  <w:r>
                    <w:rPr>
                      <w:rFonts w:hint="eastAsia" w:cs="Times New Roman"/>
                      <w:color w:val="000000" w:themeColor="text1"/>
                      <w:lang w:val="en-US" w:eastAsia="zh-CN"/>
                      <w14:textFill>
                        <w14:solidFill>
                          <w14:schemeClr w14:val="tx1"/>
                        </w14:solidFill>
                      </w14:textFill>
                    </w:rPr>
                    <w:t>204-500</w:t>
                  </w:r>
                  <w:r>
                    <w:rPr>
                      <w:rFonts w:hint="default" w:ascii="Times New Roman" w:hAnsi="Times New Roman" w:cs="Times New Roman"/>
                      <w:color w:val="000000" w:themeColor="text1"/>
                      <w14:textFill>
                        <w14:solidFill>
                          <w14:schemeClr w14:val="tx1"/>
                        </w14:solidFill>
                      </w14:textFill>
                    </w:rPr>
                    <w:t>m</w:t>
                  </w:r>
                </w:p>
                <w:p w14:paraId="0592333C">
                  <w:pPr>
                    <w:jc w:val="center"/>
                    <w:rPr>
                      <w:rFonts w:hint="default" w:ascii="Times New Roman" w:hAnsi="Times New Roman" w:cs="Times New Roman"/>
                      <w:color w:val="000000" w:themeColor="text1"/>
                      <w14:textFill>
                        <w14:solidFill>
                          <w14:schemeClr w14:val="tx1"/>
                        </w14:solidFill>
                      </w14:textFill>
                    </w:rPr>
                  </w:pPr>
                  <w:r>
                    <w:rPr>
                      <w:rStyle w:val="28"/>
                      <w:rFonts w:hint="default" w:ascii="Times New Roman" w:hAnsi="Times New Roman" w:cs="Times New Roman"/>
                      <w:color w:val="000000" w:themeColor="text1"/>
                      <w:kern w:val="0"/>
                      <w:szCs w:val="20"/>
                      <w14:textFill>
                        <w14:solidFill>
                          <w14:schemeClr w14:val="tx1"/>
                        </w14:solidFill>
                      </w14:textFill>
                    </w:rPr>
                    <w:t>（约</w:t>
                  </w:r>
                  <w:r>
                    <w:rPr>
                      <w:rStyle w:val="28"/>
                      <w:rFonts w:hint="eastAsia" w:ascii="Times New Roman" w:hAnsi="Times New Roman" w:cs="Times New Roman"/>
                      <w:color w:val="000000" w:themeColor="text1"/>
                      <w:kern w:val="0"/>
                      <w:szCs w:val="20"/>
                      <w:lang w:val="en-US" w:eastAsia="zh-CN"/>
                      <w14:textFill>
                        <w14:solidFill>
                          <w14:schemeClr w14:val="tx1"/>
                        </w14:solidFill>
                      </w14:textFill>
                    </w:rPr>
                    <w:t>30</w:t>
                  </w:r>
                  <w:r>
                    <w:rPr>
                      <w:rStyle w:val="28"/>
                      <w:rFonts w:hint="default" w:ascii="Times New Roman" w:hAnsi="Times New Roman" w:cs="Times New Roman"/>
                      <w:color w:val="000000" w:themeColor="text1"/>
                      <w:kern w:val="0"/>
                      <w:szCs w:val="20"/>
                      <w14:textFill>
                        <w14:solidFill>
                          <w14:schemeClr w14:val="tx1"/>
                        </w14:solidFill>
                      </w14:textFill>
                    </w:rPr>
                    <w:t>户）</w:t>
                  </w:r>
                </w:p>
              </w:tc>
              <w:tc>
                <w:tcPr>
                  <w:tcW w:w="1498" w:type="dxa"/>
                  <w:vMerge w:val="continue"/>
                  <w:noWrap w:val="0"/>
                  <w:vAlign w:val="center"/>
                </w:tcPr>
                <w:p w14:paraId="526EE22C">
                  <w:pPr>
                    <w:jc w:val="center"/>
                    <w:rPr>
                      <w:rFonts w:hint="default" w:ascii="Times New Roman" w:hAnsi="Times New Roman" w:cs="Times New Roman"/>
                      <w:bCs/>
                      <w:color w:val="auto"/>
                      <w:szCs w:val="21"/>
                    </w:rPr>
                  </w:pPr>
                </w:p>
              </w:tc>
            </w:tr>
            <w:tr w14:paraId="56F810D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3" w:hRule="atLeast"/>
                <w:jc w:val="center"/>
              </w:trPr>
              <w:tc>
                <w:tcPr>
                  <w:tcW w:w="1761" w:type="dxa"/>
                  <w:noWrap w:val="0"/>
                  <w:vAlign w:val="center"/>
                </w:tcPr>
                <w:p w14:paraId="1C640C17">
                  <w:pPr>
                    <w:jc w:val="center"/>
                    <w:rPr>
                      <w:rFonts w:hint="default" w:ascii="Times New Roman" w:hAnsi="Times New Roman" w:cs="Times New Roman"/>
                      <w:color w:val="auto"/>
                      <w:szCs w:val="21"/>
                    </w:rPr>
                  </w:pPr>
                  <w:r>
                    <w:rPr>
                      <w:rFonts w:hint="default" w:ascii="Times New Roman" w:hAnsi="Times New Roman" w:cs="Times New Roman"/>
                      <w:color w:val="auto"/>
                      <w:szCs w:val="21"/>
                    </w:rPr>
                    <w:t>声环境</w:t>
                  </w:r>
                </w:p>
                <w:p w14:paraId="7E46E99C">
                  <w:pPr>
                    <w:jc w:val="center"/>
                    <w:rPr>
                      <w:rFonts w:hint="default" w:ascii="Times New Roman" w:hAnsi="Times New Roman" w:cs="Times New Roman"/>
                      <w:bCs/>
                      <w:color w:val="auto"/>
                      <w:szCs w:val="21"/>
                    </w:rPr>
                  </w:pPr>
                  <w:r>
                    <w:rPr>
                      <w:rFonts w:hint="default" w:ascii="Times New Roman" w:hAnsi="Times New Roman" w:cs="Times New Roman"/>
                      <w:bCs/>
                      <w:color w:val="auto"/>
                      <w:szCs w:val="21"/>
                    </w:rPr>
                    <w:t>（调查范围50m）</w:t>
                  </w:r>
                </w:p>
              </w:tc>
              <w:tc>
                <w:tcPr>
                  <w:tcW w:w="6356" w:type="dxa"/>
                  <w:gridSpan w:val="4"/>
                  <w:noWrap w:val="0"/>
                  <w:vAlign w:val="center"/>
                </w:tcPr>
                <w:p w14:paraId="33FB362B">
                  <w:pPr>
                    <w:jc w:val="center"/>
                    <w:rPr>
                      <w:rFonts w:hint="default" w:ascii="Times New Roman" w:hAnsi="Times New Roman" w:cs="Times New Roman"/>
                      <w:bCs/>
                      <w:color w:val="auto"/>
                      <w:szCs w:val="21"/>
                    </w:rPr>
                  </w:pPr>
                  <w:r>
                    <w:rPr>
                      <w:rFonts w:hint="default" w:ascii="Times New Roman" w:hAnsi="Times New Roman" w:cs="Times New Roman"/>
                      <w:bCs/>
                      <w:color w:val="auto"/>
                      <w:szCs w:val="21"/>
                    </w:rPr>
                    <w:t>本项目50m范围内无声环境保护目标</w:t>
                  </w:r>
                </w:p>
              </w:tc>
            </w:tr>
            <w:tr w14:paraId="702E289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97" w:hRule="atLeast"/>
                <w:jc w:val="center"/>
              </w:trPr>
              <w:tc>
                <w:tcPr>
                  <w:tcW w:w="1761" w:type="dxa"/>
                  <w:noWrap w:val="0"/>
                  <w:vAlign w:val="center"/>
                </w:tcPr>
                <w:p w14:paraId="001CF872">
                  <w:pPr>
                    <w:jc w:val="center"/>
                    <w:rPr>
                      <w:rFonts w:hint="default" w:ascii="Times New Roman" w:hAnsi="Times New Roman" w:cs="Times New Roman"/>
                      <w:color w:val="auto"/>
                      <w:szCs w:val="21"/>
                    </w:rPr>
                  </w:pPr>
                  <w:r>
                    <w:rPr>
                      <w:rFonts w:hint="default" w:ascii="Times New Roman" w:hAnsi="Times New Roman" w:cs="Times New Roman"/>
                      <w:color w:val="auto"/>
                      <w:szCs w:val="21"/>
                    </w:rPr>
                    <w:t>地下水</w:t>
                  </w:r>
                </w:p>
                <w:p w14:paraId="700A5E1D">
                  <w:pPr>
                    <w:jc w:val="center"/>
                    <w:rPr>
                      <w:rFonts w:hint="default" w:ascii="Times New Roman" w:hAnsi="Times New Roman" w:cs="Times New Roman"/>
                      <w:color w:val="auto"/>
                      <w:szCs w:val="21"/>
                    </w:rPr>
                  </w:pPr>
                  <w:r>
                    <w:rPr>
                      <w:rFonts w:hint="default" w:ascii="Times New Roman" w:hAnsi="Times New Roman" w:cs="Times New Roman"/>
                      <w:bCs/>
                      <w:color w:val="auto"/>
                      <w:szCs w:val="21"/>
                    </w:rPr>
                    <w:t>（调查范围500m）</w:t>
                  </w:r>
                </w:p>
              </w:tc>
              <w:tc>
                <w:tcPr>
                  <w:tcW w:w="6356" w:type="dxa"/>
                  <w:gridSpan w:val="4"/>
                  <w:noWrap w:val="0"/>
                  <w:vAlign w:val="center"/>
                </w:tcPr>
                <w:p w14:paraId="653ED9B6">
                  <w:pPr>
                    <w:jc w:val="center"/>
                    <w:rPr>
                      <w:rFonts w:hint="default" w:ascii="Times New Roman" w:hAnsi="Times New Roman" w:cs="Times New Roman"/>
                      <w:color w:val="auto"/>
                      <w:szCs w:val="21"/>
                    </w:rPr>
                  </w:pPr>
                  <w:r>
                    <w:rPr>
                      <w:rFonts w:hint="default" w:ascii="Times New Roman" w:hAnsi="Times New Roman" w:cs="Times New Roman"/>
                      <w:color w:val="auto"/>
                      <w:szCs w:val="21"/>
                    </w:rPr>
                    <w:t>项目厂界外500m范围内无地下水集中式饮用水源、热水、矿泉水</w:t>
                  </w:r>
                </w:p>
                <w:p w14:paraId="3796A4F9">
                  <w:pPr>
                    <w:jc w:val="center"/>
                    <w:rPr>
                      <w:rFonts w:hint="default" w:ascii="Times New Roman" w:hAnsi="Times New Roman" w:cs="Times New Roman"/>
                      <w:color w:val="auto"/>
                      <w:szCs w:val="21"/>
                    </w:rPr>
                  </w:pPr>
                  <w:r>
                    <w:rPr>
                      <w:rFonts w:hint="default" w:ascii="Times New Roman" w:hAnsi="Times New Roman" w:cs="Times New Roman"/>
                      <w:color w:val="auto"/>
                      <w:szCs w:val="21"/>
                    </w:rPr>
                    <w:t>温泉等地下水环境敏感目标</w:t>
                  </w:r>
                </w:p>
              </w:tc>
            </w:tr>
          </w:tbl>
          <w:p w14:paraId="2BF7C599">
            <w:pPr>
              <w:pStyle w:val="2"/>
              <w:rPr>
                <w:rFonts w:hint="default" w:ascii="Times New Roman" w:hAnsi="Times New Roman" w:cs="Times New Roman"/>
              </w:rPr>
            </w:pPr>
          </w:p>
          <w:p w14:paraId="694EA9AD">
            <w:pPr>
              <w:rPr>
                <w:rFonts w:hint="default" w:ascii="Times New Roman" w:hAnsi="Times New Roman" w:cs="Times New Roman"/>
              </w:rPr>
            </w:pPr>
          </w:p>
          <w:p w14:paraId="6A44290A">
            <w:pPr>
              <w:pStyle w:val="21"/>
              <w:rPr>
                <w:rFonts w:hint="default" w:ascii="Times New Roman" w:hAnsi="Times New Roman" w:cs="Times New Roman"/>
              </w:rPr>
            </w:pPr>
          </w:p>
          <w:p w14:paraId="0C7637DB">
            <w:pPr>
              <w:pStyle w:val="21"/>
              <w:rPr>
                <w:rFonts w:hint="default" w:ascii="Times New Roman" w:hAnsi="Times New Roman" w:cs="Times New Roman"/>
              </w:rPr>
            </w:pPr>
          </w:p>
          <w:p w14:paraId="0595ACEB">
            <w:pPr>
              <w:pStyle w:val="21"/>
              <w:rPr>
                <w:rFonts w:hint="default" w:ascii="Times New Roman" w:hAnsi="Times New Roman" w:cs="Times New Roman"/>
              </w:rPr>
            </w:pPr>
          </w:p>
          <w:p w14:paraId="30EAA516">
            <w:pPr>
              <w:pStyle w:val="21"/>
              <w:rPr>
                <w:rFonts w:hint="default" w:ascii="Times New Roman" w:hAnsi="Times New Roman" w:cs="Times New Roman"/>
              </w:rPr>
            </w:pPr>
          </w:p>
          <w:p w14:paraId="7B2BE693">
            <w:pPr>
              <w:pStyle w:val="21"/>
              <w:rPr>
                <w:rFonts w:hint="default" w:ascii="Times New Roman" w:hAnsi="Times New Roman" w:cs="Times New Roman"/>
              </w:rPr>
            </w:pPr>
          </w:p>
          <w:p w14:paraId="417536AE">
            <w:pPr>
              <w:pStyle w:val="21"/>
              <w:rPr>
                <w:rFonts w:hint="default" w:ascii="Times New Roman" w:hAnsi="Times New Roman" w:cs="Times New Roman"/>
              </w:rPr>
            </w:pPr>
          </w:p>
        </w:tc>
      </w:tr>
      <w:tr w14:paraId="607B1C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007" w:hRule="atLeast"/>
          <w:jc w:val="center"/>
        </w:trPr>
        <w:tc>
          <w:tcPr>
            <w:tcW w:w="465" w:type="dxa"/>
            <w:noWrap w:val="0"/>
            <w:tcMar>
              <w:left w:w="28" w:type="dxa"/>
              <w:right w:w="28" w:type="dxa"/>
            </w:tcMar>
            <w:vAlign w:val="center"/>
          </w:tcPr>
          <w:p w14:paraId="3B03466E">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污染</w:t>
            </w:r>
          </w:p>
          <w:p w14:paraId="328338BF">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物排</w:t>
            </w:r>
          </w:p>
          <w:p w14:paraId="486E4459">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放控</w:t>
            </w:r>
          </w:p>
          <w:p w14:paraId="361BDE44">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制标</w:t>
            </w:r>
          </w:p>
          <w:p w14:paraId="26DC23BF">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准</w:t>
            </w:r>
          </w:p>
        </w:tc>
        <w:tc>
          <w:tcPr>
            <w:tcW w:w="8525" w:type="dxa"/>
            <w:noWrap w:val="0"/>
            <w:vAlign w:val="center"/>
          </w:tcPr>
          <w:p w14:paraId="395E2B8C">
            <w:pPr>
              <w:numPr>
                <w:ilvl w:val="0"/>
                <w:numId w:val="0"/>
              </w:numPr>
              <w:adjustRightInd w:val="0"/>
              <w:snapToGrid w:val="0"/>
              <w:spacing w:line="420" w:lineRule="auto"/>
              <w:ind w:firstLine="480" w:firstLineChars="200"/>
              <w:rPr>
                <w:rFonts w:hint="eastAsia" w:ascii="Times New Roman" w:hAnsi="Times New Roman" w:eastAsia="宋体" w:cs="Times New Roman"/>
                <w:color w:val="000000" w:themeColor="text1"/>
                <w:sz w:val="24"/>
                <w:szCs w:val="21"/>
                <w:lang w:eastAsia="zh-CN"/>
                <w14:textFill>
                  <w14:solidFill>
                    <w14:schemeClr w14:val="tx1"/>
                  </w14:solidFill>
                </w14:textFill>
              </w:rPr>
            </w:pPr>
            <w:r>
              <w:rPr>
                <w:rFonts w:hint="eastAsia" w:ascii="Times New Roman" w:hAnsi="Times New Roman" w:eastAsia="宋体" w:cs="Times New Roman"/>
                <w:color w:val="000000" w:themeColor="text1"/>
                <w:sz w:val="24"/>
                <w:szCs w:val="20"/>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0"/>
                <w14:textFill>
                  <w14:solidFill>
                    <w14:schemeClr w14:val="tx1"/>
                  </w14:solidFill>
                </w14:textFill>
              </w:rPr>
              <w:t>、</w:t>
            </w:r>
            <w:r>
              <w:rPr>
                <w:rFonts w:hint="eastAsia" w:ascii="Times New Roman" w:hAnsi="Times New Roman" w:eastAsia="宋体" w:cs="Times New Roman"/>
                <w:color w:val="000000" w:themeColor="text1"/>
                <w:sz w:val="24"/>
                <w:szCs w:val="20"/>
                <w:lang w:val="en-US" w:eastAsia="zh-CN"/>
                <w14:textFill>
                  <w14:solidFill>
                    <w14:schemeClr w14:val="tx1"/>
                  </w14:solidFill>
                </w14:textFill>
              </w:rPr>
              <w:t>本项目运营期大气污染物排放执行《大气污染物</w:t>
            </w:r>
            <w:r>
              <w:rPr>
                <w:rFonts w:hint="eastAsia" w:cs="Times New Roman"/>
                <w:color w:val="000000" w:themeColor="text1"/>
                <w:sz w:val="24"/>
                <w:szCs w:val="20"/>
                <w:lang w:val="en-US" w:eastAsia="zh-CN"/>
                <w14:textFill>
                  <w14:solidFill>
                    <w14:schemeClr w14:val="tx1"/>
                  </w14:solidFill>
                </w14:textFill>
              </w:rPr>
              <w:t>综合排放</w:t>
            </w:r>
            <w:r>
              <w:rPr>
                <w:rFonts w:hint="eastAsia" w:ascii="Times New Roman" w:hAnsi="Times New Roman" w:eastAsia="宋体" w:cs="Times New Roman"/>
                <w:color w:val="000000" w:themeColor="text1"/>
                <w:sz w:val="24"/>
                <w:szCs w:val="20"/>
                <w:lang w:val="en-US" w:eastAsia="zh-CN"/>
                <w14:textFill>
                  <w14:solidFill>
                    <w14:schemeClr w14:val="tx1"/>
                  </w14:solidFill>
                </w14:textFill>
              </w:rPr>
              <w:t>标准》</w:t>
            </w:r>
            <w:r>
              <w:rPr>
                <w:rFonts w:hint="eastAsia" w:cs="Times New Roman"/>
                <w:color w:val="000000" w:themeColor="text1"/>
                <w:sz w:val="24"/>
                <w:szCs w:val="20"/>
                <w:lang w:val="en-US" w:eastAsia="zh-CN"/>
                <w14:textFill>
                  <w14:solidFill>
                    <w14:schemeClr w14:val="tx1"/>
                  </w14:solidFill>
                </w14:textFill>
              </w:rPr>
              <w:t>GB16297-1996</w:t>
            </w:r>
            <w:r>
              <w:rPr>
                <w:rFonts w:hint="eastAsia" w:ascii="Times New Roman" w:hAnsi="Times New Roman" w:eastAsia="宋体" w:cs="Times New Roman"/>
                <w:color w:val="000000" w:themeColor="text1"/>
                <w:sz w:val="24"/>
                <w:szCs w:val="20"/>
                <w:lang w:val="en-US" w:eastAsia="zh-CN"/>
                <w14:textFill>
                  <w14:solidFill>
                    <w14:schemeClr w14:val="tx1"/>
                  </w14:solidFill>
                </w14:textFill>
              </w:rPr>
              <w:t>的相关要求</w:t>
            </w:r>
            <w:r>
              <w:rPr>
                <w:rFonts w:hint="default" w:ascii="Times New Roman" w:hAnsi="Times New Roman" w:eastAsia="宋体" w:cs="Times New Roman"/>
                <w:color w:val="000000" w:themeColor="text1"/>
                <w:sz w:val="24"/>
                <w:szCs w:val="20"/>
                <w14:textFill>
                  <w14:solidFill>
                    <w14:schemeClr w14:val="tx1"/>
                  </w14:solidFill>
                </w14:textFill>
              </w:rPr>
              <w:t>。</w:t>
            </w:r>
            <w:r>
              <w:rPr>
                <w:rFonts w:hint="eastAsia" w:ascii="Times New Roman" w:hAnsi="Times New Roman" w:eastAsia="宋体" w:cs="Times New Roman"/>
                <w:color w:val="000000" w:themeColor="text1"/>
                <w:sz w:val="24"/>
                <w:szCs w:val="20"/>
                <w:lang w:eastAsia="zh-CN"/>
                <w14:textFill>
                  <w14:solidFill>
                    <w14:schemeClr w14:val="tx1"/>
                  </w14:solidFill>
                </w14:textFill>
              </w:rPr>
              <w:t>施工期粉尘排放执行</w:t>
            </w:r>
            <w:r>
              <w:rPr>
                <w:rFonts w:hint="default" w:ascii="Times New Roman" w:hAnsi="Times New Roman" w:eastAsia="宋体" w:cs="Times New Roman"/>
                <w:color w:val="000000" w:themeColor="text1"/>
                <w:sz w:val="24"/>
                <w:szCs w:val="20"/>
                <w14:textFill>
                  <w14:solidFill>
                    <w14:schemeClr w14:val="tx1"/>
                  </w14:solidFill>
                </w14:textFill>
              </w:rPr>
              <w:t>《四川省施工场地扬尘排放标准》（DB51/2682-2020）</w:t>
            </w:r>
            <w:r>
              <w:rPr>
                <w:rFonts w:hint="eastAsia" w:ascii="Times New Roman" w:hAnsi="Times New Roman" w:eastAsia="宋体" w:cs="Times New Roman"/>
                <w:color w:val="000000" w:themeColor="text1"/>
                <w:sz w:val="24"/>
                <w:szCs w:val="20"/>
                <w:lang w:eastAsia="zh-CN"/>
                <w14:textFill>
                  <w14:solidFill>
                    <w14:schemeClr w14:val="tx1"/>
                  </w14:solidFill>
                </w14:textFill>
              </w:rPr>
              <w:t>排放标准。</w:t>
            </w:r>
          </w:p>
          <w:p w14:paraId="03BF81A5">
            <w:pPr>
              <w:pStyle w:val="45"/>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表3-</w:t>
            </w:r>
            <w:r>
              <w:rPr>
                <w:rFonts w:hint="eastAsia" w:ascii="Times New Roman" w:hAnsi="Times New Roman" w:cs="Times New Roman"/>
                <w:color w:val="000000" w:themeColor="text1"/>
                <w:lang w:val="en-US" w:eastAsia="zh-CN"/>
                <w14:textFill>
                  <w14:solidFill>
                    <w14:schemeClr w14:val="tx1"/>
                  </w14:solidFill>
                </w14:textFill>
              </w:rPr>
              <w:t>5</w:t>
            </w:r>
            <w:r>
              <w:rPr>
                <w:rFonts w:hint="default" w:ascii="Times New Roman" w:hAnsi="Times New Roman" w:cs="Times New Roman"/>
                <w:color w:val="000000" w:themeColor="text1"/>
                <w14:textFill>
                  <w14:solidFill>
                    <w14:schemeClr w14:val="tx1"/>
                  </w14:solidFill>
                </w14:textFill>
              </w:rPr>
              <w:t>本项目废气排放执行的标准</w:t>
            </w:r>
          </w:p>
          <w:tbl>
            <w:tblPr>
              <w:tblStyle w:val="22"/>
              <w:tblW w:w="783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008"/>
              <w:gridCol w:w="2396"/>
              <w:gridCol w:w="2435"/>
            </w:tblGrid>
            <w:tr w14:paraId="42E390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71" w:hRule="atLeast"/>
                <w:jc w:val="center"/>
              </w:trPr>
              <w:tc>
                <w:tcPr>
                  <w:tcW w:w="3008" w:type="dxa"/>
                  <w:vMerge w:val="restart"/>
                  <w:noWrap w:val="0"/>
                  <w:vAlign w:val="center"/>
                </w:tcPr>
                <w:p w14:paraId="6C5EB2CD">
                  <w:pPr>
                    <w:adjustRightInd w:val="0"/>
                    <w:snapToGrid w:val="0"/>
                    <w:jc w:val="center"/>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执行标准</w:t>
                  </w:r>
                </w:p>
              </w:tc>
              <w:tc>
                <w:tcPr>
                  <w:tcW w:w="4831" w:type="dxa"/>
                  <w:gridSpan w:val="2"/>
                  <w:noWrap w:val="0"/>
                  <w:vAlign w:val="center"/>
                </w:tcPr>
                <w:p w14:paraId="47C43FBF">
                  <w:pPr>
                    <w:adjustRightInd w:val="0"/>
                    <w:snapToGrid w:val="0"/>
                    <w:jc w:val="center"/>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无组织排放</w:t>
                  </w:r>
                </w:p>
              </w:tc>
            </w:tr>
            <w:tr w14:paraId="143E8A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3008" w:type="dxa"/>
                  <w:vMerge w:val="continue"/>
                  <w:noWrap w:val="0"/>
                  <w:vAlign w:val="center"/>
                </w:tcPr>
                <w:p w14:paraId="4EC03AAB">
                  <w:pPr>
                    <w:adjustRightInd w:val="0"/>
                    <w:snapToGrid w:val="0"/>
                    <w:jc w:val="center"/>
                    <w:rPr>
                      <w:rFonts w:hint="default" w:ascii="Times New Roman" w:hAnsi="Times New Roman" w:cs="Times New Roman"/>
                      <w:color w:val="000000" w:themeColor="text1"/>
                      <w:szCs w:val="21"/>
                      <w14:textFill>
                        <w14:solidFill>
                          <w14:schemeClr w14:val="tx1"/>
                        </w14:solidFill>
                      </w14:textFill>
                    </w:rPr>
                  </w:pPr>
                </w:p>
              </w:tc>
              <w:tc>
                <w:tcPr>
                  <w:tcW w:w="2396" w:type="dxa"/>
                  <w:noWrap w:val="0"/>
                  <w:vAlign w:val="center"/>
                </w:tcPr>
                <w:p w14:paraId="6F9B4E63">
                  <w:pPr>
                    <w:adjustRightInd w:val="0"/>
                    <w:snapToGrid w:val="0"/>
                    <w:jc w:val="center"/>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监控点</w:t>
                  </w:r>
                </w:p>
              </w:tc>
              <w:tc>
                <w:tcPr>
                  <w:tcW w:w="2435" w:type="dxa"/>
                  <w:noWrap w:val="0"/>
                  <w:vAlign w:val="center"/>
                </w:tcPr>
                <w:p w14:paraId="072F2C08">
                  <w:pPr>
                    <w:adjustRightInd w:val="0"/>
                    <w:snapToGrid w:val="0"/>
                    <w:jc w:val="center"/>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浓度（mg/m</w:t>
                  </w:r>
                  <w:r>
                    <w:rPr>
                      <w:rFonts w:hint="default" w:ascii="Times New Roman" w:hAnsi="Times New Roman" w:cs="Times New Roman"/>
                      <w:color w:val="000000" w:themeColor="text1"/>
                      <w:szCs w:val="21"/>
                      <w:vertAlign w:val="superscript"/>
                      <w14:textFill>
                        <w14:solidFill>
                          <w14:schemeClr w14:val="tx1"/>
                        </w14:solidFill>
                      </w14:textFill>
                    </w:rPr>
                    <w:t>3</w:t>
                  </w:r>
                  <w:r>
                    <w:rPr>
                      <w:rFonts w:hint="default" w:ascii="Times New Roman" w:hAnsi="Times New Roman" w:cs="Times New Roman"/>
                      <w:color w:val="000000" w:themeColor="text1"/>
                      <w:szCs w:val="21"/>
                      <w14:textFill>
                        <w14:solidFill>
                          <w14:schemeClr w14:val="tx1"/>
                        </w14:solidFill>
                      </w14:textFill>
                    </w:rPr>
                    <w:t>）</w:t>
                  </w:r>
                </w:p>
              </w:tc>
            </w:tr>
            <w:tr w14:paraId="1BFB53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3008" w:type="dxa"/>
                  <w:noWrap w:val="0"/>
                  <w:vAlign w:val="center"/>
                </w:tcPr>
                <w:p w14:paraId="6E4268ED">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 w:val="24"/>
                      <w:szCs w:val="20"/>
                      <w:lang w:val="en-US" w:eastAsia="zh-CN"/>
                      <w14:textFill>
                        <w14:solidFill>
                          <w14:schemeClr w14:val="tx1"/>
                        </w14:solidFill>
                      </w14:textFill>
                    </w:rPr>
                    <w:t>GB16297-1996</w:t>
                  </w:r>
                </w:p>
              </w:tc>
              <w:tc>
                <w:tcPr>
                  <w:tcW w:w="2396" w:type="dxa"/>
                  <w:noWrap w:val="0"/>
                  <w:vAlign w:val="center"/>
                </w:tcPr>
                <w:p w14:paraId="0C383355">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厂界</w:t>
                  </w:r>
                </w:p>
              </w:tc>
              <w:tc>
                <w:tcPr>
                  <w:tcW w:w="2435" w:type="dxa"/>
                  <w:noWrap w:val="0"/>
                  <w:vAlign w:val="center"/>
                </w:tcPr>
                <w:p w14:paraId="3A10F27D">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1.0</w:t>
                  </w:r>
                </w:p>
              </w:tc>
            </w:tr>
          </w:tbl>
          <w:p w14:paraId="463655E4">
            <w:pPr>
              <w:adjustRightInd w:val="0"/>
              <w:snapToGrid w:val="0"/>
              <w:spacing w:line="360" w:lineRule="auto"/>
              <w:ind w:firstLine="420" w:firstLineChars="200"/>
              <w:rPr>
                <w:rFonts w:hint="eastAsia" w:ascii="Times New Roman" w:hAnsi="Times New Roman" w:cs="Times New Roman"/>
                <w:color w:val="000000" w:themeColor="text1"/>
                <w:sz w:val="24"/>
                <w:szCs w:val="20"/>
                <w:lang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厂区内颗粒物无组织排放标准</w:t>
            </w:r>
            <w:r>
              <w:rPr>
                <w:rFonts w:hint="eastAsia" w:ascii="Times New Roman" w:hAnsi="Times New Roman" w:cs="Times New Roman"/>
                <w:color w:val="000000" w:themeColor="text1"/>
                <w:sz w:val="24"/>
                <w:szCs w:val="20"/>
                <w:lang w:eastAsia="zh-CN"/>
                <w14:textFill>
                  <w14:solidFill>
                    <w14:schemeClr w14:val="tx1"/>
                  </w14:solidFill>
                </w14:textFill>
              </w:rPr>
              <w:t>：</w:t>
            </w:r>
          </w:p>
          <w:p w14:paraId="03984DCA">
            <w:pPr>
              <w:pStyle w:val="45"/>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表3-</w:t>
            </w:r>
            <w:r>
              <w:rPr>
                <w:rFonts w:hint="eastAsia" w:ascii="Times New Roman" w:hAnsi="Times New Roman" w:cs="Times New Roman"/>
                <w:color w:val="000000" w:themeColor="text1"/>
                <w:lang w:val="en-US" w:eastAsia="zh-CN"/>
                <w14:textFill>
                  <w14:solidFill>
                    <w14:schemeClr w14:val="tx1"/>
                  </w14:solidFill>
                </w14:textFill>
              </w:rPr>
              <w:t>6 施工期颗粒物</w:t>
            </w:r>
            <w:r>
              <w:rPr>
                <w:rFonts w:hint="default" w:ascii="Times New Roman" w:hAnsi="Times New Roman" w:cs="Times New Roman"/>
                <w:color w:val="000000" w:themeColor="text1"/>
                <w14:textFill>
                  <w14:solidFill>
                    <w14:schemeClr w14:val="tx1"/>
                  </w14:solidFill>
                </w14:textFill>
              </w:rPr>
              <w:t>排放执行的标准</w:t>
            </w:r>
          </w:p>
          <w:tbl>
            <w:tblPr>
              <w:tblStyle w:val="22"/>
              <w:tblW w:w="781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37"/>
              <w:gridCol w:w="1292"/>
              <w:gridCol w:w="2366"/>
              <w:gridCol w:w="1738"/>
              <w:gridCol w:w="884"/>
            </w:tblGrid>
            <w:tr w14:paraId="696953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1537" w:type="dxa"/>
                  <w:noWrap w:val="0"/>
                  <w:vAlign w:val="center"/>
                </w:tcPr>
                <w:p w14:paraId="32335015">
                  <w:pPr>
                    <w:adjustRightInd w:val="0"/>
                    <w:snapToGrid w:val="0"/>
                    <w:jc w:val="center"/>
                    <w:rPr>
                      <w:rFonts w:hint="default" w:ascii="Times New Roman" w:hAnsi="Times New Roman" w:cs="Times New Roman"/>
                      <w:color w:val="000000" w:themeColor="text1"/>
                      <w:szCs w:val="21"/>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执行标准</w:t>
                  </w:r>
                </w:p>
              </w:tc>
              <w:tc>
                <w:tcPr>
                  <w:tcW w:w="1292" w:type="dxa"/>
                  <w:noWrap w:val="0"/>
                  <w:vAlign w:val="center"/>
                </w:tcPr>
                <w:p w14:paraId="0A8CFBDF">
                  <w:pPr>
                    <w:adjustRightInd w:val="0"/>
                    <w:snapToGrid w:val="0"/>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污染物</w:t>
                  </w:r>
                </w:p>
              </w:tc>
              <w:tc>
                <w:tcPr>
                  <w:tcW w:w="2366" w:type="dxa"/>
                  <w:noWrap w:val="0"/>
                  <w:vAlign w:val="center"/>
                </w:tcPr>
                <w:p w14:paraId="0002E7D7">
                  <w:pPr>
                    <w:adjustRightInd w:val="0"/>
                    <w:snapToGrid w:val="0"/>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eastAsia="宋体" w:cs="Times New Roman"/>
                      <w:color w:val="000000" w:themeColor="text1"/>
                      <w:szCs w:val="21"/>
                      <w:lang w:eastAsia="zh-CN"/>
                      <w14:textFill>
                        <w14:solidFill>
                          <w14:schemeClr w14:val="tx1"/>
                        </w14:solidFill>
                      </w14:textFill>
                    </w:rPr>
                    <w:t>拆除工程/土方开挖/土方回填</w:t>
                  </w:r>
                  <w:r>
                    <w:rPr>
                      <w:rFonts w:hint="default" w:ascii="Times New Roman" w:hAnsi="Times New Roman" w:eastAsia="宋体" w:cs="Times New Roman"/>
                      <w:color w:val="000000" w:themeColor="text1"/>
                      <w:szCs w:val="21"/>
                      <w:lang w:eastAsia="zh-CN"/>
                      <w14:textFill>
                        <w14:solidFill>
                          <w14:schemeClr w14:val="tx1"/>
                        </w14:solidFill>
                      </w14:textFill>
                    </w:rPr>
                    <w:t>阶段</w:t>
                  </w:r>
                  <w:r>
                    <w:rPr>
                      <w:rFonts w:hint="default" w:ascii="Times New Roman" w:hAnsi="Times New Roman" w:cs="Times New Roman"/>
                      <w:color w:val="000000" w:themeColor="text1"/>
                      <w:szCs w:val="21"/>
                      <w14:textFill>
                        <w14:solidFill>
                          <w14:schemeClr w14:val="tx1"/>
                        </w14:solidFill>
                      </w14:textFill>
                    </w:rPr>
                    <w:t>（</w:t>
                  </w:r>
                  <w:r>
                    <w:rPr>
                      <w:rFonts w:hint="default" w:ascii="Times New Roman" w:hAnsi="Times New Roman" w:cs="Times New Roman"/>
                      <w:color w:val="000000" w:themeColor="text1"/>
                      <w:szCs w:val="21"/>
                      <w:lang w:val="en-US" w:eastAsia="zh-CN"/>
                      <w14:textFill>
                        <w14:solidFill>
                          <w14:schemeClr w14:val="tx1"/>
                        </w14:solidFill>
                      </w14:textFill>
                    </w:rPr>
                    <w:t>μ</w:t>
                  </w:r>
                  <w:r>
                    <w:rPr>
                      <w:rFonts w:hint="default" w:ascii="Times New Roman" w:hAnsi="Times New Roman" w:cs="Times New Roman"/>
                      <w:color w:val="000000" w:themeColor="text1"/>
                      <w:szCs w:val="21"/>
                      <w14:textFill>
                        <w14:solidFill>
                          <w14:schemeClr w14:val="tx1"/>
                        </w14:solidFill>
                      </w14:textFill>
                    </w:rPr>
                    <w:t>g/m</w:t>
                  </w:r>
                  <w:r>
                    <w:rPr>
                      <w:rFonts w:hint="default" w:ascii="Times New Roman" w:hAnsi="Times New Roman" w:cs="Times New Roman"/>
                      <w:color w:val="000000" w:themeColor="text1"/>
                      <w:szCs w:val="21"/>
                      <w:vertAlign w:val="superscript"/>
                      <w14:textFill>
                        <w14:solidFill>
                          <w14:schemeClr w14:val="tx1"/>
                        </w14:solidFill>
                      </w14:textFill>
                    </w:rPr>
                    <w:t>3</w:t>
                  </w:r>
                  <w:r>
                    <w:rPr>
                      <w:rFonts w:hint="default" w:ascii="Times New Roman" w:hAnsi="Times New Roman" w:cs="Times New Roman"/>
                      <w:color w:val="000000" w:themeColor="text1"/>
                      <w:szCs w:val="21"/>
                      <w14:textFill>
                        <w14:solidFill>
                          <w14:schemeClr w14:val="tx1"/>
                        </w14:solidFill>
                      </w14:textFill>
                    </w:rPr>
                    <w:t>）</w:t>
                  </w:r>
                </w:p>
              </w:tc>
              <w:tc>
                <w:tcPr>
                  <w:tcW w:w="1738" w:type="dxa"/>
                  <w:noWrap w:val="0"/>
                  <w:vAlign w:val="center"/>
                </w:tcPr>
                <w:p w14:paraId="47C46077">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其他工程阶段</w:t>
                  </w:r>
                </w:p>
                <w:p w14:paraId="2BE18D08">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w:t>
                  </w:r>
                  <w:r>
                    <w:rPr>
                      <w:rFonts w:hint="default" w:ascii="Times New Roman" w:hAnsi="Times New Roman" w:cs="Times New Roman"/>
                      <w:color w:val="000000" w:themeColor="text1"/>
                      <w:szCs w:val="21"/>
                      <w:lang w:val="en-US" w:eastAsia="zh-CN"/>
                      <w14:textFill>
                        <w14:solidFill>
                          <w14:schemeClr w14:val="tx1"/>
                        </w14:solidFill>
                      </w14:textFill>
                    </w:rPr>
                    <w:t>μ</w:t>
                  </w:r>
                  <w:r>
                    <w:rPr>
                      <w:rFonts w:hint="default" w:ascii="Times New Roman" w:hAnsi="Times New Roman" w:cs="Times New Roman"/>
                      <w:color w:val="000000" w:themeColor="text1"/>
                      <w:szCs w:val="21"/>
                      <w14:textFill>
                        <w14:solidFill>
                          <w14:schemeClr w14:val="tx1"/>
                        </w14:solidFill>
                      </w14:textFill>
                    </w:rPr>
                    <w:t>g/m</w:t>
                  </w:r>
                  <w:r>
                    <w:rPr>
                      <w:rFonts w:hint="default" w:ascii="Times New Roman" w:hAnsi="Times New Roman" w:cs="Times New Roman"/>
                      <w:color w:val="000000" w:themeColor="text1"/>
                      <w:szCs w:val="21"/>
                      <w:vertAlign w:val="superscript"/>
                      <w14:textFill>
                        <w14:solidFill>
                          <w14:schemeClr w14:val="tx1"/>
                        </w14:solidFill>
                      </w14:textFill>
                    </w:rPr>
                    <w:t>3</w:t>
                  </w:r>
                  <w:r>
                    <w:rPr>
                      <w:rFonts w:hint="default" w:ascii="Times New Roman" w:hAnsi="Times New Roman" w:cs="Times New Roman"/>
                      <w:color w:val="000000" w:themeColor="text1"/>
                      <w:szCs w:val="21"/>
                      <w14:textFill>
                        <w14:solidFill>
                          <w14:schemeClr w14:val="tx1"/>
                        </w14:solidFill>
                      </w14:textFill>
                    </w:rPr>
                    <w:t>）</w:t>
                  </w:r>
                </w:p>
              </w:tc>
              <w:tc>
                <w:tcPr>
                  <w:tcW w:w="884" w:type="dxa"/>
                  <w:noWrap w:val="0"/>
                  <w:vAlign w:val="center"/>
                </w:tcPr>
                <w:p w14:paraId="30C10959">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区域</w:t>
                  </w:r>
                </w:p>
              </w:tc>
            </w:tr>
            <w:tr w14:paraId="6D99D5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6" w:hRule="atLeast"/>
                <w:jc w:val="center"/>
              </w:trPr>
              <w:tc>
                <w:tcPr>
                  <w:tcW w:w="1537" w:type="dxa"/>
                  <w:noWrap w:val="0"/>
                  <w:vAlign w:val="center"/>
                </w:tcPr>
                <w:p w14:paraId="30666298">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DB51/2682-2020</w:t>
                  </w:r>
                </w:p>
              </w:tc>
              <w:tc>
                <w:tcPr>
                  <w:tcW w:w="1292" w:type="dxa"/>
                  <w:noWrap w:val="0"/>
                  <w:vAlign w:val="center"/>
                </w:tcPr>
                <w:p w14:paraId="18F9733B">
                  <w:pPr>
                    <w:adjustRightInd w:val="0"/>
                    <w:snapToGrid w:val="0"/>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总悬浮</w:t>
                  </w:r>
                  <w:r>
                    <w:rPr>
                      <w:rFonts w:hint="eastAsia" w:ascii="Times New Roman" w:hAnsi="Times New Roman" w:cs="Times New Roman"/>
                      <w:color w:val="000000" w:themeColor="text1"/>
                      <w:szCs w:val="21"/>
                      <w:lang w:val="en-US" w:eastAsia="zh-CN"/>
                      <w14:textFill>
                        <w14:solidFill>
                          <w14:schemeClr w14:val="tx1"/>
                        </w14:solidFill>
                      </w14:textFill>
                    </w:rPr>
                    <w:t>颗粒物</w:t>
                  </w:r>
                  <w:r>
                    <w:rPr>
                      <w:rFonts w:hint="eastAsia" w:cs="Times New Roman"/>
                      <w:color w:val="000000" w:themeColor="text1"/>
                      <w:szCs w:val="21"/>
                      <w:lang w:val="en-US" w:eastAsia="zh-CN"/>
                      <w14:textFill>
                        <w14:solidFill>
                          <w14:schemeClr w14:val="tx1"/>
                        </w14:solidFill>
                      </w14:textFill>
                    </w:rPr>
                    <w:t>（TSP）</w:t>
                  </w:r>
                </w:p>
              </w:tc>
              <w:tc>
                <w:tcPr>
                  <w:tcW w:w="2366" w:type="dxa"/>
                  <w:noWrap w:val="0"/>
                  <w:vAlign w:val="center"/>
                </w:tcPr>
                <w:p w14:paraId="4070CC91">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600</w:t>
                  </w:r>
                </w:p>
              </w:tc>
              <w:tc>
                <w:tcPr>
                  <w:tcW w:w="1738" w:type="dxa"/>
                  <w:noWrap w:val="0"/>
                  <w:vAlign w:val="center"/>
                </w:tcPr>
                <w:p w14:paraId="1ABB032E">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250</w:t>
                  </w:r>
                </w:p>
              </w:tc>
              <w:tc>
                <w:tcPr>
                  <w:tcW w:w="884" w:type="dxa"/>
                  <w:noWrap w:val="0"/>
                  <w:vAlign w:val="center"/>
                </w:tcPr>
                <w:p w14:paraId="418612C0">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lang w:val="en-US" w:eastAsia="zh-CN"/>
                      <w14:textFill>
                        <w14:solidFill>
                          <w14:schemeClr w14:val="tx1"/>
                        </w14:solidFill>
                      </w14:textFill>
                    </w:rPr>
                    <w:t>遂宁</w:t>
                  </w:r>
                </w:p>
              </w:tc>
            </w:tr>
          </w:tbl>
          <w:p w14:paraId="211E8A0B">
            <w:pPr>
              <w:pStyle w:val="2"/>
              <w:rPr>
                <w:rFonts w:hint="default"/>
              </w:rPr>
            </w:pPr>
          </w:p>
          <w:p w14:paraId="599FE517">
            <w:pPr>
              <w:numPr>
                <w:ilvl w:val="0"/>
                <w:numId w:val="1"/>
              </w:numPr>
              <w:adjustRightInd w:val="0"/>
              <w:snapToGrid w:val="0"/>
              <w:spacing w:line="420" w:lineRule="auto"/>
              <w:ind w:firstLine="480" w:firstLineChars="200"/>
              <w:rPr>
                <w:rFonts w:hint="default"/>
              </w:rPr>
            </w:pPr>
            <w:r>
              <w:rPr>
                <w:rFonts w:hint="default" w:ascii="Times New Roman" w:hAnsi="Times New Roman" w:cs="Times New Roman"/>
                <w:sz w:val="24"/>
                <w:szCs w:val="20"/>
              </w:rPr>
              <w:t>运营期</w:t>
            </w:r>
            <w:r>
              <w:rPr>
                <w:rFonts w:hint="eastAsia" w:cs="Times New Roman"/>
                <w:sz w:val="24"/>
                <w:szCs w:val="20"/>
                <w:lang w:eastAsia="zh-CN"/>
              </w:rPr>
              <w:t>生活污水</w:t>
            </w:r>
            <w:r>
              <w:rPr>
                <w:rFonts w:hint="default" w:ascii="Times New Roman" w:hAnsi="Times New Roman" w:cs="Times New Roman"/>
                <w:sz w:val="24"/>
                <w:szCs w:val="20"/>
              </w:rPr>
              <w:t>经化粪池处理</w:t>
            </w:r>
            <w:r>
              <w:rPr>
                <w:rFonts w:hint="eastAsia" w:cs="Times New Roman"/>
                <w:sz w:val="24"/>
                <w:szCs w:val="20"/>
                <w:lang w:val="en-US" w:eastAsia="zh-CN"/>
              </w:rPr>
              <w:t>用于农业灌溉</w:t>
            </w:r>
            <w:r>
              <w:rPr>
                <w:rFonts w:hint="default" w:ascii="Times New Roman" w:hAnsi="Times New Roman" w:cs="Times New Roman"/>
                <w:sz w:val="24"/>
                <w:szCs w:val="20"/>
              </w:rPr>
              <w:t>。</w:t>
            </w:r>
            <w:r>
              <w:rPr>
                <w:rFonts w:hint="eastAsia" w:cs="Times New Roman"/>
                <w:sz w:val="24"/>
                <w:szCs w:val="20"/>
                <w:lang w:val="en-US" w:eastAsia="zh-CN"/>
              </w:rPr>
              <w:t>生产废水、洗车废水经过沉淀处理后回用于生产和洗车，</w:t>
            </w:r>
            <w:r>
              <w:rPr>
                <w:rFonts w:hint="default" w:ascii="Times New Roman" w:hAnsi="Times New Roman" w:cs="Times New Roman"/>
                <w:sz w:val="24"/>
                <w:szCs w:val="20"/>
              </w:rPr>
              <w:t>运营期项目无生产废水排放。</w:t>
            </w:r>
          </w:p>
          <w:p w14:paraId="1CEFA9C0">
            <w:pPr>
              <w:numPr>
                <w:ilvl w:val="0"/>
                <w:numId w:val="1"/>
              </w:numPr>
              <w:adjustRightInd w:val="0"/>
              <w:snapToGrid w:val="0"/>
              <w:spacing w:line="420" w:lineRule="auto"/>
              <w:ind w:firstLine="480" w:firstLineChars="200"/>
              <w:rPr>
                <w:rFonts w:hint="default" w:ascii="Times New Roman" w:hAnsi="Times New Roman" w:cs="Times New Roman"/>
                <w:sz w:val="24"/>
                <w:szCs w:val="22"/>
              </w:rPr>
            </w:pPr>
            <w:r>
              <w:rPr>
                <w:rFonts w:hint="default" w:ascii="Times New Roman" w:hAnsi="Times New Roman" w:cs="Times New Roman"/>
                <w:sz w:val="24"/>
                <w:szCs w:val="22"/>
              </w:rPr>
              <w:t>施工期噪声执行《建筑施工场界环境噪声排放标准》（GB12523-2011）中相应标准限值，如下表所示：</w:t>
            </w:r>
          </w:p>
          <w:p w14:paraId="50C6FC53">
            <w:pPr>
              <w:pStyle w:val="45"/>
              <w:rPr>
                <w:rFonts w:hint="default" w:ascii="Times New Roman" w:hAnsi="Times New Roman" w:cs="Times New Roman"/>
              </w:rPr>
            </w:pPr>
            <w:r>
              <w:rPr>
                <w:rFonts w:hint="default" w:ascii="Times New Roman" w:hAnsi="Times New Roman" w:cs="Times New Roman"/>
              </w:rPr>
              <w:t>表3-</w:t>
            </w:r>
            <w:r>
              <w:rPr>
                <w:rFonts w:hint="eastAsia" w:ascii="Times New Roman" w:hAnsi="Times New Roman" w:cs="Times New Roman"/>
                <w:lang w:val="en-US" w:eastAsia="zh-CN"/>
              </w:rPr>
              <w:t>7</w:t>
            </w:r>
            <w:r>
              <w:rPr>
                <w:rFonts w:hint="default" w:ascii="Times New Roman" w:hAnsi="Times New Roman" w:cs="Times New Roman"/>
              </w:rPr>
              <w:t>《建筑施工场界环境噪声排放标准》GB12523-2011</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3103"/>
              <w:gridCol w:w="2557"/>
              <w:gridCol w:w="2560"/>
            </w:tblGrid>
            <w:tr w14:paraId="699E51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2997" w:type="dxa"/>
                  <w:vMerge w:val="restart"/>
                  <w:noWrap w:val="0"/>
                  <w:tcMar>
                    <w:left w:w="28" w:type="dxa"/>
                    <w:right w:w="28" w:type="dxa"/>
                  </w:tcMar>
                  <w:vAlign w:val="center"/>
                </w:tcPr>
                <w:p w14:paraId="15A2C95A">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执行标准</w:t>
                  </w:r>
                </w:p>
              </w:tc>
              <w:tc>
                <w:tcPr>
                  <w:tcW w:w="4941" w:type="dxa"/>
                  <w:gridSpan w:val="2"/>
                  <w:noWrap w:val="0"/>
                  <w:tcMar>
                    <w:left w:w="28" w:type="dxa"/>
                    <w:right w:w="28" w:type="dxa"/>
                  </w:tcMar>
                  <w:vAlign w:val="center"/>
                </w:tcPr>
                <w:p w14:paraId="19C0EBB7">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标准值Leq：dB(A)</w:t>
                  </w:r>
                </w:p>
              </w:tc>
            </w:tr>
            <w:tr w14:paraId="289CF98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36" w:hRule="atLeast"/>
                <w:jc w:val="center"/>
              </w:trPr>
              <w:tc>
                <w:tcPr>
                  <w:tcW w:w="2997" w:type="dxa"/>
                  <w:vMerge w:val="continue"/>
                  <w:noWrap w:val="0"/>
                  <w:tcMar>
                    <w:left w:w="28" w:type="dxa"/>
                    <w:right w:w="28" w:type="dxa"/>
                  </w:tcMar>
                  <w:vAlign w:val="center"/>
                </w:tcPr>
                <w:p w14:paraId="7C31A0F7">
                  <w:pPr>
                    <w:spacing w:line="240" w:lineRule="atLeast"/>
                    <w:jc w:val="center"/>
                    <w:rPr>
                      <w:rFonts w:hint="default" w:ascii="Times New Roman" w:hAnsi="Times New Roman" w:cs="Times New Roman"/>
                      <w:bCs/>
                      <w:szCs w:val="21"/>
                    </w:rPr>
                  </w:pPr>
                </w:p>
              </w:tc>
              <w:tc>
                <w:tcPr>
                  <w:tcW w:w="2469" w:type="dxa"/>
                  <w:noWrap w:val="0"/>
                  <w:tcMar>
                    <w:left w:w="28" w:type="dxa"/>
                    <w:right w:w="28" w:type="dxa"/>
                  </w:tcMar>
                  <w:vAlign w:val="center"/>
                </w:tcPr>
                <w:p w14:paraId="526CFA3E">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昼间</w:t>
                  </w:r>
                </w:p>
              </w:tc>
              <w:tc>
                <w:tcPr>
                  <w:tcW w:w="2472" w:type="dxa"/>
                  <w:noWrap w:val="0"/>
                  <w:tcMar>
                    <w:left w:w="28" w:type="dxa"/>
                    <w:right w:w="28" w:type="dxa"/>
                  </w:tcMar>
                  <w:vAlign w:val="center"/>
                </w:tcPr>
                <w:p w14:paraId="39604748">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夜间</w:t>
                  </w:r>
                </w:p>
              </w:tc>
            </w:tr>
            <w:tr w14:paraId="26EAF21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66" w:hRule="atLeast"/>
                <w:jc w:val="center"/>
              </w:trPr>
              <w:tc>
                <w:tcPr>
                  <w:tcW w:w="2997" w:type="dxa"/>
                  <w:noWrap w:val="0"/>
                  <w:tcMar>
                    <w:left w:w="28" w:type="dxa"/>
                    <w:right w:w="28" w:type="dxa"/>
                  </w:tcMar>
                  <w:vAlign w:val="center"/>
                </w:tcPr>
                <w:p w14:paraId="780B90C5">
                  <w:pPr>
                    <w:spacing w:line="240" w:lineRule="atLeast"/>
                    <w:jc w:val="center"/>
                    <w:rPr>
                      <w:rFonts w:hint="default" w:ascii="Times New Roman" w:hAnsi="Times New Roman" w:cs="Times New Roman"/>
                      <w:bCs/>
                      <w:szCs w:val="21"/>
                    </w:rPr>
                  </w:pPr>
                  <w:r>
                    <w:rPr>
                      <w:rFonts w:hint="default" w:ascii="Times New Roman" w:hAnsi="Times New Roman" w:cs="Times New Roman"/>
                      <w:szCs w:val="21"/>
                    </w:rPr>
                    <w:t>GB12523-2011</w:t>
                  </w:r>
                </w:p>
              </w:tc>
              <w:tc>
                <w:tcPr>
                  <w:tcW w:w="2469" w:type="dxa"/>
                  <w:noWrap w:val="0"/>
                  <w:tcMar>
                    <w:left w:w="28" w:type="dxa"/>
                    <w:right w:w="28" w:type="dxa"/>
                  </w:tcMar>
                  <w:vAlign w:val="center"/>
                </w:tcPr>
                <w:p w14:paraId="18C69693">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70</w:t>
                  </w:r>
                </w:p>
              </w:tc>
              <w:tc>
                <w:tcPr>
                  <w:tcW w:w="2472" w:type="dxa"/>
                  <w:noWrap w:val="0"/>
                  <w:tcMar>
                    <w:left w:w="28" w:type="dxa"/>
                    <w:right w:w="28" w:type="dxa"/>
                  </w:tcMar>
                  <w:vAlign w:val="center"/>
                </w:tcPr>
                <w:p w14:paraId="11DBC7BC">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55</w:t>
                  </w:r>
                </w:p>
              </w:tc>
            </w:tr>
          </w:tbl>
          <w:p w14:paraId="0FAE59B1">
            <w:pPr>
              <w:adjustRightInd w:val="0"/>
              <w:snapToGrid w:val="0"/>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运营期执行《工业企业厂界环境噪声排放标准》（GB12348-2008）</w:t>
            </w:r>
            <w:r>
              <w:rPr>
                <w:rFonts w:hint="default" w:ascii="Times New Roman" w:hAnsi="Times New Roman" w:cs="Times New Roman"/>
                <w:kern w:val="28"/>
                <w:sz w:val="24"/>
                <w:szCs w:val="20"/>
              </w:rPr>
              <w:t>2</w:t>
            </w:r>
            <w:r>
              <w:rPr>
                <w:rFonts w:hint="default" w:ascii="Times New Roman" w:hAnsi="Times New Roman" w:cs="Times New Roman"/>
                <w:sz w:val="24"/>
                <w:szCs w:val="20"/>
              </w:rPr>
              <w:t>类标准，昼间60dB(A)，夜间50dB(A)。</w:t>
            </w:r>
          </w:p>
          <w:p w14:paraId="018F2EB4">
            <w:pPr>
              <w:adjustRightInd w:val="0"/>
              <w:snapToGrid w:val="0"/>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具体标准限值如下表：</w:t>
            </w:r>
          </w:p>
          <w:p w14:paraId="73B0ECFD">
            <w:pPr>
              <w:pStyle w:val="45"/>
              <w:rPr>
                <w:rFonts w:hint="default" w:ascii="Times New Roman" w:hAnsi="Times New Roman" w:cs="Times New Roman"/>
              </w:rPr>
            </w:pPr>
            <w:r>
              <w:rPr>
                <w:rFonts w:hint="default" w:ascii="Times New Roman" w:hAnsi="Times New Roman" w:cs="Times New Roman"/>
              </w:rPr>
              <w:t>表3-</w:t>
            </w:r>
            <w:r>
              <w:rPr>
                <w:rFonts w:hint="eastAsia" w:ascii="Times New Roman" w:hAnsi="Times New Roman" w:cs="Times New Roman"/>
                <w:lang w:val="en-US" w:eastAsia="zh-CN"/>
              </w:rPr>
              <w:t>8</w:t>
            </w:r>
            <w:r>
              <w:rPr>
                <w:rFonts w:hint="default" w:ascii="Times New Roman" w:hAnsi="Times New Roman" w:cs="Times New Roman"/>
              </w:rPr>
              <w:t>《工业企业厂界环境噪声排放标准》GB12348-2008</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469"/>
              <w:gridCol w:w="1679"/>
              <w:gridCol w:w="2035"/>
              <w:gridCol w:w="2037"/>
            </w:tblGrid>
            <w:tr w14:paraId="5A27652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16" w:hRule="atLeast"/>
                <w:jc w:val="center"/>
              </w:trPr>
              <w:tc>
                <w:tcPr>
                  <w:tcW w:w="2385" w:type="dxa"/>
                  <w:vMerge w:val="restart"/>
                  <w:noWrap w:val="0"/>
                  <w:tcMar>
                    <w:left w:w="28" w:type="dxa"/>
                    <w:right w:w="28" w:type="dxa"/>
                  </w:tcMar>
                  <w:vAlign w:val="center"/>
                </w:tcPr>
                <w:p w14:paraId="617B4B99">
                  <w:pPr>
                    <w:spacing w:line="240" w:lineRule="atLeast"/>
                    <w:jc w:val="center"/>
                    <w:rPr>
                      <w:rFonts w:hint="default" w:ascii="Times New Roman" w:hAnsi="Times New Roman" w:cs="Times New Roman"/>
                      <w:b/>
                      <w:bCs/>
                      <w:szCs w:val="21"/>
                    </w:rPr>
                  </w:pPr>
                  <w:r>
                    <w:rPr>
                      <w:rFonts w:hint="default" w:ascii="Times New Roman" w:hAnsi="Times New Roman" w:cs="Times New Roman"/>
                      <w:b/>
                      <w:bCs/>
                      <w:szCs w:val="21"/>
                    </w:rPr>
                    <w:t>执行标准</w:t>
                  </w:r>
                </w:p>
              </w:tc>
              <w:tc>
                <w:tcPr>
                  <w:tcW w:w="1621" w:type="dxa"/>
                  <w:vMerge w:val="restart"/>
                  <w:noWrap w:val="0"/>
                  <w:tcMar>
                    <w:left w:w="28" w:type="dxa"/>
                    <w:right w:w="28" w:type="dxa"/>
                  </w:tcMar>
                  <w:vAlign w:val="center"/>
                </w:tcPr>
                <w:p w14:paraId="3DAE0C70">
                  <w:pPr>
                    <w:spacing w:line="240" w:lineRule="atLeast"/>
                    <w:jc w:val="center"/>
                    <w:rPr>
                      <w:rFonts w:hint="default" w:ascii="Times New Roman" w:hAnsi="Times New Roman" w:cs="Times New Roman"/>
                      <w:b/>
                      <w:bCs/>
                      <w:szCs w:val="21"/>
                    </w:rPr>
                  </w:pPr>
                  <w:r>
                    <w:rPr>
                      <w:rFonts w:hint="default" w:ascii="Times New Roman" w:hAnsi="Times New Roman" w:cs="Times New Roman"/>
                      <w:b/>
                      <w:bCs/>
                      <w:szCs w:val="21"/>
                    </w:rPr>
                    <w:t>类别</w:t>
                  </w:r>
                </w:p>
              </w:tc>
              <w:tc>
                <w:tcPr>
                  <w:tcW w:w="3932" w:type="dxa"/>
                  <w:gridSpan w:val="2"/>
                  <w:noWrap w:val="0"/>
                  <w:tcMar>
                    <w:left w:w="28" w:type="dxa"/>
                    <w:right w:w="28" w:type="dxa"/>
                  </w:tcMar>
                  <w:vAlign w:val="center"/>
                </w:tcPr>
                <w:p w14:paraId="5835F4F7">
                  <w:pPr>
                    <w:spacing w:line="240" w:lineRule="atLeast"/>
                    <w:jc w:val="center"/>
                    <w:rPr>
                      <w:rFonts w:hint="default" w:ascii="Times New Roman" w:hAnsi="Times New Roman" w:cs="Times New Roman"/>
                      <w:b/>
                      <w:bCs/>
                      <w:szCs w:val="21"/>
                    </w:rPr>
                  </w:pPr>
                  <w:r>
                    <w:rPr>
                      <w:rFonts w:hint="default" w:ascii="Times New Roman" w:hAnsi="Times New Roman" w:cs="Times New Roman"/>
                      <w:b/>
                      <w:bCs/>
                      <w:szCs w:val="21"/>
                    </w:rPr>
                    <w:t>标准值Leq：dB(A)</w:t>
                  </w:r>
                </w:p>
              </w:tc>
            </w:tr>
            <w:tr w14:paraId="2847DA4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2385" w:type="dxa"/>
                  <w:vMerge w:val="continue"/>
                  <w:noWrap w:val="0"/>
                  <w:tcMar>
                    <w:left w:w="28" w:type="dxa"/>
                    <w:right w:w="28" w:type="dxa"/>
                  </w:tcMar>
                  <w:vAlign w:val="center"/>
                </w:tcPr>
                <w:p w14:paraId="1313CC27">
                  <w:pPr>
                    <w:spacing w:line="240" w:lineRule="atLeast"/>
                    <w:jc w:val="center"/>
                    <w:rPr>
                      <w:rFonts w:hint="default" w:ascii="Times New Roman" w:hAnsi="Times New Roman" w:cs="Times New Roman"/>
                      <w:bCs/>
                      <w:szCs w:val="21"/>
                    </w:rPr>
                  </w:pPr>
                </w:p>
              </w:tc>
              <w:tc>
                <w:tcPr>
                  <w:tcW w:w="1621" w:type="dxa"/>
                  <w:vMerge w:val="continue"/>
                  <w:noWrap w:val="0"/>
                  <w:tcMar>
                    <w:left w:w="28" w:type="dxa"/>
                    <w:right w:w="28" w:type="dxa"/>
                  </w:tcMar>
                  <w:vAlign w:val="center"/>
                </w:tcPr>
                <w:p w14:paraId="47955467">
                  <w:pPr>
                    <w:spacing w:line="240" w:lineRule="atLeast"/>
                    <w:jc w:val="center"/>
                    <w:rPr>
                      <w:rFonts w:hint="default" w:ascii="Times New Roman" w:hAnsi="Times New Roman" w:cs="Times New Roman"/>
                      <w:bCs/>
                      <w:szCs w:val="21"/>
                    </w:rPr>
                  </w:pPr>
                </w:p>
              </w:tc>
              <w:tc>
                <w:tcPr>
                  <w:tcW w:w="1965" w:type="dxa"/>
                  <w:noWrap w:val="0"/>
                  <w:tcMar>
                    <w:left w:w="28" w:type="dxa"/>
                    <w:right w:w="28" w:type="dxa"/>
                  </w:tcMar>
                  <w:vAlign w:val="center"/>
                </w:tcPr>
                <w:p w14:paraId="1F0505AB">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昼间</w:t>
                  </w:r>
                </w:p>
              </w:tc>
              <w:tc>
                <w:tcPr>
                  <w:tcW w:w="1967" w:type="dxa"/>
                  <w:noWrap w:val="0"/>
                  <w:tcMar>
                    <w:left w:w="28" w:type="dxa"/>
                    <w:right w:w="28" w:type="dxa"/>
                  </w:tcMar>
                  <w:vAlign w:val="center"/>
                </w:tcPr>
                <w:p w14:paraId="5FFC7852">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夜间</w:t>
                  </w:r>
                </w:p>
              </w:tc>
            </w:tr>
            <w:tr w14:paraId="6A1516F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96" w:hRule="atLeast"/>
                <w:jc w:val="center"/>
              </w:trPr>
              <w:tc>
                <w:tcPr>
                  <w:tcW w:w="2385" w:type="dxa"/>
                  <w:noWrap w:val="0"/>
                  <w:tcMar>
                    <w:left w:w="28" w:type="dxa"/>
                    <w:right w:w="28" w:type="dxa"/>
                  </w:tcMar>
                  <w:vAlign w:val="center"/>
                </w:tcPr>
                <w:p w14:paraId="5C0BB5F1">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GB12348-2008</w:t>
                  </w:r>
                </w:p>
              </w:tc>
              <w:tc>
                <w:tcPr>
                  <w:tcW w:w="1621" w:type="dxa"/>
                  <w:noWrap w:val="0"/>
                  <w:tcMar>
                    <w:left w:w="28" w:type="dxa"/>
                    <w:right w:w="28" w:type="dxa"/>
                  </w:tcMar>
                  <w:vAlign w:val="center"/>
                </w:tcPr>
                <w:p w14:paraId="2DB6518F">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2类</w:t>
                  </w:r>
                </w:p>
              </w:tc>
              <w:tc>
                <w:tcPr>
                  <w:tcW w:w="1965" w:type="dxa"/>
                  <w:noWrap w:val="0"/>
                  <w:tcMar>
                    <w:left w:w="28" w:type="dxa"/>
                    <w:right w:w="28" w:type="dxa"/>
                  </w:tcMar>
                  <w:vAlign w:val="center"/>
                </w:tcPr>
                <w:p w14:paraId="32438BE3">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60</w:t>
                  </w:r>
                </w:p>
              </w:tc>
              <w:tc>
                <w:tcPr>
                  <w:tcW w:w="1967" w:type="dxa"/>
                  <w:noWrap w:val="0"/>
                  <w:tcMar>
                    <w:left w:w="28" w:type="dxa"/>
                    <w:right w:w="28" w:type="dxa"/>
                  </w:tcMar>
                  <w:vAlign w:val="center"/>
                </w:tcPr>
                <w:p w14:paraId="64D0CFBA">
                  <w:pPr>
                    <w:spacing w:line="240" w:lineRule="atLeast"/>
                    <w:jc w:val="center"/>
                    <w:rPr>
                      <w:rFonts w:hint="default" w:ascii="Times New Roman" w:hAnsi="Times New Roman" w:cs="Times New Roman"/>
                      <w:bCs/>
                      <w:szCs w:val="21"/>
                    </w:rPr>
                  </w:pPr>
                  <w:r>
                    <w:rPr>
                      <w:rFonts w:hint="default" w:ascii="Times New Roman" w:hAnsi="Times New Roman" w:cs="Times New Roman"/>
                      <w:bCs/>
                      <w:szCs w:val="21"/>
                    </w:rPr>
                    <w:t>50</w:t>
                  </w:r>
                </w:p>
              </w:tc>
            </w:tr>
          </w:tbl>
          <w:p w14:paraId="5FEB14F7">
            <w:pPr>
              <w:adjustRightInd w:val="0"/>
              <w:snapToGrid w:val="0"/>
              <w:spacing w:line="360" w:lineRule="auto"/>
              <w:ind w:firstLine="480" w:firstLineChars="200"/>
              <w:rPr>
                <w:rFonts w:hint="default" w:ascii="Times New Roman" w:hAnsi="Times New Roman" w:cs="Times New Roman"/>
                <w:sz w:val="24"/>
                <w:szCs w:val="20"/>
              </w:rPr>
            </w:pPr>
          </w:p>
          <w:p w14:paraId="439D029C">
            <w:pPr>
              <w:adjustRightInd w:val="0"/>
              <w:snapToGrid w:val="0"/>
              <w:spacing w:line="420" w:lineRule="auto"/>
              <w:ind w:firstLine="480" w:firstLineChars="200"/>
              <w:rPr>
                <w:rFonts w:hint="default" w:ascii="Times New Roman" w:hAnsi="Times New Roman" w:cs="Times New Roman"/>
                <w:kern w:val="0"/>
                <w:szCs w:val="21"/>
              </w:rPr>
            </w:pPr>
            <w:r>
              <w:rPr>
                <w:rFonts w:hint="default" w:ascii="Times New Roman" w:hAnsi="Times New Roman" w:cs="Times New Roman"/>
                <w:sz w:val="24"/>
                <w:szCs w:val="20"/>
              </w:rPr>
              <w:t>4、危险废物贮存执行《危险废物贮存污染控制标准》GB18597－2001</w:t>
            </w:r>
            <w:r>
              <w:rPr>
                <w:rFonts w:hint="eastAsia" w:ascii="Times New Roman" w:hAnsi="Times New Roman" w:cs="Times New Roman"/>
                <w:sz w:val="24"/>
                <w:szCs w:val="20"/>
                <w:lang w:eastAsia="zh-CN"/>
              </w:rPr>
              <w:t>及</w:t>
            </w:r>
            <w:r>
              <w:rPr>
                <w:rFonts w:hint="default" w:ascii="Times New Roman" w:hAnsi="Times New Roman" w:cs="Times New Roman"/>
                <w:sz w:val="24"/>
                <w:szCs w:val="20"/>
              </w:rPr>
              <w:t>2013修订</w:t>
            </w:r>
            <w:r>
              <w:rPr>
                <w:rFonts w:hint="eastAsia" w:ascii="Times New Roman" w:hAnsi="Times New Roman" w:cs="Times New Roman"/>
                <w:sz w:val="24"/>
                <w:szCs w:val="20"/>
                <w:lang w:eastAsia="zh-CN"/>
              </w:rPr>
              <w:t>单</w:t>
            </w:r>
            <w:r>
              <w:rPr>
                <w:rFonts w:hint="default" w:ascii="Times New Roman" w:hAnsi="Times New Roman" w:cs="Times New Roman"/>
                <w:sz w:val="24"/>
                <w:szCs w:val="20"/>
              </w:rPr>
              <w:t>的规定。</w:t>
            </w:r>
          </w:p>
        </w:tc>
      </w:tr>
      <w:tr w14:paraId="241935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30" w:hRule="atLeast"/>
          <w:jc w:val="center"/>
        </w:trPr>
        <w:tc>
          <w:tcPr>
            <w:tcW w:w="465" w:type="dxa"/>
            <w:noWrap w:val="0"/>
            <w:vAlign w:val="center"/>
          </w:tcPr>
          <w:p w14:paraId="49F80116">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总量</w:t>
            </w:r>
          </w:p>
          <w:p w14:paraId="02971854">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控制</w:t>
            </w:r>
          </w:p>
          <w:p w14:paraId="4249FCEC">
            <w:pPr>
              <w:adjustRightInd w:val="0"/>
              <w:snapToGrid w:val="0"/>
              <w:jc w:val="center"/>
              <w:rPr>
                <w:rFonts w:hint="default" w:ascii="Times New Roman" w:hAnsi="Times New Roman" w:cs="Times New Roman"/>
                <w:kern w:val="0"/>
                <w:szCs w:val="21"/>
              </w:rPr>
            </w:pPr>
            <w:r>
              <w:rPr>
                <w:rFonts w:hint="default" w:ascii="Times New Roman" w:hAnsi="Times New Roman" w:cs="Times New Roman"/>
                <w:kern w:val="0"/>
                <w:szCs w:val="21"/>
              </w:rPr>
              <w:t>指标</w:t>
            </w:r>
          </w:p>
        </w:tc>
        <w:tc>
          <w:tcPr>
            <w:tcW w:w="8525" w:type="dxa"/>
            <w:noWrap w:val="0"/>
            <w:vAlign w:val="center"/>
          </w:tcPr>
          <w:p w14:paraId="178CAE53">
            <w:pPr>
              <w:adjustRightInd w:val="0"/>
              <w:snapToGrid w:val="0"/>
              <w:spacing w:line="420" w:lineRule="auto"/>
              <w:ind w:firstLine="480" w:firstLineChars="200"/>
              <w:rPr>
                <w:rFonts w:hint="eastAsia" w:ascii="Times New Roman" w:hAnsi="Times New Roman" w:eastAsia="宋体" w:cs="Times New Roman"/>
                <w:sz w:val="24"/>
                <w:szCs w:val="20"/>
                <w:lang w:eastAsia="zh-CN"/>
              </w:rPr>
            </w:pPr>
            <w:r>
              <w:rPr>
                <w:rFonts w:hint="eastAsia" w:ascii="Times New Roman" w:hAnsi="Times New Roman" w:eastAsia="宋体" w:cs="Times New Roman"/>
                <w:sz w:val="24"/>
                <w:szCs w:val="20"/>
                <w:lang w:eastAsia="zh-CN"/>
              </w:rPr>
              <w:t>生态环境主管部门暂未对本项目下达总量控制指标，如下对本项目进行总量控制，</w:t>
            </w:r>
            <w:r>
              <w:rPr>
                <w:rFonts w:hint="eastAsia" w:ascii="Times New Roman" w:hAnsi="Times New Roman" w:eastAsia="宋体" w:cs="Times New Roman"/>
                <w:sz w:val="24"/>
                <w:szCs w:val="20"/>
                <w:lang w:val="en-US" w:eastAsia="zh-CN"/>
              </w:rPr>
              <w:t>根据后文计算，</w:t>
            </w:r>
            <w:r>
              <w:rPr>
                <w:rFonts w:hint="eastAsia" w:ascii="Times New Roman" w:hAnsi="Times New Roman" w:eastAsia="宋体" w:cs="Times New Roman"/>
                <w:sz w:val="24"/>
                <w:szCs w:val="20"/>
                <w:lang w:eastAsia="zh-CN"/>
              </w:rPr>
              <w:t>建议指标如下：</w:t>
            </w:r>
          </w:p>
          <w:p w14:paraId="3126FB70">
            <w:pPr>
              <w:adjustRightInd w:val="0"/>
              <w:snapToGrid w:val="0"/>
              <w:spacing w:line="420" w:lineRule="auto"/>
              <w:ind w:firstLine="480" w:firstLineChars="200"/>
              <w:rPr>
                <w:rFonts w:hint="eastAsia" w:ascii="Times New Roman" w:hAnsi="Times New Roman" w:eastAsia="宋体" w:cs="Times New Roman"/>
                <w:color w:val="000000" w:themeColor="text1"/>
                <w:sz w:val="24"/>
                <w:szCs w:val="20"/>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0"/>
                <w:highlight w:val="none"/>
                <w:lang w:eastAsia="zh-CN"/>
                <w14:textFill>
                  <w14:solidFill>
                    <w14:schemeClr w14:val="tx1"/>
                  </w14:solidFill>
                </w14:textFill>
              </w:rPr>
              <w:t>废气：颗粒物</w:t>
            </w:r>
            <w:r>
              <w:rPr>
                <w:rFonts w:hint="eastAsia" w:cs="Times New Roman"/>
                <w:color w:val="000000" w:themeColor="text1"/>
                <w:sz w:val="24"/>
                <w:szCs w:val="20"/>
                <w:highlight w:val="none"/>
                <w:lang w:val="en-US" w:eastAsia="zh-CN"/>
                <w14:textFill>
                  <w14:solidFill>
                    <w14:schemeClr w14:val="tx1"/>
                  </w14:solidFill>
                </w14:textFill>
              </w:rPr>
              <w:t>2.625</w:t>
            </w:r>
            <w:r>
              <w:rPr>
                <w:rFonts w:hint="eastAsia" w:ascii="Times New Roman" w:hAnsi="Times New Roman" w:eastAsia="宋体" w:cs="Times New Roman"/>
                <w:color w:val="000000" w:themeColor="text1"/>
                <w:sz w:val="24"/>
                <w:szCs w:val="20"/>
                <w:highlight w:val="none"/>
                <w:lang w:eastAsia="zh-CN"/>
                <w14:textFill>
                  <w14:solidFill>
                    <w14:schemeClr w14:val="tx1"/>
                  </w14:solidFill>
                </w14:textFill>
              </w:rPr>
              <w:t>t/a</w:t>
            </w:r>
          </w:p>
          <w:p w14:paraId="17A34CAC">
            <w:pPr>
              <w:adjustRightInd w:val="0"/>
              <w:snapToGrid w:val="0"/>
              <w:spacing w:line="420" w:lineRule="auto"/>
              <w:rPr>
                <w:rFonts w:hint="eastAsia" w:ascii="Times New Roman" w:hAnsi="Times New Roman" w:eastAsia="宋体" w:cs="Times New Roman"/>
                <w:sz w:val="24"/>
                <w:szCs w:val="20"/>
                <w:lang w:eastAsia="zh-CN"/>
              </w:rPr>
            </w:pPr>
          </w:p>
          <w:p w14:paraId="0671F2A7">
            <w:pPr>
              <w:adjustRightInd w:val="0"/>
              <w:snapToGrid w:val="0"/>
              <w:spacing w:line="420" w:lineRule="auto"/>
              <w:ind w:firstLine="480" w:firstLineChars="200"/>
              <w:rPr>
                <w:rFonts w:hint="eastAsia" w:ascii="Times New Roman" w:hAnsi="Times New Roman" w:eastAsia="宋体" w:cs="Times New Roman"/>
                <w:sz w:val="24"/>
                <w:szCs w:val="20"/>
                <w:lang w:eastAsia="zh-CN"/>
              </w:rPr>
            </w:pPr>
          </w:p>
          <w:p w14:paraId="4B52CBC1">
            <w:pPr>
              <w:adjustRightInd w:val="0"/>
              <w:snapToGrid w:val="0"/>
              <w:spacing w:line="420" w:lineRule="auto"/>
              <w:ind w:firstLine="480" w:firstLineChars="200"/>
              <w:rPr>
                <w:rFonts w:hint="eastAsia" w:ascii="Times New Roman" w:hAnsi="Times New Roman" w:eastAsia="宋体" w:cs="Times New Roman"/>
                <w:sz w:val="24"/>
                <w:szCs w:val="20"/>
                <w:lang w:eastAsia="zh-CN"/>
              </w:rPr>
            </w:pPr>
          </w:p>
          <w:p w14:paraId="2E1E279D">
            <w:pPr>
              <w:adjustRightInd w:val="0"/>
              <w:snapToGrid w:val="0"/>
              <w:spacing w:line="420" w:lineRule="auto"/>
              <w:rPr>
                <w:rFonts w:hint="eastAsia" w:ascii="Times New Roman" w:hAnsi="Times New Roman" w:eastAsia="宋体" w:cs="Times New Roman"/>
                <w:sz w:val="24"/>
                <w:szCs w:val="20"/>
                <w:lang w:eastAsia="zh-CN"/>
              </w:rPr>
            </w:pPr>
          </w:p>
          <w:p w14:paraId="2BD83883">
            <w:pPr>
              <w:adjustRightInd w:val="0"/>
              <w:snapToGrid w:val="0"/>
              <w:spacing w:line="420" w:lineRule="auto"/>
              <w:ind w:firstLine="420" w:firstLineChars="200"/>
              <w:rPr>
                <w:rFonts w:hint="default"/>
                <w:lang w:val="en-US" w:eastAsia="zh-CN"/>
              </w:rPr>
            </w:pPr>
          </w:p>
        </w:tc>
      </w:tr>
    </w:tbl>
    <w:p w14:paraId="34C81D90">
      <w:pPr>
        <w:pStyle w:val="19"/>
        <w:spacing w:before="0" w:beforeAutospacing="0" w:after="0" w:afterAutospacing="0"/>
        <w:outlineLvl w:val="0"/>
        <w:rPr>
          <w:rFonts w:hint="default" w:ascii="Times New Roman" w:hAnsi="Times New Roman" w:eastAsia="黑体" w:cs="Times New Roman"/>
          <w:snapToGrid w:val="0"/>
          <w:sz w:val="30"/>
          <w:szCs w:val="30"/>
        </w:rPr>
      </w:pPr>
      <w:r>
        <w:rPr>
          <w:rFonts w:hint="default" w:ascii="Times New Roman" w:hAnsi="Times New Roman" w:eastAsia="黑体" w:cs="Times New Roman"/>
          <w:snapToGrid w:val="0"/>
          <w:sz w:val="36"/>
          <w:szCs w:val="36"/>
        </w:rPr>
        <w:br w:type="page"/>
      </w:r>
      <w:r>
        <w:rPr>
          <w:rFonts w:hint="default" w:ascii="Times New Roman" w:hAnsi="Times New Roman" w:eastAsia="黑体" w:cs="Times New Roman"/>
          <w:snapToGrid w:val="0"/>
          <w:sz w:val="30"/>
          <w:szCs w:val="30"/>
        </w:rPr>
        <w:t>四、主要环境影响和保护措施</w:t>
      </w:r>
    </w:p>
    <w:tbl>
      <w:tblPr>
        <w:tblStyle w:val="22"/>
        <w:tblW w:w="890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07"/>
        <w:gridCol w:w="8399"/>
      </w:tblGrid>
      <w:tr w14:paraId="0F6486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44" w:hRule="atLeast"/>
          <w:jc w:val="center"/>
        </w:trPr>
        <w:tc>
          <w:tcPr>
            <w:tcW w:w="507" w:type="dxa"/>
            <w:noWrap w:val="0"/>
            <w:tcMar>
              <w:left w:w="28" w:type="dxa"/>
              <w:right w:w="28" w:type="dxa"/>
            </w:tcMar>
            <w:vAlign w:val="center"/>
          </w:tcPr>
          <w:p w14:paraId="76D2870E">
            <w:pPr>
              <w:pStyle w:val="19"/>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施工</w:t>
            </w:r>
          </w:p>
          <w:p w14:paraId="29D99E5D">
            <w:pPr>
              <w:pStyle w:val="19"/>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期环</w:t>
            </w:r>
          </w:p>
          <w:p w14:paraId="77FB7C75">
            <w:pPr>
              <w:pStyle w:val="19"/>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境保</w:t>
            </w:r>
          </w:p>
          <w:p w14:paraId="446668FB">
            <w:pPr>
              <w:pStyle w:val="19"/>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护措</w:t>
            </w:r>
          </w:p>
          <w:p w14:paraId="7D74EE09">
            <w:pPr>
              <w:pStyle w:val="19"/>
              <w:adjustRightInd w:val="0"/>
              <w:snapToGrid w:val="0"/>
              <w:spacing w:before="0" w:beforeAutospacing="0" w:after="0" w:afterAutospacing="0"/>
              <w:jc w:val="center"/>
              <w:rPr>
                <w:rFonts w:hint="default" w:ascii="Times New Roman" w:hAnsi="Times New Roman" w:cs="Times New Roman"/>
                <w:bCs/>
                <w:kern w:val="2"/>
                <w:sz w:val="21"/>
                <w:szCs w:val="21"/>
              </w:rPr>
            </w:pPr>
            <w:r>
              <w:rPr>
                <w:rFonts w:hint="default" w:ascii="Times New Roman" w:hAnsi="Times New Roman" w:cs="Times New Roman"/>
                <w:kern w:val="2"/>
                <w:sz w:val="21"/>
                <w:szCs w:val="21"/>
              </w:rPr>
              <w:t>施</w:t>
            </w:r>
          </w:p>
        </w:tc>
        <w:tc>
          <w:tcPr>
            <w:tcW w:w="8399" w:type="dxa"/>
            <w:noWrap w:val="0"/>
            <w:vAlign w:val="center"/>
          </w:tcPr>
          <w:p w14:paraId="22509CFD">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本项目施工期主要进行</w:t>
            </w:r>
            <w:r>
              <w:rPr>
                <w:rFonts w:hint="eastAsia" w:cs="Times New Roman"/>
                <w:sz w:val="24"/>
                <w:szCs w:val="20"/>
                <w:lang w:val="en-US" w:eastAsia="zh-CN"/>
              </w:rPr>
              <w:t>生产线</w:t>
            </w:r>
            <w:r>
              <w:rPr>
                <w:rFonts w:hint="default" w:ascii="Times New Roman" w:hAnsi="Times New Roman" w:cs="Times New Roman"/>
                <w:sz w:val="24"/>
                <w:szCs w:val="20"/>
              </w:rPr>
              <w:t>建设，</w:t>
            </w:r>
            <w:r>
              <w:rPr>
                <w:rFonts w:hint="eastAsia" w:cs="Times New Roman"/>
                <w:sz w:val="24"/>
                <w:szCs w:val="20"/>
                <w:lang w:val="en-US" w:eastAsia="zh-CN"/>
              </w:rPr>
              <w:t>主要建设</w:t>
            </w:r>
            <w:r>
              <w:rPr>
                <w:rFonts w:hint="default" w:ascii="Times New Roman" w:hAnsi="Times New Roman" w:cs="Times New Roman"/>
                <w:sz w:val="24"/>
                <w:szCs w:val="20"/>
              </w:rPr>
              <w:t>封闭式</w:t>
            </w:r>
            <w:r>
              <w:rPr>
                <w:rFonts w:hint="eastAsia" w:ascii="Times New Roman" w:hAnsi="Times New Roman" w:cs="Times New Roman"/>
                <w:sz w:val="24"/>
                <w:szCs w:val="20"/>
                <w:lang w:eastAsia="zh-CN"/>
              </w:rPr>
              <w:t>厂房</w:t>
            </w:r>
            <w:r>
              <w:rPr>
                <w:rFonts w:hint="default" w:ascii="Times New Roman" w:hAnsi="Times New Roman" w:cs="Times New Roman"/>
                <w:sz w:val="24"/>
                <w:szCs w:val="20"/>
              </w:rPr>
              <w:t>建设、沉淀池、</w:t>
            </w:r>
            <w:r>
              <w:rPr>
                <w:rFonts w:hint="eastAsia" w:cs="Times New Roman"/>
                <w:sz w:val="24"/>
                <w:szCs w:val="20"/>
                <w:lang w:val="en-US" w:eastAsia="zh-CN"/>
              </w:rPr>
              <w:t>中水回用罐（泥浆罐）</w:t>
            </w:r>
            <w:r>
              <w:rPr>
                <w:rFonts w:hint="default" w:ascii="Times New Roman" w:hAnsi="Times New Roman" w:cs="Times New Roman"/>
                <w:sz w:val="24"/>
                <w:szCs w:val="20"/>
              </w:rPr>
              <w:t>等设施建设，施工期主要环境影响及保护措施如下：</w:t>
            </w:r>
          </w:p>
          <w:p w14:paraId="489B070D">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（1）废气</w:t>
            </w:r>
          </w:p>
          <w:p w14:paraId="2377E6F1">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施工期对大气环境的影响主要为施工扬尘、运输车辆汽车尾气。施工扬尘主要是车辆运输过程中引起的地面扬尘和装修材料搬运过程中的扬尘，扬尘经降低车速，轻拿轻放材料，保持地面清洁措施处理后，可有效降低扬尘浓度；运输车辆的汽车尾气其特点是排放量小，且属间断性无组织排放，由于这一特点，加之场地较开阔，扩散条件良好，汽车尾气不会对周围大气环境产生明显不利影响。</w:t>
            </w:r>
          </w:p>
          <w:p w14:paraId="133E2A00">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本项目施工期扬尘具体治理措施：</w:t>
            </w:r>
          </w:p>
          <w:p w14:paraId="6F1824FC">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施工现场架设2～3米高围挡，封闭施工现场，以减少基础工程施工产生的粉尘飞扬现象，定期对地面洒水，对撒落在路面的渣土尽快清除。施工期间控制施工车辆的行车速度，在施工场地出入口设置防尘垫，临时弃土堆场需采用防尘网覆盖，在采取</w:t>
            </w:r>
            <w:r>
              <w:rPr>
                <w:rFonts w:hint="eastAsia" w:cs="Times New Roman"/>
                <w:sz w:val="24"/>
                <w:szCs w:val="20"/>
                <w:lang w:eastAsia="zh-CN"/>
              </w:rPr>
              <w:t>以上</w:t>
            </w:r>
            <w:r>
              <w:rPr>
                <w:rFonts w:hint="default" w:ascii="Times New Roman" w:hAnsi="Times New Roman" w:cs="Times New Roman"/>
                <w:sz w:val="24"/>
                <w:szCs w:val="20"/>
              </w:rPr>
              <w:t>措施的同时，施工单位还应严格依照“六不准、六必须”及严格执行《四川省建筑工程扬尘污染防治技术导则（试行）</w:t>
            </w:r>
            <w:r>
              <w:rPr>
                <w:rFonts w:hint="eastAsia" w:ascii="Times New Roman" w:hAnsi="Times New Roman" w:cs="Times New Roman"/>
                <w:sz w:val="24"/>
                <w:szCs w:val="20"/>
                <w:lang w:eastAsia="zh-CN"/>
              </w:rPr>
              <w:t>》《</w:t>
            </w:r>
            <w:r>
              <w:rPr>
                <w:rFonts w:hint="default" w:ascii="Times New Roman" w:hAnsi="Times New Roman" w:cs="Times New Roman"/>
                <w:sz w:val="24"/>
                <w:szCs w:val="20"/>
              </w:rPr>
              <w:t>四川省施工场地扬尘排放标准》（DB51/2682-2020）、遂宁市住建局《关于印发〈遂宁市建筑施工扬尘专项治理工作实施方案〉的通知》（遂建函〔2017〕201号）和《遂宁市大气污染防治行动计划实施细则》遂府函</w:t>
            </w:r>
            <w:r>
              <w:rPr>
                <w:rFonts w:hint="eastAsia" w:ascii="Times New Roman" w:hAnsi="Times New Roman" w:cs="Times New Roman"/>
                <w:sz w:val="24"/>
                <w:szCs w:val="20"/>
                <w:lang w:eastAsia="zh-CN"/>
              </w:rPr>
              <w:t>〔</w:t>
            </w:r>
            <w:r>
              <w:rPr>
                <w:rFonts w:hint="default" w:ascii="Times New Roman" w:hAnsi="Times New Roman" w:cs="Times New Roman"/>
                <w:sz w:val="24"/>
                <w:szCs w:val="20"/>
              </w:rPr>
              <w:t>2014</w:t>
            </w:r>
            <w:r>
              <w:rPr>
                <w:rFonts w:hint="eastAsia" w:ascii="Times New Roman" w:hAnsi="Times New Roman" w:cs="Times New Roman"/>
                <w:sz w:val="24"/>
                <w:szCs w:val="20"/>
                <w:lang w:eastAsia="zh-CN"/>
              </w:rPr>
              <w:t>〕</w:t>
            </w:r>
            <w:r>
              <w:rPr>
                <w:rFonts w:hint="default" w:ascii="Times New Roman" w:hAnsi="Times New Roman" w:cs="Times New Roman"/>
                <w:sz w:val="24"/>
                <w:szCs w:val="20"/>
              </w:rPr>
              <w:t>148号文件的相关要求进行施工。通过以上措施，可</w:t>
            </w:r>
            <w:r>
              <w:rPr>
                <w:rFonts w:hint="eastAsia" w:ascii="Times New Roman" w:hAnsi="Times New Roman" w:cs="Times New Roman"/>
                <w:sz w:val="24"/>
                <w:szCs w:val="20"/>
                <w:lang w:eastAsia="zh-CN"/>
              </w:rPr>
              <w:t>有效地降低</w:t>
            </w:r>
            <w:r>
              <w:rPr>
                <w:rFonts w:hint="default" w:ascii="Times New Roman" w:hAnsi="Times New Roman" w:cs="Times New Roman"/>
                <w:sz w:val="24"/>
                <w:szCs w:val="20"/>
              </w:rPr>
              <w:t>粉尘对大气的污染，将粉尘对大气环境的影响控制在允许的范围内。</w:t>
            </w:r>
          </w:p>
          <w:p w14:paraId="14AAC89F">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（2）废水</w:t>
            </w:r>
          </w:p>
          <w:p w14:paraId="68DCE62A">
            <w:pPr>
              <w:spacing w:line="420" w:lineRule="auto"/>
              <w:ind w:firstLine="480" w:firstLineChars="200"/>
              <w:rPr>
                <w:rFonts w:hint="eastAsia" w:ascii="Times New Roman" w:hAnsi="Times New Roman" w:eastAsia="宋体" w:cs="Times New Roman"/>
                <w:sz w:val="24"/>
                <w:szCs w:val="20"/>
                <w:lang w:eastAsia="zh-CN"/>
              </w:rPr>
            </w:pPr>
            <w:r>
              <w:rPr>
                <w:rFonts w:hint="default" w:ascii="Times New Roman" w:hAnsi="Times New Roman" w:cs="Times New Roman"/>
                <w:sz w:val="24"/>
                <w:szCs w:val="20"/>
              </w:rPr>
              <w:t>施工期产生的废水主要是施工人员产生的生活污水和施工废水。</w:t>
            </w:r>
            <w:r>
              <w:rPr>
                <w:rFonts w:hint="eastAsia" w:cs="Times New Roman"/>
                <w:sz w:val="24"/>
                <w:szCs w:val="20"/>
                <w:lang w:eastAsia="zh-CN"/>
              </w:rPr>
              <w:t>生活污水</w:t>
            </w:r>
            <w:r>
              <w:rPr>
                <w:rFonts w:hint="default" w:ascii="Times New Roman" w:hAnsi="Times New Roman" w:cs="Times New Roman"/>
                <w:sz w:val="24"/>
                <w:szCs w:val="20"/>
              </w:rPr>
              <w:t>经过化粪池处理后</w:t>
            </w:r>
            <w:r>
              <w:rPr>
                <w:rFonts w:hint="eastAsia" w:cs="Times New Roman"/>
                <w:sz w:val="24"/>
                <w:szCs w:val="20"/>
                <w:lang w:val="en-US" w:eastAsia="zh-CN"/>
              </w:rPr>
              <w:t>用于农业灌溉</w:t>
            </w:r>
            <w:r>
              <w:rPr>
                <w:rFonts w:hint="default" w:ascii="Times New Roman" w:hAnsi="Times New Roman" w:cs="Times New Roman"/>
                <w:sz w:val="24"/>
                <w:szCs w:val="20"/>
              </w:rPr>
              <w:t>，本项目施工废水经过沉淀池处理后回用不排放。</w:t>
            </w:r>
          </w:p>
          <w:p w14:paraId="3E60EB27">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（3）噪声</w:t>
            </w:r>
          </w:p>
          <w:p w14:paraId="39148F57">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本项目施工期的噪声主要是设备安装时产生的噪声，源强为70~100dB经距离衰减、加强管理、合理安排作业时段等措施后，产生的噪声不会对周围环境产生明显不利影响。利用地形因素，可有效较低噪声对周边环境的影响，因此本项目施工期对环境影响不明显。</w:t>
            </w:r>
          </w:p>
          <w:p w14:paraId="3CBC4EF6">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（4）固废</w:t>
            </w:r>
          </w:p>
          <w:p w14:paraId="67F7CC38">
            <w:pPr>
              <w:spacing w:line="420" w:lineRule="auto"/>
              <w:ind w:firstLine="480" w:firstLineChars="200"/>
              <w:rPr>
                <w:rFonts w:hint="default" w:ascii="Times New Roman" w:hAnsi="Times New Roman" w:cs="Times New Roman"/>
                <w:bCs/>
                <w:sz w:val="24"/>
                <w:szCs w:val="20"/>
              </w:rPr>
            </w:pPr>
            <w:r>
              <w:rPr>
                <w:rFonts w:hint="default" w:ascii="Times New Roman" w:hAnsi="Times New Roman" w:cs="Times New Roman"/>
                <w:bCs/>
                <w:sz w:val="24"/>
                <w:szCs w:val="20"/>
              </w:rPr>
              <w:t>施工期固废主要来源于施工人员产生的生活垃圾。生活垃圾经集中收集后由</w:t>
            </w:r>
            <w:r>
              <w:rPr>
                <w:rFonts w:hint="eastAsia" w:ascii="Times New Roman" w:hAnsi="Times New Roman" w:cs="Times New Roman"/>
                <w:bCs/>
                <w:sz w:val="24"/>
                <w:szCs w:val="20"/>
                <w:lang w:eastAsia="zh-CN"/>
              </w:rPr>
              <w:t>市政</w:t>
            </w:r>
            <w:r>
              <w:rPr>
                <w:rFonts w:hint="default" w:ascii="Times New Roman" w:hAnsi="Times New Roman" w:cs="Times New Roman"/>
                <w:bCs/>
                <w:sz w:val="24"/>
                <w:szCs w:val="20"/>
              </w:rPr>
              <w:t>环卫部门统一处置。</w:t>
            </w:r>
          </w:p>
          <w:p w14:paraId="31A54F5A">
            <w:pPr>
              <w:spacing w:line="420" w:lineRule="auto"/>
              <w:ind w:firstLine="480" w:firstLineChars="200"/>
              <w:jc w:val="left"/>
              <w:rPr>
                <w:rFonts w:hint="default" w:ascii="Times New Roman" w:hAnsi="Times New Roman" w:cs="Times New Roman"/>
                <w:sz w:val="24"/>
                <w:szCs w:val="20"/>
              </w:rPr>
            </w:pPr>
            <w:r>
              <w:rPr>
                <w:rFonts w:hint="default" w:ascii="Times New Roman" w:hAnsi="Times New Roman" w:cs="Times New Roman"/>
                <w:sz w:val="24"/>
                <w:szCs w:val="20"/>
              </w:rPr>
              <w:t>（5）生态环境防治措施</w:t>
            </w:r>
          </w:p>
          <w:p w14:paraId="1A9773EA">
            <w:pPr>
              <w:spacing w:line="420" w:lineRule="auto"/>
              <w:ind w:firstLine="480" w:firstLineChars="200"/>
              <w:rPr>
                <w:rFonts w:hint="default" w:ascii="Times New Roman" w:hAnsi="Times New Roman" w:cs="Times New Roman"/>
                <w:bCs/>
                <w:sz w:val="24"/>
                <w:szCs w:val="20"/>
              </w:rPr>
            </w:pPr>
            <w:r>
              <w:rPr>
                <w:rFonts w:hint="default" w:ascii="Times New Roman" w:hAnsi="Times New Roman" w:cs="Times New Roman"/>
                <w:bCs/>
                <w:sz w:val="24"/>
                <w:szCs w:val="20"/>
              </w:rPr>
              <w:t>本项目</w:t>
            </w:r>
            <w:r>
              <w:rPr>
                <w:rFonts w:hint="eastAsia" w:cs="Times New Roman"/>
                <w:bCs/>
                <w:sz w:val="24"/>
                <w:szCs w:val="20"/>
                <w:lang w:val="en-US" w:eastAsia="zh-CN"/>
              </w:rPr>
              <w:t>占地严格控制在划定的公路用地占地范围内</w:t>
            </w:r>
            <w:r>
              <w:rPr>
                <w:rFonts w:hint="default" w:ascii="Times New Roman" w:hAnsi="Times New Roman" w:cs="Times New Roman"/>
                <w:bCs/>
                <w:sz w:val="24"/>
                <w:szCs w:val="20"/>
              </w:rPr>
              <w:t>，</w:t>
            </w:r>
            <w:r>
              <w:rPr>
                <w:rFonts w:hint="eastAsia" w:cs="Times New Roman"/>
                <w:bCs/>
                <w:sz w:val="24"/>
                <w:szCs w:val="20"/>
                <w:lang w:val="en-US" w:eastAsia="zh-CN"/>
              </w:rPr>
              <w:t>不会超出红线占地</w:t>
            </w:r>
            <w:r>
              <w:rPr>
                <w:rFonts w:hint="default" w:ascii="Times New Roman" w:hAnsi="Times New Roman" w:cs="Times New Roman"/>
                <w:bCs/>
                <w:sz w:val="24"/>
                <w:szCs w:val="20"/>
              </w:rPr>
              <w:t>，因此本项目的建设不会对生态环境造成明显影响。</w:t>
            </w:r>
          </w:p>
          <w:p w14:paraId="6ECFD29A">
            <w:pPr>
              <w:spacing w:line="420" w:lineRule="auto"/>
              <w:ind w:firstLine="380" w:firstLineChars="200"/>
              <w:rPr>
                <w:rFonts w:hint="default" w:ascii="Times New Roman" w:hAnsi="Times New Roman" w:cs="Times New Roman"/>
                <w:bCs/>
                <w:spacing w:val="-10"/>
                <w:szCs w:val="21"/>
              </w:rPr>
            </w:pPr>
          </w:p>
          <w:p w14:paraId="5278EFD1">
            <w:pPr>
              <w:spacing w:line="420" w:lineRule="auto"/>
              <w:ind w:firstLine="380" w:firstLineChars="200"/>
              <w:rPr>
                <w:rFonts w:hint="default" w:ascii="Times New Roman" w:hAnsi="Times New Roman" w:cs="Times New Roman"/>
                <w:bCs/>
                <w:spacing w:val="-10"/>
                <w:szCs w:val="21"/>
              </w:rPr>
            </w:pPr>
          </w:p>
          <w:p w14:paraId="131CA98C">
            <w:pPr>
              <w:spacing w:line="420" w:lineRule="auto"/>
              <w:ind w:firstLine="380" w:firstLineChars="200"/>
              <w:rPr>
                <w:rFonts w:hint="default" w:ascii="Times New Roman" w:hAnsi="Times New Roman" w:cs="Times New Roman"/>
                <w:bCs/>
                <w:spacing w:val="-10"/>
                <w:szCs w:val="21"/>
              </w:rPr>
            </w:pPr>
          </w:p>
          <w:p w14:paraId="405183C1">
            <w:pPr>
              <w:spacing w:line="420" w:lineRule="auto"/>
              <w:ind w:firstLine="380" w:firstLineChars="200"/>
              <w:rPr>
                <w:rFonts w:hint="default" w:ascii="Times New Roman" w:hAnsi="Times New Roman" w:cs="Times New Roman"/>
                <w:bCs/>
                <w:spacing w:val="-10"/>
                <w:szCs w:val="21"/>
              </w:rPr>
            </w:pPr>
          </w:p>
          <w:p w14:paraId="55C35D0C">
            <w:pPr>
              <w:spacing w:line="420" w:lineRule="auto"/>
              <w:ind w:firstLine="380" w:firstLineChars="200"/>
              <w:rPr>
                <w:rFonts w:hint="default" w:ascii="Times New Roman" w:hAnsi="Times New Roman" w:cs="Times New Roman"/>
                <w:bCs/>
                <w:spacing w:val="-10"/>
                <w:szCs w:val="21"/>
              </w:rPr>
            </w:pPr>
          </w:p>
          <w:p w14:paraId="3550994B">
            <w:pPr>
              <w:spacing w:line="420" w:lineRule="auto"/>
              <w:ind w:firstLine="380" w:firstLineChars="200"/>
              <w:rPr>
                <w:rFonts w:hint="default" w:ascii="Times New Roman" w:hAnsi="Times New Roman" w:cs="Times New Roman"/>
                <w:bCs/>
                <w:spacing w:val="-10"/>
                <w:szCs w:val="21"/>
              </w:rPr>
            </w:pPr>
          </w:p>
          <w:p w14:paraId="4B38BF03">
            <w:pPr>
              <w:spacing w:line="420" w:lineRule="auto"/>
              <w:ind w:firstLine="380" w:firstLineChars="200"/>
              <w:rPr>
                <w:rFonts w:hint="default" w:ascii="Times New Roman" w:hAnsi="Times New Roman" w:cs="Times New Roman"/>
                <w:bCs/>
                <w:spacing w:val="-10"/>
                <w:szCs w:val="21"/>
              </w:rPr>
            </w:pPr>
          </w:p>
          <w:p w14:paraId="69420305">
            <w:pPr>
              <w:spacing w:line="420" w:lineRule="auto"/>
              <w:ind w:firstLine="380" w:firstLineChars="200"/>
              <w:rPr>
                <w:rFonts w:hint="default" w:ascii="Times New Roman" w:hAnsi="Times New Roman" w:cs="Times New Roman"/>
                <w:bCs/>
                <w:spacing w:val="-10"/>
                <w:szCs w:val="21"/>
              </w:rPr>
            </w:pPr>
          </w:p>
          <w:p w14:paraId="3E83B01F">
            <w:pPr>
              <w:spacing w:line="420" w:lineRule="auto"/>
              <w:ind w:firstLine="380" w:firstLineChars="200"/>
              <w:rPr>
                <w:rFonts w:hint="default" w:ascii="Times New Roman" w:hAnsi="Times New Roman" w:cs="Times New Roman"/>
                <w:bCs/>
                <w:spacing w:val="-10"/>
                <w:szCs w:val="21"/>
              </w:rPr>
            </w:pPr>
          </w:p>
          <w:p w14:paraId="07F56E7F">
            <w:pPr>
              <w:spacing w:line="420" w:lineRule="auto"/>
              <w:ind w:firstLine="380" w:firstLineChars="200"/>
              <w:rPr>
                <w:rFonts w:hint="default" w:ascii="Times New Roman" w:hAnsi="Times New Roman" w:cs="Times New Roman"/>
                <w:bCs/>
                <w:spacing w:val="-10"/>
                <w:szCs w:val="21"/>
              </w:rPr>
            </w:pPr>
          </w:p>
          <w:p w14:paraId="2D97553B">
            <w:pPr>
              <w:spacing w:line="420" w:lineRule="auto"/>
              <w:ind w:firstLine="380" w:firstLineChars="200"/>
              <w:rPr>
                <w:rFonts w:hint="default" w:ascii="Times New Roman" w:hAnsi="Times New Roman" w:cs="Times New Roman"/>
                <w:bCs/>
                <w:spacing w:val="-10"/>
                <w:szCs w:val="21"/>
              </w:rPr>
            </w:pPr>
          </w:p>
          <w:p w14:paraId="594C8FA6">
            <w:pPr>
              <w:spacing w:line="420" w:lineRule="auto"/>
              <w:ind w:firstLine="380" w:firstLineChars="200"/>
              <w:rPr>
                <w:rFonts w:hint="default" w:ascii="Times New Roman" w:hAnsi="Times New Roman" w:cs="Times New Roman"/>
                <w:bCs/>
                <w:spacing w:val="-10"/>
                <w:szCs w:val="21"/>
              </w:rPr>
            </w:pPr>
          </w:p>
          <w:p w14:paraId="225B5542">
            <w:pPr>
              <w:spacing w:line="420" w:lineRule="auto"/>
              <w:ind w:firstLine="380" w:firstLineChars="200"/>
              <w:rPr>
                <w:rFonts w:hint="default" w:ascii="Times New Roman" w:hAnsi="Times New Roman" w:cs="Times New Roman"/>
                <w:bCs/>
                <w:spacing w:val="-10"/>
                <w:szCs w:val="21"/>
              </w:rPr>
            </w:pPr>
          </w:p>
          <w:p w14:paraId="687EE405">
            <w:pPr>
              <w:spacing w:line="420" w:lineRule="auto"/>
              <w:ind w:firstLine="380" w:firstLineChars="200"/>
              <w:rPr>
                <w:rFonts w:hint="default" w:ascii="Times New Roman" w:hAnsi="Times New Roman" w:cs="Times New Roman"/>
                <w:bCs/>
                <w:spacing w:val="-10"/>
                <w:szCs w:val="21"/>
              </w:rPr>
            </w:pPr>
          </w:p>
        </w:tc>
      </w:tr>
      <w:tr w14:paraId="4CDDA4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10" w:hRule="atLeast"/>
          <w:jc w:val="center"/>
        </w:trPr>
        <w:tc>
          <w:tcPr>
            <w:tcW w:w="507" w:type="dxa"/>
            <w:noWrap w:val="0"/>
            <w:tcMar>
              <w:left w:w="28" w:type="dxa"/>
              <w:right w:w="28" w:type="dxa"/>
            </w:tcMar>
            <w:vAlign w:val="center"/>
          </w:tcPr>
          <w:p w14:paraId="2DB5616C">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运营</w:t>
            </w:r>
          </w:p>
          <w:p w14:paraId="71848175">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期环</w:t>
            </w:r>
          </w:p>
          <w:p w14:paraId="73D889F7">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境影</w:t>
            </w:r>
          </w:p>
          <w:p w14:paraId="7BC91BD1">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响和</w:t>
            </w:r>
          </w:p>
          <w:p w14:paraId="64C5978D">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保护</w:t>
            </w:r>
          </w:p>
          <w:p w14:paraId="46F99A9F">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措施</w:t>
            </w:r>
          </w:p>
        </w:tc>
        <w:tc>
          <w:tcPr>
            <w:tcW w:w="8399" w:type="dxa"/>
            <w:noWrap w:val="0"/>
            <w:vAlign w:val="center"/>
          </w:tcPr>
          <w:p w14:paraId="5EDA0171">
            <w:pPr>
              <w:spacing w:line="420" w:lineRule="auto"/>
              <w:ind w:firstLine="482" w:firstLineChars="200"/>
              <w:rPr>
                <w:rFonts w:hint="default" w:ascii="Times New Roman" w:hAnsi="Times New Roman" w:cs="Times New Roman"/>
                <w:b/>
                <w:bCs/>
                <w:sz w:val="24"/>
                <w:szCs w:val="20"/>
              </w:rPr>
            </w:pPr>
            <w:r>
              <w:rPr>
                <w:rFonts w:hint="default" w:ascii="Times New Roman" w:hAnsi="Times New Roman" w:cs="Times New Roman"/>
                <w:b/>
                <w:bCs/>
                <w:sz w:val="24"/>
                <w:szCs w:val="20"/>
              </w:rPr>
              <w:t>1、废气排放及治理措施</w:t>
            </w:r>
          </w:p>
          <w:p w14:paraId="7A33D6EF">
            <w:pPr>
              <w:spacing w:line="420" w:lineRule="auto"/>
              <w:ind w:firstLine="511" w:firstLineChars="212"/>
              <w:rPr>
                <w:rFonts w:hint="default" w:ascii="Times New Roman" w:hAnsi="Times New Roman" w:cs="Times New Roman"/>
                <w:b/>
                <w:bCs/>
                <w:snapToGrid w:val="0"/>
                <w:kern w:val="0"/>
                <w:sz w:val="24"/>
                <w:szCs w:val="22"/>
              </w:rPr>
            </w:pPr>
            <w:r>
              <w:rPr>
                <w:rFonts w:hint="default" w:ascii="Times New Roman" w:hAnsi="Times New Roman" w:cs="Times New Roman"/>
                <w:b/>
                <w:bCs/>
                <w:snapToGrid w:val="0"/>
                <w:kern w:val="0"/>
                <w:sz w:val="24"/>
                <w:szCs w:val="22"/>
              </w:rPr>
              <w:t>（1）产污节点与治理措施</w:t>
            </w:r>
          </w:p>
          <w:p w14:paraId="0D8C9288">
            <w:pPr>
              <w:spacing w:line="420" w:lineRule="auto"/>
              <w:ind w:firstLine="511" w:firstLineChars="212"/>
              <w:rPr>
                <w:rFonts w:hint="default" w:ascii="Times New Roman" w:hAnsi="Times New Roman" w:cs="Times New Roman"/>
                <w:b/>
                <w:bCs/>
                <w:snapToGrid w:val="0"/>
                <w:kern w:val="0"/>
                <w:sz w:val="24"/>
                <w:szCs w:val="22"/>
              </w:rPr>
            </w:pPr>
            <w:r>
              <w:rPr>
                <w:rFonts w:hint="default" w:ascii="Times New Roman" w:hAnsi="Times New Roman" w:cs="Times New Roman"/>
                <w:b/>
                <w:bCs/>
                <w:snapToGrid w:val="0"/>
                <w:kern w:val="0"/>
                <w:sz w:val="24"/>
                <w:szCs w:val="22"/>
              </w:rPr>
              <w:t>①产生节点</w:t>
            </w:r>
          </w:p>
          <w:p w14:paraId="46AAF6A3">
            <w:pPr>
              <w:spacing w:line="420" w:lineRule="auto"/>
              <w:ind w:firstLine="508" w:firstLineChars="212"/>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本项目营运期主要废气产污环节为：砂石卸料粉尘、</w:t>
            </w:r>
            <w:r>
              <w:rPr>
                <w:rFonts w:hint="eastAsia" w:cs="Times New Roman"/>
                <w:snapToGrid w:val="0"/>
                <w:kern w:val="0"/>
                <w:sz w:val="24"/>
                <w:szCs w:val="22"/>
                <w:lang w:eastAsia="zh-CN"/>
              </w:rPr>
              <w:t>原料</w:t>
            </w:r>
            <w:r>
              <w:rPr>
                <w:rFonts w:hint="default" w:ascii="Times New Roman" w:hAnsi="Times New Roman" w:cs="Times New Roman"/>
                <w:snapToGrid w:val="0"/>
                <w:kern w:val="0"/>
                <w:sz w:val="24"/>
                <w:szCs w:val="22"/>
              </w:rPr>
              <w:t>堆场粉尘，砂石</w:t>
            </w:r>
            <w:r>
              <w:rPr>
                <w:rFonts w:hint="eastAsia" w:cs="Times New Roman"/>
                <w:snapToGrid w:val="0"/>
                <w:kern w:val="0"/>
                <w:sz w:val="24"/>
                <w:szCs w:val="22"/>
                <w:lang w:eastAsia="zh-CN"/>
              </w:rPr>
              <w:t>上料粉尘、破碎、筛分</w:t>
            </w:r>
            <w:r>
              <w:rPr>
                <w:rFonts w:hint="eastAsia" w:cs="Times New Roman"/>
                <w:snapToGrid w:val="0"/>
                <w:kern w:val="0"/>
                <w:sz w:val="24"/>
                <w:szCs w:val="22"/>
                <w:lang w:val="en-US" w:eastAsia="zh-CN"/>
              </w:rPr>
              <w:t>生产粉尘</w:t>
            </w:r>
            <w:r>
              <w:rPr>
                <w:rFonts w:hint="default" w:ascii="Times New Roman" w:hAnsi="Times New Roman" w:cs="Times New Roman"/>
                <w:snapToGrid w:val="0"/>
                <w:kern w:val="0"/>
                <w:sz w:val="24"/>
                <w:szCs w:val="22"/>
              </w:rPr>
              <w:t>、</w:t>
            </w:r>
            <w:r>
              <w:rPr>
                <w:rFonts w:hint="eastAsia" w:cs="Times New Roman"/>
                <w:snapToGrid w:val="0"/>
                <w:kern w:val="0"/>
                <w:sz w:val="24"/>
                <w:szCs w:val="22"/>
                <w:lang w:eastAsia="zh-CN"/>
              </w:rPr>
              <w:t>成品堆场</w:t>
            </w:r>
            <w:r>
              <w:rPr>
                <w:rFonts w:hint="default" w:ascii="Times New Roman" w:hAnsi="Times New Roman" w:cs="Times New Roman"/>
                <w:snapToGrid w:val="0"/>
                <w:kern w:val="0"/>
                <w:sz w:val="24"/>
                <w:szCs w:val="22"/>
              </w:rPr>
              <w:t>起尘</w:t>
            </w:r>
            <w:r>
              <w:rPr>
                <w:rFonts w:hint="eastAsia" w:cs="Times New Roman"/>
                <w:snapToGrid w:val="0"/>
                <w:kern w:val="0"/>
                <w:sz w:val="24"/>
                <w:szCs w:val="22"/>
                <w:lang w:eastAsia="zh-CN"/>
              </w:rPr>
              <w:t>、厂内运输粉尘</w:t>
            </w:r>
            <w:r>
              <w:rPr>
                <w:rFonts w:hint="default" w:ascii="Times New Roman" w:hAnsi="Times New Roman" w:cs="Times New Roman"/>
                <w:snapToGrid w:val="0"/>
                <w:kern w:val="0"/>
                <w:sz w:val="24"/>
                <w:szCs w:val="22"/>
              </w:rPr>
              <w:t>。</w:t>
            </w:r>
          </w:p>
          <w:p w14:paraId="2634774B">
            <w:pPr>
              <w:spacing w:line="420" w:lineRule="auto"/>
              <w:ind w:firstLine="511" w:firstLineChars="212"/>
              <w:rPr>
                <w:rFonts w:hint="default" w:ascii="Times New Roman" w:hAnsi="Times New Roman" w:cs="Times New Roman"/>
                <w:b/>
                <w:bCs/>
                <w:snapToGrid w:val="0"/>
                <w:kern w:val="0"/>
                <w:sz w:val="24"/>
                <w:szCs w:val="22"/>
              </w:rPr>
            </w:pPr>
            <w:r>
              <w:rPr>
                <w:rFonts w:hint="default" w:ascii="Times New Roman" w:hAnsi="Times New Roman" w:cs="Times New Roman"/>
                <w:b/>
                <w:bCs/>
                <w:snapToGrid w:val="0"/>
                <w:kern w:val="0"/>
                <w:sz w:val="24"/>
                <w:szCs w:val="22"/>
              </w:rPr>
              <w:t>②治理措施</w:t>
            </w:r>
          </w:p>
          <w:p w14:paraId="75C02E67">
            <w:pPr>
              <w:numPr>
                <w:ilvl w:val="0"/>
                <w:numId w:val="2"/>
              </w:numPr>
              <w:spacing w:line="420" w:lineRule="auto"/>
              <w:ind w:firstLine="508" w:firstLineChars="212"/>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砂石卸料粉尘</w:t>
            </w:r>
          </w:p>
          <w:p w14:paraId="34BD6859">
            <w:pPr>
              <w:pStyle w:val="2"/>
              <w:spacing w:before="0" w:after="0" w:line="420" w:lineRule="auto"/>
              <w:ind w:firstLine="720" w:firstLineChars="300"/>
              <w:rPr>
                <w:rFonts w:hint="default"/>
              </w:rPr>
            </w:pPr>
            <w:r>
              <w:rPr>
                <w:rFonts w:hint="default" w:ascii="Times New Roman" w:hAnsi="Times New Roman" w:cs="Times New Roman"/>
                <w:snapToGrid w:val="0"/>
                <w:sz w:val="24"/>
                <w:szCs w:val="22"/>
              </w:rPr>
              <w:t>本项目在</w:t>
            </w:r>
            <w:r>
              <w:rPr>
                <w:rFonts w:hint="eastAsia" w:cs="Times New Roman"/>
                <w:snapToGrid w:val="0"/>
                <w:sz w:val="24"/>
                <w:szCs w:val="22"/>
                <w:lang w:val="en-US" w:eastAsia="zh-CN"/>
              </w:rPr>
              <w:t>原料</w:t>
            </w:r>
            <w:r>
              <w:rPr>
                <w:rFonts w:hint="default" w:ascii="Times New Roman" w:hAnsi="Times New Roman" w:cs="Times New Roman"/>
                <w:snapToGrid w:val="0"/>
                <w:sz w:val="24"/>
                <w:szCs w:val="22"/>
              </w:rPr>
              <w:t>堆场设置</w:t>
            </w:r>
            <w:r>
              <w:rPr>
                <w:rFonts w:hint="eastAsia" w:cs="Times New Roman"/>
                <w:snapToGrid w:val="0"/>
                <w:sz w:val="24"/>
                <w:szCs w:val="22"/>
                <w:lang w:val="en-US" w:eastAsia="zh-CN"/>
              </w:rPr>
              <w:t>喷淋除尘系统</w:t>
            </w:r>
            <w:r>
              <w:rPr>
                <w:rFonts w:hint="default" w:ascii="Times New Roman" w:hAnsi="Times New Roman" w:cs="Times New Roman"/>
                <w:snapToGrid w:val="0"/>
                <w:sz w:val="24"/>
                <w:szCs w:val="22"/>
              </w:rPr>
              <w:t>，对砂石卸料时，喷雾降尘，控制粉尘的产生量</w:t>
            </w:r>
            <w:r>
              <w:rPr>
                <w:rFonts w:hint="default" w:ascii="Times New Roman" w:hAnsi="Times New Roman" w:cs="Times New Roman"/>
                <w:snapToGrid w:val="0"/>
                <w:sz w:val="24"/>
                <w:szCs w:val="22"/>
                <w:lang w:eastAsia="zh-CN"/>
              </w:rPr>
              <w:t>，</w:t>
            </w:r>
            <w:r>
              <w:rPr>
                <w:rFonts w:hint="eastAsia" w:cs="Times New Roman"/>
                <w:snapToGrid w:val="0"/>
                <w:sz w:val="24"/>
                <w:szCs w:val="22"/>
                <w:lang w:val="en-US" w:eastAsia="zh-CN"/>
              </w:rPr>
              <w:t>同时</w:t>
            </w:r>
            <w:r>
              <w:rPr>
                <w:rFonts w:hint="default" w:ascii="Times New Roman" w:hAnsi="Times New Roman" w:cs="Times New Roman"/>
                <w:snapToGrid w:val="0"/>
                <w:color w:val="auto"/>
                <w:sz w:val="24"/>
                <w:szCs w:val="22"/>
                <w:lang w:eastAsia="zh-CN"/>
              </w:rPr>
              <w:t>堆场</w:t>
            </w:r>
            <w:r>
              <w:rPr>
                <w:rFonts w:hint="eastAsia" w:ascii="Times New Roman" w:hAnsi="Times New Roman" w:cs="Times New Roman"/>
                <w:snapToGrid w:val="0"/>
                <w:color w:val="auto"/>
                <w:sz w:val="24"/>
                <w:szCs w:val="22"/>
                <w:lang w:eastAsia="zh-CN"/>
              </w:rPr>
              <w:t>设置在全封闭的车间内</w:t>
            </w:r>
            <w:r>
              <w:rPr>
                <w:rFonts w:hint="default" w:ascii="Times New Roman" w:hAnsi="Times New Roman" w:cs="Times New Roman"/>
                <w:snapToGrid w:val="0"/>
                <w:color w:val="auto"/>
                <w:sz w:val="24"/>
                <w:szCs w:val="22"/>
              </w:rPr>
              <w:t>。</w:t>
            </w:r>
          </w:p>
          <w:p w14:paraId="5A73635A">
            <w:pPr>
              <w:numPr>
                <w:ilvl w:val="0"/>
                <w:numId w:val="2"/>
              </w:numPr>
              <w:spacing w:line="420" w:lineRule="auto"/>
              <w:ind w:firstLine="508" w:firstLineChars="212"/>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堆场粉尘</w:t>
            </w:r>
          </w:p>
          <w:p w14:paraId="5EA7E5D9">
            <w:pPr>
              <w:pStyle w:val="44"/>
              <w:ind w:firstLine="480"/>
              <w:rPr>
                <w:rFonts w:hint="default" w:ascii="Times New Roman" w:hAnsi="Times New Roman" w:cs="Times New Roman"/>
                <w:color w:val="auto"/>
              </w:rPr>
            </w:pPr>
            <w:r>
              <w:rPr>
                <w:rFonts w:hint="default" w:ascii="Times New Roman" w:hAnsi="Times New Roman" w:cs="Times New Roman"/>
                <w:color w:val="auto"/>
              </w:rPr>
              <w:t>本项目</w:t>
            </w:r>
            <w:r>
              <w:rPr>
                <w:rFonts w:hint="eastAsia" w:ascii="Times New Roman" w:hAnsi="Times New Roman" w:cs="Times New Roman"/>
                <w:color w:val="auto"/>
                <w:lang w:val="en-US" w:eastAsia="zh-CN"/>
              </w:rPr>
              <w:t>原料堆场及成品堆场均设置</w:t>
            </w:r>
            <w:r>
              <w:rPr>
                <w:rFonts w:hint="eastAsia" w:ascii="Times New Roman" w:hAnsi="Times New Roman" w:cs="Times New Roman"/>
                <w:color w:val="auto"/>
                <w:lang w:eastAsia="zh-CN"/>
              </w:rPr>
              <w:t>在封闭式车间</w:t>
            </w:r>
            <w:r>
              <w:rPr>
                <w:rFonts w:hint="default" w:ascii="Times New Roman" w:hAnsi="Times New Roman" w:cs="Times New Roman"/>
                <w:color w:val="auto"/>
              </w:rPr>
              <w:t>（出入口除外）</w:t>
            </w:r>
            <w:r>
              <w:rPr>
                <w:rFonts w:hint="default" w:ascii="Times New Roman" w:hAnsi="Times New Roman" w:cs="Times New Roman"/>
                <w:color w:val="auto"/>
                <w:lang w:eastAsia="zh-CN"/>
              </w:rPr>
              <w:t>并设置喷淋除尘设施</w:t>
            </w:r>
            <w:r>
              <w:rPr>
                <w:rFonts w:hint="default" w:ascii="Times New Roman" w:hAnsi="Times New Roman" w:cs="Times New Roman"/>
                <w:color w:val="auto"/>
              </w:rPr>
              <w:t>，利用封闭结构</w:t>
            </w:r>
            <w:r>
              <w:rPr>
                <w:rFonts w:hint="default" w:ascii="Times New Roman" w:hAnsi="Times New Roman" w:cs="Times New Roman"/>
                <w:color w:val="auto"/>
                <w:lang w:eastAsia="zh-CN"/>
              </w:rPr>
              <w:t>及喷淋设施</w:t>
            </w:r>
            <w:r>
              <w:rPr>
                <w:rFonts w:hint="default" w:ascii="Times New Roman" w:hAnsi="Times New Roman" w:cs="Times New Roman"/>
                <w:color w:val="auto"/>
              </w:rPr>
              <w:t>降低扬尘的产生量。</w:t>
            </w:r>
          </w:p>
          <w:p w14:paraId="6C452E1D">
            <w:pPr>
              <w:pStyle w:val="44"/>
              <w:numPr>
                <w:ilvl w:val="0"/>
                <w:numId w:val="2"/>
              </w:numPr>
              <w:ind w:left="0" w:leftChars="0" w:firstLine="508" w:firstLineChars="212"/>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砂石上料粉尘</w:t>
            </w:r>
          </w:p>
          <w:p w14:paraId="3FA9F4C9">
            <w:pPr>
              <w:pStyle w:val="44"/>
              <w:keepNext w:val="0"/>
              <w:keepLines w:val="0"/>
              <w:pageBreakBefore w:val="0"/>
              <w:widowControl w:val="0"/>
              <w:numPr>
                <w:ilvl w:val="0"/>
                <w:numId w:val="0"/>
              </w:numPr>
              <w:kinsoku/>
              <w:wordWrap/>
              <w:overflowPunct/>
              <w:topLinePunct w:val="0"/>
              <w:autoSpaceDE/>
              <w:autoSpaceDN/>
              <w:bidi w:val="0"/>
              <w:adjustRightInd w:val="0"/>
              <w:snapToGrid w:val="0"/>
              <w:ind w:leftChars="0" w:firstLine="480" w:firstLineChars="200"/>
              <w:textAlignment w:val="auto"/>
              <w:rPr>
                <w:rFonts w:hint="eastAsia" w:ascii="Times New Roman" w:hAnsi="Times New Roman" w:cs="Times New Roman"/>
                <w:color w:val="auto"/>
                <w:lang w:val="en-US" w:eastAsia="zh-CN"/>
              </w:rPr>
            </w:pPr>
            <w:r>
              <w:rPr>
                <w:rFonts w:hint="eastAsia" w:ascii="Times New Roman" w:hAnsi="Times New Roman" w:cs="Times New Roman"/>
                <w:b w:val="0"/>
                <w:bCs w:val="0"/>
                <w:snapToGrid w:val="0"/>
                <w:color w:val="auto"/>
                <w:kern w:val="0"/>
                <w:sz w:val="24"/>
                <w:szCs w:val="22"/>
                <w:lang w:eastAsia="zh-CN"/>
              </w:rPr>
              <w:t>上料</w:t>
            </w:r>
            <w:r>
              <w:rPr>
                <w:rFonts w:hint="eastAsia" w:cs="Times New Roman"/>
                <w:b w:val="0"/>
                <w:bCs w:val="0"/>
                <w:snapToGrid w:val="0"/>
                <w:color w:val="auto"/>
                <w:kern w:val="0"/>
                <w:sz w:val="24"/>
                <w:szCs w:val="22"/>
                <w:lang w:val="en-US" w:eastAsia="zh-CN"/>
              </w:rPr>
              <w:t>地仓</w:t>
            </w:r>
            <w:r>
              <w:rPr>
                <w:rFonts w:hint="default" w:ascii="Times New Roman" w:hAnsi="Times New Roman" w:cs="Times New Roman"/>
                <w:b w:val="0"/>
                <w:bCs w:val="0"/>
                <w:snapToGrid w:val="0"/>
                <w:color w:val="auto"/>
                <w:kern w:val="0"/>
                <w:sz w:val="24"/>
                <w:szCs w:val="22"/>
                <w:lang w:eastAsia="zh-CN"/>
              </w:rPr>
              <w:t>上方设置喷淋除尘装置</w:t>
            </w:r>
            <w:r>
              <w:rPr>
                <w:rFonts w:hint="default" w:ascii="Times New Roman" w:hAnsi="Times New Roman" w:cs="Times New Roman"/>
                <w:b w:val="0"/>
                <w:bCs w:val="0"/>
                <w:snapToGrid w:val="0"/>
                <w:color w:val="auto"/>
                <w:kern w:val="0"/>
                <w:sz w:val="24"/>
                <w:szCs w:val="22"/>
              </w:rPr>
              <w:t>，上料过程中启动</w:t>
            </w:r>
            <w:r>
              <w:rPr>
                <w:rFonts w:hint="eastAsia" w:cs="Times New Roman"/>
                <w:b w:val="0"/>
                <w:bCs w:val="0"/>
                <w:snapToGrid w:val="0"/>
                <w:color w:val="auto"/>
                <w:kern w:val="0"/>
                <w:sz w:val="24"/>
                <w:szCs w:val="22"/>
                <w:lang w:val="en-US" w:eastAsia="zh-CN"/>
              </w:rPr>
              <w:t>喷淋系统</w:t>
            </w:r>
            <w:r>
              <w:rPr>
                <w:rFonts w:hint="default" w:ascii="Times New Roman" w:hAnsi="Times New Roman" w:cs="Times New Roman"/>
                <w:b w:val="0"/>
                <w:bCs w:val="0"/>
                <w:snapToGrid w:val="0"/>
                <w:color w:val="auto"/>
                <w:kern w:val="0"/>
                <w:sz w:val="24"/>
                <w:szCs w:val="22"/>
              </w:rPr>
              <w:t>除尘</w:t>
            </w:r>
            <w:r>
              <w:rPr>
                <w:rFonts w:hint="default" w:ascii="Times New Roman" w:hAnsi="Times New Roman" w:cs="Times New Roman"/>
                <w:b w:val="0"/>
                <w:bCs w:val="0"/>
                <w:snapToGrid w:val="0"/>
                <w:color w:val="auto"/>
                <w:kern w:val="0"/>
                <w:sz w:val="24"/>
                <w:szCs w:val="22"/>
                <w:lang w:eastAsia="zh-CN"/>
              </w:rPr>
              <w:t>，</w:t>
            </w:r>
            <w:r>
              <w:rPr>
                <w:rFonts w:hint="default" w:ascii="Times New Roman" w:hAnsi="Times New Roman" w:cs="Times New Roman"/>
                <w:b w:val="0"/>
                <w:bCs w:val="0"/>
                <w:snapToGrid w:val="0"/>
                <w:color w:val="auto"/>
                <w:kern w:val="0"/>
                <w:sz w:val="24"/>
                <w:szCs w:val="22"/>
              </w:rPr>
              <w:t>同时加强物料湿润</w:t>
            </w:r>
            <w:r>
              <w:rPr>
                <w:rFonts w:hint="eastAsia" w:ascii="Times New Roman" w:hAnsi="Times New Roman" w:cs="Times New Roman"/>
                <w:b w:val="0"/>
                <w:bCs w:val="0"/>
                <w:snapToGrid w:val="0"/>
                <w:color w:val="auto"/>
                <w:kern w:val="0"/>
                <w:sz w:val="24"/>
                <w:szCs w:val="22"/>
                <w:lang w:eastAsia="zh-CN"/>
              </w:rPr>
              <w:t>，上料</w:t>
            </w:r>
            <w:r>
              <w:rPr>
                <w:rFonts w:hint="eastAsia" w:cs="Times New Roman"/>
                <w:b w:val="0"/>
                <w:bCs w:val="0"/>
                <w:snapToGrid w:val="0"/>
                <w:color w:val="auto"/>
                <w:kern w:val="0"/>
                <w:sz w:val="24"/>
                <w:szCs w:val="22"/>
                <w:lang w:val="en-US" w:eastAsia="zh-CN"/>
              </w:rPr>
              <w:t>地仓</w:t>
            </w:r>
            <w:r>
              <w:rPr>
                <w:rFonts w:hint="eastAsia" w:ascii="Times New Roman" w:hAnsi="Times New Roman" w:cs="Times New Roman"/>
                <w:b w:val="0"/>
                <w:bCs w:val="0"/>
                <w:snapToGrid w:val="0"/>
                <w:color w:val="auto"/>
                <w:kern w:val="0"/>
                <w:sz w:val="24"/>
                <w:szCs w:val="22"/>
                <w:lang w:eastAsia="zh-CN"/>
              </w:rPr>
              <w:t>设置在封闭的车间内</w:t>
            </w:r>
            <w:r>
              <w:rPr>
                <w:rFonts w:hint="default" w:ascii="Times New Roman" w:hAnsi="Times New Roman" w:cs="Times New Roman"/>
                <w:b w:val="0"/>
                <w:bCs w:val="0"/>
                <w:snapToGrid w:val="0"/>
                <w:color w:val="auto"/>
                <w:kern w:val="0"/>
                <w:sz w:val="24"/>
                <w:szCs w:val="22"/>
              </w:rPr>
              <w:t>，</w:t>
            </w:r>
          </w:p>
          <w:p w14:paraId="113052B1">
            <w:pPr>
              <w:pStyle w:val="44"/>
              <w:bidi w:val="0"/>
              <w:rPr>
                <w:rFonts w:hint="default"/>
              </w:rPr>
            </w:pPr>
            <w:r>
              <w:rPr>
                <w:rFonts w:hint="eastAsia"/>
                <w:lang w:val="en-US" w:eastAsia="zh-CN"/>
              </w:rPr>
              <w:t>4）砂石破碎、筛分生产</w:t>
            </w:r>
            <w:r>
              <w:rPr>
                <w:rFonts w:hint="default"/>
              </w:rPr>
              <w:t>粉尘</w:t>
            </w:r>
          </w:p>
          <w:p w14:paraId="45D91CBF">
            <w:pPr>
              <w:pStyle w:val="44"/>
              <w:ind w:firstLine="480"/>
              <w:rPr>
                <w:rFonts w:hint="default" w:ascii="Times New Roman" w:hAnsi="Times New Roman" w:cs="Times New Roman"/>
              </w:rPr>
            </w:pPr>
            <w:r>
              <w:rPr>
                <w:rFonts w:hint="default" w:ascii="Times New Roman" w:hAnsi="Times New Roman" w:cs="Times New Roman"/>
              </w:rPr>
              <w:t>本项目</w:t>
            </w:r>
            <w:r>
              <w:rPr>
                <w:rFonts w:hint="eastAsia" w:ascii="Times New Roman" w:hAnsi="Times New Roman" w:cs="Times New Roman"/>
                <w:lang w:val="en-US" w:eastAsia="zh-CN"/>
              </w:rPr>
              <w:t>连砂石进入上料地仓后经皮带输送至各个破碎、筛分单元进行生产加工</w:t>
            </w:r>
            <w:r>
              <w:rPr>
                <w:rFonts w:hint="default" w:ascii="Times New Roman" w:hAnsi="Times New Roman" w:cs="Times New Roman"/>
              </w:rPr>
              <w:t>，项目</w:t>
            </w:r>
            <w:r>
              <w:rPr>
                <w:rFonts w:hint="eastAsia" w:ascii="Times New Roman" w:hAnsi="Times New Roman" w:cs="Times New Roman"/>
                <w:lang w:val="en-US" w:eastAsia="zh-CN"/>
              </w:rPr>
              <w:t>破碎和筛分均采用湿法加工</w:t>
            </w:r>
            <w:r>
              <w:rPr>
                <w:rFonts w:hint="default" w:ascii="Times New Roman" w:hAnsi="Times New Roman" w:cs="Times New Roman"/>
              </w:rPr>
              <w:t>通过湿润砂石</w:t>
            </w:r>
            <w:r>
              <w:rPr>
                <w:rFonts w:hint="default" w:ascii="Times New Roman" w:hAnsi="Times New Roman" w:cs="Times New Roman"/>
                <w:lang w:eastAsia="zh-CN"/>
              </w:rPr>
              <w:t>、</w:t>
            </w:r>
            <w:r>
              <w:rPr>
                <w:rFonts w:hint="eastAsia" w:ascii="Times New Roman" w:hAnsi="Times New Roman" w:cs="Times New Roman"/>
                <w:lang w:eastAsia="zh-CN"/>
              </w:rPr>
              <w:t>车间</w:t>
            </w:r>
            <w:r>
              <w:rPr>
                <w:rFonts w:hint="default" w:ascii="Times New Roman" w:hAnsi="Times New Roman" w:cs="Times New Roman"/>
                <w:lang w:eastAsia="zh-CN"/>
              </w:rPr>
              <w:t>设施喷淋设施及</w:t>
            </w:r>
            <w:r>
              <w:rPr>
                <w:rFonts w:hint="eastAsia" w:ascii="Times New Roman" w:hAnsi="Times New Roman" w:cs="Times New Roman"/>
                <w:lang w:eastAsia="zh-CN"/>
              </w:rPr>
              <w:t>封闭厂房以</w:t>
            </w:r>
            <w:r>
              <w:rPr>
                <w:rFonts w:hint="default" w:ascii="Times New Roman" w:hAnsi="Times New Roman" w:cs="Times New Roman"/>
              </w:rPr>
              <w:t>降低粉尘的产生强度。</w:t>
            </w:r>
          </w:p>
          <w:p w14:paraId="060A77E4">
            <w:pPr>
              <w:pStyle w:val="44"/>
              <w:ind w:firstLine="480"/>
              <w:rPr>
                <w:rFonts w:hint="default" w:ascii="Times New Roman" w:hAnsi="Times New Roman" w:cs="Times New Roman"/>
              </w:rPr>
            </w:pPr>
            <w:r>
              <w:rPr>
                <w:rFonts w:hint="default" w:ascii="Times New Roman" w:hAnsi="Times New Roman" w:cs="Times New Roman"/>
                <w:snapToGrid w:val="0"/>
                <w:kern w:val="0"/>
                <w:sz w:val="24"/>
                <w:szCs w:val="22"/>
              </w:rPr>
              <w:t>4）</w:t>
            </w:r>
            <w:r>
              <w:rPr>
                <w:rFonts w:hint="default" w:ascii="Times New Roman" w:hAnsi="Times New Roman" w:cs="Times New Roman"/>
              </w:rPr>
              <w:t>运输起尘</w:t>
            </w:r>
          </w:p>
          <w:p w14:paraId="64CCA753">
            <w:pPr>
              <w:pStyle w:val="44"/>
              <w:ind w:firstLine="480"/>
              <w:rPr>
                <w:rFonts w:hint="default" w:ascii="Times New Roman" w:hAnsi="Times New Roman" w:cs="Times New Roman"/>
              </w:rPr>
            </w:pPr>
            <w:r>
              <w:rPr>
                <w:rFonts w:hint="eastAsia" w:ascii="Times New Roman" w:hAnsi="Times New Roman" w:cs="Times New Roman"/>
                <w:lang w:eastAsia="zh-CN"/>
              </w:rPr>
              <w:t>项目通过硬化场地，加强保洁，控制车速，设置洗车设施等措施</w:t>
            </w:r>
            <w:r>
              <w:rPr>
                <w:rFonts w:hint="default" w:ascii="Times New Roman" w:hAnsi="Times New Roman" w:cs="Times New Roman"/>
              </w:rPr>
              <w:t>控制扬尘的产生量。</w:t>
            </w:r>
          </w:p>
          <w:p w14:paraId="492073C4">
            <w:pPr>
              <w:numPr>
                <w:ilvl w:val="0"/>
                <w:numId w:val="3"/>
              </w:numPr>
              <w:spacing w:line="420" w:lineRule="auto"/>
              <w:ind w:firstLine="511" w:firstLineChars="212"/>
              <w:rPr>
                <w:rFonts w:hint="default" w:ascii="Times New Roman" w:hAnsi="Times New Roman" w:cs="Times New Roman"/>
                <w:b/>
                <w:bCs/>
                <w:snapToGrid w:val="0"/>
                <w:kern w:val="0"/>
                <w:sz w:val="24"/>
                <w:szCs w:val="22"/>
              </w:rPr>
            </w:pPr>
            <w:r>
              <w:rPr>
                <w:rFonts w:hint="default" w:ascii="Times New Roman" w:hAnsi="Times New Roman" w:cs="Times New Roman"/>
                <w:b/>
                <w:bCs/>
                <w:snapToGrid w:val="0"/>
                <w:kern w:val="0"/>
                <w:sz w:val="24"/>
                <w:szCs w:val="22"/>
              </w:rPr>
              <w:t>源强核算过程</w:t>
            </w:r>
          </w:p>
          <w:p w14:paraId="513C406A">
            <w:pPr>
              <w:pStyle w:val="2"/>
              <w:keepNext w:val="0"/>
              <w:keepLines w:val="0"/>
              <w:pageBreakBefore w:val="0"/>
              <w:widowControl/>
              <w:numPr>
                <w:ilvl w:val="0"/>
                <w:numId w:val="0"/>
              </w:numPr>
              <w:kinsoku/>
              <w:wordWrap/>
              <w:overflowPunct/>
              <w:topLinePunct w:val="0"/>
              <w:autoSpaceDE/>
              <w:autoSpaceDN/>
              <w:bidi w:val="0"/>
              <w:adjustRightInd/>
              <w:snapToGrid w:val="0"/>
              <w:spacing w:line="420" w:lineRule="auto"/>
              <w:ind w:right="113" w:rightChars="0" w:firstLine="480" w:firstLineChars="200"/>
              <w:textAlignment w:val="auto"/>
              <w:rPr>
                <w:rFonts w:hint="default" w:eastAsia="宋体"/>
                <w:lang w:val="en-US" w:eastAsia="zh-CN"/>
              </w:rPr>
            </w:pPr>
            <w:r>
              <w:rPr>
                <w:rFonts w:hint="eastAsia" w:ascii="Times New Roman" w:hAnsi="Times New Roman" w:eastAsia="宋体" w:cs="Times New Roman"/>
                <w:snapToGrid w:val="0"/>
                <w:kern w:val="0"/>
                <w:sz w:val="24"/>
                <w:szCs w:val="22"/>
                <w:lang w:val="en-US" w:eastAsia="zh-CN" w:bidi="ar-SA"/>
              </w:rPr>
              <w:t>因产排污系数手册对应混凝土生产过程中原料的输送存储统计较为粗略，因此本次环评针对原料的输送和储存产排污核算采用其他公开发表的文献资料的相关内容进行核算，具体如下：</w:t>
            </w:r>
          </w:p>
          <w:p w14:paraId="5877AE00">
            <w:pPr>
              <w:pStyle w:val="2"/>
              <w:ind w:firstLine="482"/>
              <w:rPr>
                <w:rFonts w:hint="default" w:ascii="Times New Roman" w:hAnsi="Times New Roman" w:cs="Times New Roman"/>
                <w:b/>
                <w:bCs/>
                <w:snapToGrid w:val="0"/>
                <w:sz w:val="24"/>
                <w:szCs w:val="22"/>
              </w:rPr>
            </w:pPr>
            <w:r>
              <w:rPr>
                <w:rFonts w:hint="default" w:ascii="Times New Roman" w:hAnsi="Times New Roman" w:cs="Times New Roman"/>
                <w:b/>
                <w:bCs/>
                <w:snapToGrid w:val="0"/>
                <w:sz w:val="24"/>
                <w:szCs w:val="22"/>
              </w:rPr>
              <w:t>①砂石卸料粉尘</w:t>
            </w:r>
          </w:p>
          <w:p w14:paraId="3B03CBF5">
            <w:pPr>
              <w:widowControl/>
              <w:spacing w:line="360" w:lineRule="auto"/>
              <w:ind w:firstLine="480"/>
              <w:jc w:val="left"/>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项目</w:t>
            </w:r>
            <w:r>
              <w:rPr>
                <w:rFonts w:hint="eastAsia" w:cs="Times New Roman"/>
                <w:snapToGrid w:val="0"/>
                <w:kern w:val="0"/>
                <w:sz w:val="24"/>
                <w:szCs w:val="22"/>
                <w:lang w:val="en-US" w:eastAsia="zh-CN"/>
              </w:rPr>
              <w:t>连砂石</w:t>
            </w:r>
            <w:r>
              <w:rPr>
                <w:rFonts w:hint="default" w:ascii="Times New Roman" w:hAnsi="Times New Roman" w:cs="Times New Roman"/>
                <w:snapToGrid w:val="0"/>
                <w:kern w:val="0"/>
                <w:sz w:val="24"/>
                <w:szCs w:val="22"/>
              </w:rPr>
              <w:t>由载重汽车运至本项目原料堆场</w:t>
            </w:r>
            <w:r>
              <w:rPr>
                <w:rFonts w:hint="eastAsia" w:ascii="Times New Roman" w:hAnsi="Times New Roman" w:cs="Times New Roman"/>
                <w:snapToGrid w:val="0"/>
                <w:kern w:val="0"/>
                <w:sz w:val="24"/>
                <w:szCs w:val="22"/>
                <w:lang w:eastAsia="zh-CN"/>
              </w:rPr>
              <w:t>（料仓）</w:t>
            </w:r>
            <w:r>
              <w:rPr>
                <w:rFonts w:hint="default" w:ascii="Times New Roman" w:hAnsi="Times New Roman" w:cs="Times New Roman"/>
                <w:snapToGrid w:val="0"/>
                <w:kern w:val="0"/>
                <w:sz w:val="24"/>
                <w:szCs w:val="22"/>
              </w:rPr>
              <w:t>进行卸料，车辆倾斜卸料过程会产生粉尘，呈无组织排放。项目原料汽车卸料粉尘采用武汉水运工程学院提出的经验公式估算产尘量，经验公式为：</w:t>
            </w:r>
          </w:p>
          <w:p w14:paraId="6FB9B0F0">
            <w:pPr>
              <w:pStyle w:val="48"/>
              <w:jc w:val="center"/>
              <w:rPr>
                <w:rFonts w:hint="default" w:ascii="Times New Roman" w:hAnsi="Times New Roman" w:cs="Times New Roman"/>
                <w:color w:val="auto"/>
              </w:rPr>
            </w:pPr>
            <w:r>
              <w:rPr>
                <w:rFonts w:hint="default" w:ascii="Times New Roman" w:hAnsi="Times New Roman" w:cs="Times New Roman"/>
                <w:color w:val="auto"/>
              </w:rPr>
              <w:drawing>
                <wp:inline distT="0" distB="0" distL="114300" distR="114300">
                  <wp:extent cx="948055" cy="527685"/>
                  <wp:effectExtent l="0" t="0" r="4445" b="5715"/>
                  <wp:docPr id="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3"/>
                          <pic:cNvPicPr>
                            <a:picLocks noChangeAspect="1"/>
                          </pic:cNvPicPr>
                        </pic:nvPicPr>
                        <pic:blipFill>
                          <a:blip r:embed="rId16"/>
                          <a:stretch>
                            <a:fillRect/>
                          </a:stretch>
                        </pic:blipFill>
                        <pic:spPr>
                          <a:xfrm>
                            <a:off x="0" y="0"/>
                            <a:ext cx="948055" cy="527685"/>
                          </a:xfrm>
                          <a:prstGeom prst="rect">
                            <a:avLst/>
                          </a:prstGeom>
                          <a:noFill/>
                          <a:ln>
                            <a:noFill/>
                          </a:ln>
                        </pic:spPr>
                      </pic:pic>
                    </a:graphicData>
                  </a:graphic>
                </wp:inline>
              </w:drawing>
            </w:r>
          </w:p>
          <w:p w14:paraId="081DF1DD">
            <w:pPr>
              <w:widowControl/>
              <w:spacing w:line="420" w:lineRule="auto"/>
              <w:ind w:firstLine="480"/>
              <w:jc w:val="left"/>
              <w:rPr>
                <w:rFonts w:hint="eastAsia" w:ascii="Times New Roman" w:hAnsi="Times New Roman" w:eastAsia="宋体" w:cs="Times New Roman"/>
                <w:sz w:val="24"/>
                <w:lang w:eastAsia="zh-CN"/>
              </w:rPr>
            </w:pPr>
            <w:r>
              <w:rPr>
                <w:rFonts w:hint="default" w:ascii="Times New Roman" w:hAnsi="Times New Roman" w:cs="Times New Roman"/>
                <w:kern w:val="0"/>
                <w:sz w:val="24"/>
              </w:rPr>
              <w:t>式中：Q——卸料起尘量，g/次；</w:t>
            </w:r>
          </w:p>
          <w:p w14:paraId="380B24D3">
            <w:pPr>
              <w:widowControl/>
              <w:spacing w:line="420" w:lineRule="auto"/>
              <w:ind w:firstLine="1200" w:firstLineChars="500"/>
              <w:jc w:val="left"/>
              <w:rPr>
                <w:rFonts w:hint="eastAsia" w:ascii="Times New Roman" w:hAnsi="Times New Roman" w:eastAsia="宋体" w:cs="Times New Roman"/>
                <w:sz w:val="24"/>
                <w:lang w:eastAsia="zh-CN"/>
              </w:rPr>
            </w:pPr>
            <w:r>
              <w:rPr>
                <w:rFonts w:hint="default" w:ascii="Times New Roman" w:hAnsi="Times New Roman" w:cs="Times New Roman"/>
                <w:kern w:val="0"/>
                <w:sz w:val="24"/>
              </w:rPr>
              <w:t>u——平均风速，m/s；</w:t>
            </w:r>
            <w:r>
              <w:rPr>
                <w:rFonts w:hint="eastAsia" w:cs="Times New Roman"/>
                <w:kern w:val="0"/>
                <w:sz w:val="24"/>
                <w:lang w:val="en-US" w:eastAsia="zh-CN"/>
              </w:rPr>
              <w:t>0.5</w:t>
            </w:r>
            <w:r>
              <w:rPr>
                <w:rFonts w:hint="default" w:ascii="Times New Roman" w:hAnsi="Times New Roman" w:cs="Times New Roman"/>
                <w:kern w:val="0"/>
                <w:sz w:val="24"/>
              </w:rPr>
              <w:t>m/s；</w:t>
            </w:r>
          </w:p>
          <w:p w14:paraId="196F9D7F">
            <w:pPr>
              <w:widowControl/>
              <w:spacing w:line="420" w:lineRule="auto"/>
              <w:ind w:firstLine="1200" w:firstLineChars="500"/>
              <w:jc w:val="left"/>
              <w:rPr>
                <w:rFonts w:hint="eastAsia" w:ascii="Times New Roman" w:hAnsi="Times New Roman" w:eastAsia="宋体" w:cs="Times New Roman"/>
                <w:sz w:val="24"/>
                <w:lang w:eastAsia="zh-CN"/>
              </w:rPr>
            </w:pPr>
            <w:r>
              <w:rPr>
                <w:rFonts w:hint="default" w:ascii="Times New Roman" w:hAnsi="Times New Roman" w:cs="Times New Roman"/>
                <w:kern w:val="0"/>
                <w:sz w:val="24"/>
              </w:rPr>
              <w:t>M——汽车载卸量，t；项目取值</w:t>
            </w:r>
            <w:r>
              <w:rPr>
                <w:rFonts w:hint="eastAsia" w:cs="Times New Roman"/>
                <w:kern w:val="0"/>
                <w:sz w:val="24"/>
                <w:lang w:val="en-US" w:eastAsia="zh-CN"/>
              </w:rPr>
              <w:t>3</w:t>
            </w:r>
            <w:r>
              <w:rPr>
                <w:rFonts w:hint="default" w:ascii="Times New Roman" w:hAnsi="Times New Roman" w:cs="Times New Roman"/>
                <w:kern w:val="0"/>
                <w:sz w:val="24"/>
              </w:rPr>
              <w:t>0t。</w:t>
            </w:r>
          </w:p>
          <w:p w14:paraId="3B0B7730">
            <w:pPr>
              <w:pStyle w:val="44"/>
              <w:bidi w:val="0"/>
              <w:rPr>
                <w:rFonts w:hint="eastAsia" w:ascii="Times New Roman" w:hAnsi="Times New Roman" w:eastAsia="宋体" w:cs="Times New Roman"/>
                <w:lang w:eastAsia="zh-CN"/>
              </w:rPr>
            </w:pPr>
            <w:r>
              <w:rPr>
                <w:rFonts w:hint="default" w:ascii="Times New Roman" w:hAnsi="Times New Roman" w:cs="Times New Roman"/>
                <w:snapToGrid w:val="0"/>
                <w:kern w:val="0"/>
                <w:szCs w:val="22"/>
              </w:rPr>
              <w:t>由</w:t>
            </w:r>
            <w:r>
              <w:rPr>
                <w:rFonts w:hint="default" w:ascii="Times New Roman" w:hAnsi="Times New Roman" w:cs="Times New Roman"/>
              </w:rPr>
              <w:t>以上公式计算可知，在不采取任何控尘措施的情况下，卸料起尘量为</w:t>
            </w:r>
            <w:r>
              <w:rPr>
                <w:rFonts w:hint="eastAsia" w:ascii="Times New Roman" w:hAnsi="Times New Roman" w:cs="Times New Roman"/>
                <w:lang w:val="en-US" w:eastAsia="zh-CN"/>
              </w:rPr>
              <w:t>3.0147</w:t>
            </w:r>
            <w:r>
              <w:rPr>
                <w:rFonts w:hint="default" w:ascii="Times New Roman" w:hAnsi="Times New Roman" w:cs="Times New Roman"/>
              </w:rPr>
              <w:t>g/次。本项目砂石料年运输量为</w:t>
            </w:r>
            <w:r>
              <w:rPr>
                <w:rFonts w:hint="eastAsia" w:ascii="Times New Roman" w:hAnsi="Times New Roman" w:cs="Times New Roman"/>
                <w:lang w:val="en-US" w:eastAsia="zh-CN"/>
              </w:rPr>
              <w:t>101</w:t>
            </w:r>
            <w:r>
              <w:rPr>
                <w:rFonts w:hint="default" w:ascii="Times New Roman" w:hAnsi="Times New Roman" w:cs="Times New Roman"/>
              </w:rPr>
              <w:t>万t/a，总运输约</w:t>
            </w:r>
            <w:r>
              <w:rPr>
                <w:rFonts w:hint="eastAsia" w:ascii="Times New Roman" w:hAnsi="Times New Roman" w:cs="Times New Roman"/>
                <w:lang w:val="en-US" w:eastAsia="zh-CN"/>
              </w:rPr>
              <w:t>33667车</w:t>
            </w:r>
            <w:r>
              <w:rPr>
                <w:rFonts w:hint="default" w:ascii="Times New Roman" w:hAnsi="Times New Roman" w:cs="Times New Roman"/>
              </w:rPr>
              <w:t>次，则汽车卸料粉尘年产生量约为</w:t>
            </w:r>
            <w:r>
              <w:rPr>
                <w:rFonts w:hint="eastAsia" w:ascii="Times New Roman" w:hAnsi="Times New Roman" w:cs="Times New Roman"/>
                <w:lang w:val="en-US" w:eastAsia="zh-CN"/>
              </w:rPr>
              <w:t>0.1015</w:t>
            </w:r>
            <w:r>
              <w:rPr>
                <w:rFonts w:hint="default" w:ascii="Times New Roman" w:hAnsi="Times New Roman" w:cs="Times New Roman"/>
              </w:rPr>
              <w:t>/a，产生速率0.</w:t>
            </w:r>
            <w:r>
              <w:rPr>
                <w:rFonts w:hint="eastAsia" w:ascii="Times New Roman" w:hAnsi="Times New Roman" w:cs="Times New Roman"/>
                <w:lang w:val="en-US" w:eastAsia="zh-CN"/>
              </w:rPr>
              <w:t>0308</w:t>
            </w:r>
            <w:r>
              <w:rPr>
                <w:rFonts w:hint="default" w:ascii="Times New Roman" w:hAnsi="Times New Roman" w:cs="Times New Roman"/>
              </w:rPr>
              <w:t>kg/h</w:t>
            </w:r>
            <w:r>
              <w:rPr>
                <w:rFonts w:hint="default" w:ascii="Times New Roman" w:hAnsi="Times New Roman" w:cs="Times New Roman"/>
                <w:lang w:eastAsia="zh-CN"/>
              </w:rPr>
              <w:t>（按</w:t>
            </w:r>
            <w:r>
              <w:rPr>
                <w:rFonts w:hint="eastAsia" w:ascii="Times New Roman" w:hAnsi="Times New Roman" w:cs="Times New Roman"/>
                <w:lang w:val="en-US" w:eastAsia="zh-CN"/>
              </w:rPr>
              <w:t>33</w:t>
            </w:r>
            <w:r>
              <w:rPr>
                <w:rFonts w:hint="default" w:ascii="Times New Roman" w:hAnsi="Times New Roman" w:cs="Times New Roman"/>
                <w:lang w:val="en-US" w:eastAsia="zh-CN"/>
              </w:rPr>
              <w:t>00h砂石运输时间计算</w:t>
            </w:r>
            <w:r>
              <w:rPr>
                <w:rFonts w:hint="default" w:ascii="Times New Roman" w:hAnsi="Times New Roman" w:cs="Times New Roman"/>
                <w:lang w:eastAsia="zh-CN"/>
              </w:rPr>
              <w:t>）</w:t>
            </w:r>
            <w:r>
              <w:rPr>
                <w:rFonts w:hint="default" w:ascii="Times New Roman" w:hAnsi="Times New Roman" w:cs="Times New Roman"/>
              </w:rPr>
              <w:t>。</w:t>
            </w:r>
          </w:p>
          <w:p w14:paraId="38A7FA3A">
            <w:pPr>
              <w:pStyle w:val="44"/>
              <w:bidi w:val="0"/>
              <w:rPr>
                <w:rFonts w:hint="default" w:ascii="Times New Roman" w:hAnsi="Times New Roman" w:cs="Times New Roman"/>
              </w:rPr>
            </w:pPr>
            <w:r>
              <w:rPr>
                <w:rFonts w:hint="default" w:ascii="Times New Roman" w:hAnsi="Times New Roman" w:cs="Times New Roman"/>
              </w:rPr>
              <w:t>本次环评要求在原料堆放区设置</w:t>
            </w:r>
            <w:r>
              <w:rPr>
                <w:rFonts w:hint="eastAsia" w:ascii="Times New Roman" w:hAnsi="Times New Roman" w:cs="Times New Roman"/>
                <w:lang w:val="en-US" w:eastAsia="zh-CN"/>
              </w:rPr>
              <w:t>喷雾除尘系统</w:t>
            </w:r>
            <w:r>
              <w:rPr>
                <w:rFonts w:hint="default" w:ascii="Times New Roman" w:hAnsi="Times New Roman" w:cs="Times New Roman"/>
              </w:rPr>
              <w:t>，砂石料卸料时，启动</w:t>
            </w:r>
            <w:r>
              <w:rPr>
                <w:rFonts w:hint="eastAsia" w:ascii="Times New Roman" w:hAnsi="Times New Roman" w:cs="Times New Roman"/>
                <w:lang w:val="en-US" w:eastAsia="zh-CN"/>
              </w:rPr>
              <w:t>喷雾</w:t>
            </w:r>
            <w:r>
              <w:rPr>
                <w:rFonts w:hint="default" w:ascii="Times New Roman" w:hAnsi="Times New Roman" w:cs="Times New Roman"/>
              </w:rPr>
              <w:t>除尘</w:t>
            </w:r>
            <w:r>
              <w:rPr>
                <w:rFonts w:hint="default" w:ascii="Times New Roman" w:hAnsi="Times New Roman" w:cs="Times New Roman"/>
                <w:lang w:eastAsia="zh-CN"/>
              </w:rPr>
              <w:t>，同</w:t>
            </w:r>
            <w:r>
              <w:rPr>
                <w:rFonts w:hint="default" w:ascii="Times New Roman" w:hAnsi="Times New Roman" w:cs="Times New Roman"/>
                <w:color w:val="auto"/>
                <w:lang w:eastAsia="zh-CN"/>
              </w:rPr>
              <w:t>时砂石料</w:t>
            </w:r>
            <w:r>
              <w:rPr>
                <w:rFonts w:hint="eastAsia" w:ascii="Times New Roman" w:hAnsi="Times New Roman" w:cs="Times New Roman"/>
                <w:color w:val="auto"/>
                <w:lang w:eastAsia="zh-CN"/>
              </w:rPr>
              <w:t>堆场设置在</w:t>
            </w:r>
            <w:r>
              <w:rPr>
                <w:rFonts w:hint="default" w:ascii="Times New Roman" w:hAnsi="Times New Roman" w:cs="Times New Roman"/>
                <w:color w:val="auto"/>
                <w:lang w:eastAsia="zh-CN"/>
              </w:rPr>
              <w:t>全封闭</w:t>
            </w:r>
            <w:r>
              <w:rPr>
                <w:rFonts w:hint="eastAsia" w:ascii="Times New Roman" w:hAnsi="Times New Roman" w:cs="Times New Roman"/>
                <w:color w:val="auto"/>
                <w:lang w:eastAsia="zh-CN"/>
              </w:rPr>
              <w:t>车间内</w:t>
            </w:r>
            <w:r>
              <w:rPr>
                <w:rFonts w:hint="default" w:ascii="Times New Roman" w:hAnsi="Times New Roman" w:cs="Times New Roman"/>
                <w:color w:val="auto"/>
                <w:lang w:eastAsia="zh-CN"/>
              </w:rPr>
              <w:t>，</w:t>
            </w:r>
            <w:r>
              <w:rPr>
                <w:rFonts w:hint="eastAsia" w:ascii="Times New Roman" w:hAnsi="Times New Roman" w:cs="Times New Roman"/>
                <w:color w:val="auto"/>
                <w:lang w:val="en-US" w:eastAsia="zh-CN"/>
              </w:rPr>
              <w:t>可有效控制粉尘外溢。</w:t>
            </w:r>
            <w:r>
              <w:rPr>
                <w:rFonts w:hint="default" w:ascii="Times New Roman" w:hAnsi="Times New Roman" w:cs="Times New Roman"/>
              </w:rPr>
              <w:t>根据经验，采取以上措施后，粉尘消减量可达到</w:t>
            </w:r>
            <w:r>
              <w:rPr>
                <w:rFonts w:hint="eastAsia" w:ascii="Times New Roman" w:hAnsi="Times New Roman" w:cs="Times New Roman"/>
                <w:lang w:val="en-US" w:eastAsia="zh-CN"/>
              </w:rPr>
              <w:t>80</w:t>
            </w:r>
            <w:r>
              <w:rPr>
                <w:rFonts w:hint="default" w:ascii="Times New Roman" w:hAnsi="Times New Roman" w:cs="Times New Roman"/>
              </w:rPr>
              <w:t>%，因此粉尘最大排放量约</w:t>
            </w:r>
            <w:r>
              <w:rPr>
                <w:rFonts w:hint="eastAsia" w:ascii="Times New Roman" w:hAnsi="Times New Roman" w:cs="Times New Roman"/>
                <w:lang w:eastAsia="zh-CN"/>
              </w:rPr>
              <w:t>0.0</w:t>
            </w:r>
            <w:r>
              <w:rPr>
                <w:rFonts w:hint="eastAsia" w:ascii="Times New Roman" w:hAnsi="Times New Roman" w:cs="Times New Roman"/>
                <w:lang w:val="en-US" w:eastAsia="zh-CN"/>
              </w:rPr>
              <w:t>101</w:t>
            </w:r>
            <w:r>
              <w:rPr>
                <w:rFonts w:hint="default" w:ascii="Times New Roman" w:hAnsi="Times New Roman" w:cs="Times New Roman"/>
              </w:rPr>
              <w:t>t/a，最大排放速率为</w:t>
            </w:r>
            <w:r>
              <w:rPr>
                <w:rFonts w:hint="eastAsia" w:ascii="Times New Roman" w:hAnsi="Times New Roman" w:cs="Times New Roman"/>
                <w:lang w:eastAsia="zh-CN"/>
              </w:rPr>
              <w:t>0.00</w:t>
            </w:r>
            <w:r>
              <w:rPr>
                <w:rFonts w:hint="eastAsia" w:ascii="Times New Roman" w:hAnsi="Times New Roman" w:cs="Times New Roman"/>
                <w:lang w:val="en-US" w:eastAsia="zh-CN"/>
              </w:rPr>
              <w:t>21</w:t>
            </w:r>
            <w:r>
              <w:rPr>
                <w:rFonts w:hint="default" w:ascii="Times New Roman" w:hAnsi="Times New Roman" w:cs="Times New Roman"/>
              </w:rPr>
              <w:t>kg/h。</w:t>
            </w:r>
          </w:p>
          <w:p w14:paraId="6B2A7060">
            <w:pPr>
              <w:spacing w:line="420" w:lineRule="auto"/>
              <w:ind w:firstLine="482"/>
              <w:rPr>
                <w:rFonts w:hint="default" w:ascii="Times New Roman" w:hAnsi="Times New Roman" w:cs="Times New Roman"/>
                <w:b/>
                <w:bCs/>
                <w:sz w:val="24"/>
              </w:rPr>
            </w:pPr>
            <w:r>
              <w:rPr>
                <w:rFonts w:hint="default" w:ascii="Times New Roman" w:hAnsi="Times New Roman" w:cs="Times New Roman"/>
                <w:b/>
                <w:bCs/>
                <w:sz w:val="24"/>
              </w:rPr>
              <w:t>②</w:t>
            </w:r>
            <w:r>
              <w:rPr>
                <w:rFonts w:hint="eastAsia" w:cs="Times New Roman"/>
                <w:b/>
                <w:bCs/>
                <w:sz w:val="24"/>
                <w:lang w:val="en-US" w:eastAsia="zh-CN"/>
              </w:rPr>
              <w:t>原料</w:t>
            </w:r>
            <w:r>
              <w:rPr>
                <w:rFonts w:hint="default" w:ascii="Times New Roman" w:hAnsi="Times New Roman" w:cs="Times New Roman"/>
                <w:b/>
                <w:bCs/>
                <w:sz w:val="24"/>
              </w:rPr>
              <w:t>堆场起尘</w:t>
            </w:r>
          </w:p>
          <w:p w14:paraId="000E23BC">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本项目设置砂石料原料堆场一处，</w:t>
            </w:r>
            <w:r>
              <w:rPr>
                <w:rFonts w:hint="eastAsia" w:ascii="Times New Roman" w:hAnsi="Times New Roman" w:cs="Times New Roman"/>
                <w:snapToGrid w:val="0"/>
                <w:kern w:val="0"/>
                <w:sz w:val="24"/>
                <w:szCs w:val="22"/>
                <w:lang w:eastAsia="zh-CN"/>
              </w:rPr>
              <w:t>位于车间内，</w:t>
            </w:r>
            <w:r>
              <w:rPr>
                <w:rFonts w:hint="default" w:ascii="Times New Roman" w:hAnsi="Times New Roman" w:cs="Times New Roman"/>
                <w:snapToGrid w:val="0"/>
                <w:kern w:val="0"/>
                <w:sz w:val="24"/>
                <w:szCs w:val="22"/>
              </w:rPr>
              <w:t>总面积约</w:t>
            </w:r>
            <w:r>
              <w:rPr>
                <w:rFonts w:hint="eastAsia" w:cs="Times New Roman"/>
                <w:snapToGrid w:val="0"/>
                <w:kern w:val="0"/>
                <w:sz w:val="24"/>
                <w:szCs w:val="22"/>
                <w:lang w:val="en-US" w:eastAsia="zh-CN"/>
              </w:rPr>
              <w:t>1200</w:t>
            </w:r>
            <w:r>
              <w:rPr>
                <w:rFonts w:hint="default" w:ascii="Times New Roman" w:hAnsi="Times New Roman" w:cs="Times New Roman"/>
                <w:snapToGrid w:val="0"/>
                <w:kern w:val="0"/>
                <w:sz w:val="24"/>
                <w:szCs w:val="22"/>
              </w:rPr>
              <w:t>㎡，场表面水分蒸发后</w:t>
            </w:r>
            <w:r>
              <w:rPr>
                <w:rFonts w:hint="eastAsia" w:ascii="Times New Roman" w:hAnsi="Times New Roman" w:cs="Times New Roman"/>
                <w:snapToGrid w:val="0"/>
                <w:kern w:val="0"/>
                <w:sz w:val="24"/>
                <w:szCs w:val="22"/>
                <w:lang w:eastAsia="zh-CN"/>
              </w:rPr>
              <w:t>致使</w:t>
            </w:r>
            <w:r>
              <w:rPr>
                <w:rFonts w:hint="default" w:ascii="Times New Roman" w:hAnsi="Times New Roman" w:cs="Times New Roman"/>
                <w:snapToGrid w:val="0"/>
                <w:kern w:val="0"/>
                <w:sz w:val="24"/>
                <w:szCs w:val="22"/>
              </w:rPr>
              <w:t>物料干化，</w:t>
            </w:r>
            <w:r>
              <w:rPr>
                <w:rFonts w:hint="eastAsia" w:ascii="Times New Roman" w:hAnsi="Times New Roman" w:cs="Times New Roman"/>
                <w:snapToGrid w:val="0"/>
                <w:kern w:val="0"/>
                <w:sz w:val="24"/>
                <w:szCs w:val="22"/>
                <w:lang w:eastAsia="zh-CN"/>
              </w:rPr>
              <w:t>遇风时</w:t>
            </w:r>
            <w:r>
              <w:rPr>
                <w:rFonts w:hint="default" w:ascii="Times New Roman" w:hAnsi="Times New Roman" w:cs="Times New Roman"/>
                <w:snapToGrid w:val="0"/>
                <w:kern w:val="0"/>
                <w:sz w:val="24"/>
                <w:szCs w:val="22"/>
              </w:rPr>
              <w:t>会产生扬尘</w:t>
            </w:r>
            <w:r>
              <w:rPr>
                <w:rFonts w:hint="default" w:ascii="Times New Roman" w:hAnsi="Times New Roman" w:cs="Times New Roman"/>
                <w:snapToGrid w:val="0"/>
                <w:color w:val="auto"/>
                <w:kern w:val="0"/>
                <w:sz w:val="24"/>
                <w:szCs w:val="22"/>
              </w:rPr>
              <w:t>。项目已设置四面封闭式</w:t>
            </w:r>
            <w:r>
              <w:rPr>
                <w:rFonts w:hint="eastAsia" w:ascii="Times New Roman" w:hAnsi="Times New Roman" w:cs="Times New Roman"/>
                <w:snapToGrid w:val="0"/>
                <w:color w:val="auto"/>
                <w:kern w:val="0"/>
                <w:sz w:val="24"/>
                <w:szCs w:val="22"/>
                <w:lang w:eastAsia="zh-CN"/>
              </w:rPr>
              <w:t>车间</w:t>
            </w:r>
            <w:r>
              <w:rPr>
                <w:rFonts w:hint="default" w:ascii="Times New Roman" w:hAnsi="Times New Roman" w:cs="Times New Roman"/>
                <w:snapToGrid w:val="0"/>
                <w:color w:val="auto"/>
                <w:kern w:val="0"/>
                <w:sz w:val="24"/>
                <w:szCs w:val="22"/>
              </w:rPr>
              <w:t>（出入口</w:t>
            </w:r>
            <w:r>
              <w:rPr>
                <w:rFonts w:hint="eastAsia" w:ascii="Times New Roman" w:hAnsi="Times New Roman" w:cs="Times New Roman"/>
                <w:snapToGrid w:val="0"/>
                <w:color w:val="auto"/>
                <w:kern w:val="0"/>
                <w:sz w:val="24"/>
                <w:szCs w:val="22"/>
                <w:lang w:eastAsia="zh-CN"/>
              </w:rPr>
              <w:t>除外</w:t>
            </w:r>
            <w:r>
              <w:rPr>
                <w:rFonts w:hint="default" w:ascii="Times New Roman" w:hAnsi="Times New Roman" w:cs="Times New Roman"/>
                <w:snapToGrid w:val="0"/>
                <w:color w:val="auto"/>
                <w:kern w:val="0"/>
                <w:sz w:val="24"/>
                <w:szCs w:val="22"/>
              </w:rPr>
              <w:t>）防止扬尘的产生，故</w:t>
            </w:r>
            <w:r>
              <w:rPr>
                <w:rFonts w:hint="default" w:ascii="Times New Roman" w:hAnsi="Times New Roman" w:cs="Times New Roman"/>
                <w:snapToGrid w:val="0"/>
                <w:kern w:val="0"/>
                <w:sz w:val="24"/>
                <w:szCs w:val="22"/>
              </w:rPr>
              <w:t>采取扬尘防治措施后，本项目堆场的起尘量可采用如下公式计算：</w:t>
            </w:r>
          </w:p>
          <w:p w14:paraId="5BBE8C32">
            <w:pPr>
              <w:pStyle w:val="7"/>
              <w:spacing w:line="420" w:lineRule="auto"/>
              <w:ind w:firstLine="560"/>
              <w:jc w:val="center"/>
              <w:rPr>
                <w:rFonts w:hint="default" w:ascii="Times New Roman" w:hAnsi="Times New Roman" w:cs="Times New Roman"/>
                <w:sz w:val="28"/>
                <w:szCs w:val="28"/>
              </w:rPr>
            </w:pPr>
            <w:r>
              <w:rPr>
                <w:rFonts w:hint="default" w:ascii="Times New Roman" w:hAnsi="Times New Roman" w:cs="Times New Roman"/>
                <w:sz w:val="28"/>
                <w:szCs w:val="28"/>
              </w:rPr>
              <w:t>Q</w:t>
            </w:r>
            <w:r>
              <w:rPr>
                <w:rFonts w:hint="default" w:ascii="Times New Roman" w:hAnsi="Times New Roman" w:cs="Times New Roman"/>
                <w:sz w:val="28"/>
                <w:szCs w:val="28"/>
                <w:vertAlign w:val="subscript"/>
              </w:rPr>
              <w:t>m</w:t>
            </w:r>
            <w:r>
              <w:rPr>
                <w:rFonts w:hint="default" w:ascii="Times New Roman" w:hAnsi="Times New Roman" w:cs="Times New Roman"/>
                <w:sz w:val="28"/>
                <w:szCs w:val="28"/>
              </w:rPr>
              <w:t>=11.7·U</w:t>
            </w:r>
            <w:r>
              <w:rPr>
                <w:rFonts w:hint="default" w:ascii="Times New Roman" w:hAnsi="Times New Roman" w:cs="Times New Roman"/>
                <w:sz w:val="28"/>
                <w:szCs w:val="28"/>
                <w:vertAlign w:val="superscript"/>
              </w:rPr>
              <w:t>2.45·</w:t>
            </w:r>
            <w:r>
              <w:rPr>
                <w:rFonts w:hint="default" w:ascii="Times New Roman" w:hAnsi="Times New Roman" w:cs="Times New Roman"/>
                <w:sz w:val="28"/>
                <w:szCs w:val="28"/>
              </w:rPr>
              <w:t>S</w:t>
            </w:r>
            <w:r>
              <w:rPr>
                <w:rFonts w:hint="default" w:ascii="Times New Roman" w:hAnsi="Times New Roman" w:cs="Times New Roman"/>
                <w:sz w:val="28"/>
                <w:szCs w:val="28"/>
                <w:vertAlign w:val="superscript"/>
              </w:rPr>
              <w:t>0.345</w:t>
            </w:r>
            <w:r>
              <w:rPr>
                <w:rFonts w:hint="default" w:ascii="Times New Roman" w:hAnsi="Times New Roman" w:cs="Times New Roman"/>
                <w:sz w:val="28"/>
                <w:szCs w:val="28"/>
              </w:rPr>
              <w:t>·e</w:t>
            </w:r>
            <w:r>
              <w:rPr>
                <w:rFonts w:hint="default" w:ascii="Times New Roman" w:hAnsi="Times New Roman" w:cs="Times New Roman"/>
                <w:sz w:val="28"/>
                <w:szCs w:val="28"/>
                <w:vertAlign w:val="superscript"/>
              </w:rPr>
              <w:t>-0.5w</w:t>
            </w:r>
          </w:p>
          <w:p w14:paraId="716C3814">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式中</w:t>
            </w:r>
            <w:r>
              <w:rPr>
                <w:rFonts w:hint="eastAsia" w:ascii="Times New Roman" w:hAnsi="Times New Roman" w:cs="Times New Roman"/>
                <w:snapToGrid w:val="0"/>
                <w:kern w:val="0"/>
                <w:sz w:val="24"/>
                <w:szCs w:val="22"/>
                <w:lang w:eastAsia="zh-CN"/>
              </w:rPr>
              <w:t>：</w:t>
            </w:r>
            <w:r>
              <w:rPr>
                <w:rFonts w:hint="default" w:ascii="Times New Roman" w:hAnsi="Times New Roman" w:cs="Times New Roman"/>
                <w:snapToGrid w:val="0"/>
                <w:kern w:val="0"/>
                <w:sz w:val="24"/>
                <w:szCs w:val="22"/>
              </w:rPr>
              <w:t>Qm——堆场起尘量，mg/s；</w:t>
            </w:r>
          </w:p>
          <w:p w14:paraId="73B7DC96">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U——风速，m/s</w:t>
            </w:r>
            <w:r>
              <w:rPr>
                <w:rFonts w:hint="eastAsia" w:ascii="Times New Roman" w:hAnsi="Times New Roman" w:cs="Times New Roman"/>
                <w:snapToGrid w:val="0"/>
                <w:kern w:val="0"/>
                <w:sz w:val="24"/>
                <w:szCs w:val="22"/>
                <w:lang w:eastAsia="zh-CN"/>
              </w:rPr>
              <w:t>，</w:t>
            </w:r>
            <w:r>
              <w:rPr>
                <w:rFonts w:hint="default" w:ascii="Times New Roman" w:hAnsi="Times New Roman" w:cs="Times New Roman"/>
                <w:snapToGrid w:val="0"/>
                <w:kern w:val="0"/>
                <w:sz w:val="24"/>
                <w:szCs w:val="22"/>
              </w:rPr>
              <w:t>本项目设置</w:t>
            </w:r>
            <w:r>
              <w:rPr>
                <w:rFonts w:hint="eastAsia" w:ascii="Times New Roman" w:hAnsi="Times New Roman" w:cs="Times New Roman"/>
                <w:snapToGrid w:val="0"/>
                <w:kern w:val="0"/>
                <w:sz w:val="24"/>
                <w:szCs w:val="22"/>
                <w:lang w:eastAsia="zh-CN"/>
              </w:rPr>
              <w:t>封闭式车间</w:t>
            </w:r>
            <w:r>
              <w:rPr>
                <w:rFonts w:hint="default" w:ascii="Times New Roman" w:hAnsi="Times New Roman" w:cs="Times New Roman"/>
                <w:snapToGrid w:val="0"/>
                <w:kern w:val="0"/>
                <w:sz w:val="24"/>
                <w:szCs w:val="22"/>
              </w:rPr>
              <w:t>，可将</w:t>
            </w:r>
            <w:r>
              <w:rPr>
                <w:rFonts w:hint="eastAsia" w:ascii="Times New Roman" w:hAnsi="Times New Roman" w:cs="Times New Roman"/>
                <w:snapToGrid w:val="0"/>
                <w:kern w:val="0"/>
                <w:sz w:val="24"/>
                <w:szCs w:val="22"/>
                <w:lang w:eastAsia="zh-CN"/>
              </w:rPr>
              <w:t>风</w:t>
            </w:r>
            <w:r>
              <w:rPr>
                <w:rFonts w:hint="default" w:ascii="Times New Roman" w:hAnsi="Times New Roman" w:cs="Times New Roman"/>
                <w:snapToGrid w:val="0"/>
                <w:kern w:val="0"/>
                <w:sz w:val="24"/>
                <w:szCs w:val="22"/>
              </w:rPr>
              <w:t>吹到砂石</w:t>
            </w:r>
            <w:r>
              <w:rPr>
                <w:rFonts w:hint="eastAsia" w:ascii="Times New Roman" w:hAnsi="Times New Roman" w:cs="Times New Roman"/>
                <w:snapToGrid w:val="0"/>
                <w:kern w:val="0"/>
                <w:sz w:val="24"/>
                <w:szCs w:val="22"/>
                <w:lang w:eastAsia="zh-CN"/>
              </w:rPr>
              <w:t>表面</w:t>
            </w:r>
            <w:r>
              <w:rPr>
                <w:rFonts w:hint="default" w:ascii="Times New Roman" w:hAnsi="Times New Roman" w:cs="Times New Roman"/>
                <w:snapToGrid w:val="0"/>
                <w:kern w:val="0"/>
                <w:sz w:val="24"/>
                <w:szCs w:val="22"/>
              </w:rPr>
              <w:t>的风速控制至0.5m/s以下；</w:t>
            </w:r>
          </w:p>
          <w:p w14:paraId="7091F342">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S——堆场面积</w:t>
            </w:r>
            <w:r>
              <w:rPr>
                <w:rFonts w:hint="eastAsia" w:cs="Times New Roman"/>
                <w:snapToGrid w:val="0"/>
                <w:kern w:val="0"/>
                <w:sz w:val="24"/>
                <w:szCs w:val="22"/>
                <w:lang w:val="en-US" w:eastAsia="zh-CN"/>
              </w:rPr>
              <w:t>1200</w:t>
            </w:r>
            <w:r>
              <w:rPr>
                <w:rFonts w:hint="default" w:ascii="Times New Roman" w:hAnsi="Times New Roman" w:cs="Times New Roman"/>
                <w:snapToGrid w:val="0"/>
                <w:kern w:val="0"/>
                <w:sz w:val="24"/>
                <w:szCs w:val="22"/>
              </w:rPr>
              <w:t>m</w:t>
            </w:r>
            <w:r>
              <w:rPr>
                <w:rFonts w:hint="default" w:ascii="Times New Roman" w:hAnsi="Times New Roman" w:cs="Times New Roman"/>
                <w:snapToGrid w:val="0"/>
                <w:kern w:val="0"/>
                <w:sz w:val="24"/>
                <w:szCs w:val="22"/>
                <w:vertAlign w:val="superscript"/>
              </w:rPr>
              <w:t>2</w:t>
            </w:r>
            <w:r>
              <w:rPr>
                <w:rFonts w:hint="default" w:ascii="Times New Roman" w:hAnsi="Times New Roman" w:cs="Times New Roman"/>
                <w:snapToGrid w:val="0"/>
                <w:kern w:val="0"/>
                <w:sz w:val="24"/>
                <w:szCs w:val="22"/>
              </w:rPr>
              <w:t>；</w:t>
            </w:r>
          </w:p>
          <w:p w14:paraId="66A74183">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W——物料湿度，含水率取</w:t>
            </w:r>
            <w:r>
              <w:rPr>
                <w:rFonts w:hint="eastAsia" w:cs="Times New Roman"/>
                <w:snapToGrid w:val="0"/>
                <w:kern w:val="0"/>
                <w:sz w:val="24"/>
                <w:szCs w:val="22"/>
                <w:lang w:val="en-US" w:eastAsia="zh-CN"/>
              </w:rPr>
              <w:t>2</w:t>
            </w:r>
            <w:r>
              <w:rPr>
                <w:rFonts w:hint="default" w:ascii="Times New Roman" w:hAnsi="Times New Roman" w:cs="Times New Roman"/>
                <w:snapToGrid w:val="0"/>
                <w:kern w:val="0"/>
                <w:sz w:val="24"/>
                <w:szCs w:val="22"/>
              </w:rPr>
              <w:t>0%。根据上式计算，</w:t>
            </w:r>
          </w:p>
          <w:p w14:paraId="68D7FCF6">
            <w:pPr>
              <w:pStyle w:val="44"/>
              <w:bidi w:val="0"/>
              <w:rPr>
                <w:rFonts w:hint="default" w:ascii="Times New Roman" w:hAnsi="Times New Roman" w:cs="Times New Roman"/>
              </w:rPr>
            </w:pPr>
            <w:r>
              <w:rPr>
                <w:rFonts w:hint="default" w:ascii="Times New Roman" w:hAnsi="Times New Roman" w:cs="Times New Roman"/>
              </w:rPr>
              <w:t>本项目堆场起尘量为</w:t>
            </w:r>
            <w:r>
              <w:rPr>
                <w:rFonts w:hint="eastAsia" w:ascii="Times New Roman" w:hAnsi="Times New Roman" w:cs="Times New Roman"/>
                <w:lang w:val="en-US" w:eastAsia="zh-CN"/>
              </w:rPr>
              <w:t>22.3640</w:t>
            </w:r>
            <w:r>
              <w:rPr>
                <w:rFonts w:hint="default" w:ascii="Times New Roman" w:hAnsi="Times New Roman" w:cs="Times New Roman"/>
              </w:rPr>
              <w:t>mg/s，0.</w:t>
            </w:r>
            <w:r>
              <w:rPr>
                <w:rFonts w:hint="eastAsia" w:ascii="Times New Roman" w:hAnsi="Times New Roman" w:cs="Times New Roman"/>
                <w:lang w:val="en-US" w:eastAsia="zh-CN"/>
              </w:rPr>
              <w:t>0805</w:t>
            </w:r>
            <w:r>
              <w:rPr>
                <w:rFonts w:hint="default" w:ascii="Times New Roman" w:hAnsi="Times New Roman" w:cs="Times New Roman"/>
              </w:rPr>
              <w:t>kg/h。因项目</w:t>
            </w:r>
            <w:r>
              <w:rPr>
                <w:rFonts w:hint="eastAsia" w:ascii="Times New Roman" w:hAnsi="Times New Roman" w:cs="Times New Roman"/>
                <w:lang w:eastAsia="zh-CN"/>
              </w:rPr>
              <w:t>车间</w:t>
            </w:r>
            <w:r>
              <w:rPr>
                <w:rFonts w:hint="default" w:ascii="Times New Roman" w:hAnsi="Times New Roman" w:cs="Times New Roman"/>
                <w:lang w:eastAsia="zh-CN"/>
              </w:rPr>
              <w:t>为封闭</w:t>
            </w:r>
            <w:r>
              <w:rPr>
                <w:rFonts w:hint="eastAsia" w:ascii="Times New Roman" w:hAnsi="Times New Roman" w:cs="Times New Roman"/>
                <w:lang w:eastAsia="zh-CN"/>
              </w:rPr>
              <w:t>结构</w:t>
            </w:r>
            <w:r>
              <w:rPr>
                <w:rFonts w:hint="default" w:ascii="Times New Roman" w:hAnsi="Times New Roman" w:cs="Times New Roman"/>
                <w:lang w:eastAsia="zh-CN"/>
              </w:rPr>
              <w:t>，且</w:t>
            </w:r>
            <w:r>
              <w:rPr>
                <w:rFonts w:hint="eastAsia" w:ascii="Times New Roman" w:hAnsi="Times New Roman" w:cs="Times New Roman"/>
                <w:lang w:eastAsia="zh-CN"/>
              </w:rPr>
              <w:t>车间</w:t>
            </w:r>
            <w:r>
              <w:rPr>
                <w:rFonts w:hint="default" w:ascii="Times New Roman" w:hAnsi="Times New Roman" w:cs="Times New Roman"/>
                <w:lang w:eastAsia="zh-CN"/>
              </w:rPr>
              <w:t>内设施喷淋除尘装置</w:t>
            </w:r>
            <w:r>
              <w:rPr>
                <w:rFonts w:hint="default" w:ascii="Times New Roman" w:hAnsi="Times New Roman" w:cs="Times New Roman"/>
              </w:rPr>
              <w:t>，90%的起尘在</w:t>
            </w:r>
            <w:r>
              <w:rPr>
                <w:rFonts w:hint="eastAsia" w:ascii="Times New Roman" w:hAnsi="Times New Roman" w:cs="Times New Roman"/>
                <w:lang w:eastAsia="zh-CN"/>
              </w:rPr>
              <w:t>车间</w:t>
            </w:r>
            <w:r>
              <w:rPr>
                <w:rFonts w:hint="default" w:ascii="Times New Roman" w:hAnsi="Times New Roman" w:cs="Times New Roman"/>
              </w:rPr>
              <w:t>内沉降，约10%的粉尘通过开放的出入口扩散至</w:t>
            </w:r>
            <w:r>
              <w:rPr>
                <w:rFonts w:hint="eastAsia" w:ascii="Times New Roman" w:hAnsi="Times New Roman" w:cs="Times New Roman"/>
                <w:lang w:eastAsia="zh-CN"/>
              </w:rPr>
              <w:t>车间</w:t>
            </w:r>
            <w:r>
              <w:rPr>
                <w:rFonts w:hint="default" w:ascii="Times New Roman" w:hAnsi="Times New Roman" w:cs="Times New Roman"/>
              </w:rPr>
              <w:t>外，因此本项目堆场起尘排放速率为0.0</w:t>
            </w:r>
            <w:r>
              <w:rPr>
                <w:rFonts w:hint="eastAsia" w:ascii="Times New Roman" w:hAnsi="Times New Roman" w:cs="Times New Roman"/>
                <w:lang w:val="en-US" w:eastAsia="zh-CN"/>
              </w:rPr>
              <w:t>081</w:t>
            </w:r>
            <w:r>
              <w:rPr>
                <w:rFonts w:hint="default" w:ascii="Times New Roman" w:hAnsi="Times New Roman" w:cs="Times New Roman"/>
              </w:rPr>
              <w:t>kg/h，年排放量为0.0</w:t>
            </w:r>
            <w:r>
              <w:rPr>
                <w:rFonts w:hint="eastAsia" w:ascii="Times New Roman" w:hAnsi="Times New Roman" w:cs="Times New Roman"/>
                <w:lang w:val="en-US" w:eastAsia="zh-CN"/>
              </w:rPr>
              <w:t>705</w:t>
            </w:r>
            <w:r>
              <w:rPr>
                <w:rFonts w:hint="default" w:ascii="Times New Roman" w:hAnsi="Times New Roman" w:cs="Times New Roman"/>
              </w:rPr>
              <w:t>t（</w:t>
            </w:r>
            <w:r>
              <w:rPr>
                <w:rFonts w:hint="eastAsia" w:ascii="Times New Roman" w:hAnsi="Times New Roman" w:cs="Times New Roman"/>
                <w:lang w:eastAsia="zh-CN"/>
              </w:rPr>
              <w:t>有效</w:t>
            </w:r>
            <w:r>
              <w:rPr>
                <w:rFonts w:hint="default" w:ascii="Times New Roman" w:hAnsi="Times New Roman" w:cs="Times New Roman"/>
              </w:rPr>
              <w:t>堆存3</w:t>
            </w:r>
            <w:r>
              <w:rPr>
                <w:rFonts w:hint="eastAsia" w:ascii="Times New Roman" w:hAnsi="Times New Roman" w:cs="Times New Roman"/>
                <w:lang w:val="en-US" w:eastAsia="zh-CN"/>
              </w:rPr>
              <w:t>65</w:t>
            </w:r>
            <w:r>
              <w:rPr>
                <w:rFonts w:hint="default" w:ascii="Times New Roman" w:hAnsi="Times New Roman" w:cs="Times New Roman"/>
              </w:rPr>
              <w:t>天</w:t>
            </w:r>
            <w:r>
              <w:rPr>
                <w:rFonts w:hint="eastAsia" w:ascii="Times New Roman" w:hAnsi="Times New Roman" w:cs="Times New Roman"/>
                <w:lang w:eastAsia="zh-CN"/>
              </w:rPr>
              <w:t>，</w:t>
            </w:r>
            <w:r>
              <w:rPr>
                <w:rFonts w:hint="eastAsia" w:ascii="Times New Roman" w:hAnsi="Times New Roman" w:cs="Times New Roman"/>
                <w:lang w:val="en-US" w:eastAsia="zh-CN"/>
              </w:rPr>
              <w:t>每天24h</w:t>
            </w:r>
            <w:r>
              <w:rPr>
                <w:rFonts w:hint="default" w:ascii="Times New Roman" w:hAnsi="Times New Roman" w:cs="Times New Roman"/>
              </w:rPr>
              <w:t>计算）。</w:t>
            </w:r>
          </w:p>
          <w:p w14:paraId="7D233359">
            <w:pPr>
              <w:spacing w:line="420" w:lineRule="auto"/>
              <w:ind w:firstLine="482"/>
              <w:rPr>
                <w:rFonts w:hint="default" w:ascii="Times New Roman" w:hAnsi="Times New Roman" w:cs="Times New Roman"/>
                <w:b/>
                <w:bCs/>
                <w:sz w:val="24"/>
              </w:rPr>
            </w:pPr>
            <w:r>
              <w:rPr>
                <w:rFonts w:hint="default" w:ascii="Times New Roman" w:hAnsi="Times New Roman" w:cs="Times New Roman"/>
                <w:b/>
                <w:bCs/>
                <w:sz w:val="24"/>
              </w:rPr>
              <w:t>③砂石上料粉尘</w:t>
            </w:r>
          </w:p>
          <w:p w14:paraId="58C64110">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本项目</w:t>
            </w:r>
            <w:r>
              <w:rPr>
                <w:rFonts w:hint="eastAsia" w:cs="Times New Roman"/>
                <w:snapToGrid w:val="0"/>
                <w:kern w:val="0"/>
                <w:sz w:val="24"/>
                <w:szCs w:val="22"/>
                <w:lang w:val="en-US" w:eastAsia="zh-CN"/>
              </w:rPr>
              <w:t>连砂石</w:t>
            </w:r>
            <w:r>
              <w:rPr>
                <w:rFonts w:hint="default" w:ascii="Times New Roman" w:hAnsi="Times New Roman" w:cs="Times New Roman"/>
                <w:snapToGrid w:val="0"/>
                <w:kern w:val="0"/>
                <w:sz w:val="24"/>
                <w:szCs w:val="22"/>
              </w:rPr>
              <w:t>采用装载机上料至</w:t>
            </w:r>
            <w:r>
              <w:rPr>
                <w:rFonts w:hint="eastAsia" w:cs="Times New Roman"/>
                <w:snapToGrid w:val="0"/>
                <w:kern w:val="0"/>
                <w:sz w:val="24"/>
                <w:szCs w:val="22"/>
                <w:lang w:val="en-US" w:eastAsia="zh-CN"/>
              </w:rPr>
              <w:t>地仓，然后输送至生产线</w:t>
            </w:r>
            <w:r>
              <w:rPr>
                <w:rFonts w:hint="default" w:ascii="Times New Roman" w:hAnsi="Times New Roman" w:cs="Times New Roman"/>
                <w:snapToGrid w:val="0"/>
                <w:kern w:val="0"/>
                <w:sz w:val="24"/>
                <w:szCs w:val="22"/>
              </w:rPr>
              <w:t>，上料粉尘采用交通部水运研究所和武汉水运工程学院提出的机械落差起尘公式估算，经验公式为：</w:t>
            </w:r>
          </w:p>
          <w:p w14:paraId="5FCF1C0B">
            <w:pPr>
              <w:spacing w:line="420" w:lineRule="auto"/>
              <w:ind w:firstLine="480"/>
              <w:jc w:val="center"/>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drawing>
                <wp:inline distT="0" distB="0" distL="114300" distR="114300">
                  <wp:extent cx="1510665" cy="349250"/>
                  <wp:effectExtent l="0" t="0" r="13335" b="12700"/>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pic:cNvPicPr>
                        </pic:nvPicPr>
                        <pic:blipFill>
                          <a:blip r:embed="rId17"/>
                          <a:stretch>
                            <a:fillRect/>
                          </a:stretch>
                        </pic:blipFill>
                        <pic:spPr>
                          <a:xfrm>
                            <a:off x="0" y="0"/>
                            <a:ext cx="1510665" cy="349250"/>
                          </a:xfrm>
                          <a:prstGeom prst="rect">
                            <a:avLst/>
                          </a:prstGeom>
                          <a:noFill/>
                          <a:ln>
                            <a:noFill/>
                          </a:ln>
                        </pic:spPr>
                      </pic:pic>
                    </a:graphicData>
                  </a:graphic>
                </wp:inline>
              </w:drawing>
            </w:r>
          </w:p>
          <w:p w14:paraId="08575EA6">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式中：Q——物料装车时机械落差起尘量，kg/s；</w:t>
            </w:r>
          </w:p>
          <w:p w14:paraId="4A867E22">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u——平均风速，m/s；上料漏斗在封闭式</w:t>
            </w:r>
            <w:r>
              <w:rPr>
                <w:rFonts w:hint="eastAsia" w:ascii="Times New Roman" w:hAnsi="Times New Roman" w:cs="Times New Roman"/>
                <w:snapToGrid w:val="0"/>
                <w:kern w:val="0"/>
                <w:sz w:val="24"/>
                <w:szCs w:val="22"/>
                <w:lang w:eastAsia="zh-CN"/>
              </w:rPr>
              <w:t>车间</w:t>
            </w:r>
            <w:r>
              <w:rPr>
                <w:rFonts w:hint="default" w:ascii="Times New Roman" w:hAnsi="Times New Roman" w:cs="Times New Roman"/>
                <w:snapToGrid w:val="0"/>
                <w:kern w:val="0"/>
                <w:sz w:val="24"/>
                <w:szCs w:val="22"/>
              </w:rPr>
              <w:t>内，风速取0.5m/s；</w:t>
            </w:r>
          </w:p>
          <w:p w14:paraId="02E7FEC9">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H——物料落差，m；0.7m；</w:t>
            </w:r>
          </w:p>
          <w:p w14:paraId="36D1BE30">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w——物料含水率，%；10%；</w:t>
            </w:r>
          </w:p>
          <w:p w14:paraId="5EBC5CAF">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t——物料装车所用时间，s/t，10s/t。</w:t>
            </w:r>
          </w:p>
          <w:p w14:paraId="49CFC335">
            <w:pPr>
              <w:spacing w:line="420" w:lineRule="auto"/>
              <w:ind w:firstLine="480"/>
              <w:rPr>
                <w:rFonts w:hint="default" w:ascii="Times New Roman" w:hAnsi="Times New Roman" w:cs="Times New Roman"/>
                <w:b w:val="0"/>
                <w:bCs w:val="0"/>
                <w:snapToGrid w:val="0"/>
                <w:color w:val="000000"/>
                <w:kern w:val="0"/>
                <w:sz w:val="24"/>
                <w:szCs w:val="22"/>
              </w:rPr>
            </w:pPr>
            <w:r>
              <w:rPr>
                <w:rFonts w:hint="default" w:ascii="Times New Roman" w:hAnsi="Times New Roman" w:cs="Times New Roman"/>
                <w:b w:val="0"/>
                <w:bCs w:val="0"/>
                <w:snapToGrid w:val="0"/>
                <w:color w:val="000000"/>
                <w:kern w:val="0"/>
                <w:sz w:val="24"/>
                <w:szCs w:val="22"/>
              </w:rPr>
              <w:t>由以上公式计算可知，在不采取任何控尘措施的情况下，物料装车</w:t>
            </w:r>
            <w:r>
              <w:rPr>
                <w:rFonts w:hint="eastAsia" w:ascii="Times New Roman" w:hAnsi="Times New Roman" w:cs="Times New Roman"/>
                <w:b w:val="0"/>
                <w:bCs w:val="0"/>
                <w:snapToGrid w:val="0"/>
                <w:color w:val="000000"/>
                <w:kern w:val="0"/>
                <w:sz w:val="24"/>
                <w:szCs w:val="22"/>
                <w:lang w:eastAsia="zh-CN"/>
              </w:rPr>
              <w:t>时</w:t>
            </w:r>
            <w:r>
              <w:rPr>
                <w:rFonts w:hint="default" w:ascii="Times New Roman" w:hAnsi="Times New Roman" w:cs="Times New Roman"/>
                <w:b w:val="0"/>
                <w:bCs w:val="0"/>
                <w:snapToGrid w:val="0"/>
                <w:color w:val="000000"/>
                <w:kern w:val="0"/>
                <w:sz w:val="24"/>
                <w:szCs w:val="22"/>
              </w:rPr>
              <w:t>机械落差的起尘量为0.0006kg/s。本项目</w:t>
            </w:r>
            <w:r>
              <w:rPr>
                <w:rFonts w:hint="eastAsia" w:cs="Times New Roman"/>
                <w:b w:val="0"/>
                <w:bCs w:val="0"/>
                <w:snapToGrid w:val="0"/>
                <w:color w:val="000000"/>
                <w:kern w:val="0"/>
                <w:sz w:val="24"/>
                <w:szCs w:val="22"/>
                <w:lang w:val="en-US" w:eastAsia="zh-CN"/>
              </w:rPr>
              <w:t>连砂石</w:t>
            </w:r>
            <w:r>
              <w:rPr>
                <w:rFonts w:hint="default" w:ascii="Times New Roman" w:hAnsi="Times New Roman" w:cs="Times New Roman"/>
                <w:b w:val="0"/>
                <w:bCs w:val="0"/>
                <w:snapToGrid w:val="0"/>
                <w:color w:val="000000"/>
                <w:kern w:val="0"/>
                <w:sz w:val="24"/>
                <w:szCs w:val="22"/>
              </w:rPr>
              <w:t>年装卸量为</w:t>
            </w:r>
            <w:r>
              <w:rPr>
                <w:rFonts w:hint="eastAsia" w:cs="Times New Roman"/>
                <w:b w:val="0"/>
                <w:bCs w:val="0"/>
                <w:snapToGrid w:val="0"/>
                <w:color w:val="000000"/>
                <w:kern w:val="0"/>
                <w:sz w:val="24"/>
                <w:szCs w:val="22"/>
                <w:lang w:val="en-US" w:eastAsia="zh-CN"/>
              </w:rPr>
              <w:t>101</w:t>
            </w:r>
            <w:r>
              <w:rPr>
                <w:rFonts w:hint="default" w:ascii="Times New Roman" w:hAnsi="Times New Roman" w:cs="Times New Roman"/>
                <w:b w:val="0"/>
                <w:bCs w:val="0"/>
                <w:snapToGrid w:val="0"/>
                <w:color w:val="000000"/>
                <w:kern w:val="0"/>
                <w:sz w:val="24"/>
                <w:szCs w:val="22"/>
              </w:rPr>
              <w:t>万t/a，则装载机上料粉尘产生量为</w:t>
            </w:r>
            <w:r>
              <w:rPr>
                <w:rFonts w:hint="eastAsia" w:cs="Times New Roman"/>
                <w:b w:val="0"/>
                <w:bCs w:val="0"/>
                <w:snapToGrid w:val="0"/>
                <w:color w:val="000000"/>
                <w:kern w:val="0"/>
                <w:sz w:val="24"/>
                <w:szCs w:val="22"/>
                <w:lang w:val="en-US" w:eastAsia="zh-CN"/>
              </w:rPr>
              <w:t>101</w:t>
            </w:r>
            <w:r>
              <w:rPr>
                <w:rFonts w:hint="default" w:ascii="Times New Roman" w:hAnsi="Times New Roman" w:cs="Times New Roman"/>
                <w:b w:val="0"/>
                <w:bCs w:val="0"/>
                <w:snapToGrid w:val="0"/>
                <w:color w:val="000000"/>
                <w:kern w:val="0"/>
                <w:sz w:val="24"/>
                <w:szCs w:val="22"/>
              </w:rPr>
              <w:t>万t/a×10s/t×0.0006kg/s=</w:t>
            </w:r>
            <w:r>
              <w:rPr>
                <w:rFonts w:hint="eastAsia" w:cs="Times New Roman"/>
                <w:b w:val="0"/>
                <w:bCs w:val="0"/>
                <w:snapToGrid w:val="0"/>
                <w:color w:val="000000"/>
                <w:kern w:val="0"/>
                <w:sz w:val="24"/>
                <w:szCs w:val="22"/>
                <w:lang w:val="en-US" w:eastAsia="zh-CN"/>
              </w:rPr>
              <w:t>6.06</w:t>
            </w:r>
            <w:r>
              <w:rPr>
                <w:rFonts w:hint="default" w:ascii="Times New Roman" w:hAnsi="Times New Roman" w:cs="Times New Roman"/>
                <w:b w:val="0"/>
                <w:bCs w:val="0"/>
                <w:snapToGrid w:val="0"/>
                <w:color w:val="000000"/>
                <w:kern w:val="0"/>
                <w:sz w:val="24"/>
                <w:szCs w:val="22"/>
              </w:rPr>
              <w:t>t/a，项目年生产</w:t>
            </w:r>
            <w:r>
              <w:rPr>
                <w:rFonts w:hint="eastAsia" w:cs="Times New Roman"/>
                <w:b w:val="0"/>
                <w:bCs w:val="0"/>
                <w:snapToGrid w:val="0"/>
                <w:color w:val="000000"/>
                <w:kern w:val="0"/>
                <w:sz w:val="24"/>
                <w:szCs w:val="22"/>
                <w:lang w:val="en-US" w:eastAsia="zh-CN"/>
              </w:rPr>
              <w:t>33</w:t>
            </w:r>
            <w:r>
              <w:rPr>
                <w:rFonts w:hint="default" w:ascii="Times New Roman" w:hAnsi="Times New Roman" w:cs="Times New Roman"/>
                <w:b w:val="0"/>
                <w:bCs w:val="0"/>
                <w:snapToGrid w:val="0"/>
                <w:color w:val="000000"/>
                <w:kern w:val="0"/>
                <w:sz w:val="24"/>
                <w:szCs w:val="22"/>
              </w:rPr>
              <w:t>00h，则上料粉尘产生速率为</w:t>
            </w:r>
            <w:r>
              <w:rPr>
                <w:rFonts w:hint="eastAsia" w:cs="Times New Roman"/>
                <w:b w:val="0"/>
                <w:bCs w:val="0"/>
                <w:snapToGrid w:val="0"/>
                <w:color w:val="000000"/>
                <w:kern w:val="0"/>
                <w:sz w:val="24"/>
                <w:szCs w:val="22"/>
                <w:lang w:val="en-US" w:eastAsia="zh-CN"/>
              </w:rPr>
              <w:t>1.8364</w:t>
            </w:r>
            <w:r>
              <w:rPr>
                <w:rFonts w:hint="default" w:ascii="Times New Roman" w:hAnsi="Times New Roman" w:cs="Times New Roman"/>
                <w:b w:val="0"/>
                <w:bCs w:val="0"/>
                <w:snapToGrid w:val="0"/>
                <w:color w:val="000000"/>
                <w:kern w:val="0"/>
                <w:sz w:val="24"/>
                <w:szCs w:val="22"/>
              </w:rPr>
              <w:t>kg/h。</w:t>
            </w:r>
            <w:r>
              <w:rPr>
                <w:rFonts w:hint="default" w:ascii="Times New Roman" w:hAnsi="Times New Roman" w:cs="Times New Roman"/>
                <w:b w:val="0"/>
                <w:bCs w:val="0"/>
                <w:snapToGrid w:val="0"/>
                <w:color w:val="auto"/>
                <w:kern w:val="0"/>
                <w:sz w:val="24"/>
                <w:szCs w:val="22"/>
              </w:rPr>
              <w:t>上料过程中启动</w:t>
            </w:r>
            <w:r>
              <w:rPr>
                <w:rFonts w:hint="eastAsia" w:cs="Times New Roman"/>
                <w:b w:val="0"/>
                <w:bCs w:val="0"/>
                <w:snapToGrid w:val="0"/>
                <w:color w:val="auto"/>
                <w:kern w:val="0"/>
                <w:sz w:val="24"/>
                <w:szCs w:val="22"/>
                <w:lang w:val="en-US" w:eastAsia="zh-CN"/>
              </w:rPr>
              <w:t>喷淋系统</w:t>
            </w:r>
            <w:r>
              <w:rPr>
                <w:rFonts w:hint="default" w:ascii="Times New Roman" w:hAnsi="Times New Roman" w:cs="Times New Roman"/>
                <w:b w:val="0"/>
                <w:bCs w:val="0"/>
                <w:snapToGrid w:val="0"/>
                <w:color w:val="auto"/>
                <w:kern w:val="0"/>
                <w:sz w:val="24"/>
                <w:szCs w:val="22"/>
              </w:rPr>
              <w:t>除尘</w:t>
            </w:r>
            <w:r>
              <w:rPr>
                <w:rFonts w:hint="default" w:ascii="Times New Roman" w:hAnsi="Times New Roman" w:cs="Times New Roman"/>
                <w:b w:val="0"/>
                <w:bCs w:val="0"/>
                <w:snapToGrid w:val="0"/>
                <w:color w:val="auto"/>
                <w:kern w:val="0"/>
                <w:sz w:val="24"/>
                <w:szCs w:val="22"/>
                <w:lang w:eastAsia="zh-CN"/>
              </w:rPr>
              <w:t>，</w:t>
            </w:r>
            <w:r>
              <w:rPr>
                <w:rFonts w:hint="eastAsia" w:cs="Times New Roman"/>
                <w:b w:val="0"/>
                <w:bCs w:val="0"/>
                <w:snapToGrid w:val="0"/>
                <w:color w:val="auto"/>
                <w:kern w:val="0"/>
                <w:sz w:val="24"/>
                <w:szCs w:val="22"/>
                <w:lang w:val="en-US" w:eastAsia="zh-CN"/>
              </w:rPr>
              <w:t>地仓</w:t>
            </w:r>
            <w:r>
              <w:rPr>
                <w:rFonts w:hint="default" w:ascii="Times New Roman" w:hAnsi="Times New Roman" w:cs="Times New Roman"/>
                <w:b w:val="0"/>
                <w:bCs w:val="0"/>
                <w:snapToGrid w:val="0"/>
                <w:color w:val="auto"/>
                <w:kern w:val="0"/>
                <w:sz w:val="24"/>
                <w:szCs w:val="22"/>
                <w:lang w:eastAsia="zh-CN"/>
              </w:rPr>
              <w:t>上方设置喷淋除尘装置</w:t>
            </w:r>
            <w:r>
              <w:rPr>
                <w:rFonts w:hint="default" w:ascii="Times New Roman" w:hAnsi="Times New Roman" w:cs="Times New Roman"/>
                <w:b w:val="0"/>
                <w:bCs w:val="0"/>
                <w:snapToGrid w:val="0"/>
                <w:color w:val="auto"/>
                <w:kern w:val="0"/>
                <w:sz w:val="24"/>
                <w:szCs w:val="22"/>
              </w:rPr>
              <w:t>，同时加强物料湿润</w:t>
            </w:r>
            <w:r>
              <w:rPr>
                <w:rFonts w:hint="eastAsia" w:ascii="Times New Roman" w:hAnsi="Times New Roman" w:cs="Times New Roman"/>
                <w:b w:val="0"/>
                <w:bCs w:val="0"/>
                <w:snapToGrid w:val="0"/>
                <w:color w:val="auto"/>
                <w:kern w:val="0"/>
                <w:sz w:val="24"/>
                <w:szCs w:val="22"/>
                <w:lang w:eastAsia="zh-CN"/>
              </w:rPr>
              <w:t>，上料斗设置在封闭的车间内</w:t>
            </w:r>
            <w:r>
              <w:rPr>
                <w:rFonts w:hint="default" w:ascii="Times New Roman" w:hAnsi="Times New Roman" w:cs="Times New Roman"/>
                <w:b w:val="0"/>
                <w:bCs w:val="0"/>
                <w:snapToGrid w:val="0"/>
                <w:color w:val="auto"/>
                <w:kern w:val="0"/>
                <w:sz w:val="24"/>
                <w:szCs w:val="22"/>
              </w:rPr>
              <w:t>，</w:t>
            </w:r>
            <w:r>
              <w:rPr>
                <w:rFonts w:hint="default" w:ascii="Times New Roman" w:hAnsi="Times New Roman" w:cs="Times New Roman"/>
                <w:b w:val="0"/>
                <w:bCs w:val="0"/>
                <w:snapToGrid w:val="0"/>
                <w:color w:val="000000"/>
                <w:kern w:val="0"/>
                <w:sz w:val="24"/>
                <w:szCs w:val="22"/>
              </w:rPr>
              <w:t>根据经验可以抑制90%的粉尘，因此本项目砂石上料起尘排放速率为0.</w:t>
            </w:r>
            <w:r>
              <w:rPr>
                <w:rFonts w:hint="eastAsia" w:cs="Times New Roman"/>
                <w:b w:val="0"/>
                <w:bCs w:val="0"/>
                <w:snapToGrid w:val="0"/>
                <w:color w:val="000000"/>
                <w:kern w:val="0"/>
                <w:sz w:val="24"/>
                <w:szCs w:val="22"/>
                <w:lang w:val="en-US" w:eastAsia="zh-CN"/>
              </w:rPr>
              <w:t>1836</w:t>
            </w:r>
            <w:r>
              <w:rPr>
                <w:rFonts w:hint="default" w:ascii="Times New Roman" w:hAnsi="Times New Roman" w:cs="Times New Roman"/>
                <w:b w:val="0"/>
                <w:bCs w:val="0"/>
                <w:snapToGrid w:val="0"/>
                <w:color w:val="000000"/>
                <w:kern w:val="0"/>
                <w:sz w:val="24"/>
                <w:szCs w:val="22"/>
              </w:rPr>
              <w:t>kg/h，排放量为0.</w:t>
            </w:r>
            <w:r>
              <w:rPr>
                <w:rFonts w:hint="eastAsia" w:cs="Times New Roman"/>
                <w:b w:val="0"/>
                <w:bCs w:val="0"/>
                <w:snapToGrid w:val="0"/>
                <w:color w:val="000000"/>
                <w:kern w:val="0"/>
                <w:sz w:val="24"/>
                <w:szCs w:val="22"/>
                <w:lang w:val="en-US" w:eastAsia="zh-CN"/>
              </w:rPr>
              <w:t>6060</w:t>
            </w:r>
            <w:r>
              <w:rPr>
                <w:rFonts w:hint="default" w:ascii="Times New Roman" w:hAnsi="Times New Roman" w:cs="Times New Roman"/>
                <w:b w:val="0"/>
                <w:bCs w:val="0"/>
                <w:snapToGrid w:val="0"/>
                <w:color w:val="000000"/>
                <w:kern w:val="0"/>
                <w:sz w:val="24"/>
                <w:szCs w:val="22"/>
              </w:rPr>
              <w:t>t/a。</w:t>
            </w:r>
          </w:p>
          <w:p w14:paraId="609A6343">
            <w:pPr>
              <w:pStyle w:val="2"/>
              <w:ind w:firstLine="482"/>
              <w:rPr>
                <w:rFonts w:hint="default" w:ascii="Times New Roman" w:hAnsi="Times New Roman" w:cs="Times New Roman"/>
                <w:b/>
                <w:bCs/>
                <w:snapToGrid w:val="0"/>
                <w:sz w:val="24"/>
                <w:szCs w:val="22"/>
              </w:rPr>
            </w:pPr>
            <w:r>
              <w:rPr>
                <w:rFonts w:hint="default" w:ascii="Times New Roman" w:hAnsi="Times New Roman" w:cs="Times New Roman"/>
                <w:b/>
                <w:bCs/>
                <w:snapToGrid w:val="0"/>
                <w:sz w:val="24"/>
                <w:szCs w:val="22"/>
              </w:rPr>
              <w:t>④</w:t>
            </w:r>
            <w:r>
              <w:rPr>
                <w:rFonts w:hint="eastAsia" w:cs="Times New Roman"/>
                <w:b/>
                <w:bCs/>
                <w:snapToGrid w:val="0"/>
                <w:sz w:val="24"/>
                <w:szCs w:val="22"/>
                <w:lang w:val="en-US" w:eastAsia="zh-CN"/>
              </w:rPr>
              <w:t>破碎、筛分生产</w:t>
            </w:r>
            <w:r>
              <w:rPr>
                <w:rFonts w:hint="default" w:ascii="Times New Roman" w:hAnsi="Times New Roman" w:cs="Times New Roman"/>
                <w:b/>
                <w:bCs/>
                <w:snapToGrid w:val="0"/>
                <w:sz w:val="24"/>
                <w:szCs w:val="22"/>
              </w:rPr>
              <w:t>粉尘</w:t>
            </w:r>
          </w:p>
          <w:p w14:paraId="0A158BFD">
            <w:pPr>
              <w:pStyle w:val="61"/>
              <w:jc w:val="both"/>
              <w:rPr>
                <w:rFonts w:hint="default" w:ascii="Times New Roman" w:hAnsi="Times New Roman" w:cs="Times New Roman"/>
              </w:rPr>
            </w:pPr>
            <w:r>
              <w:rPr>
                <w:rFonts w:hint="default" w:ascii="Times New Roman" w:hAnsi="Times New Roman" w:cs="Times New Roman"/>
              </w:rPr>
              <w:t>本项目</w:t>
            </w:r>
            <w:r>
              <w:rPr>
                <w:rFonts w:hint="eastAsia" w:cs="Times New Roman"/>
                <w:lang w:val="en-US" w:eastAsia="zh-CN"/>
              </w:rPr>
              <w:t>砂石生产过程中破碎和筛分均采用湿法加工</w:t>
            </w:r>
            <w:r>
              <w:rPr>
                <w:rFonts w:hint="default" w:ascii="Times New Roman" w:hAnsi="Times New Roman" w:cs="Times New Roman"/>
              </w:rPr>
              <w:t>，</w:t>
            </w:r>
            <w:r>
              <w:rPr>
                <w:rFonts w:hint="eastAsia" w:cs="Times New Roman"/>
                <w:lang w:val="en-US" w:eastAsia="zh-CN"/>
              </w:rPr>
              <w:t>生产位于封闭车间内，生产期间启动喷雾除尘装置强化除尘。根据《排放源统计调查产排污核算方法和系数手册》303砖瓦、石材等建筑材料制造行业系数手册，砂石骨料在破碎、筛分过程中颗粒物产污系数为1.89kg/t-产品，类比同类项目，项目生产位于封闭式厂房内，</w:t>
            </w:r>
            <w:r>
              <w:rPr>
                <w:rFonts w:hint="default" w:ascii="Times New Roman" w:hAnsi="Times New Roman" w:cs="Times New Roman"/>
              </w:rPr>
              <w:t>90%的起尘在</w:t>
            </w:r>
            <w:r>
              <w:rPr>
                <w:rFonts w:hint="eastAsia" w:ascii="Times New Roman" w:hAnsi="Times New Roman" w:cs="Times New Roman"/>
                <w:lang w:eastAsia="zh-CN"/>
              </w:rPr>
              <w:t>车间</w:t>
            </w:r>
            <w:r>
              <w:rPr>
                <w:rFonts w:hint="default" w:ascii="Times New Roman" w:hAnsi="Times New Roman" w:cs="Times New Roman"/>
              </w:rPr>
              <w:t>内沉降，约10%的粉尘通过开放的出入口扩散至</w:t>
            </w:r>
            <w:r>
              <w:rPr>
                <w:rFonts w:hint="eastAsia" w:ascii="Times New Roman" w:hAnsi="Times New Roman" w:cs="Times New Roman"/>
                <w:lang w:eastAsia="zh-CN"/>
              </w:rPr>
              <w:t>车间</w:t>
            </w:r>
            <w:r>
              <w:rPr>
                <w:rFonts w:hint="default" w:ascii="Times New Roman" w:hAnsi="Times New Roman" w:cs="Times New Roman"/>
              </w:rPr>
              <w:t>外</w:t>
            </w:r>
            <w:r>
              <w:rPr>
                <w:rFonts w:hint="eastAsia" w:cs="Times New Roman"/>
                <w:lang w:eastAsia="zh-CN"/>
              </w:rPr>
              <w:t>，生产过程中采用湿法加工，湿法加工可消减约</w:t>
            </w:r>
            <w:r>
              <w:rPr>
                <w:rFonts w:hint="eastAsia" w:cs="Times New Roman"/>
                <w:lang w:val="en-US" w:eastAsia="zh-CN"/>
              </w:rPr>
              <w:t>90%的产尘量；车间内部采用喷雾除尘强化粉尘治理，根据产排污系数手册采用湿法除尘治理效率约90%，因此本项目最终粉尘排放量计算公式如下</w:t>
            </w:r>
            <w:r>
              <w:rPr>
                <w:rFonts w:hint="default" w:ascii="Times New Roman" w:hAnsi="Times New Roman" w:cs="Times New Roman"/>
              </w:rPr>
              <w:t>：</w:t>
            </w:r>
          </w:p>
          <w:p w14:paraId="78F964CB">
            <w:pPr>
              <w:pStyle w:val="61"/>
              <w:jc w:val="center"/>
              <w:rPr>
                <w:rFonts w:hint="eastAsia" w:cs="Times New Roman"/>
                <w:vertAlign w:val="subscript"/>
                <w:lang w:val="en-US" w:eastAsia="zh-CN"/>
              </w:rPr>
            </w:pPr>
            <w:r>
              <w:rPr>
                <w:rFonts w:hint="default" w:ascii="Times New Roman" w:hAnsi="Times New Roman" w:cs="Times New Roman"/>
                <w:lang w:val="en-US" w:eastAsia="zh-CN"/>
              </w:rPr>
              <w:t>Q=F*η</w:t>
            </w:r>
            <w:r>
              <w:rPr>
                <w:rFonts w:hint="default" w:ascii="Times New Roman" w:hAnsi="Times New Roman" w:cs="Times New Roman"/>
                <w:vertAlign w:val="subscript"/>
                <w:lang w:val="en-US" w:eastAsia="zh-CN"/>
              </w:rPr>
              <w:t>1</w:t>
            </w:r>
            <w:r>
              <w:rPr>
                <w:rFonts w:hint="eastAsia" w:ascii="Times New Roman" w:hAnsi="Times New Roman" w:cs="Times New Roman"/>
                <w:vertAlign w:val="subscript"/>
                <w:lang w:val="en-US" w:eastAsia="zh-CN"/>
              </w:rPr>
              <w:t>*</w:t>
            </w:r>
            <w:r>
              <w:rPr>
                <w:rFonts w:hint="default" w:ascii="Times New Roman" w:hAnsi="Times New Roman" w:cs="Times New Roman"/>
                <w:lang w:val="en-US" w:eastAsia="zh-CN"/>
              </w:rPr>
              <w:t>η</w:t>
            </w:r>
            <w:r>
              <w:rPr>
                <w:rFonts w:hint="eastAsia" w:cs="Times New Roman"/>
                <w:vertAlign w:val="subscript"/>
                <w:lang w:val="en-US" w:eastAsia="zh-CN"/>
              </w:rPr>
              <w:t>2*</w:t>
            </w:r>
            <w:r>
              <w:rPr>
                <w:rFonts w:hint="default" w:ascii="Times New Roman" w:hAnsi="Times New Roman" w:cs="Times New Roman"/>
                <w:lang w:val="en-US" w:eastAsia="zh-CN"/>
              </w:rPr>
              <w:t>η</w:t>
            </w:r>
            <w:r>
              <w:rPr>
                <w:rFonts w:hint="eastAsia" w:cs="Times New Roman"/>
                <w:vertAlign w:val="subscript"/>
                <w:lang w:val="en-US" w:eastAsia="zh-CN"/>
              </w:rPr>
              <w:t>3</w:t>
            </w:r>
          </w:p>
          <w:p w14:paraId="3CFA767D">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式中：Q——</w:t>
            </w:r>
            <w:r>
              <w:rPr>
                <w:rFonts w:hint="eastAsia" w:cs="Times New Roman"/>
                <w:snapToGrid w:val="0"/>
                <w:kern w:val="0"/>
                <w:sz w:val="24"/>
                <w:szCs w:val="22"/>
                <w:lang w:eastAsia="zh-CN"/>
              </w:rPr>
              <w:t>生产过程中破碎、筛分粉尘排放量</w:t>
            </w:r>
            <w:r>
              <w:rPr>
                <w:rFonts w:hint="default" w:ascii="Times New Roman" w:hAnsi="Times New Roman" w:cs="Times New Roman"/>
                <w:snapToGrid w:val="0"/>
                <w:kern w:val="0"/>
                <w:sz w:val="24"/>
                <w:szCs w:val="22"/>
              </w:rPr>
              <w:t>；</w:t>
            </w:r>
          </w:p>
          <w:p w14:paraId="2DF5ADEA">
            <w:pPr>
              <w:spacing w:line="420" w:lineRule="auto"/>
              <w:ind w:firstLine="480"/>
              <w:rPr>
                <w:rFonts w:hint="eastAsia" w:ascii="Times New Roman" w:hAnsi="Times New Roman" w:eastAsia="宋体" w:cs="Times New Roman"/>
                <w:snapToGrid w:val="0"/>
                <w:kern w:val="0"/>
                <w:sz w:val="24"/>
                <w:szCs w:val="22"/>
                <w:lang w:eastAsia="zh-CN"/>
              </w:rPr>
            </w:pPr>
            <w:r>
              <w:rPr>
                <w:rFonts w:hint="eastAsia" w:cs="Times New Roman"/>
                <w:snapToGrid w:val="0"/>
                <w:kern w:val="0"/>
                <w:sz w:val="24"/>
                <w:szCs w:val="22"/>
                <w:lang w:val="en-US" w:eastAsia="zh-CN"/>
              </w:rPr>
              <w:t>F</w:t>
            </w:r>
            <w:r>
              <w:rPr>
                <w:rFonts w:hint="default" w:ascii="Times New Roman" w:hAnsi="Times New Roman" w:cs="Times New Roman"/>
                <w:snapToGrid w:val="0"/>
                <w:kern w:val="0"/>
                <w:sz w:val="24"/>
                <w:szCs w:val="22"/>
              </w:rPr>
              <w:t>——</w:t>
            </w:r>
            <w:r>
              <w:rPr>
                <w:rFonts w:hint="eastAsia" w:cs="Times New Roman"/>
                <w:snapToGrid w:val="0"/>
                <w:kern w:val="0"/>
                <w:sz w:val="24"/>
                <w:szCs w:val="22"/>
                <w:lang w:val="en-US" w:eastAsia="zh-CN"/>
              </w:rPr>
              <w:t xml:space="preserve"> </w:t>
            </w:r>
            <w:r>
              <w:rPr>
                <w:rFonts w:hint="eastAsia" w:cs="Times New Roman"/>
                <w:snapToGrid w:val="0"/>
                <w:kern w:val="0"/>
                <w:sz w:val="24"/>
                <w:szCs w:val="22"/>
                <w:lang w:eastAsia="zh-CN"/>
              </w:rPr>
              <w:t>破碎、筛分粉尘产生量</w:t>
            </w:r>
            <w:r>
              <w:rPr>
                <w:rFonts w:hint="default" w:ascii="Times New Roman" w:hAnsi="Times New Roman" w:cs="Times New Roman"/>
                <w:snapToGrid w:val="0"/>
                <w:kern w:val="0"/>
                <w:sz w:val="24"/>
                <w:szCs w:val="22"/>
              </w:rPr>
              <w:t>；</w:t>
            </w:r>
          </w:p>
          <w:p w14:paraId="04A71563">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η</w:t>
            </w:r>
            <w:r>
              <w:rPr>
                <w:rFonts w:hint="default" w:ascii="Times New Roman" w:hAnsi="Times New Roman" w:cs="Times New Roman"/>
                <w:snapToGrid w:val="0"/>
                <w:kern w:val="0"/>
                <w:sz w:val="24"/>
                <w:szCs w:val="22"/>
                <w:vertAlign w:val="subscript"/>
              </w:rPr>
              <w:t>1</w:t>
            </w:r>
            <w:r>
              <w:rPr>
                <w:rFonts w:hint="default" w:ascii="Times New Roman" w:hAnsi="Times New Roman" w:cs="Times New Roman"/>
                <w:snapToGrid w:val="0"/>
                <w:kern w:val="0"/>
                <w:sz w:val="24"/>
                <w:szCs w:val="22"/>
              </w:rPr>
              <w:t>——</w:t>
            </w:r>
            <w:r>
              <w:rPr>
                <w:rFonts w:hint="eastAsia" w:cs="Times New Roman"/>
                <w:snapToGrid w:val="0"/>
                <w:kern w:val="0"/>
                <w:sz w:val="24"/>
                <w:szCs w:val="22"/>
                <w:lang w:eastAsia="zh-CN"/>
              </w:rPr>
              <w:t>采取湿法破碎工艺后，粉尘排放比例</w:t>
            </w:r>
            <w:r>
              <w:rPr>
                <w:rFonts w:hint="default" w:ascii="Times New Roman" w:hAnsi="Times New Roman" w:cs="Times New Roman"/>
                <w:snapToGrid w:val="0"/>
                <w:kern w:val="0"/>
                <w:sz w:val="24"/>
                <w:szCs w:val="22"/>
              </w:rPr>
              <w:t>；</w:t>
            </w:r>
          </w:p>
          <w:p w14:paraId="7C304F19">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η</w:t>
            </w:r>
            <w:r>
              <w:rPr>
                <w:rFonts w:hint="default" w:ascii="Times New Roman" w:hAnsi="Times New Roman" w:cs="Times New Roman"/>
                <w:snapToGrid w:val="0"/>
                <w:kern w:val="0"/>
                <w:sz w:val="24"/>
                <w:szCs w:val="22"/>
                <w:vertAlign w:val="subscript"/>
              </w:rPr>
              <w:t>1</w:t>
            </w:r>
            <w:r>
              <w:rPr>
                <w:rFonts w:hint="default" w:ascii="Times New Roman" w:hAnsi="Times New Roman" w:cs="Times New Roman"/>
                <w:snapToGrid w:val="0"/>
                <w:kern w:val="0"/>
                <w:sz w:val="24"/>
                <w:szCs w:val="22"/>
              </w:rPr>
              <w:t>——</w:t>
            </w:r>
            <w:r>
              <w:rPr>
                <w:rFonts w:hint="eastAsia" w:cs="Times New Roman"/>
                <w:snapToGrid w:val="0"/>
                <w:kern w:val="0"/>
                <w:sz w:val="24"/>
                <w:szCs w:val="22"/>
                <w:lang w:eastAsia="zh-CN"/>
              </w:rPr>
              <w:t>采取喷雾除尘处理后，粉尘排放比例</w:t>
            </w:r>
            <w:r>
              <w:rPr>
                <w:rFonts w:hint="default" w:ascii="Times New Roman" w:hAnsi="Times New Roman" w:cs="Times New Roman"/>
                <w:snapToGrid w:val="0"/>
                <w:kern w:val="0"/>
                <w:sz w:val="24"/>
                <w:szCs w:val="22"/>
              </w:rPr>
              <w:t>；</w:t>
            </w:r>
          </w:p>
          <w:p w14:paraId="11DCEFC7">
            <w:pPr>
              <w:spacing w:line="420" w:lineRule="auto"/>
              <w:ind w:firstLine="480"/>
              <w:rPr>
                <w:rFonts w:hint="eastAsia" w:ascii="Times New Roman" w:hAnsi="Times New Roman" w:eastAsia="宋体" w:cs="Times New Roman"/>
                <w:snapToGrid w:val="0"/>
                <w:kern w:val="0"/>
                <w:sz w:val="24"/>
                <w:szCs w:val="22"/>
                <w:lang w:eastAsia="zh-CN"/>
              </w:rPr>
            </w:pPr>
            <w:r>
              <w:rPr>
                <w:rFonts w:hint="default" w:ascii="Times New Roman" w:hAnsi="Times New Roman" w:cs="Times New Roman"/>
                <w:snapToGrid w:val="0"/>
                <w:kern w:val="0"/>
                <w:sz w:val="24"/>
                <w:szCs w:val="22"/>
              </w:rPr>
              <w:t>η</w:t>
            </w:r>
            <w:r>
              <w:rPr>
                <w:rFonts w:hint="eastAsia" w:cs="Times New Roman"/>
                <w:snapToGrid w:val="0"/>
                <w:kern w:val="0"/>
                <w:sz w:val="24"/>
                <w:szCs w:val="22"/>
                <w:vertAlign w:val="subscript"/>
                <w:lang w:val="en-US" w:eastAsia="zh-CN"/>
              </w:rPr>
              <w:t>3</w:t>
            </w:r>
            <w:r>
              <w:rPr>
                <w:rFonts w:hint="default" w:ascii="Times New Roman" w:hAnsi="Times New Roman" w:cs="Times New Roman"/>
                <w:snapToGrid w:val="0"/>
                <w:kern w:val="0"/>
                <w:sz w:val="24"/>
                <w:szCs w:val="22"/>
              </w:rPr>
              <w:t>——</w:t>
            </w:r>
            <w:r>
              <w:rPr>
                <w:rFonts w:hint="eastAsia" w:cs="Times New Roman"/>
                <w:snapToGrid w:val="0"/>
                <w:kern w:val="0"/>
                <w:sz w:val="24"/>
                <w:szCs w:val="22"/>
                <w:lang w:eastAsia="zh-CN"/>
              </w:rPr>
              <w:t>采取车间封闭措施后；粉尘排放比例。</w:t>
            </w:r>
          </w:p>
          <w:p w14:paraId="15467E88">
            <w:pPr>
              <w:pStyle w:val="61"/>
              <w:jc w:val="both"/>
              <w:rPr>
                <w:rFonts w:hint="eastAsia" w:cs="Times New Roman"/>
                <w:b w:val="0"/>
                <w:bCs w:val="0"/>
                <w:snapToGrid w:val="0"/>
                <w:color w:val="000000"/>
                <w:kern w:val="0"/>
                <w:sz w:val="24"/>
                <w:szCs w:val="22"/>
                <w:lang w:val="en-US" w:eastAsia="zh-CN"/>
              </w:rPr>
            </w:pPr>
            <w:r>
              <w:rPr>
                <w:rFonts w:hint="default" w:ascii="Times New Roman" w:hAnsi="Times New Roman" w:cs="Times New Roman"/>
                <w:b w:val="0"/>
                <w:bCs w:val="0"/>
                <w:snapToGrid w:val="0"/>
                <w:color w:val="000000"/>
                <w:kern w:val="0"/>
                <w:sz w:val="24"/>
                <w:szCs w:val="22"/>
              </w:rPr>
              <w:t>由以上公式计算可知，</w:t>
            </w:r>
            <w:r>
              <w:rPr>
                <w:rFonts w:hint="eastAsia" w:cs="Times New Roman"/>
                <w:b w:val="0"/>
                <w:bCs w:val="0"/>
                <w:snapToGrid w:val="0"/>
                <w:color w:val="000000"/>
                <w:kern w:val="0"/>
                <w:sz w:val="24"/>
                <w:szCs w:val="22"/>
                <w:lang w:eastAsia="zh-CN"/>
              </w:rPr>
              <w:t>项目年产砂石</w:t>
            </w:r>
            <w:r>
              <w:rPr>
                <w:rFonts w:hint="eastAsia" w:cs="Times New Roman"/>
                <w:b w:val="0"/>
                <w:bCs w:val="0"/>
                <w:snapToGrid w:val="0"/>
                <w:color w:val="000000"/>
                <w:kern w:val="0"/>
                <w:sz w:val="24"/>
                <w:szCs w:val="22"/>
                <w:lang w:val="en-US" w:eastAsia="zh-CN"/>
              </w:rPr>
              <w:t>100万吨，设计生产时间3300h，则项目</w:t>
            </w:r>
            <w:r>
              <w:rPr>
                <w:rFonts w:hint="eastAsia" w:ascii="Times New Roman" w:hAnsi="Times New Roman" w:cs="Times New Roman"/>
                <w:b w:val="0"/>
                <w:bCs w:val="0"/>
                <w:snapToGrid w:val="0"/>
                <w:color w:val="000000"/>
                <w:kern w:val="0"/>
                <w:sz w:val="24"/>
                <w:szCs w:val="22"/>
                <w:lang w:val="en-US" w:eastAsia="zh-CN"/>
              </w:rPr>
              <w:t>破碎、筛分生产粉尘</w:t>
            </w:r>
            <w:r>
              <w:rPr>
                <w:rFonts w:hint="eastAsia" w:cs="Times New Roman"/>
                <w:b w:val="0"/>
                <w:bCs w:val="0"/>
                <w:snapToGrid w:val="0"/>
                <w:color w:val="000000"/>
                <w:kern w:val="0"/>
                <w:sz w:val="24"/>
                <w:szCs w:val="22"/>
                <w:lang w:val="en-US" w:eastAsia="zh-CN"/>
              </w:rPr>
              <w:t>排放量为：</w:t>
            </w:r>
          </w:p>
          <w:p w14:paraId="72A13D63">
            <w:pPr>
              <w:pStyle w:val="61"/>
              <w:jc w:val="both"/>
              <w:rPr>
                <w:rFonts w:hint="eastAsia" w:cs="Times New Roman"/>
                <w:b w:val="0"/>
                <w:bCs w:val="0"/>
                <w:snapToGrid w:val="0"/>
                <w:color w:val="000000"/>
                <w:kern w:val="0"/>
                <w:sz w:val="24"/>
                <w:szCs w:val="22"/>
                <w:vertAlign w:val="baseline"/>
                <w:lang w:val="en-US" w:eastAsia="zh-CN"/>
              </w:rPr>
            </w:pPr>
            <w:r>
              <w:rPr>
                <w:rFonts w:hint="eastAsia" w:cs="Times New Roman"/>
                <w:b w:val="0"/>
                <w:bCs w:val="0"/>
                <w:snapToGrid w:val="0"/>
                <w:color w:val="000000"/>
                <w:kern w:val="0"/>
                <w:sz w:val="24"/>
                <w:szCs w:val="22"/>
                <w:lang w:val="en-US" w:eastAsia="zh-CN"/>
              </w:rPr>
              <w:t xml:space="preserve">  Q=(1.89kg/t×10</w:t>
            </w:r>
            <w:r>
              <w:rPr>
                <w:rFonts w:hint="eastAsia" w:cs="Times New Roman"/>
                <w:b w:val="0"/>
                <w:bCs w:val="0"/>
                <w:snapToGrid w:val="0"/>
                <w:color w:val="000000"/>
                <w:kern w:val="0"/>
                <w:sz w:val="24"/>
                <w:szCs w:val="22"/>
                <w:vertAlign w:val="superscript"/>
                <w:lang w:val="en-US" w:eastAsia="zh-CN"/>
              </w:rPr>
              <w:t>6</w:t>
            </w:r>
            <w:r>
              <w:rPr>
                <w:rFonts w:hint="eastAsia" w:cs="Times New Roman"/>
                <w:b w:val="0"/>
                <w:bCs w:val="0"/>
                <w:snapToGrid w:val="0"/>
                <w:color w:val="000000"/>
                <w:kern w:val="0"/>
                <w:sz w:val="24"/>
                <w:szCs w:val="22"/>
                <w:vertAlign w:val="baseline"/>
                <w:lang w:val="en-US" w:eastAsia="zh-CN"/>
              </w:rPr>
              <w:t>t/a)×10</w:t>
            </w:r>
            <w:r>
              <w:rPr>
                <w:rFonts w:hint="eastAsia" w:cs="Times New Roman"/>
                <w:b w:val="0"/>
                <w:bCs w:val="0"/>
                <w:snapToGrid w:val="0"/>
                <w:color w:val="000000"/>
                <w:kern w:val="0"/>
                <w:sz w:val="24"/>
                <w:szCs w:val="22"/>
                <w:vertAlign w:val="superscript"/>
                <w:lang w:val="en-US" w:eastAsia="zh-CN"/>
              </w:rPr>
              <w:t>-3</w:t>
            </w:r>
            <w:r>
              <w:rPr>
                <w:rFonts w:hint="eastAsia" w:cs="Times New Roman"/>
                <w:b w:val="0"/>
                <w:bCs w:val="0"/>
                <w:snapToGrid w:val="0"/>
                <w:color w:val="000000"/>
                <w:kern w:val="0"/>
                <w:sz w:val="24"/>
                <w:szCs w:val="22"/>
                <w:vertAlign w:val="baseline"/>
                <w:lang w:val="en-US" w:eastAsia="zh-CN"/>
              </w:rPr>
              <w:t>×（1-90%）×（1-90%）×（1-90%）</w:t>
            </w:r>
          </w:p>
          <w:p w14:paraId="4CEDA12F">
            <w:pPr>
              <w:pStyle w:val="61"/>
              <w:ind w:firstLine="1027" w:firstLineChars="428"/>
              <w:jc w:val="both"/>
              <w:rPr>
                <w:rFonts w:hint="eastAsia" w:cs="Times New Roman"/>
                <w:b w:val="0"/>
                <w:bCs w:val="0"/>
                <w:snapToGrid w:val="0"/>
                <w:color w:val="000000"/>
                <w:kern w:val="0"/>
                <w:sz w:val="24"/>
                <w:szCs w:val="22"/>
                <w:vertAlign w:val="baseline"/>
                <w:lang w:val="en-US" w:eastAsia="zh-CN"/>
              </w:rPr>
            </w:pPr>
            <w:r>
              <w:rPr>
                <w:rFonts w:hint="eastAsia" w:cs="Times New Roman"/>
                <w:b w:val="0"/>
                <w:bCs w:val="0"/>
                <w:snapToGrid w:val="0"/>
                <w:color w:val="000000"/>
                <w:kern w:val="0"/>
                <w:sz w:val="24"/>
                <w:szCs w:val="22"/>
                <w:vertAlign w:val="baseline"/>
                <w:lang w:val="en-US" w:eastAsia="zh-CN"/>
              </w:rPr>
              <w:t>=1.89t/a</w:t>
            </w:r>
          </w:p>
          <w:p w14:paraId="032B6BA5">
            <w:pPr>
              <w:pStyle w:val="61"/>
              <w:ind w:firstLine="1027" w:firstLineChars="428"/>
              <w:jc w:val="both"/>
              <w:rPr>
                <w:rFonts w:hint="default" w:ascii="Times New Roman" w:hAnsi="Times New Roman" w:cs="Times New Roman"/>
                <w:color w:val="000000"/>
              </w:rPr>
            </w:pPr>
            <w:r>
              <w:rPr>
                <w:rFonts w:hint="eastAsia" w:cs="Times New Roman"/>
                <w:b w:val="0"/>
                <w:bCs w:val="0"/>
                <w:snapToGrid w:val="0"/>
                <w:color w:val="000000"/>
                <w:kern w:val="0"/>
                <w:sz w:val="24"/>
                <w:szCs w:val="22"/>
                <w:vertAlign w:val="baseline"/>
                <w:lang w:val="en-US" w:eastAsia="zh-CN"/>
              </w:rPr>
              <w:t>年产3300h，则排放速率为0.5727kg/h</w:t>
            </w:r>
          </w:p>
          <w:p w14:paraId="567C138C">
            <w:pPr>
              <w:pStyle w:val="2"/>
              <w:ind w:firstLine="482"/>
              <w:rPr>
                <w:rFonts w:hint="eastAsia" w:cs="Times New Roman"/>
                <w:b/>
                <w:bCs/>
                <w:snapToGrid w:val="0"/>
                <w:sz w:val="24"/>
                <w:szCs w:val="22"/>
                <w:lang w:eastAsia="zh-CN"/>
              </w:rPr>
            </w:pPr>
            <w:r>
              <w:rPr>
                <w:rFonts w:hint="eastAsia" w:cs="Times New Roman"/>
                <w:b/>
                <w:bCs/>
                <w:snapToGrid w:val="0"/>
                <w:sz w:val="24"/>
                <w:szCs w:val="22"/>
                <w:lang w:eastAsia="zh-CN"/>
              </w:rPr>
              <w:t>⑤成品堆场粉尘</w:t>
            </w:r>
          </w:p>
          <w:p w14:paraId="2830B49C">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本项目设置</w:t>
            </w:r>
            <w:r>
              <w:rPr>
                <w:rFonts w:hint="eastAsia" w:cs="Times New Roman"/>
                <w:snapToGrid w:val="0"/>
                <w:kern w:val="0"/>
                <w:sz w:val="24"/>
                <w:szCs w:val="22"/>
                <w:lang w:eastAsia="zh-CN"/>
              </w:rPr>
              <w:t>成品</w:t>
            </w:r>
            <w:r>
              <w:rPr>
                <w:rFonts w:hint="default" w:ascii="Times New Roman" w:hAnsi="Times New Roman" w:cs="Times New Roman"/>
                <w:snapToGrid w:val="0"/>
                <w:kern w:val="0"/>
                <w:sz w:val="24"/>
                <w:szCs w:val="22"/>
              </w:rPr>
              <w:t>堆场一处，</w:t>
            </w:r>
            <w:r>
              <w:rPr>
                <w:rFonts w:hint="eastAsia" w:ascii="Times New Roman" w:hAnsi="Times New Roman" w:cs="Times New Roman"/>
                <w:snapToGrid w:val="0"/>
                <w:kern w:val="0"/>
                <w:sz w:val="24"/>
                <w:szCs w:val="22"/>
                <w:lang w:eastAsia="zh-CN"/>
              </w:rPr>
              <w:t>位于</w:t>
            </w:r>
            <w:r>
              <w:rPr>
                <w:rFonts w:hint="eastAsia" w:cs="Times New Roman"/>
                <w:snapToGrid w:val="0"/>
                <w:kern w:val="0"/>
                <w:sz w:val="24"/>
                <w:szCs w:val="22"/>
                <w:lang w:eastAsia="zh-CN"/>
              </w:rPr>
              <w:t>封闭的成品堆场车间内</w:t>
            </w:r>
            <w:r>
              <w:rPr>
                <w:rFonts w:hint="eastAsia" w:ascii="Times New Roman" w:hAnsi="Times New Roman" w:cs="Times New Roman"/>
                <w:snapToGrid w:val="0"/>
                <w:kern w:val="0"/>
                <w:sz w:val="24"/>
                <w:szCs w:val="22"/>
                <w:lang w:eastAsia="zh-CN"/>
              </w:rPr>
              <w:t>，</w:t>
            </w:r>
            <w:r>
              <w:rPr>
                <w:rFonts w:hint="default" w:ascii="Times New Roman" w:hAnsi="Times New Roman" w:cs="Times New Roman"/>
                <w:snapToGrid w:val="0"/>
                <w:kern w:val="0"/>
                <w:sz w:val="24"/>
                <w:szCs w:val="22"/>
              </w:rPr>
              <w:t>总面积约</w:t>
            </w:r>
            <w:r>
              <w:rPr>
                <w:rFonts w:hint="eastAsia" w:cs="Times New Roman"/>
                <w:snapToGrid w:val="0"/>
                <w:kern w:val="0"/>
                <w:sz w:val="24"/>
                <w:szCs w:val="22"/>
                <w:lang w:val="en-US" w:eastAsia="zh-CN"/>
              </w:rPr>
              <w:t>1200</w:t>
            </w:r>
            <w:r>
              <w:rPr>
                <w:rFonts w:hint="default" w:ascii="Times New Roman" w:hAnsi="Times New Roman" w:cs="Times New Roman"/>
                <w:snapToGrid w:val="0"/>
                <w:kern w:val="0"/>
                <w:sz w:val="24"/>
                <w:szCs w:val="22"/>
              </w:rPr>
              <w:t>㎡</w:t>
            </w:r>
            <w:r>
              <w:rPr>
                <w:rFonts w:hint="eastAsia" w:cs="Times New Roman"/>
                <w:snapToGrid w:val="0"/>
                <w:kern w:val="0"/>
                <w:sz w:val="24"/>
                <w:szCs w:val="22"/>
                <w:lang w:eastAsia="zh-CN"/>
              </w:rPr>
              <w:t>，其中机制砂面积约</w:t>
            </w:r>
            <w:r>
              <w:rPr>
                <w:rFonts w:hint="eastAsia" w:cs="Times New Roman"/>
                <w:snapToGrid w:val="0"/>
                <w:kern w:val="0"/>
                <w:sz w:val="24"/>
                <w:szCs w:val="22"/>
                <w:lang w:val="en-US" w:eastAsia="zh-CN"/>
              </w:rPr>
              <w:t>400</w:t>
            </w:r>
            <w:r>
              <w:rPr>
                <w:rFonts w:hint="default" w:ascii="Times New Roman" w:hAnsi="Times New Roman" w:cs="Times New Roman"/>
                <w:snapToGrid w:val="0"/>
                <w:kern w:val="0"/>
                <w:sz w:val="24"/>
                <w:szCs w:val="22"/>
              </w:rPr>
              <w:t>㎡，</w:t>
            </w:r>
            <w:r>
              <w:rPr>
                <w:rFonts w:hint="eastAsia" w:cs="Times New Roman"/>
                <w:snapToGrid w:val="0"/>
                <w:kern w:val="0"/>
                <w:sz w:val="24"/>
                <w:szCs w:val="22"/>
                <w:lang w:eastAsia="zh-CN"/>
              </w:rPr>
              <w:t>碎石堆场一般不会产生扬尘，因此忽略碎石堆场的扬尘。成品堆场扬尘主要来自机制砂，当机制砂堆场</w:t>
            </w:r>
            <w:r>
              <w:rPr>
                <w:rFonts w:hint="default" w:ascii="Times New Roman" w:hAnsi="Times New Roman" w:cs="Times New Roman"/>
                <w:snapToGrid w:val="0"/>
                <w:kern w:val="0"/>
                <w:sz w:val="24"/>
                <w:szCs w:val="22"/>
              </w:rPr>
              <w:t>表面水分蒸发后</w:t>
            </w:r>
            <w:r>
              <w:rPr>
                <w:rFonts w:hint="eastAsia" w:ascii="Times New Roman" w:hAnsi="Times New Roman" w:cs="Times New Roman"/>
                <w:snapToGrid w:val="0"/>
                <w:kern w:val="0"/>
                <w:sz w:val="24"/>
                <w:szCs w:val="22"/>
                <w:lang w:eastAsia="zh-CN"/>
              </w:rPr>
              <w:t>致使</w:t>
            </w:r>
            <w:r>
              <w:rPr>
                <w:rFonts w:hint="eastAsia" w:cs="Times New Roman"/>
                <w:snapToGrid w:val="0"/>
                <w:kern w:val="0"/>
                <w:sz w:val="24"/>
                <w:szCs w:val="22"/>
                <w:lang w:eastAsia="zh-CN"/>
              </w:rPr>
              <w:t>机制砂</w:t>
            </w:r>
            <w:r>
              <w:rPr>
                <w:rFonts w:hint="default" w:ascii="Times New Roman" w:hAnsi="Times New Roman" w:cs="Times New Roman"/>
                <w:snapToGrid w:val="0"/>
                <w:kern w:val="0"/>
                <w:sz w:val="24"/>
                <w:szCs w:val="22"/>
              </w:rPr>
              <w:t>干化，</w:t>
            </w:r>
            <w:r>
              <w:rPr>
                <w:rFonts w:hint="eastAsia" w:ascii="Times New Roman" w:hAnsi="Times New Roman" w:cs="Times New Roman"/>
                <w:snapToGrid w:val="0"/>
                <w:kern w:val="0"/>
                <w:sz w:val="24"/>
                <w:szCs w:val="22"/>
                <w:lang w:eastAsia="zh-CN"/>
              </w:rPr>
              <w:t>遇风时</w:t>
            </w:r>
            <w:r>
              <w:rPr>
                <w:rFonts w:hint="default" w:ascii="Times New Roman" w:hAnsi="Times New Roman" w:cs="Times New Roman"/>
                <w:snapToGrid w:val="0"/>
                <w:kern w:val="0"/>
                <w:sz w:val="24"/>
                <w:szCs w:val="22"/>
              </w:rPr>
              <w:t>会产生扬尘</w:t>
            </w:r>
            <w:r>
              <w:rPr>
                <w:rFonts w:hint="default" w:ascii="Times New Roman" w:hAnsi="Times New Roman" w:cs="Times New Roman"/>
                <w:snapToGrid w:val="0"/>
                <w:color w:val="auto"/>
                <w:kern w:val="0"/>
                <w:sz w:val="24"/>
                <w:szCs w:val="22"/>
              </w:rPr>
              <w:t>。项目</w:t>
            </w:r>
            <w:r>
              <w:rPr>
                <w:rFonts w:hint="eastAsia" w:cs="Times New Roman"/>
                <w:snapToGrid w:val="0"/>
                <w:color w:val="auto"/>
                <w:kern w:val="0"/>
                <w:sz w:val="24"/>
                <w:szCs w:val="22"/>
                <w:lang w:eastAsia="zh-CN"/>
              </w:rPr>
              <w:t>机制砂堆场设置在</w:t>
            </w:r>
            <w:r>
              <w:rPr>
                <w:rFonts w:hint="default" w:ascii="Times New Roman" w:hAnsi="Times New Roman" w:cs="Times New Roman"/>
                <w:snapToGrid w:val="0"/>
                <w:color w:val="auto"/>
                <w:kern w:val="0"/>
                <w:sz w:val="24"/>
                <w:szCs w:val="22"/>
              </w:rPr>
              <w:t>四面封闭式</w:t>
            </w:r>
            <w:r>
              <w:rPr>
                <w:rFonts w:hint="eastAsia" w:ascii="Times New Roman" w:hAnsi="Times New Roman" w:cs="Times New Roman"/>
                <w:snapToGrid w:val="0"/>
                <w:color w:val="auto"/>
                <w:kern w:val="0"/>
                <w:sz w:val="24"/>
                <w:szCs w:val="22"/>
                <w:lang w:eastAsia="zh-CN"/>
              </w:rPr>
              <w:t>车间</w:t>
            </w:r>
            <w:r>
              <w:rPr>
                <w:rFonts w:hint="default" w:ascii="Times New Roman" w:hAnsi="Times New Roman" w:cs="Times New Roman"/>
                <w:snapToGrid w:val="0"/>
                <w:color w:val="auto"/>
                <w:kern w:val="0"/>
                <w:sz w:val="24"/>
                <w:szCs w:val="22"/>
              </w:rPr>
              <w:t>（出入口</w:t>
            </w:r>
            <w:r>
              <w:rPr>
                <w:rFonts w:hint="eastAsia" w:ascii="Times New Roman" w:hAnsi="Times New Roman" w:cs="Times New Roman"/>
                <w:snapToGrid w:val="0"/>
                <w:color w:val="auto"/>
                <w:kern w:val="0"/>
                <w:sz w:val="24"/>
                <w:szCs w:val="22"/>
                <w:lang w:eastAsia="zh-CN"/>
              </w:rPr>
              <w:t>除外</w:t>
            </w:r>
            <w:r>
              <w:rPr>
                <w:rFonts w:hint="default" w:ascii="Times New Roman" w:hAnsi="Times New Roman" w:cs="Times New Roman"/>
                <w:snapToGrid w:val="0"/>
                <w:color w:val="auto"/>
                <w:kern w:val="0"/>
                <w:sz w:val="24"/>
                <w:szCs w:val="22"/>
              </w:rPr>
              <w:t>）</w:t>
            </w:r>
            <w:r>
              <w:rPr>
                <w:rFonts w:hint="eastAsia" w:cs="Times New Roman"/>
                <w:snapToGrid w:val="0"/>
                <w:color w:val="auto"/>
                <w:kern w:val="0"/>
                <w:sz w:val="24"/>
                <w:szCs w:val="22"/>
                <w:lang w:eastAsia="zh-CN"/>
              </w:rPr>
              <w:t>以</w:t>
            </w:r>
            <w:r>
              <w:rPr>
                <w:rFonts w:hint="default" w:ascii="Times New Roman" w:hAnsi="Times New Roman" w:cs="Times New Roman"/>
                <w:snapToGrid w:val="0"/>
                <w:color w:val="auto"/>
                <w:kern w:val="0"/>
                <w:sz w:val="24"/>
                <w:szCs w:val="22"/>
              </w:rPr>
              <w:t>防止扬尘的产生，故</w:t>
            </w:r>
            <w:r>
              <w:rPr>
                <w:rFonts w:hint="default" w:ascii="Times New Roman" w:hAnsi="Times New Roman" w:cs="Times New Roman"/>
                <w:snapToGrid w:val="0"/>
                <w:kern w:val="0"/>
                <w:sz w:val="24"/>
                <w:szCs w:val="22"/>
              </w:rPr>
              <w:t>采取扬尘防治措施后，本项目堆场的起尘量可采用如下公式计算：</w:t>
            </w:r>
          </w:p>
          <w:p w14:paraId="6F4429B7">
            <w:pPr>
              <w:pStyle w:val="7"/>
              <w:spacing w:line="420" w:lineRule="auto"/>
              <w:ind w:firstLine="560"/>
              <w:jc w:val="center"/>
              <w:rPr>
                <w:rFonts w:hint="default" w:ascii="Times New Roman" w:hAnsi="Times New Roman" w:cs="Times New Roman"/>
                <w:sz w:val="28"/>
                <w:szCs w:val="28"/>
              </w:rPr>
            </w:pPr>
            <w:r>
              <w:rPr>
                <w:rFonts w:hint="default" w:ascii="Times New Roman" w:hAnsi="Times New Roman" w:cs="Times New Roman"/>
                <w:sz w:val="28"/>
                <w:szCs w:val="28"/>
              </w:rPr>
              <w:t>Q</w:t>
            </w:r>
            <w:r>
              <w:rPr>
                <w:rFonts w:hint="default" w:ascii="Times New Roman" w:hAnsi="Times New Roman" w:cs="Times New Roman"/>
                <w:sz w:val="28"/>
                <w:szCs w:val="28"/>
                <w:vertAlign w:val="subscript"/>
              </w:rPr>
              <w:t>m</w:t>
            </w:r>
            <w:r>
              <w:rPr>
                <w:rFonts w:hint="default" w:ascii="Times New Roman" w:hAnsi="Times New Roman" w:cs="Times New Roman"/>
                <w:sz w:val="28"/>
                <w:szCs w:val="28"/>
              </w:rPr>
              <w:t>=11.7·U</w:t>
            </w:r>
            <w:r>
              <w:rPr>
                <w:rFonts w:hint="default" w:ascii="Times New Roman" w:hAnsi="Times New Roman" w:cs="Times New Roman"/>
                <w:sz w:val="28"/>
                <w:szCs w:val="28"/>
                <w:vertAlign w:val="superscript"/>
              </w:rPr>
              <w:t>2.45·</w:t>
            </w:r>
            <w:r>
              <w:rPr>
                <w:rFonts w:hint="default" w:ascii="Times New Roman" w:hAnsi="Times New Roman" w:cs="Times New Roman"/>
                <w:sz w:val="28"/>
                <w:szCs w:val="28"/>
              </w:rPr>
              <w:t>S</w:t>
            </w:r>
            <w:r>
              <w:rPr>
                <w:rFonts w:hint="default" w:ascii="Times New Roman" w:hAnsi="Times New Roman" w:cs="Times New Roman"/>
                <w:sz w:val="28"/>
                <w:szCs w:val="28"/>
                <w:vertAlign w:val="superscript"/>
              </w:rPr>
              <w:t>0.345</w:t>
            </w:r>
            <w:r>
              <w:rPr>
                <w:rFonts w:hint="default" w:ascii="Times New Roman" w:hAnsi="Times New Roman" w:cs="Times New Roman"/>
                <w:sz w:val="28"/>
                <w:szCs w:val="28"/>
              </w:rPr>
              <w:t>·e</w:t>
            </w:r>
            <w:r>
              <w:rPr>
                <w:rFonts w:hint="default" w:ascii="Times New Roman" w:hAnsi="Times New Roman" w:cs="Times New Roman"/>
                <w:sz w:val="28"/>
                <w:szCs w:val="28"/>
                <w:vertAlign w:val="superscript"/>
              </w:rPr>
              <w:t>-0.5w</w:t>
            </w:r>
          </w:p>
          <w:p w14:paraId="6B7D7380">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式中</w:t>
            </w:r>
            <w:r>
              <w:rPr>
                <w:rFonts w:hint="eastAsia" w:ascii="Times New Roman" w:hAnsi="Times New Roman" w:cs="Times New Roman"/>
                <w:snapToGrid w:val="0"/>
                <w:kern w:val="0"/>
                <w:sz w:val="24"/>
                <w:szCs w:val="22"/>
                <w:lang w:eastAsia="zh-CN"/>
              </w:rPr>
              <w:t>：</w:t>
            </w:r>
            <w:r>
              <w:rPr>
                <w:rFonts w:hint="default" w:ascii="Times New Roman" w:hAnsi="Times New Roman" w:cs="Times New Roman"/>
                <w:snapToGrid w:val="0"/>
                <w:kern w:val="0"/>
                <w:sz w:val="24"/>
                <w:szCs w:val="22"/>
              </w:rPr>
              <w:t>Qm——堆场起尘量，mg/s；</w:t>
            </w:r>
          </w:p>
          <w:p w14:paraId="2CB9BE0E">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U——风速，m/s</w:t>
            </w:r>
            <w:r>
              <w:rPr>
                <w:rFonts w:hint="eastAsia" w:ascii="Times New Roman" w:hAnsi="Times New Roman" w:cs="Times New Roman"/>
                <w:snapToGrid w:val="0"/>
                <w:kern w:val="0"/>
                <w:sz w:val="24"/>
                <w:szCs w:val="22"/>
                <w:lang w:eastAsia="zh-CN"/>
              </w:rPr>
              <w:t>，</w:t>
            </w:r>
            <w:r>
              <w:rPr>
                <w:rFonts w:hint="default" w:ascii="Times New Roman" w:hAnsi="Times New Roman" w:cs="Times New Roman"/>
                <w:snapToGrid w:val="0"/>
                <w:kern w:val="0"/>
                <w:sz w:val="24"/>
                <w:szCs w:val="22"/>
              </w:rPr>
              <w:t>本项目设置</w:t>
            </w:r>
            <w:r>
              <w:rPr>
                <w:rFonts w:hint="eastAsia" w:ascii="Times New Roman" w:hAnsi="Times New Roman" w:cs="Times New Roman"/>
                <w:snapToGrid w:val="0"/>
                <w:kern w:val="0"/>
                <w:sz w:val="24"/>
                <w:szCs w:val="22"/>
                <w:lang w:eastAsia="zh-CN"/>
              </w:rPr>
              <w:t>封闭式车间</w:t>
            </w:r>
            <w:r>
              <w:rPr>
                <w:rFonts w:hint="default" w:ascii="Times New Roman" w:hAnsi="Times New Roman" w:cs="Times New Roman"/>
                <w:snapToGrid w:val="0"/>
                <w:kern w:val="0"/>
                <w:sz w:val="24"/>
                <w:szCs w:val="22"/>
              </w:rPr>
              <w:t>，可将</w:t>
            </w:r>
            <w:r>
              <w:rPr>
                <w:rFonts w:hint="eastAsia" w:ascii="Times New Roman" w:hAnsi="Times New Roman" w:cs="Times New Roman"/>
                <w:snapToGrid w:val="0"/>
                <w:kern w:val="0"/>
                <w:sz w:val="24"/>
                <w:szCs w:val="22"/>
                <w:lang w:eastAsia="zh-CN"/>
              </w:rPr>
              <w:t>风</w:t>
            </w:r>
            <w:r>
              <w:rPr>
                <w:rFonts w:hint="default" w:ascii="Times New Roman" w:hAnsi="Times New Roman" w:cs="Times New Roman"/>
                <w:snapToGrid w:val="0"/>
                <w:kern w:val="0"/>
                <w:sz w:val="24"/>
                <w:szCs w:val="22"/>
              </w:rPr>
              <w:t>吹到砂石</w:t>
            </w:r>
            <w:r>
              <w:rPr>
                <w:rFonts w:hint="eastAsia" w:ascii="Times New Roman" w:hAnsi="Times New Roman" w:cs="Times New Roman"/>
                <w:snapToGrid w:val="0"/>
                <w:kern w:val="0"/>
                <w:sz w:val="24"/>
                <w:szCs w:val="22"/>
                <w:lang w:eastAsia="zh-CN"/>
              </w:rPr>
              <w:t>表面</w:t>
            </w:r>
            <w:r>
              <w:rPr>
                <w:rFonts w:hint="default" w:ascii="Times New Roman" w:hAnsi="Times New Roman" w:cs="Times New Roman"/>
                <w:snapToGrid w:val="0"/>
                <w:kern w:val="0"/>
                <w:sz w:val="24"/>
                <w:szCs w:val="22"/>
              </w:rPr>
              <w:t>的风速控制至0.5m/s以下；</w:t>
            </w:r>
          </w:p>
          <w:p w14:paraId="34C95A75">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S——堆场面积</w:t>
            </w:r>
            <w:r>
              <w:rPr>
                <w:rFonts w:hint="eastAsia" w:cs="Times New Roman"/>
                <w:snapToGrid w:val="0"/>
                <w:kern w:val="0"/>
                <w:sz w:val="24"/>
                <w:szCs w:val="22"/>
                <w:lang w:val="en-US" w:eastAsia="zh-CN"/>
              </w:rPr>
              <w:t>400</w:t>
            </w:r>
            <w:r>
              <w:rPr>
                <w:rFonts w:hint="default" w:ascii="Times New Roman" w:hAnsi="Times New Roman" w:cs="Times New Roman"/>
                <w:snapToGrid w:val="0"/>
                <w:kern w:val="0"/>
                <w:sz w:val="24"/>
                <w:szCs w:val="22"/>
              </w:rPr>
              <w:t>m</w:t>
            </w:r>
            <w:r>
              <w:rPr>
                <w:rFonts w:hint="default" w:ascii="Times New Roman" w:hAnsi="Times New Roman" w:cs="Times New Roman"/>
                <w:snapToGrid w:val="0"/>
                <w:kern w:val="0"/>
                <w:sz w:val="24"/>
                <w:szCs w:val="22"/>
                <w:vertAlign w:val="superscript"/>
              </w:rPr>
              <w:t>2</w:t>
            </w:r>
            <w:r>
              <w:rPr>
                <w:rFonts w:hint="default" w:ascii="Times New Roman" w:hAnsi="Times New Roman" w:cs="Times New Roman"/>
                <w:snapToGrid w:val="0"/>
                <w:kern w:val="0"/>
                <w:sz w:val="24"/>
                <w:szCs w:val="22"/>
              </w:rPr>
              <w:t>；</w:t>
            </w:r>
          </w:p>
          <w:p w14:paraId="1D2FEB4C">
            <w:pPr>
              <w:spacing w:line="420" w:lineRule="auto"/>
              <w:ind w:firstLine="480"/>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W——物料湿度，含水率取</w:t>
            </w:r>
            <w:r>
              <w:rPr>
                <w:rFonts w:hint="eastAsia" w:cs="Times New Roman"/>
                <w:snapToGrid w:val="0"/>
                <w:kern w:val="0"/>
                <w:sz w:val="24"/>
                <w:szCs w:val="22"/>
                <w:lang w:val="en-US" w:eastAsia="zh-CN"/>
              </w:rPr>
              <w:t>2</w:t>
            </w:r>
            <w:r>
              <w:rPr>
                <w:rFonts w:hint="default" w:ascii="Times New Roman" w:hAnsi="Times New Roman" w:cs="Times New Roman"/>
                <w:snapToGrid w:val="0"/>
                <w:kern w:val="0"/>
                <w:sz w:val="24"/>
                <w:szCs w:val="22"/>
              </w:rPr>
              <w:t>0%。根据上式计算，</w:t>
            </w:r>
          </w:p>
          <w:p w14:paraId="1781D23D">
            <w:pPr>
              <w:pStyle w:val="44"/>
              <w:bidi w:val="0"/>
              <w:rPr>
                <w:rFonts w:hint="default" w:ascii="Times New Roman" w:hAnsi="Times New Roman" w:cs="Times New Roman"/>
              </w:rPr>
            </w:pPr>
            <w:r>
              <w:rPr>
                <w:rFonts w:hint="default" w:ascii="Times New Roman" w:hAnsi="Times New Roman" w:cs="Times New Roman"/>
              </w:rPr>
              <w:t>本项目堆场起尘量为</w:t>
            </w:r>
            <w:r>
              <w:rPr>
                <w:rFonts w:hint="eastAsia" w:ascii="Times New Roman" w:hAnsi="Times New Roman" w:cs="Times New Roman"/>
                <w:lang w:val="en-US" w:eastAsia="zh-CN"/>
              </w:rPr>
              <w:t>15.3</w:t>
            </w:r>
            <w:r>
              <w:rPr>
                <w:rFonts w:hint="default" w:ascii="Times New Roman" w:hAnsi="Times New Roman" w:cs="Times New Roman"/>
              </w:rPr>
              <w:t>mg/s，0</w:t>
            </w:r>
            <w:r>
              <w:rPr>
                <w:rFonts w:hint="eastAsia" w:ascii="Times New Roman" w:hAnsi="Times New Roman" w:cs="Times New Roman"/>
                <w:lang w:val="en-US" w:eastAsia="zh-CN"/>
              </w:rPr>
              <w:t>.0551</w:t>
            </w:r>
            <w:r>
              <w:rPr>
                <w:rFonts w:hint="default" w:ascii="Times New Roman" w:hAnsi="Times New Roman" w:cs="Times New Roman"/>
              </w:rPr>
              <w:t>kg/h。因项目</w:t>
            </w:r>
            <w:r>
              <w:rPr>
                <w:rFonts w:hint="eastAsia" w:ascii="Times New Roman" w:hAnsi="Times New Roman" w:cs="Times New Roman"/>
                <w:lang w:eastAsia="zh-CN"/>
              </w:rPr>
              <w:t>车间</w:t>
            </w:r>
            <w:r>
              <w:rPr>
                <w:rFonts w:hint="default" w:ascii="Times New Roman" w:hAnsi="Times New Roman" w:cs="Times New Roman"/>
                <w:lang w:eastAsia="zh-CN"/>
              </w:rPr>
              <w:t>为封闭</w:t>
            </w:r>
            <w:r>
              <w:rPr>
                <w:rFonts w:hint="eastAsia" w:ascii="Times New Roman" w:hAnsi="Times New Roman" w:cs="Times New Roman"/>
                <w:lang w:eastAsia="zh-CN"/>
              </w:rPr>
              <w:t>结构</w:t>
            </w:r>
            <w:r>
              <w:rPr>
                <w:rFonts w:hint="default" w:ascii="Times New Roman" w:hAnsi="Times New Roman" w:cs="Times New Roman"/>
                <w:lang w:eastAsia="zh-CN"/>
              </w:rPr>
              <w:t>，且</w:t>
            </w:r>
            <w:r>
              <w:rPr>
                <w:rFonts w:hint="eastAsia" w:ascii="Times New Roman" w:hAnsi="Times New Roman" w:cs="Times New Roman"/>
                <w:lang w:eastAsia="zh-CN"/>
              </w:rPr>
              <w:t>车间</w:t>
            </w:r>
            <w:r>
              <w:rPr>
                <w:rFonts w:hint="default" w:ascii="Times New Roman" w:hAnsi="Times New Roman" w:cs="Times New Roman"/>
                <w:lang w:eastAsia="zh-CN"/>
              </w:rPr>
              <w:t>内设施喷淋除尘装置</w:t>
            </w:r>
            <w:r>
              <w:rPr>
                <w:rFonts w:hint="default" w:ascii="Times New Roman" w:hAnsi="Times New Roman" w:cs="Times New Roman"/>
              </w:rPr>
              <w:t>，90%的起尘在</w:t>
            </w:r>
            <w:r>
              <w:rPr>
                <w:rFonts w:hint="eastAsia" w:ascii="Times New Roman" w:hAnsi="Times New Roman" w:cs="Times New Roman"/>
                <w:lang w:eastAsia="zh-CN"/>
              </w:rPr>
              <w:t>车间</w:t>
            </w:r>
            <w:r>
              <w:rPr>
                <w:rFonts w:hint="default" w:ascii="Times New Roman" w:hAnsi="Times New Roman" w:cs="Times New Roman"/>
              </w:rPr>
              <w:t>内沉降，约10%的粉尘通过开放的出入口扩散至</w:t>
            </w:r>
            <w:r>
              <w:rPr>
                <w:rFonts w:hint="eastAsia" w:ascii="Times New Roman" w:hAnsi="Times New Roman" w:cs="Times New Roman"/>
                <w:lang w:eastAsia="zh-CN"/>
              </w:rPr>
              <w:t>车间</w:t>
            </w:r>
            <w:r>
              <w:rPr>
                <w:rFonts w:hint="default" w:ascii="Times New Roman" w:hAnsi="Times New Roman" w:cs="Times New Roman"/>
              </w:rPr>
              <w:t>外，因此本项目</w:t>
            </w:r>
            <w:r>
              <w:rPr>
                <w:rFonts w:hint="eastAsia" w:ascii="Times New Roman" w:hAnsi="Times New Roman" w:cs="Times New Roman"/>
                <w:lang w:eastAsia="zh-CN"/>
              </w:rPr>
              <w:t>机制砂</w:t>
            </w:r>
            <w:r>
              <w:rPr>
                <w:rFonts w:hint="default" w:ascii="Times New Roman" w:hAnsi="Times New Roman" w:cs="Times New Roman"/>
              </w:rPr>
              <w:t>堆场起尘排放速率为0.0</w:t>
            </w:r>
            <w:r>
              <w:rPr>
                <w:rFonts w:hint="eastAsia" w:ascii="Times New Roman" w:hAnsi="Times New Roman" w:cs="Times New Roman"/>
                <w:lang w:val="en-US" w:eastAsia="zh-CN"/>
              </w:rPr>
              <w:t>0551</w:t>
            </w:r>
            <w:r>
              <w:rPr>
                <w:rFonts w:hint="default" w:ascii="Times New Roman" w:hAnsi="Times New Roman" w:cs="Times New Roman"/>
              </w:rPr>
              <w:t>kg/h，年排放量为0.0</w:t>
            </w:r>
            <w:r>
              <w:rPr>
                <w:rFonts w:hint="eastAsia" w:ascii="Times New Roman" w:hAnsi="Times New Roman" w:cs="Times New Roman"/>
                <w:lang w:val="en-US" w:eastAsia="zh-CN"/>
              </w:rPr>
              <w:t>483</w:t>
            </w:r>
            <w:r>
              <w:rPr>
                <w:rFonts w:hint="default" w:ascii="Times New Roman" w:hAnsi="Times New Roman" w:cs="Times New Roman"/>
              </w:rPr>
              <w:t>t（</w:t>
            </w:r>
            <w:r>
              <w:rPr>
                <w:rFonts w:hint="eastAsia" w:ascii="Times New Roman" w:hAnsi="Times New Roman" w:cs="Times New Roman"/>
                <w:lang w:eastAsia="zh-CN"/>
              </w:rPr>
              <w:t>有效</w:t>
            </w:r>
            <w:r>
              <w:rPr>
                <w:rFonts w:hint="default" w:ascii="Times New Roman" w:hAnsi="Times New Roman" w:cs="Times New Roman"/>
              </w:rPr>
              <w:t>堆存3</w:t>
            </w:r>
            <w:r>
              <w:rPr>
                <w:rFonts w:hint="eastAsia" w:ascii="Times New Roman" w:hAnsi="Times New Roman" w:cs="Times New Roman"/>
                <w:lang w:val="en-US" w:eastAsia="zh-CN"/>
              </w:rPr>
              <w:t>65</w:t>
            </w:r>
            <w:r>
              <w:rPr>
                <w:rFonts w:hint="default" w:ascii="Times New Roman" w:hAnsi="Times New Roman" w:cs="Times New Roman"/>
              </w:rPr>
              <w:t>天</w:t>
            </w:r>
            <w:r>
              <w:rPr>
                <w:rFonts w:hint="eastAsia" w:ascii="Times New Roman" w:hAnsi="Times New Roman" w:cs="Times New Roman"/>
                <w:lang w:eastAsia="zh-CN"/>
              </w:rPr>
              <w:t>，</w:t>
            </w:r>
            <w:r>
              <w:rPr>
                <w:rFonts w:hint="eastAsia" w:ascii="Times New Roman" w:hAnsi="Times New Roman" w:cs="Times New Roman"/>
                <w:lang w:val="en-US" w:eastAsia="zh-CN"/>
              </w:rPr>
              <w:t>每天24h</w:t>
            </w:r>
            <w:r>
              <w:rPr>
                <w:rFonts w:hint="default" w:ascii="Times New Roman" w:hAnsi="Times New Roman" w:cs="Times New Roman"/>
              </w:rPr>
              <w:t>计算）。</w:t>
            </w:r>
          </w:p>
          <w:p w14:paraId="4A5BFADC">
            <w:pPr>
              <w:pStyle w:val="2"/>
              <w:ind w:firstLine="482"/>
              <w:rPr>
                <w:rFonts w:hint="default" w:ascii="Times New Roman" w:hAnsi="Times New Roman" w:cs="Times New Roman"/>
                <w:b/>
                <w:bCs/>
                <w:snapToGrid w:val="0"/>
                <w:sz w:val="24"/>
                <w:szCs w:val="22"/>
              </w:rPr>
            </w:pPr>
            <w:r>
              <w:rPr>
                <w:rFonts w:hint="eastAsia" w:cs="Times New Roman"/>
                <w:b/>
                <w:bCs/>
                <w:snapToGrid w:val="0"/>
                <w:sz w:val="24"/>
                <w:szCs w:val="22"/>
                <w:lang w:eastAsia="zh-CN"/>
              </w:rPr>
              <w:t>⑥砂石</w:t>
            </w:r>
            <w:r>
              <w:rPr>
                <w:rFonts w:hint="default" w:ascii="Times New Roman" w:hAnsi="Times New Roman" w:cs="Times New Roman"/>
                <w:b/>
                <w:bCs/>
                <w:snapToGrid w:val="0"/>
                <w:sz w:val="24"/>
                <w:szCs w:val="22"/>
              </w:rPr>
              <w:t>运输粉尘</w:t>
            </w:r>
          </w:p>
          <w:p w14:paraId="47E131E9">
            <w:pPr>
              <w:pStyle w:val="44"/>
              <w:ind w:firstLine="480"/>
              <w:rPr>
                <w:rFonts w:hint="default" w:ascii="Times New Roman" w:hAnsi="Times New Roman" w:cs="Times New Roman"/>
                <w:snapToGrid w:val="0"/>
                <w:kern w:val="0"/>
                <w:szCs w:val="22"/>
              </w:rPr>
            </w:pPr>
            <w:r>
              <w:rPr>
                <w:rFonts w:hint="default" w:ascii="Times New Roman" w:hAnsi="Times New Roman" w:cs="Times New Roman"/>
                <w:snapToGrid w:val="0"/>
                <w:kern w:val="0"/>
                <w:szCs w:val="22"/>
              </w:rPr>
              <w:t>项目</w:t>
            </w:r>
            <w:r>
              <w:rPr>
                <w:rFonts w:hint="eastAsia" w:ascii="Times New Roman" w:hAnsi="Times New Roman" w:cs="Times New Roman"/>
                <w:snapToGrid w:val="0"/>
                <w:kern w:val="0"/>
                <w:szCs w:val="22"/>
                <w:lang w:eastAsia="zh-CN"/>
              </w:rPr>
              <w:t>砂石</w:t>
            </w:r>
            <w:r>
              <w:rPr>
                <w:rFonts w:hint="default" w:ascii="Times New Roman" w:hAnsi="Times New Roman" w:cs="Times New Roman"/>
                <w:snapToGrid w:val="0"/>
                <w:kern w:val="0"/>
                <w:szCs w:val="22"/>
              </w:rPr>
              <w:t>，厂区道路长度约</w:t>
            </w:r>
            <w:r>
              <w:rPr>
                <w:rFonts w:hint="eastAsia" w:ascii="Times New Roman" w:hAnsi="Times New Roman" w:cs="Times New Roman"/>
                <w:snapToGrid w:val="0"/>
                <w:kern w:val="0"/>
                <w:szCs w:val="22"/>
                <w:lang w:val="en-US" w:eastAsia="zh-CN"/>
              </w:rPr>
              <w:t>3</w:t>
            </w:r>
            <w:r>
              <w:rPr>
                <w:rFonts w:hint="default" w:ascii="Times New Roman" w:hAnsi="Times New Roman" w:cs="Times New Roman"/>
                <w:snapToGrid w:val="0"/>
                <w:kern w:val="0"/>
                <w:szCs w:val="22"/>
              </w:rPr>
              <w:t>0m，</w:t>
            </w:r>
            <w:r>
              <w:rPr>
                <w:rFonts w:hint="eastAsia" w:ascii="Times New Roman" w:hAnsi="Times New Roman" w:cs="Times New Roman"/>
                <w:snapToGrid w:val="0"/>
                <w:kern w:val="0"/>
                <w:szCs w:val="22"/>
                <w:lang w:eastAsia="zh-CN"/>
              </w:rPr>
              <w:t>本次环评要求</w:t>
            </w:r>
            <w:r>
              <w:rPr>
                <w:rFonts w:hint="default" w:ascii="Times New Roman" w:hAnsi="Times New Roman" w:cs="Times New Roman"/>
                <w:snapToGrid w:val="0"/>
                <w:kern w:val="0"/>
                <w:szCs w:val="22"/>
              </w:rPr>
              <w:t>对厂区内运输道路进行硬化处理，建设单位安排</w:t>
            </w:r>
            <w:r>
              <w:rPr>
                <w:rFonts w:hint="eastAsia" w:ascii="Times New Roman" w:hAnsi="Times New Roman" w:cs="Times New Roman"/>
                <w:snapToGrid w:val="0"/>
                <w:kern w:val="0"/>
                <w:szCs w:val="22"/>
                <w:lang w:eastAsia="zh-CN"/>
              </w:rPr>
              <w:t>专人清洁道路</w:t>
            </w:r>
            <w:r>
              <w:rPr>
                <w:rFonts w:hint="default" w:ascii="Times New Roman" w:hAnsi="Times New Roman" w:cs="Times New Roman"/>
                <w:snapToGrid w:val="0"/>
                <w:kern w:val="0"/>
                <w:szCs w:val="22"/>
              </w:rPr>
              <w:t>，保持路面清洁</w:t>
            </w:r>
            <w:r>
              <w:rPr>
                <w:rFonts w:hint="eastAsia" w:ascii="Times New Roman" w:hAnsi="Times New Roman" w:cs="Times New Roman"/>
                <w:snapToGrid w:val="0"/>
                <w:kern w:val="0"/>
                <w:szCs w:val="22"/>
                <w:lang w:eastAsia="zh-CN"/>
              </w:rPr>
              <w:t>，项目出入口处设置</w:t>
            </w:r>
            <w:r>
              <w:rPr>
                <w:rFonts w:hint="default" w:ascii="Times New Roman" w:hAnsi="Times New Roman" w:cs="Times New Roman"/>
                <w:snapToGrid w:val="0"/>
                <w:kern w:val="0"/>
                <w:szCs w:val="22"/>
              </w:rPr>
              <w:t>自动洗车</w:t>
            </w:r>
            <w:r>
              <w:rPr>
                <w:rFonts w:hint="eastAsia" w:ascii="Times New Roman" w:hAnsi="Times New Roman" w:cs="Times New Roman"/>
                <w:snapToGrid w:val="0"/>
                <w:kern w:val="0"/>
                <w:szCs w:val="22"/>
                <w:lang w:eastAsia="zh-CN"/>
              </w:rPr>
              <w:t>设施</w:t>
            </w:r>
            <w:r>
              <w:rPr>
                <w:rFonts w:hint="default" w:ascii="Times New Roman" w:hAnsi="Times New Roman" w:cs="Times New Roman"/>
                <w:snapToGrid w:val="0"/>
                <w:kern w:val="0"/>
                <w:szCs w:val="22"/>
              </w:rPr>
              <w:t>，对车身底盘及轮胎进行冲洗；加强车辆管理，</w:t>
            </w:r>
            <w:r>
              <w:rPr>
                <w:rFonts w:hint="eastAsia" w:ascii="Times New Roman" w:hAnsi="Times New Roman" w:cs="Times New Roman"/>
                <w:snapToGrid w:val="0"/>
                <w:kern w:val="0"/>
                <w:szCs w:val="22"/>
                <w:lang w:eastAsia="zh-CN"/>
              </w:rPr>
              <w:t>控制车辆行驶速度</w:t>
            </w:r>
            <w:r>
              <w:rPr>
                <w:rFonts w:hint="default" w:ascii="Times New Roman" w:hAnsi="Times New Roman" w:cs="Times New Roman"/>
                <w:snapToGrid w:val="0"/>
                <w:kern w:val="0"/>
                <w:szCs w:val="22"/>
              </w:rPr>
              <w:t>；运输车辆加盖篷布</w:t>
            </w:r>
            <w:r>
              <w:rPr>
                <w:rFonts w:hint="eastAsia" w:ascii="Times New Roman" w:hAnsi="Times New Roman" w:cs="Times New Roman"/>
                <w:snapToGrid w:val="0"/>
                <w:kern w:val="0"/>
                <w:szCs w:val="22"/>
                <w:lang w:eastAsia="zh-CN"/>
              </w:rPr>
              <w:t>封闭货箱</w:t>
            </w:r>
            <w:r>
              <w:rPr>
                <w:rFonts w:hint="default" w:ascii="Times New Roman" w:hAnsi="Times New Roman" w:cs="Times New Roman"/>
                <w:snapToGrid w:val="0"/>
                <w:kern w:val="0"/>
                <w:szCs w:val="22"/>
              </w:rPr>
              <w:t>；</w:t>
            </w:r>
          </w:p>
          <w:p w14:paraId="33674285">
            <w:pPr>
              <w:pStyle w:val="44"/>
              <w:ind w:firstLine="480"/>
              <w:rPr>
                <w:rFonts w:hint="default" w:ascii="Times New Roman" w:hAnsi="Times New Roman" w:cs="Times New Roman"/>
                <w:b/>
                <w:bCs/>
                <w:snapToGrid w:val="0"/>
                <w:kern w:val="0"/>
                <w:sz w:val="24"/>
                <w:szCs w:val="22"/>
              </w:rPr>
            </w:pPr>
            <w:r>
              <w:rPr>
                <w:rFonts w:hint="eastAsia" w:ascii="Times New Roman" w:hAnsi="Times New Roman" w:cs="Times New Roman"/>
                <w:snapToGrid w:val="0"/>
                <w:kern w:val="0"/>
                <w:szCs w:val="22"/>
                <w:lang w:eastAsia="zh-CN"/>
              </w:rPr>
              <w:t>采取以上措施后，</w:t>
            </w:r>
            <w:r>
              <w:rPr>
                <w:rFonts w:hint="default" w:ascii="Times New Roman" w:hAnsi="Times New Roman" w:cs="Times New Roman"/>
                <w:snapToGrid w:val="0"/>
                <w:kern w:val="0"/>
                <w:szCs w:val="22"/>
              </w:rPr>
              <w:t>产生的粉尘可忽略不计。</w:t>
            </w:r>
          </w:p>
          <w:p w14:paraId="34BE3347">
            <w:pPr>
              <w:spacing w:line="420" w:lineRule="auto"/>
              <w:ind w:firstLine="482" w:firstLineChars="200"/>
              <w:rPr>
                <w:rFonts w:hint="default" w:ascii="Times New Roman" w:hAnsi="Times New Roman" w:cs="Times New Roman"/>
                <w:b/>
                <w:bCs/>
                <w:snapToGrid w:val="0"/>
                <w:kern w:val="0"/>
                <w:sz w:val="24"/>
                <w:szCs w:val="22"/>
              </w:rPr>
            </w:pPr>
            <w:r>
              <w:rPr>
                <w:rFonts w:hint="default" w:ascii="Times New Roman" w:hAnsi="Times New Roman" w:cs="Times New Roman"/>
                <w:b/>
                <w:bCs/>
                <w:snapToGrid w:val="0"/>
                <w:kern w:val="0"/>
                <w:sz w:val="24"/>
                <w:szCs w:val="22"/>
              </w:rPr>
              <w:t>（3）排放情况</w:t>
            </w:r>
          </w:p>
          <w:p w14:paraId="174B95FA">
            <w:pPr>
              <w:spacing w:line="420" w:lineRule="auto"/>
              <w:ind w:firstLine="508" w:firstLineChars="212"/>
              <w:rPr>
                <w:rFonts w:hint="default" w:ascii="Times New Roman" w:hAnsi="Times New Roman" w:cs="Times New Roman"/>
                <w:snapToGrid w:val="0"/>
                <w:kern w:val="0"/>
                <w:sz w:val="24"/>
                <w:szCs w:val="22"/>
              </w:rPr>
            </w:pPr>
            <w:r>
              <w:rPr>
                <w:rFonts w:hint="default" w:ascii="Times New Roman" w:hAnsi="Times New Roman" w:cs="Times New Roman"/>
                <w:snapToGrid w:val="0"/>
                <w:kern w:val="0"/>
                <w:sz w:val="24"/>
                <w:szCs w:val="22"/>
              </w:rPr>
              <w:t>本项目主要废气治理后的排放信息如下：</w:t>
            </w:r>
          </w:p>
          <w:p w14:paraId="1FE0753E">
            <w:pPr>
              <w:pStyle w:val="45"/>
              <w:rPr>
                <w:rFonts w:hint="default" w:ascii="Times New Roman" w:hAnsi="Times New Roman" w:cs="Times New Roman"/>
              </w:rPr>
            </w:pPr>
            <w:r>
              <w:rPr>
                <w:rFonts w:hint="default" w:ascii="Times New Roman" w:hAnsi="Times New Roman" w:cs="Times New Roman"/>
              </w:rPr>
              <w:t>表4-</w:t>
            </w:r>
            <w:r>
              <w:rPr>
                <w:rFonts w:hint="eastAsia" w:ascii="Times New Roman" w:hAnsi="Times New Roman" w:cs="Times New Roman"/>
                <w:lang w:val="en-US" w:eastAsia="zh-CN"/>
              </w:rPr>
              <w:t>1</w:t>
            </w:r>
            <w:r>
              <w:rPr>
                <w:rFonts w:hint="default" w:ascii="Times New Roman" w:hAnsi="Times New Roman" w:cs="Times New Roman"/>
              </w:rPr>
              <w:t>废气污染源排放信息表</w:t>
            </w:r>
          </w:p>
          <w:tbl>
            <w:tblPr>
              <w:tblStyle w:val="22"/>
              <w:tblW w:w="811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379"/>
              <w:gridCol w:w="819"/>
              <w:gridCol w:w="858"/>
              <w:gridCol w:w="1993"/>
              <w:gridCol w:w="1099"/>
              <w:gridCol w:w="948"/>
              <w:gridCol w:w="1020"/>
            </w:tblGrid>
            <w:tr w14:paraId="078E9E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PrEx>
              <w:trPr>
                <w:trHeight w:val="516" w:hRule="atLeast"/>
                <w:jc w:val="center"/>
              </w:trPr>
              <w:tc>
                <w:tcPr>
                  <w:tcW w:w="1379" w:type="dxa"/>
                  <w:vMerge w:val="restart"/>
                  <w:tcBorders>
                    <w:tl2br w:val="nil"/>
                    <w:tr2bl w:val="nil"/>
                  </w:tcBorders>
                  <w:shd w:val="clear" w:color="auto" w:fill="auto"/>
                  <w:vAlign w:val="center"/>
                </w:tcPr>
                <w:p w14:paraId="5D2804C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污染源</w:t>
                  </w:r>
                </w:p>
              </w:tc>
              <w:tc>
                <w:tcPr>
                  <w:tcW w:w="819" w:type="dxa"/>
                  <w:vMerge w:val="restart"/>
                  <w:tcBorders>
                    <w:tl2br w:val="nil"/>
                    <w:tr2bl w:val="nil"/>
                  </w:tcBorders>
                  <w:shd w:val="clear" w:color="auto" w:fill="auto"/>
                  <w:vAlign w:val="center"/>
                </w:tcPr>
                <w:p w14:paraId="180A128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排放类型</w:t>
                  </w:r>
                </w:p>
              </w:tc>
              <w:tc>
                <w:tcPr>
                  <w:tcW w:w="858" w:type="dxa"/>
                  <w:vMerge w:val="restart"/>
                  <w:tcBorders>
                    <w:tl2br w:val="nil"/>
                    <w:tr2bl w:val="nil"/>
                  </w:tcBorders>
                  <w:shd w:val="clear" w:color="auto" w:fill="auto"/>
                  <w:vAlign w:val="center"/>
                </w:tcPr>
                <w:p w14:paraId="0994F23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污染物种类</w:t>
                  </w:r>
                </w:p>
              </w:tc>
              <w:tc>
                <w:tcPr>
                  <w:tcW w:w="1993" w:type="dxa"/>
                  <w:vMerge w:val="restart"/>
                  <w:tcBorders>
                    <w:tl2br w:val="nil"/>
                    <w:tr2bl w:val="nil"/>
                  </w:tcBorders>
                  <w:shd w:val="clear" w:color="auto" w:fill="auto"/>
                  <w:noWrap/>
                  <w:vAlign w:val="center"/>
                </w:tcPr>
                <w:p w14:paraId="5AA6E55E">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治理措施</w:t>
                  </w:r>
                </w:p>
              </w:tc>
              <w:tc>
                <w:tcPr>
                  <w:tcW w:w="2047" w:type="dxa"/>
                  <w:gridSpan w:val="2"/>
                  <w:tcBorders>
                    <w:tl2br w:val="nil"/>
                    <w:tr2bl w:val="nil"/>
                  </w:tcBorders>
                  <w:shd w:val="clear" w:color="auto" w:fill="auto"/>
                  <w:noWrap/>
                  <w:vAlign w:val="center"/>
                </w:tcPr>
                <w:p w14:paraId="5D859B7B">
                  <w:pPr>
                    <w:keepNext w:val="0"/>
                    <w:keepLines w:val="0"/>
                    <w:widowControl/>
                    <w:suppressLineNumbers w:val="0"/>
                    <w:jc w:val="center"/>
                    <w:textAlignment w:val="center"/>
                    <w:rPr>
                      <w:rFonts w:hint="default" w:ascii="Times New Roman" w:hAnsi="Times New Roman" w:eastAsia="宋体" w:cs="Times New Roman"/>
                      <w:b w:val="0"/>
                      <w:bCs w:val="0"/>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排放情况</w:t>
                  </w:r>
                </w:p>
              </w:tc>
              <w:tc>
                <w:tcPr>
                  <w:tcW w:w="1020" w:type="dxa"/>
                  <w:vMerge w:val="restart"/>
                  <w:tcBorders>
                    <w:tl2br w:val="nil"/>
                    <w:tr2bl w:val="nil"/>
                  </w:tcBorders>
                  <w:shd w:val="clear" w:color="auto" w:fill="auto"/>
                  <w:noWrap/>
                  <w:vAlign w:val="center"/>
                </w:tcPr>
                <w:p w14:paraId="402148BB">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0"/>
                      <w:sz w:val="21"/>
                      <w:szCs w:val="21"/>
                      <w:u w:val="none"/>
                      <w:lang w:val="en-US" w:eastAsia="zh-CN" w:bidi="ar"/>
                    </w:rPr>
                  </w:pPr>
                  <w:r>
                    <w:rPr>
                      <w:rFonts w:hint="eastAsia" w:ascii="Times New Roman" w:hAnsi="Times New Roman" w:eastAsia="宋体" w:cs="Times New Roman"/>
                      <w:b/>
                      <w:bCs/>
                      <w:i w:val="0"/>
                      <w:iCs w:val="0"/>
                      <w:color w:val="000000"/>
                      <w:kern w:val="0"/>
                      <w:sz w:val="21"/>
                      <w:szCs w:val="21"/>
                      <w:u w:val="none"/>
                      <w:lang w:val="en-US" w:eastAsia="zh-CN" w:bidi="ar"/>
                    </w:rPr>
                    <w:t>厂界排放标准</w:t>
                  </w:r>
                  <w:r>
                    <w:rPr>
                      <w:rFonts w:hint="eastAsia" w:ascii="Times New Roman" w:hAnsi="Times New Roman" w:eastAsia="宋体" w:cs="Times New Roman"/>
                      <w:b/>
                      <w:bCs/>
                      <w:i w:val="0"/>
                      <w:iCs w:val="0"/>
                      <w:color w:val="000000"/>
                      <w:kern w:val="0"/>
                      <w:sz w:val="18"/>
                      <w:szCs w:val="18"/>
                      <w:u w:val="none"/>
                      <w:lang w:val="en-US" w:eastAsia="zh-CN" w:bidi="ar"/>
                    </w:rPr>
                    <w:t>（mg/m</w:t>
                  </w:r>
                  <w:r>
                    <w:rPr>
                      <w:rFonts w:hint="eastAsia" w:ascii="Times New Roman" w:hAnsi="Times New Roman" w:eastAsia="宋体" w:cs="Times New Roman"/>
                      <w:b/>
                      <w:bCs/>
                      <w:i w:val="0"/>
                      <w:iCs w:val="0"/>
                      <w:color w:val="000000"/>
                      <w:kern w:val="0"/>
                      <w:sz w:val="18"/>
                      <w:szCs w:val="18"/>
                      <w:u w:val="none"/>
                      <w:vertAlign w:val="superscript"/>
                      <w:lang w:val="en-US" w:eastAsia="zh-CN" w:bidi="ar"/>
                    </w:rPr>
                    <w:t>3</w:t>
                  </w:r>
                  <w:r>
                    <w:rPr>
                      <w:rFonts w:hint="eastAsia" w:ascii="Times New Roman" w:hAnsi="Times New Roman" w:eastAsia="宋体" w:cs="Times New Roman"/>
                      <w:b/>
                      <w:bCs/>
                      <w:i w:val="0"/>
                      <w:iCs w:val="0"/>
                      <w:color w:val="000000"/>
                      <w:kern w:val="0"/>
                      <w:sz w:val="18"/>
                      <w:szCs w:val="18"/>
                      <w:u w:val="none"/>
                      <w:lang w:val="en-US" w:eastAsia="zh-CN" w:bidi="ar"/>
                    </w:rPr>
                    <w:t>）</w:t>
                  </w:r>
                </w:p>
              </w:tc>
            </w:tr>
            <w:tr w14:paraId="156917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61" w:hRule="atLeast"/>
                <w:jc w:val="center"/>
              </w:trPr>
              <w:tc>
                <w:tcPr>
                  <w:tcW w:w="1379" w:type="dxa"/>
                  <w:vMerge w:val="continue"/>
                  <w:tcBorders>
                    <w:tl2br w:val="nil"/>
                    <w:tr2bl w:val="nil"/>
                  </w:tcBorders>
                  <w:shd w:val="clear" w:color="auto" w:fill="auto"/>
                  <w:vAlign w:val="center"/>
                </w:tcPr>
                <w:p w14:paraId="562EE65C">
                  <w:pPr>
                    <w:jc w:val="center"/>
                    <w:rPr>
                      <w:rFonts w:hint="default" w:ascii="Times New Roman" w:hAnsi="Times New Roman" w:eastAsia="宋体" w:cs="Times New Roman"/>
                      <w:b/>
                      <w:bCs/>
                      <w:i w:val="0"/>
                      <w:iCs w:val="0"/>
                      <w:color w:val="000000"/>
                      <w:sz w:val="21"/>
                      <w:szCs w:val="21"/>
                      <w:u w:val="none"/>
                    </w:rPr>
                  </w:pPr>
                </w:p>
              </w:tc>
              <w:tc>
                <w:tcPr>
                  <w:tcW w:w="819" w:type="dxa"/>
                  <w:vMerge w:val="continue"/>
                  <w:tcBorders>
                    <w:tl2br w:val="nil"/>
                    <w:tr2bl w:val="nil"/>
                  </w:tcBorders>
                  <w:shd w:val="clear" w:color="auto" w:fill="auto"/>
                  <w:vAlign w:val="center"/>
                </w:tcPr>
                <w:p w14:paraId="7CA165D7">
                  <w:pPr>
                    <w:jc w:val="center"/>
                    <w:rPr>
                      <w:rFonts w:hint="default" w:ascii="Times New Roman" w:hAnsi="Times New Roman" w:eastAsia="宋体" w:cs="Times New Roman"/>
                      <w:b/>
                      <w:bCs/>
                      <w:i w:val="0"/>
                      <w:iCs w:val="0"/>
                      <w:color w:val="000000"/>
                      <w:sz w:val="21"/>
                      <w:szCs w:val="21"/>
                      <w:u w:val="none"/>
                    </w:rPr>
                  </w:pPr>
                </w:p>
              </w:tc>
              <w:tc>
                <w:tcPr>
                  <w:tcW w:w="858" w:type="dxa"/>
                  <w:vMerge w:val="continue"/>
                  <w:tcBorders>
                    <w:tl2br w:val="nil"/>
                    <w:tr2bl w:val="nil"/>
                  </w:tcBorders>
                  <w:shd w:val="clear" w:color="auto" w:fill="auto"/>
                  <w:vAlign w:val="center"/>
                </w:tcPr>
                <w:p w14:paraId="3FCE940E">
                  <w:pPr>
                    <w:jc w:val="center"/>
                    <w:rPr>
                      <w:rFonts w:hint="default" w:ascii="Times New Roman" w:hAnsi="Times New Roman" w:eastAsia="宋体" w:cs="Times New Roman"/>
                      <w:b/>
                      <w:bCs/>
                      <w:i w:val="0"/>
                      <w:iCs w:val="0"/>
                      <w:color w:val="000000"/>
                      <w:sz w:val="21"/>
                      <w:szCs w:val="21"/>
                      <w:u w:val="none"/>
                    </w:rPr>
                  </w:pPr>
                </w:p>
              </w:tc>
              <w:tc>
                <w:tcPr>
                  <w:tcW w:w="1993" w:type="dxa"/>
                  <w:vMerge w:val="continue"/>
                  <w:tcBorders>
                    <w:tl2br w:val="nil"/>
                    <w:tr2bl w:val="nil"/>
                  </w:tcBorders>
                  <w:shd w:val="clear" w:color="auto" w:fill="auto"/>
                  <w:noWrap/>
                  <w:vAlign w:val="center"/>
                </w:tcPr>
                <w:p w14:paraId="0EBB0403">
                  <w:pPr>
                    <w:jc w:val="center"/>
                    <w:rPr>
                      <w:rFonts w:hint="default" w:ascii="Times New Roman" w:hAnsi="Times New Roman" w:eastAsia="宋体" w:cs="Times New Roman"/>
                      <w:i w:val="0"/>
                      <w:iCs w:val="0"/>
                      <w:color w:val="000000"/>
                      <w:sz w:val="21"/>
                      <w:szCs w:val="21"/>
                      <w:u w:val="none"/>
                    </w:rPr>
                  </w:pPr>
                </w:p>
              </w:tc>
              <w:tc>
                <w:tcPr>
                  <w:tcW w:w="1099" w:type="dxa"/>
                  <w:tcBorders>
                    <w:tl2br w:val="nil"/>
                    <w:tr2bl w:val="nil"/>
                  </w:tcBorders>
                  <w:shd w:val="clear" w:color="auto" w:fill="auto"/>
                  <w:vAlign w:val="center"/>
                </w:tcPr>
                <w:p w14:paraId="63FCE2F8">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0"/>
                      <w:sz w:val="21"/>
                      <w:szCs w:val="21"/>
                      <w:u w:val="none"/>
                      <w:lang w:val="en-US" w:eastAsia="zh-CN" w:bidi="ar"/>
                    </w:rPr>
                  </w:pPr>
                  <w:r>
                    <w:rPr>
                      <w:rFonts w:hint="default" w:ascii="Times New Roman" w:hAnsi="Times New Roman" w:eastAsia="宋体" w:cs="Times New Roman"/>
                      <w:b/>
                      <w:bCs/>
                      <w:i w:val="0"/>
                      <w:iCs w:val="0"/>
                      <w:color w:val="000000"/>
                      <w:kern w:val="0"/>
                      <w:sz w:val="21"/>
                      <w:szCs w:val="21"/>
                      <w:u w:val="none"/>
                      <w:lang w:val="en-US" w:eastAsia="zh-CN" w:bidi="ar"/>
                    </w:rPr>
                    <w:t>速率</w:t>
                  </w:r>
                </w:p>
                <w:p w14:paraId="33B99D0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Times New Roman" w:hAnsi="Times New Roman" w:eastAsia="宋体" w:cs="Times New Roman"/>
                      <w:b/>
                      <w:bCs/>
                      <w:i w:val="0"/>
                      <w:iCs w:val="0"/>
                      <w:color w:val="000000"/>
                      <w:kern w:val="0"/>
                      <w:sz w:val="21"/>
                      <w:szCs w:val="21"/>
                      <w:u w:val="none"/>
                      <w:lang w:val="en-US" w:eastAsia="zh-CN" w:bidi="ar"/>
                    </w:rPr>
                    <w:t>（</w:t>
                  </w:r>
                  <w:r>
                    <w:rPr>
                      <w:rFonts w:hint="default" w:ascii="Times New Roman" w:hAnsi="Times New Roman" w:eastAsia="宋体" w:cs="Times New Roman"/>
                      <w:b/>
                      <w:bCs/>
                      <w:i w:val="0"/>
                      <w:iCs w:val="0"/>
                      <w:color w:val="000000"/>
                      <w:kern w:val="0"/>
                      <w:sz w:val="21"/>
                      <w:szCs w:val="21"/>
                      <w:u w:val="none"/>
                      <w:lang w:val="en-US" w:eastAsia="zh-CN" w:bidi="ar"/>
                    </w:rPr>
                    <w:t>kg/h</w:t>
                  </w:r>
                  <w:r>
                    <w:rPr>
                      <w:rFonts w:hint="eastAsia" w:ascii="Times New Roman" w:hAnsi="Times New Roman" w:eastAsia="宋体" w:cs="Times New Roman"/>
                      <w:b/>
                      <w:bCs/>
                      <w:i w:val="0"/>
                      <w:iCs w:val="0"/>
                      <w:color w:val="000000"/>
                      <w:kern w:val="0"/>
                      <w:sz w:val="21"/>
                      <w:szCs w:val="21"/>
                      <w:u w:val="none"/>
                      <w:lang w:val="en-US" w:eastAsia="zh-CN" w:bidi="ar"/>
                    </w:rPr>
                    <w:t>）</w:t>
                  </w:r>
                </w:p>
              </w:tc>
              <w:tc>
                <w:tcPr>
                  <w:tcW w:w="948" w:type="dxa"/>
                  <w:tcBorders>
                    <w:tl2br w:val="nil"/>
                    <w:tr2bl w:val="nil"/>
                  </w:tcBorders>
                  <w:shd w:val="clear" w:color="auto" w:fill="auto"/>
                  <w:noWrap/>
                  <w:vAlign w:val="center"/>
                </w:tcPr>
                <w:p w14:paraId="79EA511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排放量（t/a</w:t>
                  </w:r>
                  <w:r>
                    <w:rPr>
                      <w:rFonts w:hint="eastAsia" w:cs="Times New Roman"/>
                      <w:b/>
                      <w:bCs/>
                      <w:i w:val="0"/>
                      <w:iCs w:val="0"/>
                      <w:color w:val="000000"/>
                      <w:kern w:val="0"/>
                      <w:sz w:val="21"/>
                      <w:szCs w:val="21"/>
                      <w:u w:val="none"/>
                      <w:lang w:val="en-US" w:eastAsia="zh-CN" w:bidi="ar"/>
                    </w:rPr>
                    <w:t>）</w:t>
                  </w:r>
                </w:p>
              </w:tc>
              <w:tc>
                <w:tcPr>
                  <w:tcW w:w="1020" w:type="dxa"/>
                  <w:vMerge w:val="continue"/>
                  <w:tcBorders>
                    <w:tl2br w:val="nil"/>
                    <w:tr2bl w:val="nil"/>
                  </w:tcBorders>
                  <w:shd w:val="clear" w:color="auto" w:fill="auto"/>
                  <w:noWrap/>
                  <w:vAlign w:val="center"/>
                </w:tcPr>
                <w:p w14:paraId="521C8AA0">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0"/>
                      <w:sz w:val="21"/>
                      <w:szCs w:val="21"/>
                      <w:u w:val="none"/>
                      <w:lang w:val="en-US" w:eastAsia="zh-CN" w:bidi="ar"/>
                    </w:rPr>
                  </w:pPr>
                </w:p>
              </w:tc>
            </w:tr>
            <w:tr w14:paraId="60EB3D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3" w:hRule="atLeast"/>
                <w:jc w:val="center"/>
              </w:trPr>
              <w:tc>
                <w:tcPr>
                  <w:tcW w:w="1379" w:type="dxa"/>
                  <w:tcBorders>
                    <w:tl2br w:val="nil"/>
                    <w:tr2bl w:val="nil"/>
                  </w:tcBorders>
                  <w:shd w:val="clear" w:color="auto" w:fill="auto"/>
                  <w:vAlign w:val="center"/>
                </w:tcPr>
                <w:p w14:paraId="1FA2655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卸料粉尘</w:t>
                  </w:r>
                </w:p>
              </w:tc>
              <w:tc>
                <w:tcPr>
                  <w:tcW w:w="819" w:type="dxa"/>
                  <w:vMerge w:val="restart"/>
                  <w:tcBorders>
                    <w:tl2br w:val="nil"/>
                    <w:tr2bl w:val="nil"/>
                  </w:tcBorders>
                  <w:shd w:val="clear" w:color="auto" w:fill="auto"/>
                  <w:vAlign w:val="center"/>
                </w:tcPr>
                <w:p w14:paraId="56F70DE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无组织</w:t>
                  </w:r>
                </w:p>
              </w:tc>
              <w:tc>
                <w:tcPr>
                  <w:tcW w:w="858" w:type="dxa"/>
                  <w:vMerge w:val="restart"/>
                  <w:tcBorders>
                    <w:tl2br w:val="nil"/>
                    <w:tr2bl w:val="nil"/>
                  </w:tcBorders>
                  <w:shd w:val="clear" w:color="auto" w:fill="auto"/>
                  <w:vAlign w:val="center"/>
                </w:tcPr>
                <w:p w14:paraId="3DB17DF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颗粒物</w:t>
                  </w:r>
                </w:p>
              </w:tc>
              <w:tc>
                <w:tcPr>
                  <w:tcW w:w="1993" w:type="dxa"/>
                  <w:tcBorders>
                    <w:tl2br w:val="nil"/>
                    <w:tr2bl w:val="nil"/>
                  </w:tcBorders>
                  <w:shd w:val="clear" w:color="auto" w:fill="auto"/>
                  <w:noWrap/>
                  <w:vAlign w:val="center"/>
                </w:tcPr>
                <w:p w14:paraId="18AF3D0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封闭车间+喷淋除尘</w:t>
                  </w:r>
                </w:p>
              </w:tc>
              <w:tc>
                <w:tcPr>
                  <w:tcW w:w="1099" w:type="dxa"/>
                  <w:tcBorders>
                    <w:tl2br w:val="nil"/>
                    <w:tr2bl w:val="nil"/>
                  </w:tcBorders>
                  <w:shd w:val="clear" w:color="auto" w:fill="auto"/>
                  <w:noWrap/>
                  <w:vAlign w:val="center"/>
                </w:tcPr>
                <w:p w14:paraId="077B4A1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0.0021 </w:t>
                  </w:r>
                </w:p>
              </w:tc>
              <w:tc>
                <w:tcPr>
                  <w:tcW w:w="948" w:type="dxa"/>
                  <w:tcBorders>
                    <w:tl2br w:val="nil"/>
                    <w:tr2bl w:val="nil"/>
                  </w:tcBorders>
                  <w:shd w:val="clear" w:color="auto" w:fill="auto"/>
                  <w:noWrap/>
                  <w:vAlign w:val="center"/>
                </w:tcPr>
                <w:p w14:paraId="163B069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0.0101 </w:t>
                  </w:r>
                </w:p>
              </w:tc>
              <w:tc>
                <w:tcPr>
                  <w:tcW w:w="1020" w:type="dxa"/>
                  <w:tcBorders>
                    <w:tl2br w:val="nil"/>
                    <w:tr2bl w:val="nil"/>
                  </w:tcBorders>
                  <w:shd w:val="clear" w:color="auto" w:fill="auto"/>
                  <w:noWrap/>
                  <w:vAlign w:val="center"/>
                </w:tcPr>
                <w:p w14:paraId="29156EA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1.0</w:t>
                  </w:r>
                </w:p>
              </w:tc>
            </w:tr>
            <w:tr w14:paraId="18DFC79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61" w:hRule="atLeast"/>
                <w:jc w:val="center"/>
              </w:trPr>
              <w:tc>
                <w:tcPr>
                  <w:tcW w:w="1379" w:type="dxa"/>
                  <w:tcBorders>
                    <w:tl2br w:val="nil"/>
                    <w:tr2bl w:val="nil"/>
                  </w:tcBorders>
                  <w:shd w:val="clear" w:color="auto" w:fill="auto"/>
                  <w:vAlign w:val="center"/>
                </w:tcPr>
                <w:p w14:paraId="5266773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原料堆场粉尘</w:t>
                  </w:r>
                </w:p>
              </w:tc>
              <w:tc>
                <w:tcPr>
                  <w:tcW w:w="819" w:type="dxa"/>
                  <w:vMerge w:val="continue"/>
                  <w:tcBorders>
                    <w:tl2br w:val="nil"/>
                    <w:tr2bl w:val="nil"/>
                  </w:tcBorders>
                  <w:shd w:val="clear" w:color="auto" w:fill="auto"/>
                  <w:vAlign w:val="center"/>
                </w:tcPr>
                <w:p w14:paraId="4D0C52F6">
                  <w:pPr>
                    <w:jc w:val="center"/>
                    <w:rPr>
                      <w:rFonts w:hint="default" w:ascii="Times New Roman" w:hAnsi="Times New Roman" w:eastAsia="宋体" w:cs="Times New Roman"/>
                      <w:i w:val="0"/>
                      <w:iCs w:val="0"/>
                      <w:color w:val="000000"/>
                      <w:sz w:val="21"/>
                      <w:szCs w:val="21"/>
                      <w:u w:val="none"/>
                    </w:rPr>
                  </w:pPr>
                </w:p>
              </w:tc>
              <w:tc>
                <w:tcPr>
                  <w:tcW w:w="858" w:type="dxa"/>
                  <w:vMerge w:val="continue"/>
                  <w:tcBorders>
                    <w:tl2br w:val="nil"/>
                    <w:tr2bl w:val="nil"/>
                  </w:tcBorders>
                  <w:shd w:val="clear" w:color="auto" w:fill="auto"/>
                  <w:vAlign w:val="center"/>
                </w:tcPr>
                <w:p w14:paraId="0FA6AC93">
                  <w:pPr>
                    <w:jc w:val="center"/>
                    <w:rPr>
                      <w:rFonts w:hint="default" w:ascii="Times New Roman" w:hAnsi="Times New Roman" w:eastAsia="宋体" w:cs="Times New Roman"/>
                      <w:i w:val="0"/>
                      <w:iCs w:val="0"/>
                      <w:color w:val="000000"/>
                      <w:sz w:val="21"/>
                      <w:szCs w:val="21"/>
                      <w:u w:val="none"/>
                    </w:rPr>
                  </w:pPr>
                </w:p>
              </w:tc>
              <w:tc>
                <w:tcPr>
                  <w:tcW w:w="1993" w:type="dxa"/>
                  <w:tcBorders>
                    <w:tl2br w:val="nil"/>
                    <w:tr2bl w:val="nil"/>
                  </w:tcBorders>
                  <w:shd w:val="clear" w:color="auto" w:fill="auto"/>
                  <w:noWrap/>
                  <w:vAlign w:val="center"/>
                </w:tcPr>
                <w:p w14:paraId="23DA990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封闭堆场+喷淋除尘</w:t>
                  </w:r>
                </w:p>
              </w:tc>
              <w:tc>
                <w:tcPr>
                  <w:tcW w:w="1099" w:type="dxa"/>
                  <w:tcBorders>
                    <w:tl2br w:val="nil"/>
                    <w:tr2bl w:val="nil"/>
                  </w:tcBorders>
                  <w:shd w:val="clear" w:color="auto" w:fill="auto"/>
                  <w:noWrap/>
                  <w:vAlign w:val="center"/>
                </w:tcPr>
                <w:p w14:paraId="568A2AB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0.0081 </w:t>
                  </w:r>
                </w:p>
              </w:tc>
              <w:tc>
                <w:tcPr>
                  <w:tcW w:w="948" w:type="dxa"/>
                  <w:tcBorders>
                    <w:tl2br w:val="nil"/>
                    <w:tr2bl w:val="nil"/>
                  </w:tcBorders>
                  <w:shd w:val="clear" w:color="auto" w:fill="auto"/>
                  <w:noWrap/>
                  <w:vAlign w:val="center"/>
                </w:tcPr>
                <w:p w14:paraId="52A1F8F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0.0705 </w:t>
                  </w:r>
                </w:p>
              </w:tc>
              <w:tc>
                <w:tcPr>
                  <w:tcW w:w="1020" w:type="dxa"/>
                  <w:tcBorders>
                    <w:tl2br w:val="nil"/>
                    <w:tr2bl w:val="nil"/>
                  </w:tcBorders>
                  <w:shd w:val="clear" w:color="auto" w:fill="auto"/>
                  <w:noWrap/>
                  <w:vAlign w:val="center"/>
                </w:tcPr>
                <w:p w14:paraId="2B543D2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1.0</w:t>
                  </w:r>
                </w:p>
              </w:tc>
            </w:tr>
            <w:tr w14:paraId="7E0255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61" w:hRule="atLeast"/>
                <w:jc w:val="center"/>
              </w:trPr>
              <w:tc>
                <w:tcPr>
                  <w:tcW w:w="1379" w:type="dxa"/>
                  <w:tcBorders>
                    <w:tl2br w:val="nil"/>
                    <w:tr2bl w:val="nil"/>
                  </w:tcBorders>
                  <w:shd w:val="clear" w:color="auto" w:fill="auto"/>
                  <w:vAlign w:val="center"/>
                </w:tcPr>
                <w:p w14:paraId="0754266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原料上料粉尘</w:t>
                  </w:r>
                </w:p>
              </w:tc>
              <w:tc>
                <w:tcPr>
                  <w:tcW w:w="819" w:type="dxa"/>
                  <w:vMerge w:val="continue"/>
                  <w:tcBorders>
                    <w:tl2br w:val="nil"/>
                    <w:tr2bl w:val="nil"/>
                  </w:tcBorders>
                  <w:shd w:val="clear" w:color="auto" w:fill="auto"/>
                  <w:vAlign w:val="center"/>
                </w:tcPr>
                <w:p w14:paraId="7524D366">
                  <w:pPr>
                    <w:jc w:val="center"/>
                    <w:rPr>
                      <w:rFonts w:hint="default" w:ascii="Times New Roman" w:hAnsi="Times New Roman" w:eastAsia="宋体" w:cs="Times New Roman"/>
                      <w:i w:val="0"/>
                      <w:iCs w:val="0"/>
                      <w:color w:val="000000"/>
                      <w:sz w:val="21"/>
                      <w:szCs w:val="21"/>
                      <w:u w:val="none"/>
                    </w:rPr>
                  </w:pPr>
                </w:p>
              </w:tc>
              <w:tc>
                <w:tcPr>
                  <w:tcW w:w="858" w:type="dxa"/>
                  <w:vMerge w:val="continue"/>
                  <w:tcBorders>
                    <w:tl2br w:val="nil"/>
                    <w:tr2bl w:val="nil"/>
                  </w:tcBorders>
                  <w:shd w:val="clear" w:color="auto" w:fill="auto"/>
                  <w:vAlign w:val="center"/>
                </w:tcPr>
                <w:p w14:paraId="2FE064A1">
                  <w:pPr>
                    <w:jc w:val="center"/>
                    <w:rPr>
                      <w:rFonts w:hint="default" w:ascii="Times New Roman" w:hAnsi="Times New Roman" w:eastAsia="宋体" w:cs="Times New Roman"/>
                      <w:i w:val="0"/>
                      <w:iCs w:val="0"/>
                      <w:color w:val="000000"/>
                      <w:sz w:val="21"/>
                      <w:szCs w:val="21"/>
                      <w:u w:val="none"/>
                    </w:rPr>
                  </w:pPr>
                </w:p>
              </w:tc>
              <w:tc>
                <w:tcPr>
                  <w:tcW w:w="1993" w:type="dxa"/>
                  <w:tcBorders>
                    <w:tl2br w:val="nil"/>
                    <w:tr2bl w:val="nil"/>
                  </w:tcBorders>
                  <w:shd w:val="clear" w:color="auto" w:fill="auto"/>
                  <w:noWrap/>
                  <w:vAlign w:val="center"/>
                </w:tcPr>
                <w:p w14:paraId="411758D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封闭车间+喷淋除尘</w:t>
                  </w:r>
                </w:p>
              </w:tc>
              <w:tc>
                <w:tcPr>
                  <w:tcW w:w="1099" w:type="dxa"/>
                  <w:tcBorders>
                    <w:tl2br w:val="nil"/>
                    <w:tr2bl w:val="nil"/>
                  </w:tcBorders>
                  <w:shd w:val="clear" w:color="auto" w:fill="auto"/>
                  <w:noWrap/>
                  <w:vAlign w:val="center"/>
                </w:tcPr>
                <w:p w14:paraId="2CF3F65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0.1836 </w:t>
                  </w:r>
                </w:p>
              </w:tc>
              <w:tc>
                <w:tcPr>
                  <w:tcW w:w="948" w:type="dxa"/>
                  <w:tcBorders>
                    <w:tl2br w:val="nil"/>
                    <w:tr2bl w:val="nil"/>
                  </w:tcBorders>
                  <w:shd w:val="clear" w:color="auto" w:fill="auto"/>
                  <w:noWrap/>
                  <w:vAlign w:val="center"/>
                </w:tcPr>
                <w:p w14:paraId="579CD17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0.6060 </w:t>
                  </w:r>
                </w:p>
              </w:tc>
              <w:tc>
                <w:tcPr>
                  <w:tcW w:w="1020" w:type="dxa"/>
                  <w:tcBorders>
                    <w:tl2br w:val="nil"/>
                    <w:tr2bl w:val="nil"/>
                  </w:tcBorders>
                  <w:shd w:val="clear" w:color="auto" w:fill="auto"/>
                  <w:noWrap/>
                  <w:vAlign w:val="center"/>
                </w:tcPr>
                <w:p w14:paraId="65EC1D9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1.0</w:t>
                  </w:r>
                </w:p>
              </w:tc>
            </w:tr>
            <w:tr w14:paraId="4AF9B9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61" w:hRule="atLeast"/>
                <w:jc w:val="center"/>
              </w:trPr>
              <w:tc>
                <w:tcPr>
                  <w:tcW w:w="1379" w:type="dxa"/>
                  <w:tcBorders>
                    <w:tl2br w:val="nil"/>
                    <w:tr2bl w:val="nil"/>
                  </w:tcBorders>
                  <w:shd w:val="clear" w:color="auto" w:fill="auto"/>
                  <w:vAlign w:val="center"/>
                </w:tcPr>
                <w:p w14:paraId="4D76C3B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破碎、筛分粉尘</w:t>
                  </w:r>
                </w:p>
              </w:tc>
              <w:tc>
                <w:tcPr>
                  <w:tcW w:w="819" w:type="dxa"/>
                  <w:vMerge w:val="continue"/>
                  <w:tcBorders>
                    <w:tl2br w:val="nil"/>
                    <w:tr2bl w:val="nil"/>
                  </w:tcBorders>
                  <w:shd w:val="clear" w:color="auto" w:fill="auto"/>
                  <w:vAlign w:val="center"/>
                </w:tcPr>
                <w:p w14:paraId="7DC68D8C">
                  <w:pPr>
                    <w:jc w:val="center"/>
                    <w:rPr>
                      <w:rFonts w:hint="default" w:ascii="Times New Roman" w:hAnsi="Times New Roman" w:eastAsia="宋体" w:cs="Times New Roman"/>
                      <w:i w:val="0"/>
                      <w:iCs w:val="0"/>
                      <w:color w:val="000000"/>
                      <w:sz w:val="21"/>
                      <w:szCs w:val="21"/>
                      <w:u w:val="none"/>
                    </w:rPr>
                  </w:pPr>
                </w:p>
              </w:tc>
              <w:tc>
                <w:tcPr>
                  <w:tcW w:w="858" w:type="dxa"/>
                  <w:vMerge w:val="continue"/>
                  <w:tcBorders>
                    <w:tl2br w:val="nil"/>
                    <w:tr2bl w:val="nil"/>
                  </w:tcBorders>
                  <w:shd w:val="clear" w:color="auto" w:fill="auto"/>
                  <w:vAlign w:val="center"/>
                </w:tcPr>
                <w:p w14:paraId="5D2AD873">
                  <w:pPr>
                    <w:jc w:val="center"/>
                    <w:rPr>
                      <w:rFonts w:hint="default" w:ascii="Times New Roman" w:hAnsi="Times New Roman" w:eastAsia="宋体" w:cs="Times New Roman"/>
                      <w:i w:val="0"/>
                      <w:iCs w:val="0"/>
                      <w:color w:val="000000"/>
                      <w:sz w:val="21"/>
                      <w:szCs w:val="21"/>
                      <w:u w:val="none"/>
                    </w:rPr>
                  </w:pPr>
                </w:p>
              </w:tc>
              <w:tc>
                <w:tcPr>
                  <w:tcW w:w="1993" w:type="dxa"/>
                  <w:tcBorders>
                    <w:tl2br w:val="nil"/>
                    <w:tr2bl w:val="nil"/>
                  </w:tcBorders>
                  <w:shd w:val="clear" w:color="auto" w:fill="auto"/>
                  <w:noWrap/>
                  <w:vAlign w:val="center"/>
                </w:tcPr>
                <w:p w14:paraId="5894D26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湿法加工+喷淋除尘+封闭车间</w:t>
                  </w:r>
                </w:p>
              </w:tc>
              <w:tc>
                <w:tcPr>
                  <w:tcW w:w="1099" w:type="dxa"/>
                  <w:tcBorders>
                    <w:tl2br w:val="nil"/>
                    <w:tr2bl w:val="nil"/>
                  </w:tcBorders>
                  <w:shd w:val="clear" w:color="auto" w:fill="auto"/>
                  <w:noWrap/>
                  <w:vAlign w:val="center"/>
                </w:tcPr>
                <w:p w14:paraId="1EF60E4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0.5727 </w:t>
                  </w:r>
                </w:p>
              </w:tc>
              <w:tc>
                <w:tcPr>
                  <w:tcW w:w="948" w:type="dxa"/>
                  <w:tcBorders>
                    <w:tl2br w:val="nil"/>
                    <w:tr2bl w:val="nil"/>
                  </w:tcBorders>
                  <w:shd w:val="clear" w:color="auto" w:fill="auto"/>
                  <w:noWrap/>
                  <w:vAlign w:val="center"/>
                </w:tcPr>
                <w:p w14:paraId="545B673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1.8900 </w:t>
                  </w:r>
                </w:p>
              </w:tc>
              <w:tc>
                <w:tcPr>
                  <w:tcW w:w="1020" w:type="dxa"/>
                  <w:tcBorders>
                    <w:tl2br w:val="nil"/>
                    <w:tr2bl w:val="nil"/>
                  </w:tcBorders>
                  <w:shd w:val="clear" w:color="auto" w:fill="auto"/>
                  <w:noWrap/>
                  <w:vAlign w:val="center"/>
                </w:tcPr>
                <w:p w14:paraId="7495DCE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1.0</w:t>
                  </w:r>
                </w:p>
              </w:tc>
            </w:tr>
            <w:tr w14:paraId="488FC0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92" w:hRule="atLeast"/>
                <w:jc w:val="center"/>
              </w:trPr>
              <w:tc>
                <w:tcPr>
                  <w:tcW w:w="1379" w:type="dxa"/>
                  <w:tcBorders>
                    <w:tl2br w:val="nil"/>
                    <w:tr2bl w:val="nil"/>
                  </w:tcBorders>
                  <w:shd w:val="clear" w:color="auto" w:fill="auto"/>
                  <w:vAlign w:val="center"/>
                </w:tcPr>
                <w:p w14:paraId="3926499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成品堆场粉尘</w:t>
                  </w:r>
                </w:p>
              </w:tc>
              <w:tc>
                <w:tcPr>
                  <w:tcW w:w="819" w:type="dxa"/>
                  <w:vMerge w:val="continue"/>
                  <w:tcBorders>
                    <w:tl2br w:val="nil"/>
                    <w:tr2bl w:val="nil"/>
                  </w:tcBorders>
                  <w:shd w:val="clear" w:color="auto" w:fill="auto"/>
                  <w:vAlign w:val="center"/>
                </w:tcPr>
                <w:p w14:paraId="1D8A3FF5">
                  <w:pPr>
                    <w:jc w:val="center"/>
                    <w:rPr>
                      <w:rFonts w:hint="default" w:ascii="Times New Roman" w:hAnsi="Times New Roman" w:eastAsia="宋体" w:cs="Times New Roman"/>
                      <w:i w:val="0"/>
                      <w:iCs w:val="0"/>
                      <w:color w:val="000000"/>
                      <w:sz w:val="21"/>
                      <w:szCs w:val="21"/>
                      <w:u w:val="none"/>
                    </w:rPr>
                  </w:pPr>
                </w:p>
              </w:tc>
              <w:tc>
                <w:tcPr>
                  <w:tcW w:w="858" w:type="dxa"/>
                  <w:vMerge w:val="continue"/>
                  <w:tcBorders>
                    <w:tl2br w:val="nil"/>
                    <w:tr2bl w:val="nil"/>
                  </w:tcBorders>
                  <w:shd w:val="clear" w:color="auto" w:fill="auto"/>
                  <w:vAlign w:val="center"/>
                </w:tcPr>
                <w:p w14:paraId="3E40005B">
                  <w:pPr>
                    <w:jc w:val="center"/>
                    <w:rPr>
                      <w:rFonts w:hint="default" w:ascii="Times New Roman" w:hAnsi="Times New Roman" w:eastAsia="宋体" w:cs="Times New Roman"/>
                      <w:i w:val="0"/>
                      <w:iCs w:val="0"/>
                      <w:color w:val="000000"/>
                      <w:sz w:val="21"/>
                      <w:szCs w:val="21"/>
                      <w:u w:val="none"/>
                    </w:rPr>
                  </w:pPr>
                </w:p>
              </w:tc>
              <w:tc>
                <w:tcPr>
                  <w:tcW w:w="1993" w:type="dxa"/>
                  <w:tcBorders>
                    <w:tl2br w:val="nil"/>
                    <w:tr2bl w:val="nil"/>
                  </w:tcBorders>
                  <w:shd w:val="clear" w:color="auto" w:fill="auto"/>
                  <w:noWrap/>
                  <w:vAlign w:val="center"/>
                </w:tcPr>
                <w:p w14:paraId="2BC457A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封闭堆场+喷淋除尘</w:t>
                  </w:r>
                </w:p>
              </w:tc>
              <w:tc>
                <w:tcPr>
                  <w:tcW w:w="1099" w:type="dxa"/>
                  <w:tcBorders>
                    <w:tl2br w:val="nil"/>
                    <w:tr2bl w:val="nil"/>
                  </w:tcBorders>
                  <w:shd w:val="clear" w:color="auto" w:fill="auto"/>
                  <w:noWrap/>
                  <w:vAlign w:val="center"/>
                </w:tcPr>
                <w:p w14:paraId="7DDEF71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0.0055 </w:t>
                  </w:r>
                </w:p>
              </w:tc>
              <w:tc>
                <w:tcPr>
                  <w:tcW w:w="948" w:type="dxa"/>
                  <w:tcBorders>
                    <w:tl2br w:val="nil"/>
                    <w:tr2bl w:val="nil"/>
                  </w:tcBorders>
                  <w:shd w:val="clear" w:color="auto" w:fill="auto"/>
                  <w:noWrap/>
                  <w:vAlign w:val="center"/>
                </w:tcPr>
                <w:p w14:paraId="343F096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0.0483 </w:t>
                  </w:r>
                </w:p>
              </w:tc>
              <w:tc>
                <w:tcPr>
                  <w:tcW w:w="1020" w:type="dxa"/>
                  <w:tcBorders>
                    <w:tl2br w:val="nil"/>
                    <w:tr2bl w:val="nil"/>
                  </w:tcBorders>
                  <w:shd w:val="clear" w:color="auto" w:fill="auto"/>
                  <w:noWrap/>
                  <w:vAlign w:val="center"/>
                </w:tcPr>
                <w:p w14:paraId="7F049CE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1.0</w:t>
                  </w:r>
                </w:p>
              </w:tc>
            </w:tr>
          </w:tbl>
          <w:p w14:paraId="67C1578B">
            <w:pPr>
              <w:pStyle w:val="45"/>
              <w:rPr>
                <w:rFonts w:hint="default" w:ascii="Times New Roman" w:hAnsi="Times New Roman" w:cs="Times New Roman"/>
              </w:rPr>
            </w:pPr>
          </w:p>
          <w:p w14:paraId="49864CA7">
            <w:pPr>
              <w:spacing w:line="420" w:lineRule="auto"/>
              <w:ind w:firstLine="482" w:firstLineChars="200"/>
              <w:rPr>
                <w:rFonts w:hint="default" w:ascii="Times New Roman" w:hAnsi="Times New Roman" w:cs="Times New Roman"/>
                <w:b/>
                <w:bCs/>
                <w:sz w:val="24"/>
                <w:szCs w:val="20"/>
              </w:rPr>
            </w:pPr>
            <w:r>
              <w:rPr>
                <w:rFonts w:hint="default" w:ascii="Times New Roman" w:hAnsi="Times New Roman" w:cs="Times New Roman"/>
                <w:b/>
                <w:bCs/>
                <w:sz w:val="24"/>
                <w:szCs w:val="20"/>
              </w:rPr>
              <w:t>（4）环境影响定性分析</w:t>
            </w:r>
          </w:p>
          <w:p w14:paraId="12E7DDB2">
            <w:pPr>
              <w:pStyle w:val="44"/>
              <w:ind w:firstLine="480"/>
              <w:jc w:val="both"/>
              <w:rPr>
                <w:rFonts w:hint="default" w:ascii="Times New Roman" w:hAnsi="Times New Roman" w:cs="Times New Roman"/>
              </w:rPr>
            </w:pPr>
            <w:r>
              <w:rPr>
                <w:rFonts w:hint="default" w:ascii="Times New Roman" w:hAnsi="Times New Roman" w:cs="Times New Roman"/>
              </w:rPr>
              <w:t>根据计算本项目粉尘总排放速率</w:t>
            </w:r>
            <w:r>
              <w:rPr>
                <w:rFonts w:hint="default" w:ascii="Times New Roman" w:hAnsi="Times New Roman" w:cs="Times New Roman"/>
                <w:szCs w:val="24"/>
              </w:rPr>
              <w:t>为</w:t>
            </w:r>
            <w:r>
              <w:rPr>
                <w:rFonts w:hint="default" w:ascii="Times New Roman" w:hAnsi="Times New Roman" w:cs="Times New Roman"/>
                <w:kern w:val="0"/>
                <w:szCs w:val="24"/>
                <w:lang w:bidi="ar"/>
              </w:rPr>
              <w:t>0.</w:t>
            </w:r>
            <w:r>
              <w:rPr>
                <w:rFonts w:hint="eastAsia" w:ascii="Times New Roman" w:hAnsi="Times New Roman" w:cs="Times New Roman"/>
                <w:kern w:val="0"/>
                <w:szCs w:val="24"/>
                <w:lang w:val="en-US" w:eastAsia="zh-CN" w:bidi="ar"/>
              </w:rPr>
              <w:t>7720</w:t>
            </w:r>
            <w:r>
              <w:rPr>
                <w:rFonts w:hint="default" w:ascii="Times New Roman" w:hAnsi="Times New Roman" w:cs="Times New Roman"/>
                <w:kern w:val="0"/>
                <w:szCs w:val="24"/>
                <w:lang w:bidi="ar"/>
              </w:rPr>
              <w:t>kg/h污染源源强弱，不会对周边的大气环境造成明显影响。</w:t>
            </w:r>
          </w:p>
          <w:p w14:paraId="3FEB9CD3">
            <w:pPr>
              <w:spacing w:line="360" w:lineRule="auto"/>
              <w:ind w:left="420" w:leftChars="200"/>
              <w:rPr>
                <w:rFonts w:hint="default" w:ascii="Times New Roman" w:hAnsi="Times New Roman" w:cs="Times New Roman"/>
                <w:b/>
                <w:bCs/>
                <w:sz w:val="24"/>
                <w:szCs w:val="20"/>
              </w:rPr>
            </w:pPr>
            <w:r>
              <w:rPr>
                <w:rFonts w:hint="default" w:ascii="Times New Roman" w:hAnsi="Times New Roman" w:cs="Times New Roman"/>
                <w:b/>
                <w:bCs/>
                <w:sz w:val="24"/>
                <w:szCs w:val="20"/>
              </w:rPr>
              <w:t>2、废水排放及处理措施</w:t>
            </w:r>
          </w:p>
          <w:p w14:paraId="59E7FFCE">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本项目运营期废水为</w:t>
            </w:r>
            <w:r>
              <w:rPr>
                <w:rFonts w:hint="eastAsia" w:cs="Times New Roman"/>
                <w:sz w:val="24"/>
                <w:szCs w:val="20"/>
                <w:lang w:eastAsia="zh-CN"/>
              </w:rPr>
              <w:t>生活污水经预处理池（化粪池）收集处理后用于农业灌溉</w:t>
            </w:r>
            <w:r>
              <w:rPr>
                <w:rFonts w:hint="default" w:ascii="Times New Roman" w:hAnsi="Times New Roman" w:cs="Times New Roman"/>
                <w:sz w:val="24"/>
                <w:szCs w:val="20"/>
              </w:rPr>
              <w:t>，生产废水</w:t>
            </w:r>
            <w:r>
              <w:rPr>
                <w:rFonts w:hint="eastAsia" w:cs="Times New Roman"/>
                <w:sz w:val="24"/>
                <w:szCs w:val="20"/>
                <w:lang w:eastAsia="zh-CN"/>
              </w:rPr>
              <w:t>经过生产废水处理设施处理后回用于生产，不</w:t>
            </w:r>
            <w:r>
              <w:rPr>
                <w:rFonts w:hint="default" w:ascii="Times New Roman" w:hAnsi="Times New Roman" w:cs="Times New Roman"/>
                <w:sz w:val="24"/>
                <w:szCs w:val="20"/>
              </w:rPr>
              <w:t>排放。</w:t>
            </w:r>
          </w:p>
          <w:p w14:paraId="799E4CE8">
            <w:pPr>
              <w:spacing w:line="360" w:lineRule="auto"/>
              <w:ind w:firstLine="482" w:firstLineChars="200"/>
              <w:rPr>
                <w:rFonts w:hint="default" w:ascii="Times New Roman" w:hAnsi="Times New Roman" w:cs="Times New Roman"/>
                <w:b/>
                <w:bCs/>
                <w:sz w:val="24"/>
                <w:szCs w:val="20"/>
              </w:rPr>
            </w:pPr>
            <w:r>
              <w:rPr>
                <w:rFonts w:hint="default" w:ascii="Times New Roman" w:hAnsi="Times New Roman" w:cs="Times New Roman"/>
                <w:b/>
                <w:bCs/>
                <w:sz w:val="24"/>
                <w:szCs w:val="20"/>
              </w:rPr>
              <w:t>①生活废水</w:t>
            </w:r>
          </w:p>
          <w:p w14:paraId="0A870A98">
            <w:pPr>
              <w:pStyle w:val="44"/>
              <w:ind w:firstLine="480"/>
              <w:rPr>
                <w:rFonts w:hint="default" w:ascii="Times New Roman" w:hAnsi="Times New Roman" w:cs="Times New Roman"/>
              </w:rPr>
            </w:pPr>
            <w:r>
              <w:rPr>
                <w:rFonts w:hint="default" w:ascii="Times New Roman" w:hAnsi="Times New Roman" w:cs="Times New Roman"/>
              </w:rPr>
              <w:t>本项目定员</w:t>
            </w:r>
            <w:r>
              <w:rPr>
                <w:rFonts w:hint="eastAsia" w:ascii="Times New Roman" w:hAnsi="Times New Roman" w:cs="Times New Roman"/>
                <w:lang w:val="en-US" w:eastAsia="zh-CN"/>
              </w:rPr>
              <w:t>21</w:t>
            </w:r>
            <w:r>
              <w:rPr>
                <w:rFonts w:hint="default" w:ascii="Times New Roman" w:hAnsi="Times New Roman" w:cs="Times New Roman"/>
              </w:rPr>
              <w:t>人，项本项目定员</w:t>
            </w:r>
            <w:r>
              <w:rPr>
                <w:rFonts w:hint="eastAsia" w:ascii="Times New Roman" w:hAnsi="Times New Roman" w:cs="Times New Roman"/>
                <w:lang w:val="en-US" w:eastAsia="zh-CN"/>
              </w:rPr>
              <w:t>2</w:t>
            </w:r>
            <w:r>
              <w:rPr>
                <w:rFonts w:hint="default" w:ascii="Times New Roman" w:hAnsi="Times New Roman" w:cs="Times New Roman"/>
              </w:rPr>
              <w:t>1人，根据《</w:t>
            </w:r>
            <w:r>
              <w:rPr>
                <w:rFonts w:hint="default" w:ascii="Times New Roman" w:hAnsi="Times New Roman" w:cs="Times New Roman"/>
                <w:lang w:eastAsia="zh-CN"/>
              </w:rPr>
              <w:t>四川省用水定额</w:t>
            </w:r>
            <w:r>
              <w:rPr>
                <w:rFonts w:hint="default" w:ascii="Times New Roman" w:hAnsi="Times New Roman" w:cs="Times New Roman"/>
              </w:rPr>
              <w:t>》</w:t>
            </w:r>
            <w:r>
              <w:rPr>
                <w:rFonts w:hint="default" w:ascii="Times New Roman" w:hAnsi="Times New Roman" w:cs="Times New Roman"/>
                <w:lang w:eastAsia="zh-CN"/>
              </w:rPr>
              <w:t>（川府函〔</w:t>
            </w:r>
            <w:r>
              <w:rPr>
                <w:rFonts w:hint="default" w:ascii="Times New Roman" w:hAnsi="Times New Roman" w:cs="Times New Roman"/>
                <w:lang w:val="en-US" w:eastAsia="zh-CN"/>
              </w:rPr>
              <w:t>2021〕8号</w:t>
            </w:r>
            <w:r>
              <w:rPr>
                <w:rFonts w:hint="default" w:ascii="Times New Roman" w:hAnsi="Times New Roman" w:cs="Times New Roman"/>
                <w:lang w:eastAsia="zh-CN"/>
              </w:rPr>
              <w:t>）</w:t>
            </w:r>
            <w:r>
              <w:rPr>
                <w:rFonts w:hint="default" w:ascii="Times New Roman" w:hAnsi="Times New Roman" w:cs="Times New Roman"/>
              </w:rPr>
              <w:t>，结合</w:t>
            </w:r>
            <w:r>
              <w:rPr>
                <w:rFonts w:hint="eastAsia" w:ascii="Times New Roman" w:hAnsi="Times New Roman" w:cs="Times New Roman"/>
                <w:lang w:eastAsia="zh-CN"/>
              </w:rPr>
              <w:t>遂宁市</w:t>
            </w:r>
            <w:r>
              <w:rPr>
                <w:rFonts w:hint="default" w:ascii="Times New Roman" w:hAnsi="Times New Roman" w:cs="Times New Roman"/>
              </w:rPr>
              <w:t>当地实际情况确定本项目办公生活用水定额为1</w:t>
            </w:r>
            <w:r>
              <w:rPr>
                <w:rFonts w:hint="default" w:ascii="Times New Roman" w:hAnsi="Times New Roman" w:cs="Times New Roman"/>
                <w:lang w:val="en-US" w:eastAsia="zh-CN"/>
              </w:rPr>
              <w:t>60</w:t>
            </w:r>
            <w:r>
              <w:rPr>
                <w:rFonts w:hint="default" w:ascii="Times New Roman" w:hAnsi="Times New Roman" w:cs="Times New Roman"/>
              </w:rPr>
              <w:t>L每人每日。据此本项目生活和办公用水的最大日用水量为</w:t>
            </w:r>
            <w:r>
              <w:rPr>
                <w:rFonts w:hint="eastAsia" w:ascii="Times New Roman" w:hAnsi="Times New Roman" w:cs="Times New Roman"/>
                <w:lang w:val="en-US" w:eastAsia="zh-CN"/>
              </w:rPr>
              <w:t>3.36</w:t>
            </w:r>
            <w:r>
              <w:rPr>
                <w:rFonts w:hint="default" w:ascii="Times New Roman" w:hAnsi="Times New Roman" w:cs="Times New Roman"/>
              </w:rPr>
              <w:t>m</w:t>
            </w:r>
            <w:r>
              <w:rPr>
                <w:rFonts w:hint="default" w:ascii="Times New Roman" w:hAnsi="Times New Roman" w:cs="Times New Roman"/>
                <w:vertAlign w:val="superscript"/>
              </w:rPr>
              <w:t>3</w:t>
            </w:r>
            <w:r>
              <w:rPr>
                <w:rFonts w:hint="default" w:ascii="Times New Roman" w:hAnsi="Times New Roman" w:cs="Times New Roman"/>
              </w:rPr>
              <w:t>/d。在使用过程中自然耗散</w:t>
            </w:r>
            <w:r>
              <w:rPr>
                <w:rFonts w:hint="eastAsia" w:ascii="Times New Roman" w:hAnsi="Times New Roman" w:cs="Times New Roman"/>
                <w:lang w:val="en-US" w:eastAsia="zh-CN"/>
              </w:rPr>
              <w:t>0.672</w:t>
            </w:r>
            <w:r>
              <w:rPr>
                <w:rFonts w:hint="default" w:ascii="Times New Roman" w:hAnsi="Times New Roman" w:cs="Times New Roman"/>
              </w:rPr>
              <w:t>m</w:t>
            </w:r>
            <w:r>
              <w:rPr>
                <w:rFonts w:hint="default" w:ascii="Times New Roman" w:hAnsi="Times New Roman" w:cs="Times New Roman"/>
                <w:vertAlign w:val="superscript"/>
              </w:rPr>
              <w:t>3</w:t>
            </w:r>
            <w:r>
              <w:rPr>
                <w:rFonts w:hint="default" w:ascii="Times New Roman" w:hAnsi="Times New Roman" w:cs="Times New Roman"/>
              </w:rPr>
              <w:t>/d，排放量</w:t>
            </w:r>
            <w:r>
              <w:rPr>
                <w:rFonts w:hint="eastAsia" w:ascii="Times New Roman" w:hAnsi="Times New Roman" w:cs="Times New Roman"/>
                <w:lang w:val="en-US" w:eastAsia="zh-CN"/>
              </w:rPr>
              <w:t>2.688</w:t>
            </w:r>
            <w:r>
              <w:rPr>
                <w:rFonts w:hint="default" w:ascii="Times New Roman" w:hAnsi="Times New Roman" w:cs="Times New Roman"/>
              </w:rPr>
              <w:t>m³/d。本项目</w:t>
            </w:r>
            <w:r>
              <w:rPr>
                <w:rFonts w:hint="eastAsia" w:ascii="Times New Roman" w:hAnsi="Times New Roman" w:cs="Times New Roman"/>
                <w:lang w:eastAsia="zh-CN"/>
              </w:rPr>
              <w:t>生活污水</w:t>
            </w:r>
            <w:r>
              <w:rPr>
                <w:rFonts w:hint="default" w:ascii="Times New Roman" w:hAnsi="Times New Roman" w:cs="Times New Roman"/>
              </w:rPr>
              <w:t>经过化粪池</w:t>
            </w:r>
            <w:r>
              <w:rPr>
                <w:rFonts w:hint="eastAsia" w:ascii="Times New Roman" w:hAnsi="Times New Roman" w:cs="Times New Roman"/>
                <w:lang w:eastAsia="zh-CN"/>
              </w:rPr>
              <w:t>预处理后用于周边农业灌溉施肥，不直接对外排放</w:t>
            </w:r>
            <w:r>
              <w:rPr>
                <w:rFonts w:hint="eastAsia" w:ascii="Times New Roman" w:hAnsi="Times New Roman" w:cs="Times New Roman"/>
                <w:lang w:val="en-US" w:eastAsia="zh-CN"/>
              </w:rPr>
              <w:t>。</w:t>
            </w:r>
          </w:p>
          <w:p w14:paraId="6F390AA0">
            <w:pPr>
              <w:spacing w:line="420" w:lineRule="auto"/>
              <w:ind w:firstLine="480"/>
              <w:rPr>
                <w:rFonts w:hint="default" w:ascii="Times New Roman" w:hAnsi="Times New Roman" w:cs="Times New Roman"/>
                <w:b/>
                <w:bCs/>
                <w:sz w:val="24"/>
              </w:rPr>
            </w:pPr>
            <w:r>
              <w:rPr>
                <w:rFonts w:hint="eastAsia" w:cs="Times New Roman"/>
                <w:b/>
                <w:bCs/>
                <w:sz w:val="24"/>
                <w:lang w:eastAsia="zh-CN"/>
              </w:rPr>
              <w:t>生活污水</w:t>
            </w:r>
            <w:r>
              <w:rPr>
                <w:rFonts w:hint="default" w:ascii="Times New Roman" w:hAnsi="Times New Roman" w:cs="Times New Roman"/>
                <w:b/>
                <w:bCs/>
                <w:sz w:val="24"/>
              </w:rPr>
              <w:t>治理措施可行性：</w:t>
            </w:r>
          </w:p>
          <w:p w14:paraId="6C629D83">
            <w:pPr>
              <w:tabs>
                <w:tab w:val="left" w:pos="820"/>
              </w:tabs>
              <w:spacing w:line="42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w:t>
            </w:r>
            <w:r>
              <w:rPr>
                <w:rFonts w:hint="eastAsia" w:ascii="Times New Roman" w:hAnsi="Times New Roman" w:cs="Times New Roman"/>
                <w:sz w:val="24"/>
                <w:lang w:eastAsia="zh-CN"/>
              </w:rPr>
              <w:t>生活</w:t>
            </w:r>
            <w:r>
              <w:rPr>
                <w:rFonts w:hint="default" w:ascii="Times New Roman" w:hAnsi="Times New Roman" w:cs="Times New Roman"/>
                <w:sz w:val="24"/>
              </w:rPr>
              <w:t>污水产生量为</w:t>
            </w:r>
            <w:r>
              <w:rPr>
                <w:rFonts w:hint="eastAsia" w:ascii="Times New Roman" w:hAnsi="Times New Roman" w:cs="Times New Roman"/>
                <w:sz w:val="24"/>
                <w:lang w:val="en-US" w:eastAsia="zh-CN"/>
              </w:rPr>
              <w:t>2.688</w:t>
            </w:r>
            <w:r>
              <w:rPr>
                <w:rFonts w:hint="default" w:ascii="Times New Roman" w:hAnsi="Times New Roman" w:cs="Times New Roman"/>
                <w:sz w:val="24"/>
              </w:rPr>
              <w:t>m</w:t>
            </w:r>
            <w:r>
              <w:rPr>
                <w:rFonts w:hint="default" w:ascii="Times New Roman" w:hAnsi="Times New Roman" w:cs="Times New Roman"/>
                <w:sz w:val="24"/>
                <w:vertAlign w:val="superscript"/>
              </w:rPr>
              <w:t>3</w:t>
            </w:r>
            <w:r>
              <w:rPr>
                <w:rFonts w:hint="default" w:ascii="Times New Roman" w:hAnsi="Times New Roman" w:cs="Times New Roman"/>
                <w:sz w:val="24"/>
              </w:rPr>
              <w:t>/d，主要污染物为COD、BOD</w:t>
            </w:r>
            <w:r>
              <w:rPr>
                <w:rFonts w:hint="default" w:ascii="Times New Roman" w:hAnsi="Times New Roman" w:cs="Times New Roman"/>
                <w:sz w:val="24"/>
                <w:vertAlign w:val="subscript"/>
              </w:rPr>
              <w:t>5</w:t>
            </w:r>
            <w:r>
              <w:rPr>
                <w:rFonts w:hint="default" w:ascii="Times New Roman" w:hAnsi="Times New Roman" w:cs="Times New Roman"/>
                <w:sz w:val="24"/>
              </w:rPr>
              <w:t>、NH</w:t>
            </w:r>
            <w:r>
              <w:rPr>
                <w:rFonts w:hint="default" w:ascii="Times New Roman" w:hAnsi="Times New Roman" w:cs="Times New Roman"/>
                <w:sz w:val="24"/>
                <w:vertAlign w:val="subscript"/>
              </w:rPr>
              <w:t>3</w:t>
            </w:r>
            <w:r>
              <w:rPr>
                <w:rFonts w:hint="default" w:ascii="Times New Roman" w:hAnsi="Times New Roman" w:cs="Times New Roman"/>
                <w:sz w:val="24"/>
              </w:rPr>
              <w:t>-N、TP、TN</w:t>
            </w:r>
            <w:r>
              <w:rPr>
                <w:rFonts w:hint="eastAsia" w:cs="Times New Roman"/>
                <w:sz w:val="24"/>
                <w:lang w:eastAsia="zh-CN"/>
              </w:rPr>
              <w:t>，项目生活污水处理可行性如下</w:t>
            </w:r>
            <w:r>
              <w:rPr>
                <w:rFonts w:hint="default" w:ascii="Times New Roman" w:hAnsi="Times New Roman" w:cs="Times New Roman"/>
                <w:sz w:val="24"/>
              </w:rPr>
              <w:t>：</w:t>
            </w:r>
          </w:p>
          <w:p w14:paraId="3F7A0000">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1）本项目废水为</w:t>
            </w:r>
            <w:r>
              <w:rPr>
                <w:rFonts w:hint="eastAsia" w:cs="Times New Roman"/>
                <w:sz w:val="24"/>
                <w:szCs w:val="22"/>
                <w:lang w:eastAsia="zh-CN"/>
              </w:rPr>
              <w:t>生活污水</w:t>
            </w:r>
            <w:r>
              <w:rPr>
                <w:rFonts w:hint="default" w:ascii="Times New Roman" w:hAnsi="Times New Roman" w:cs="Times New Roman"/>
                <w:sz w:val="24"/>
                <w:szCs w:val="22"/>
              </w:rPr>
              <w:t>，水质简单，化粪池为厌氧池兼沉淀池，满足</w:t>
            </w:r>
            <w:r>
              <w:rPr>
                <w:rFonts w:hint="eastAsia" w:cs="Times New Roman"/>
                <w:sz w:val="24"/>
                <w:szCs w:val="22"/>
                <w:lang w:eastAsia="zh-CN"/>
              </w:rPr>
              <w:t>生活污水</w:t>
            </w:r>
            <w:r>
              <w:rPr>
                <w:rFonts w:hint="default" w:ascii="Times New Roman" w:hAnsi="Times New Roman" w:cs="Times New Roman"/>
                <w:sz w:val="24"/>
                <w:szCs w:val="22"/>
              </w:rPr>
              <w:t>的处理需要；</w:t>
            </w:r>
          </w:p>
          <w:p w14:paraId="585FA11D">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2）本项目</w:t>
            </w:r>
            <w:r>
              <w:rPr>
                <w:rFonts w:hint="eastAsia" w:cs="Times New Roman"/>
                <w:sz w:val="24"/>
                <w:szCs w:val="22"/>
                <w:lang w:eastAsia="zh-CN"/>
              </w:rPr>
              <w:t>生产厂区</w:t>
            </w:r>
            <w:r>
              <w:rPr>
                <w:rFonts w:hint="eastAsia" w:ascii="Times New Roman" w:hAnsi="Times New Roman" w:cs="Times New Roman"/>
                <w:sz w:val="24"/>
                <w:szCs w:val="22"/>
                <w:lang w:eastAsia="zh-CN"/>
              </w:rPr>
              <w:t>拟</w:t>
            </w:r>
            <w:r>
              <w:rPr>
                <w:rFonts w:hint="default" w:ascii="Times New Roman" w:hAnsi="Times New Roman" w:cs="Times New Roman"/>
                <w:sz w:val="24"/>
                <w:szCs w:val="22"/>
              </w:rPr>
              <w:t>建设</w:t>
            </w:r>
            <w:r>
              <w:rPr>
                <w:rFonts w:hint="eastAsia" w:cs="Times New Roman"/>
                <w:sz w:val="24"/>
                <w:szCs w:val="22"/>
                <w:lang w:val="en-US" w:eastAsia="zh-CN"/>
              </w:rPr>
              <w:t>10</w:t>
            </w:r>
            <w:r>
              <w:rPr>
                <w:rFonts w:hint="default" w:ascii="Times New Roman" w:hAnsi="Times New Roman" w:cs="Times New Roman"/>
                <w:sz w:val="24"/>
                <w:szCs w:val="22"/>
              </w:rPr>
              <w:t>m³的化粪池一处，满足</w:t>
            </w:r>
            <w:r>
              <w:rPr>
                <w:rFonts w:hint="eastAsia" w:cs="Times New Roman"/>
                <w:sz w:val="24"/>
                <w:szCs w:val="22"/>
                <w:lang w:eastAsia="zh-CN"/>
              </w:rPr>
              <w:t>生活污水</w:t>
            </w:r>
            <w:r>
              <w:rPr>
                <w:rFonts w:hint="default" w:ascii="Times New Roman" w:hAnsi="Times New Roman" w:cs="Times New Roman"/>
                <w:sz w:val="24"/>
                <w:szCs w:val="22"/>
              </w:rPr>
              <w:t>的收集需求；</w:t>
            </w:r>
          </w:p>
          <w:p w14:paraId="519F3185">
            <w:pPr>
              <w:spacing w:line="444" w:lineRule="auto"/>
              <w:ind w:firstLine="480" w:firstLineChars="200"/>
              <w:jc w:val="left"/>
              <w:rPr>
                <w:rFonts w:hint="eastAsia" w:ascii="Times New Roman" w:hAnsi="Times New Roman" w:eastAsia="宋体" w:cs="Times New Roman"/>
                <w:sz w:val="24"/>
                <w:szCs w:val="22"/>
                <w:lang w:val="en-US" w:eastAsia="zh-CN"/>
              </w:rPr>
            </w:pPr>
            <w:r>
              <w:rPr>
                <w:rFonts w:hint="default" w:ascii="Times New Roman" w:hAnsi="Times New Roman" w:cs="Times New Roman"/>
                <w:sz w:val="24"/>
                <w:szCs w:val="22"/>
              </w:rPr>
              <w:t>3）</w:t>
            </w:r>
            <w:r>
              <w:rPr>
                <w:rFonts w:hint="eastAsia" w:cs="Times New Roman"/>
                <w:sz w:val="24"/>
                <w:szCs w:val="22"/>
                <w:lang w:eastAsia="zh-CN"/>
              </w:rPr>
              <w:t>项目地处遂宁市安居区农村地区，周边有大片的耕地、林地可以消纳本项目产生的生活污水</w:t>
            </w:r>
            <w:r>
              <w:rPr>
                <w:rFonts w:hint="eastAsia" w:ascii="Times New Roman" w:hAnsi="Times New Roman" w:eastAsia="宋体" w:cs="Times New Roman"/>
                <w:sz w:val="24"/>
                <w:szCs w:val="22"/>
                <w:lang w:val="en-US" w:eastAsia="zh-CN"/>
              </w:rPr>
              <w:t>。</w:t>
            </w:r>
          </w:p>
          <w:p w14:paraId="7AE546AD">
            <w:pPr>
              <w:spacing w:line="360" w:lineRule="auto"/>
              <w:ind w:firstLine="482" w:firstLineChars="200"/>
              <w:rPr>
                <w:rFonts w:hint="eastAsia" w:ascii="Times New Roman" w:hAnsi="Times New Roman" w:eastAsia="宋体" w:cs="Times New Roman"/>
                <w:b/>
                <w:bCs/>
                <w:color w:val="000000" w:themeColor="text1"/>
                <w:sz w:val="24"/>
                <w:szCs w:val="20"/>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0"/>
                <w:lang w:val="en-US" w:eastAsia="zh-CN"/>
                <w14:textFill>
                  <w14:solidFill>
                    <w14:schemeClr w14:val="tx1"/>
                  </w14:solidFill>
                </w14:textFill>
              </w:rPr>
              <w:t>②生产废水</w:t>
            </w:r>
          </w:p>
          <w:p w14:paraId="1B70C330">
            <w:pPr>
              <w:pStyle w:val="44"/>
              <w:bidi w:val="0"/>
              <w:rPr>
                <w:rFonts w:hint="eastAsia" w:ascii="Times New Roman" w:hAnsi="Times New Roman" w:cs="Times New Roman"/>
                <w:color w:val="000000" w:themeColor="text1"/>
                <w:szCs w:val="21"/>
                <w:lang w:eastAsia="zh-CN"/>
                <w14:textFill>
                  <w14:solidFill>
                    <w14:schemeClr w14:val="tx1"/>
                  </w14:solidFill>
                </w14:textFill>
              </w:rPr>
            </w:pPr>
            <w:r>
              <w:rPr>
                <w:rFonts w:hint="eastAsia"/>
                <w:color w:val="000000" w:themeColor="text1"/>
                <w:lang w:val="en-US" w:eastAsia="zh-CN"/>
                <w14:textFill>
                  <w14:solidFill>
                    <w14:schemeClr w14:val="tx1"/>
                  </w14:solidFill>
                </w14:textFill>
              </w:rPr>
              <w:t>本项目生产废水主要为连砂石破碎筛分废水、细纱废水</w:t>
            </w:r>
            <w:r>
              <w:rPr>
                <w:rFonts w:hint="default" w:ascii="Times New Roman" w:hAnsi="Times New Roman" w:cs="Times New Roman"/>
                <w:color w:val="000000" w:themeColor="text1"/>
                <w:szCs w:val="21"/>
                <w14:textFill>
                  <w14:solidFill>
                    <w14:schemeClr w14:val="tx1"/>
                  </w14:solidFill>
                </w14:textFill>
              </w:rPr>
              <w:t>、运输车</w:t>
            </w:r>
            <w:r>
              <w:rPr>
                <w:rFonts w:hint="eastAsia" w:ascii="Times New Roman" w:hAnsi="Times New Roman" w:cs="Times New Roman"/>
                <w:color w:val="000000" w:themeColor="text1"/>
                <w:szCs w:val="21"/>
                <w:lang w:eastAsia="zh-CN"/>
                <w14:textFill>
                  <w14:solidFill>
                    <w14:schemeClr w14:val="tx1"/>
                  </w14:solidFill>
                </w14:textFill>
              </w:rPr>
              <w:t>辆</w:t>
            </w:r>
            <w:r>
              <w:rPr>
                <w:rFonts w:hint="default" w:ascii="Times New Roman" w:hAnsi="Times New Roman" w:cs="Times New Roman"/>
                <w:color w:val="000000" w:themeColor="text1"/>
                <w:szCs w:val="21"/>
                <w14:textFill>
                  <w14:solidFill>
                    <w14:schemeClr w14:val="tx1"/>
                  </w14:solidFill>
                </w14:textFill>
              </w:rPr>
              <w:t>清洗废水</w:t>
            </w:r>
            <w:r>
              <w:rPr>
                <w:rFonts w:hint="eastAsia" w:ascii="Times New Roman" w:hAnsi="Times New Roman" w:cs="Times New Roman"/>
                <w:color w:val="000000" w:themeColor="text1"/>
                <w:szCs w:val="21"/>
                <w:lang w:eastAsia="zh-CN"/>
                <w14:textFill>
                  <w14:solidFill>
                    <w14:schemeClr w14:val="tx1"/>
                  </w14:solidFill>
                </w14:textFill>
              </w:rPr>
              <w:t>、</w:t>
            </w:r>
            <w:r>
              <w:rPr>
                <w:rFonts w:hint="default" w:ascii="Times New Roman" w:hAnsi="Times New Roman" w:cs="Times New Roman"/>
                <w:color w:val="000000" w:themeColor="text1"/>
                <w:szCs w:val="21"/>
                <w14:textFill>
                  <w14:solidFill>
                    <w14:schemeClr w14:val="tx1"/>
                  </w14:solidFill>
                </w14:textFill>
              </w:rPr>
              <w:t>洗地废水</w:t>
            </w:r>
            <w:r>
              <w:rPr>
                <w:rFonts w:hint="eastAsia" w:ascii="Times New Roman" w:hAnsi="Times New Roman" w:cs="Times New Roman"/>
                <w:color w:val="000000" w:themeColor="text1"/>
                <w:szCs w:val="21"/>
                <w:lang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废水主要污染物为SS和COD</w:t>
            </w:r>
            <w:r>
              <w:rPr>
                <w:rFonts w:hint="eastAsia" w:ascii="Times New Roman" w:hAnsi="Times New Roman" w:cs="Times New Roman"/>
                <w:color w:val="000000" w:themeColor="text1"/>
                <w:szCs w:val="21"/>
                <w:lang w:eastAsia="zh-CN"/>
                <w14:textFill>
                  <w14:solidFill>
                    <w14:schemeClr w14:val="tx1"/>
                  </w14:solidFill>
                </w14:textFill>
              </w:rPr>
              <w:t>。</w:t>
            </w:r>
          </w:p>
          <w:p w14:paraId="40288872">
            <w:pPr>
              <w:pStyle w:val="44"/>
              <w:bidi w:val="0"/>
              <w:rPr>
                <w:rFonts w:hint="eastAsia"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项目生产废水</w:t>
            </w:r>
            <w:r>
              <w:rPr>
                <w:rFonts w:hint="default" w:ascii="Times New Roman" w:hAnsi="Times New Roman" w:cs="Times New Roman"/>
                <w:color w:val="000000" w:themeColor="text1"/>
                <w:szCs w:val="21"/>
                <w14:textFill>
                  <w14:solidFill>
                    <w14:schemeClr w14:val="tx1"/>
                  </w14:solidFill>
                </w14:textFill>
              </w:rPr>
              <w:t>经过</w:t>
            </w:r>
            <w:r>
              <w:rPr>
                <w:rFonts w:hint="eastAsia" w:ascii="Times New Roman" w:hAnsi="Times New Roman" w:cs="Times New Roman"/>
                <w:color w:val="000000" w:themeColor="text1"/>
                <w:szCs w:val="21"/>
                <w:lang w:eastAsia="zh-CN"/>
                <w14:textFill>
                  <w14:solidFill>
                    <w14:schemeClr w14:val="tx1"/>
                  </w14:solidFill>
                </w14:textFill>
              </w:rPr>
              <w:t>收集后进入</w:t>
            </w:r>
            <w:r>
              <w:rPr>
                <w:rFonts w:hint="default" w:ascii="Times New Roman" w:hAnsi="Times New Roman" w:cs="Times New Roman"/>
                <w:color w:val="000000" w:themeColor="text1"/>
                <w:szCs w:val="21"/>
                <w14:textFill>
                  <w14:solidFill>
                    <w14:schemeClr w14:val="tx1"/>
                  </w14:solidFill>
                </w14:textFill>
              </w:rPr>
              <w:t>生产废水沉淀池（容积</w:t>
            </w:r>
            <w:r>
              <w:rPr>
                <w:rFonts w:hint="default" w:ascii="Times New Roman" w:hAnsi="Times New Roman" w:cs="Times New Roman"/>
                <w:color w:val="000000" w:themeColor="text1"/>
                <w:szCs w:val="21"/>
                <w:lang w:val="en-US" w:eastAsia="zh-CN"/>
                <w14:textFill>
                  <w14:solidFill>
                    <w14:schemeClr w14:val="tx1"/>
                  </w14:solidFill>
                </w14:textFill>
              </w:rPr>
              <w:t>约</w:t>
            </w:r>
            <w:r>
              <w:rPr>
                <w:rFonts w:hint="eastAsia" w:ascii="Times New Roman" w:hAnsi="Times New Roman" w:cs="Times New Roman"/>
                <w:color w:val="000000" w:themeColor="text1"/>
                <w:szCs w:val="21"/>
                <w:lang w:val="en-US" w:eastAsia="zh-CN"/>
                <w14:textFill>
                  <w14:solidFill>
                    <w14:schemeClr w14:val="tx1"/>
                  </w14:solidFill>
                </w14:textFill>
              </w:rPr>
              <w:t>25</w:t>
            </w:r>
            <w:r>
              <w:rPr>
                <w:rFonts w:hint="default" w:ascii="Times New Roman" w:hAnsi="Times New Roman" w:cs="Times New Roman"/>
                <w:color w:val="000000" w:themeColor="text1"/>
                <w:szCs w:val="21"/>
                <w14:textFill>
                  <w14:solidFill>
                    <w14:schemeClr w14:val="tx1"/>
                  </w14:solidFill>
                </w14:textFill>
              </w:rPr>
              <w:t>0m³）</w:t>
            </w:r>
            <w:r>
              <w:rPr>
                <w:rFonts w:hint="eastAsia" w:ascii="Times New Roman" w:hAnsi="Times New Roman" w:cs="Times New Roman"/>
                <w:color w:val="000000" w:themeColor="text1"/>
                <w:szCs w:val="21"/>
                <w:lang w:eastAsia="zh-CN"/>
                <w14:textFill>
                  <w14:solidFill>
                    <w14:schemeClr w14:val="tx1"/>
                  </w14:solidFill>
                </w14:textFill>
              </w:rPr>
              <w:t>，生产废水沉淀池为三级结构，最后一级为清水池，清水池中的水作为回用水使用。三级沉淀池的前两级沉淀池泥沙沉淀到一定量后，经污泥泵泵入中水回用罐（泥浆罐）中加入聚丙烯酰胺强化沉淀，泥水分离后，上层清水进入三级沉淀池的清水池，下层泥浆进入压滤机进行压滤处理，压滤产生的清水排入三级沉淀池的清水池作为生产用水回用。</w:t>
            </w:r>
            <w:r>
              <w:rPr>
                <w:rFonts w:hint="default" w:ascii="Times New Roman" w:hAnsi="Times New Roman" w:cs="Times New Roman"/>
                <w:color w:val="000000" w:themeColor="text1"/>
                <w:szCs w:val="21"/>
                <w:lang w:val="en-US" w:eastAsia="zh-CN"/>
                <w14:textFill>
                  <w14:solidFill>
                    <w14:schemeClr w14:val="tx1"/>
                  </w14:solidFill>
                </w14:textFill>
              </w:rPr>
              <w:t>车轮清洗废水经厂区出入口处的洗车设施沉淀池（约20m³）处理后循环使用不排放</w:t>
            </w:r>
            <w:r>
              <w:rPr>
                <w:rFonts w:hint="eastAsia" w:ascii="Times New Roman" w:hAnsi="Times New Roman" w:cs="Times New Roman"/>
                <w:color w:val="000000" w:themeColor="text1"/>
                <w:szCs w:val="21"/>
                <w:lang w:val="en-US" w:eastAsia="zh-CN"/>
                <w14:textFill>
                  <w14:solidFill>
                    <w14:schemeClr w14:val="tx1"/>
                  </w14:solidFill>
                </w14:textFill>
              </w:rPr>
              <w:t>，洗车废水沉淀池的泥浆泵入泥浆罐进行泥水分离和压滤处理</w:t>
            </w:r>
            <w:r>
              <w:rPr>
                <w:rFonts w:hint="default" w:ascii="Times New Roman" w:hAnsi="Times New Roman" w:cs="Times New Roman"/>
                <w:color w:val="000000" w:themeColor="text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本项目沉淀池容积约250m³，项目新鲜水用量约121.2m³/d，因此项目沉淀池可有效收集生产废水并提供足够的容量暂存，生产废水经沉淀池处理后全部回用可行且可靠。</w:t>
            </w:r>
          </w:p>
          <w:p w14:paraId="5C0E49E4">
            <w:pPr>
              <w:pStyle w:val="44"/>
              <w:bidi w:val="0"/>
              <w:rPr>
                <w:rFonts w:hint="eastAsia"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本项目生产废水处理工艺流程如下：</w:t>
            </w:r>
          </w:p>
          <w:p w14:paraId="412492C6">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3690282B">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eastAsia="宋体"/>
                <w:bCs/>
                <w:color w:val="000000"/>
                <w:sz w:val="24"/>
                <w:szCs w:val="24"/>
                <w:lang w:eastAsia="zh-CN"/>
              </w:rPr>
              <w:drawing>
                <wp:anchor distT="0" distB="0" distL="114300" distR="114300" simplePos="0" relativeHeight="251666432" behindDoc="0" locked="0" layoutInCell="1" allowOverlap="1">
                  <wp:simplePos x="0" y="0"/>
                  <wp:positionH relativeFrom="column">
                    <wp:posOffset>86995</wp:posOffset>
                  </wp:positionH>
                  <wp:positionV relativeFrom="paragraph">
                    <wp:posOffset>167005</wp:posOffset>
                  </wp:positionV>
                  <wp:extent cx="5080000" cy="2713990"/>
                  <wp:effectExtent l="0" t="0" r="0" b="0"/>
                  <wp:wrapNone/>
                  <wp:docPr id="17" name="ECB019B1-382A-4266-B25C-5B523AA43C14-1" descr="C:/Users/Administrator/AppData/Local/Temp/wps.IXLKks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CB019B1-382A-4266-B25C-5B523AA43C14-1" descr="C:/Users/Administrator/AppData/Local/Temp/wps.IXLKkswps"/>
                          <pic:cNvPicPr>
                            <a:picLocks noChangeAspect="1"/>
                          </pic:cNvPicPr>
                        </pic:nvPicPr>
                        <pic:blipFill>
                          <a:blip r:embed="rId18"/>
                          <a:srcRect l="3393"/>
                          <a:stretch>
                            <a:fillRect/>
                          </a:stretch>
                        </pic:blipFill>
                        <pic:spPr>
                          <a:xfrm>
                            <a:off x="0" y="0"/>
                            <a:ext cx="5080000" cy="2713990"/>
                          </a:xfrm>
                          <a:prstGeom prst="rect">
                            <a:avLst/>
                          </a:prstGeom>
                          <a:noFill/>
                          <a:ln>
                            <a:noFill/>
                          </a:ln>
                        </pic:spPr>
                      </pic:pic>
                    </a:graphicData>
                  </a:graphic>
                </wp:anchor>
              </w:drawing>
            </w:r>
          </w:p>
          <w:p w14:paraId="737F3E1C">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435FF1EB">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682BBA7A">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0CBD6F61">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20B0EB86">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6C786815">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64F7B17A">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470FB485">
            <w:pPr>
              <w:pStyle w:val="44"/>
              <w:bidi w:val="0"/>
              <w:rPr>
                <w:rFonts w:hint="default" w:ascii="Times New Roman" w:hAnsi="Times New Roman" w:cs="Times New Roman"/>
                <w:color w:val="000000" w:themeColor="text1"/>
                <w:szCs w:val="21"/>
                <w:lang w:val="en-US" w:eastAsia="zh-CN"/>
                <w14:textFill>
                  <w14:solidFill>
                    <w14:schemeClr w14:val="tx1"/>
                  </w14:solidFill>
                </w14:textFill>
              </w:rPr>
            </w:pPr>
          </w:p>
          <w:p w14:paraId="7001624C">
            <w:pPr>
              <w:pStyle w:val="44"/>
              <w:keepNext w:val="0"/>
              <w:keepLines w:val="0"/>
              <w:pageBreakBefore w:val="0"/>
              <w:widowControl w:val="0"/>
              <w:kinsoku/>
              <w:wordWrap/>
              <w:overflowPunct/>
              <w:topLinePunct w:val="0"/>
              <w:autoSpaceDE/>
              <w:autoSpaceDN/>
              <w:bidi w:val="0"/>
              <w:adjustRightInd w:val="0"/>
              <w:snapToGrid w:val="0"/>
              <w:spacing w:before="313" w:beforeLines="100"/>
              <w:ind w:left="210" w:leftChars="100" w:firstLine="0" w:firstLineChars="0"/>
              <w:jc w:val="center"/>
              <w:textAlignment w:val="auto"/>
              <w:rPr>
                <w:rFonts w:hint="default" w:ascii="Times New Roman" w:hAnsi="Times New Roman" w:cs="Times New Roman"/>
                <w:b/>
                <w:bCs/>
                <w:color w:val="000000" w:themeColor="text1"/>
                <w:szCs w:val="21"/>
                <w:lang w:val="en-US" w:eastAsia="zh-CN"/>
                <w14:textFill>
                  <w14:solidFill>
                    <w14:schemeClr w14:val="tx1"/>
                  </w14:solidFill>
                </w14:textFill>
              </w:rPr>
            </w:pPr>
            <w:r>
              <w:rPr>
                <w:rFonts w:hint="eastAsia" w:ascii="Times New Roman" w:hAnsi="Times New Roman" w:cs="Times New Roman"/>
                <w:b/>
                <w:bCs/>
                <w:color w:val="000000" w:themeColor="text1"/>
                <w:szCs w:val="21"/>
                <w:lang w:val="en-US" w:eastAsia="zh-CN"/>
                <w14:textFill>
                  <w14:solidFill>
                    <w14:schemeClr w14:val="tx1"/>
                  </w14:solidFill>
                </w14:textFill>
              </w:rPr>
              <w:t>图4-1 生产废水处理工艺流程图</w:t>
            </w:r>
          </w:p>
          <w:p w14:paraId="6E21540D">
            <w:pPr>
              <w:pStyle w:val="44"/>
              <w:bidi w:val="0"/>
              <w:rPr>
                <w:rFonts w:hint="default" w:ascii="Times New Roman" w:hAnsi="Times New Roman" w:eastAsia="宋体" w:cs="Times New Roman"/>
                <w:b/>
                <w:bCs/>
                <w:color w:val="000000" w:themeColor="text1"/>
                <w:lang w:val="en-US" w:eastAsia="zh-CN"/>
                <w14:textFill>
                  <w14:solidFill>
                    <w14:schemeClr w14:val="tx1"/>
                  </w14:solidFill>
                </w14:textFill>
              </w:rPr>
            </w:pPr>
            <w:r>
              <w:rPr>
                <w:rFonts w:hint="default" w:ascii="Times New Roman" w:hAnsi="Times New Roman" w:eastAsia="宋体" w:cs="Times New Roman"/>
                <w:b/>
                <w:bCs/>
                <w:color w:val="000000" w:themeColor="text1"/>
                <w:lang w:val="en-US" w:eastAsia="zh-CN"/>
                <w14:textFill>
                  <w14:solidFill>
                    <w14:schemeClr w14:val="tx1"/>
                  </w14:solidFill>
                </w14:textFill>
              </w:rPr>
              <w:t>③初期雨水</w:t>
            </w:r>
          </w:p>
          <w:p w14:paraId="04FB9EBA">
            <w:pPr>
              <w:pStyle w:val="72"/>
              <w:ind w:firstLine="480"/>
              <w:jc w:val="both"/>
              <w:rPr>
                <w:rFonts w:hint="default" w:ascii="Times New Roman" w:hAnsi="Times New Roman" w:eastAsia="仿宋"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根据遂宁地区</w:t>
            </w:r>
            <w:r>
              <w:rPr>
                <w:rFonts w:hint="eastAsia" w:cs="Times New Roman"/>
                <w:color w:val="000000" w:themeColor="text1"/>
                <w:lang w:val="en-US" w:eastAsia="zh-CN"/>
                <w14:textFill>
                  <w14:solidFill>
                    <w14:schemeClr w14:val="tx1"/>
                  </w14:solidFill>
                </w14:textFill>
              </w:rPr>
              <w:t>降雨</w:t>
            </w:r>
            <w:r>
              <w:rPr>
                <w:rFonts w:hint="default" w:ascii="Times New Roman" w:hAnsi="Times New Roman" w:cs="Times New Roman"/>
                <w:color w:val="000000" w:themeColor="text1"/>
                <w:lang w:val="en-US" w:eastAsia="zh-CN"/>
                <w14:textFill>
                  <w14:solidFill>
                    <w14:schemeClr w14:val="tx1"/>
                  </w14:solidFill>
                </w14:textFill>
              </w:rPr>
              <w:t>强度公式计算初期雨水：</w:t>
            </w:r>
          </w:p>
          <w:p w14:paraId="706C536E">
            <w:pPr>
              <w:pStyle w:val="44"/>
              <w:bidi w:val="0"/>
              <w:rPr>
                <w:rFonts w:hint="default" w:ascii="Times New Roman" w:hAnsi="Times New Roman" w:cs="Times New Roman"/>
                <w:i w:val="0"/>
                <w:color w:val="000000" w:themeColor="text1"/>
                <w:lang w:val="en-US"/>
                <w14:textFill>
                  <w14:solidFill>
                    <w14:schemeClr w14:val="tx1"/>
                  </w14:solidFill>
                </w14:textFill>
              </w:rPr>
            </w:pPr>
            <m:oMathPara>
              <m:oMath>
                <m:r>
                  <m:rPr/>
                  <w:rPr>
                    <w:rFonts w:hint="default" w:ascii="Cambria Math" w:hAnsi="Cambria Math" w:cs="Times New Roman"/>
                    <w:color w:val="000000" w:themeColor="text1"/>
                    <w:lang w:val="en-US" w:eastAsia="zh-CN"/>
                    <w14:textFill>
                      <w14:solidFill>
                        <w14:schemeClr w14:val="tx1"/>
                      </w14:solidFill>
                    </w14:textFill>
                  </w:rPr>
                  <m:t>q</m:t>
                </m:r>
                <m:r>
                  <m:rPr/>
                  <w:rPr>
                    <w:rFonts w:hint="default" w:ascii="Cambria Math" w:hAnsi="Cambria Math" w:cs="Times New Roman"/>
                    <w:color w:val="000000" w:themeColor="text1"/>
                    <w:lang w:val="en-US"/>
                    <w14:textFill>
                      <w14:solidFill>
                        <w14:schemeClr w14:val="tx1"/>
                      </w14:solidFill>
                    </w14:textFill>
                  </w:rPr>
                  <m:t>=</m:t>
                </m:r>
                <m:f>
                  <m:fPr>
                    <m:ctrlPr>
                      <w:rPr>
                        <w:rFonts w:hint="default" w:ascii="Cambria Math" w:hAnsi="Cambria Math" w:cs="Times New Roman"/>
                        <w:i/>
                        <w:color w:val="000000" w:themeColor="text1"/>
                        <w:lang w:val="en-US"/>
                        <w14:textFill>
                          <w14:solidFill>
                            <w14:schemeClr w14:val="tx1"/>
                          </w14:solidFill>
                        </w14:textFill>
                      </w:rPr>
                    </m:ctrlPr>
                  </m:fPr>
                  <m:num>
                    <m:r>
                      <m:rPr/>
                      <w:rPr>
                        <w:rFonts w:hint="default" w:ascii="Cambria Math" w:hAnsi="Cambria Math" w:cs="Times New Roman"/>
                        <w:color w:val="000000" w:themeColor="text1"/>
                        <w:lang w:val="en-US" w:eastAsia="zh-CN"/>
                        <w14:textFill>
                          <w14:solidFill>
                            <w14:schemeClr w14:val="tx1"/>
                          </w14:solidFill>
                        </w14:textFill>
                      </w:rPr>
                      <m:t>1802.687×0.763lgP</m:t>
                    </m:r>
                    <m:ctrlPr>
                      <w:rPr>
                        <w:rFonts w:hint="default" w:ascii="Cambria Math" w:hAnsi="Cambria Math" w:cs="Times New Roman"/>
                        <w:i/>
                        <w:color w:val="000000" w:themeColor="text1"/>
                        <w:lang w:val="en-US"/>
                        <w14:textFill>
                          <w14:solidFill>
                            <w14:schemeClr w14:val="tx1"/>
                          </w14:solidFill>
                        </w14:textFill>
                      </w:rPr>
                    </m:ctrlPr>
                  </m:num>
                  <m:den>
                    <m:sSup>
                      <m:sSupPr>
                        <m:ctrlPr>
                          <w:rPr>
                            <w:rFonts w:hint="default" w:ascii="Cambria Math" w:hAnsi="Cambria Math" w:cs="Times New Roman"/>
                            <w:i/>
                            <w:color w:val="000000" w:themeColor="text1"/>
                            <w:lang w:val="en-US" w:eastAsia="zh-CN"/>
                            <w14:textFill>
                              <w14:solidFill>
                                <w14:schemeClr w14:val="tx1"/>
                              </w14:solidFill>
                            </w14:textFill>
                          </w:rPr>
                        </m:ctrlPr>
                      </m:sSupPr>
                      <m:e>
                        <m:r>
                          <m:rPr/>
                          <w:rPr>
                            <w:rFonts w:hint="default" w:ascii="Cambria Math" w:hAnsi="Cambria Math" w:cs="Times New Roman"/>
                            <w:color w:val="000000" w:themeColor="text1"/>
                            <w:lang w:val="en-US" w:eastAsia="zh-CN"/>
                            <w14:textFill>
                              <w14:solidFill>
                                <w14:schemeClr w14:val="tx1"/>
                              </w14:solidFill>
                            </w14:textFill>
                          </w:rPr>
                          <m:t>(t+17.331)</m:t>
                        </m:r>
                        <m:ctrlPr>
                          <w:rPr>
                            <w:rFonts w:hint="default" w:ascii="Cambria Math" w:hAnsi="Cambria Math" w:cs="Times New Roman"/>
                            <w:i/>
                            <w:color w:val="000000" w:themeColor="text1"/>
                            <w:lang w:val="en-US" w:eastAsia="zh-CN"/>
                            <w14:textFill>
                              <w14:solidFill>
                                <w14:schemeClr w14:val="tx1"/>
                              </w14:solidFill>
                            </w14:textFill>
                          </w:rPr>
                        </m:ctrlPr>
                      </m:e>
                      <m:sup>
                        <m:r>
                          <m:rPr/>
                          <w:rPr>
                            <w:rFonts w:hint="default" w:ascii="Cambria Math" w:hAnsi="Cambria Math" w:cs="Times New Roman"/>
                            <w:color w:val="000000" w:themeColor="text1"/>
                            <w:lang w:val="en-US" w:eastAsia="zh-CN"/>
                            <w14:textFill>
                              <w14:solidFill>
                                <w14:schemeClr w14:val="tx1"/>
                              </w14:solidFill>
                            </w14:textFill>
                          </w:rPr>
                          <m:t>0.658</m:t>
                        </m:r>
                        <m:ctrlPr>
                          <w:rPr>
                            <w:rFonts w:hint="default" w:ascii="Cambria Math" w:hAnsi="Cambria Math" w:cs="Times New Roman"/>
                            <w:i/>
                            <w:color w:val="000000" w:themeColor="text1"/>
                            <w:lang w:val="en-US" w:eastAsia="zh-CN"/>
                            <w14:textFill>
                              <w14:solidFill>
                                <w14:schemeClr w14:val="tx1"/>
                              </w14:solidFill>
                            </w14:textFill>
                          </w:rPr>
                        </m:ctrlPr>
                      </m:sup>
                    </m:sSup>
                    <m:ctrlPr>
                      <w:rPr>
                        <w:rFonts w:hint="default" w:ascii="Cambria Math" w:hAnsi="Cambria Math" w:cs="Times New Roman"/>
                        <w:i/>
                        <w:color w:val="000000" w:themeColor="text1"/>
                        <w:lang w:val="en-US"/>
                        <w14:textFill>
                          <w14:solidFill>
                            <w14:schemeClr w14:val="tx1"/>
                          </w14:solidFill>
                        </w14:textFill>
                      </w:rPr>
                    </m:ctrlPr>
                  </m:den>
                </m:f>
              </m:oMath>
            </m:oMathPara>
          </w:p>
          <w:p w14:paraId="6E1F09B2">
            <w:pPr>
              <w:pStyle w:val="44"/>
              <w:bidi w:val="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式中，q——设计暴雨强度，L/（s·hm</w:t>
            </w:r>
            <w:r>
              <w:rPr>
                <w:rFonts w:hint="default" w:ascii="Times New Roman" w:hAnsi="Times New Roman" w:eastAsia="宋体" w:cs="Times New Roman"/>
                <w:color w:val="000000" w:themeColor="text1"/>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lang w:val="en-US" w:eastAsia="zh-CN"/>
                <w14:textFill>
                  <w14:solidFill>
                    <w14:schemeClr w14:val="tx1"/>
                  </w14:solidFill>
                </w14:textFill>
              </w:rPr>
              <w:t>）；</w:t>
            </w:r>
          </w:p>
          <w:p w14:paraId="49F9D735">
            <w:pPr>
              <w:pStyle w:val="44"/>
              <w:bidi w:val="0"/>
              <w:ind w:firstLine="1200" w:firstLineChars="50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t——设计降雨历时，min，按 15min 计；</w:t>
            </w:r>
          </w:p>
          <w:p w14:paraId="7E5F8540">
            <w:pPr>
              <w:pStyle w:val="44"/>
              <w:bidi w:val="0"/>
              <w:ind w:firstLine="1200" w:firstLineChars="50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P——设计重现期，年，按3年计.</w:t>
            </w:r>
          </w:p>
          <w:p w14:paraId="4DBDD203">
            <w:pPr>
              <w:pStyle w:val="44"/>
              <w:bidi w:val="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根据计算：q=66.64</w:t>
            </w:r>
            <w:r>
              <w:rPr>
                <w:rFonts w:hint="default" w:ascii="Times New Roman" w:hAnsi="Times New Roman" w:eastAsia="宋体" w:cs="Times New Roman"/>
                <w:color w:val="000000" w:themeColor="text1"/>
                <w:lang w:val="en-US" w:eastAsia="zh-CN"/>
                <w14:textFill>
                  <w14:solidFill>
                    <w14:schemeClr w14:val="tx1"/>
                  </w14:solidFill>
                </w14:textFill>
              </w:rPr>
              <w:t>L/（s·hm</w:t>
            </w:r>
            <w:r>
              <w:rPr>
                <w:rFonts w:hint="default" w:ascii="Times New Roman" w:hAnsi="Times New Roman" w:eastAsia="宋体" w:cs="Times New Roman"/>
                <w:color w:val="000000" w:themeColor="text1"/>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lang w:val="en-US" w:eastAsia="zh-CN"/>
                <w14:textFill>
                  <w14:solidFill>
                    <w14:schemeClr w14:val="tx1"/>
                  </w14:solidFill>
                </w14:textFill>
              </w:rPr>
              <w:t>），项目汇水区域面积F约5000平方米，径流系数φ取值0.9，则初期雨水流量Q=q*F*φ=66.64*5000/100</w:t>
            </w:r>
            <w:r>
              <w:rPr>
                <w:rFonts w:hint="eastAsia" w:ascii="Times New Roman" w:hAnsi="Times New Roman" w:cs="Times New Roman"/>
                <w:color w:val="000000" w:themeColor="text1"/>
                <w:lang w:val="en-US" w:eastAsia="zh-CN"/>
                <w14:textFill>
                  <w14:solidFill>
                    <w14:schemeClr w14:val="tx1"/>
                  </w14:solidFill>
                </w14:textFill>
              </w:rPr>
              <w:t>0</w:t>
            </w:r>
            <w:r>
              <w:rPr>
                <w:rFonts w:hint="default" w:ascii="Times New Roman" w:hAnsi="Times New Roman" w:eastAsia="宋体" w:cs="Times New Roman"/>
                <w:color w:val="000000" w:themeColor="text1"/>
                <w:lang w:val="en-US" w:eastAsia="zh-CN"/>
                <w14:textFill>
                  <w14:solidFill>
                    <w14:schemeClr w14:val="tx1"/>
                  </w14:solidFill>
                </w14:textFill>
              </w:rPr>
              <w:t>0*0.9=29.98L/s</w:t>
            </w:r>
          </w:p>
          <w:p w14:paraId="05B844D0">
            <w:pPr>
              <w:pStyle w:val="44"/>
              <w:bidi w:val="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项目初期雨水收集时间为15min，根据计算初期雨水收集总量为26.98m³。</w:t>
            </w:r>
          </w:p>
          <w:p w14:paraId="27A9B6E1">
            <w:pPr>
              <w:pStyle w:val="44"/>
              <w:bidi w:val="0"/>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本项目在厂区四周设置雨水沟，初期雨水</w:t>
            </w:r>
            <w:r>
              <w:rPr>
                <w:rFonts w:hint="default" w:ascii="Times New Roman" w:hAnsi="Times New Roman" w:cs="Times New Roman"/>
                <w:color w:val="000000" w:themeColor="text1"/>
                <w:lang w:val="en-US" w:eastAsia="zh-CN"/>
                <w14:textFill>
                  <w14:solidFill>
                    <w14:schemeClr w14:val="tx1"/>
                  </w14:solidFill>
                </w14:textFill>
              </w:rPr>
              <w:t>经雨水沟收集进入生产废水沉淀池</w:t>
            </w:r>
            <w:r>
              <w:rPr>
                <w:rFonts w:hint="default" w:ascii="Times New Roman" w:hAnsi="Times New Roman" w:eastAsia="宋体" w:cs="Times New Roman"/>
                <w:color w:val="000000" w:themeColor="text1"/>
                <w:lang w:val="en-US" w:eastAsia="zh-CN"/>
                <w14:textFill>
                  <w14:solidFill>
                    <w14:schemeClr w14:val="tx1"/>
                  </w14:solidFill>
                </w14:textFill>
              </w:rPr>
              <w:t>处理后生产回用，</w:t>
            </w:r>
            <w:r>
              <w:rPr>
                <w:rFonts w:hint="default" w:ascii="Times New Roman" w:hAnsi="Times New Roman" w:cs="Times New Roman"/>
                <w:color w:val="000000" w:themeColor="text1"/>
                <w:lang w:val="en-US" w:eastAsia="zh-CN"/>
                <w14:textFill>
                  <w14:solidFill>
                    <w14:schemeClr w14:val="tx1"/>
                  </w14:solidFill>
                </w14:textFill>
              </w:rPr>
              <w:t>项目生产废水沉淀池池容约250m³，沉淀池池容完全满足初期雨水收集需要。</w:t>
            </w:r>
            <w:r>
              <w:rPr>
                <w:rFonts w:hint="default" w:ascii="Times New Roman" w:hAnsi="Times New Roman" w:eastAsia="宋体" w:cs="Times New Roman"/>
                <w:color w:val="000000" w:themeColor="text1"/>
                <w:lang w:val="en-US" w:eastAsia="zh-CN"/>
                <w14:textFill>
                  <w14:solidFill>
                    <w14:schemeClr w14:val="tx1"/>
                  </w14:solidFill>
                </w14:textFill>
              </w:rPr>
              <w:t>当雨水收集至</w:t>
            </w:r>
            <w:r>
              <w:rPr>
                <w:rFonts w:hint="default" w:ascii="Times New Roman" w:hAnsi="Times New Roman" w:cs="Times New Roman"/>
                <w:color w:val="000000" w:themeColor="text1"/>
                <w:lang w:val="en-US" w:eastAsia="zh-CN"/>
                <w14:textFill>
                  <w14:solidFill>
                    <w14:schemeClr w14:val="tx1"/>
                  </w14:solidFill>
                </w14:textFill>
              </w:rPr>
              <w:t>沉淀池容量的90%后</w:t>
            </w:r>
            <w:r>
              <w:rPr>
                <w:rFonts w:hint="default" w:ascii="Times New Roman" w:hAnsi="Times New Roman" w:eastAsia="宋体" w:cs="Times New Roman"/>
                <w:color w:val="000000" w:themeColor="text1"/>
                <w:lang w:val="en-US" w:eastAsia="zh-CN"/>
                <w14:textFill>
                  <w14:solidFill>
                    <w14:schemeClr w14:val="tx1"/>
                  </w14:solidFill>
                </w14:textFill>
              </w:rPr>
              <w:t>，后期雨水不再进入初沉淀池</w:t>
            </w:r>
            <w:r>
              <w:rPr>
                <w:rFonts w:hint="default" w:ascii="Times New Roman" w:hAnsi="Times New Roman" w:cs="Times New Roman"/>
                <w:color w:val="000000" w:themeColor="text1"/>
                <w:lang w:val="en-US" w:eastAsia="zh-CN"/>
                <w14:textFill>
                  <w14:solidFill>
                    <w14:schemeClr w14:val="tx1"/>
                  </w14:solidFill>
                </w14:textFill>
              </w:rPr>
              <w:t>，以防止沉淀池废水溢流</w:t>
            </w:r>
            <w:r>
              <w:rPr>
                <w:rFonts w:hint="default" w:ascii="Times New Roman" w:hAnsi="Times New Roman" w:eastAsia="宋体" w:cs="Times New Roman"/>
                <w:color w:val="000000" w:themeColor="text1"/>
                <w:lang w:val="en-US" w:eastAsia="zh-CN"/>
                <w14:textFill>
                  <w14:solidFill>
                    <w14:schemeClr w14:val="tx1"/>
                  </w14:solidFill>
                </w14:textFill>
              </w:rPr>
              <w:t>。</w:t>
            </w:r>
          </w:p>
          <w:p w14:paraId="1696267E">
            <w:pPr>
              <w:tabs>
                <w:tab w:val="left" w:pos="820"/>
              </w:tabs>
              <w:spacing w:line="360" w:lineRule="auto"/>
              <w:ind w:firstLine="482" w:firstLineChars="200"/>
              <w:rPr>
                <w:rFonts w:hint="default" w:ascii="Times New Roman" w:hAnsi="Times New Roman" w:cs="Times New Roman"/>
                <w:b/>
                <w:bCs/>
                <w:sz w:val="24"/>
                <w:szCs w:val="20"/>
              </w:rPr>
            </w:pPr>
            <w:r>
              <w:rPr>
                <w:rFonts w:hint="default" w:ascii="Times New Roman" w:hAnsi="Times New Roman" w:cs="Times New Roman"/>
                <w:b/>
                <w:bCs/>
                <w:sz w:val="24"/>
                <w:szCs w:val="20"/>
              </w:rPr>
              <w:t>废水影响定性分析：</w:t>
            </w:r>
          </w:p>
          <w:p w14:paraId="07E979D8">
            <w:pPr>
              <w:spacing w:line="420" w:lineRule="auto"/>
              <w:ind w:firstLine="480" w:firstLineChars="200"/>
              <w:rPr>
                <w:rFonts w:hint="default" w:ascii="Times New Roman" w:hAnsi="Times New Roman" w:cs="Times New Roman"/>
                <w:sz w:val="24"/>
                <w:szCs w:val="22"/>
              </w:rPr>
            </w:pPr>
            <w:r>
              <w:rPr>
                <w:rFonts w:hint="default" w:ascii="Times New Roman" w:hAnsi="Times New Roman" w:cs="Times New Roman"/>
                <w:sz w:val="24"/>
                <w:szCs w:val="22"/>
              </w:rPr>
              <w:t>根据分析，本项目无生产废水排放，</w:t>
            </w:r>
            <w:r>
              <w:rPr>
                <w:rFonts w:hint="eastAsia" w:cs="Times New Roman"/>
                <w:sz w:val="24"/>
                <w:szCs w:val="22"/>
                <w:lang w:eastAsia="zh-CN"/>
              </w:rPr>
              <w:t>生活污水</w:t>
            </w:r>
            <w:r>
              <w:rPr>
                <w:rFonts w:hint="default" w:ascii="Times New Roman" w:hAnsi="Times New Roman" w:cs="Times New Roman"/>
                <w:sz w:val="24"/>
                <w:szCs w:val="22"/>
              </w:rPr>
              <w:t>经化粪池处理</w:t>
            </w:r>
            <w:r>
              <w:rPr>
                <w:rFonts w:hint="eastAsia" w:ascii="Times New Roman" w:hAnsi="Times New Roman" w:cs="Times New Roman"/>
                <w:sz w:val="24"/>
                <w:szCs w:val="22"/>
                <w:lang w:eastAsia="zh-CN"/>
              </w:rPr>
              <w:t>后</w:t>
            </w:r>
            <w:r>
              <w:rPr>
                <w:rFonts w:hint="eastAsia" w:cs="Times New Roman"/>
                <w:sz w:val="24"/>
                <w:szCs w:val="22"/>
                <w:lang w:eastAsia="zh-CN"/>
              </w:rPr>
              <w:t>用于农业生产</w:t>
            </w:r>
            <w:r>
              <w:rPr>
                <w:rFonts w:hint="default" w:ascii="Times New Roman" w:hAnsi="Times New Roman" w:cs="Times New Roman"/>
                <w:sz w:val="24"/>
                <w:szCs w:val="22"/>
              </w:rPr>
              <w:t>，本项目废水可得到合理处置，不会对环境造成明显影响。</w:t>
            </w:r>
          </w:p>
          <w:p w14:paraId="3560B3DE">
            <w:pPr>
              <w:tabs>
                <w:tab w:val="left" w:pos="820"/>
              </w:tabs>
              <w:spacing w:line="360" w:lineRule="auto"/>
              <w:ind w:firstLine="482" w:firstLineChars="200"/>
              <w:rPr>
                <w:rFonts w:hint="default" w:ascii="Times New Roman" w:hAnsi="Times New Roman" w:cs="Times New Roman"/>
                <w:b/>
                <w:bCs/>
                <w:sz w:val="24"/>
                <w:szCs w:val="20"/>
              </w:rPr>
            </w:pPr>
            <w:r>
              <w:rPr>
                <w:rFonts w:hint="default" w:ascii="Times New Roman" w:hAnsi="Times New Roman" w:cs="Times New Roman"/>
                <w:b/>
                <w:bCs/>
                <w:sz w:val="24"/>
                <w:szCs w:val="20"/>
              </w:rPr>
              <w:t>3、噪声排放及处理措施</w:t>
            </w:r>
          </w:p>
          <w:p w14:paraId="59A6BAF4">
            <w:pPr>
              <w:spacing w:line="420" w:lineRule="auto"/>
              <w:ind w:firstLine="482" w:firstLineChars="200"/>
              <w:rPr>
                <w:rFonts w:hint="default" w:ascii="Times New Roman" w:hAnsi="Times New Roman" w:cs="Times New Roman"/>
                <w:b/>
                <w:bCs/>
                <w:sz w:val="24"/>
                <w:szCs w:val="22"/>
              </w:rPr>
            </w:pPr>
            <w:r>
              <w:rPr>
                <w:rFonts w:hint="default" w:ascii="Times New Roman" w:hAnsi="Times New Roman" w:cs="Times New Roman"/>
                <w:b/>
                <w:bCs/>
                <w:sz w:val="24"/>
                <w:szCs w:val="22"/>
              </w:rPr>
              <w:t>（1）主要噪声源及治理措施</w:t>
            </w:r>
          </w:p>
          <w:p w14:paraId="0926DE52">
            <w:pPr>
              <w:spacing w:line="420" w:lineRule="auto"/>
              <w:ind w:firstLine="480" w:firstLineChars="200"/>
              <w:rPr>
                <w:rFonts w:hint="default" w:ascii="Times New Roman" w:hAnsi="Times New Roman" w:cs="Times New Roman"/>
                <w:b/>
                <w:sz w:val="24"/>
              </w:rPr>
            </w:pPr>
            <w:r>
              <w:rPr>
                <w:rFonts w:hint="default" w:ascii="Times New Roman" w:hAnsi="Times New Roman" w:cs="Times New Roman"/>
                <w:sz w:val="24"/>
                <w:szCs w:val="22"/>
              </w:rPr>
              <w:t>本项目营运期主要噪声源为生产设备运行及装载机产生的噪声，噪声值约在70-85dB(A</w:t>
            </w:r>
            <w:r>
              <w:rPr>
                <w:rFonts w:hint="eastAsia" w:cs="Times New Roman"/>
                <w:sz w:val="24"/>
                <w:szCs w:val="22"/>
                <w:lang w:eastAsia="zh-CN"/>
              </w:rPr>
              <w:t>）</w:t>
            </w:r>
            <w:r>
              <w:rPr>
                <w:rFonts w:hint="default" w:ascii="Times New Roman" w:hAnsi="Times New Roman" w:cs="Times New Roman"/>
                <w:sz w:val="24"/>
                <w:szCs w:val="22"/>
              </w:rPr>
              <w:t>范围内，本项目噪声源强相对较低，可通过对搅拌机设置减震设施、距离衰减、合理安排工作时间降低项目噪声对外环境的影响。主要声源治理前噪声源强值见下表。</w:t>
            </w:r>
          </w:p>
          <w:p w14:paraId="289B1C19">
            <w:pPr>
              <w:adjustRightInd w:val="0"/>
              <w:snapToGrid w:val="0"/>
              <w:spacing w:before="120" w:beforeLines="50" w:line="360" w:lineRule="auto"/>
              <w:jc w:val="center"/>
              <w:rPr>
                <w:rFonts w:hint="default" w:ascii="Times New Roman" w:hAnsi="Times New Roman" w:cs="Times New Roman"/>
                <w:b/>
                <w:sz w:val="24"/>
              </w:rPr>
            </w:pPr>
            <w:r>
              <w:rPr>
                <w:rFonts w:hint="default" w:ascii="Times New Roman" w:hAnsi="Times New Roman" w:cs="Times New Roman"/>
                <w:b/>
                <w:sz w:val="24"/>
              </w:rPr>
              <w:t>表4-</w:t>
            </w:r>
            <w:r>
              <w:rPr>
                <w:rFonts w:hint="eastAsia" w:cs="Times New Roman"/>
                <w:b/>
                <w:sz w:val="24"/>
                <w:lang w:val="en-US" w:eastAsia="zh-CN"/>
              </w:rPr>
              <w:t>2</w:t>
            </w:r>
            <w:r>
              <w:rPr>
                <w:rFonts w:hint="default" w:ascii="Times New Roman" w:hAnsi="Times New Roman" w:cs="Times New Roman"/>
                <w:b/>
                <w:sz w:val="24"/>
              </w:rPr>
              <w:tab/>
            </w:r>
            <w:r>
              <w:rPr>
                <w:rFonts w:hint="default" w:ascii="Times New Roman" w:hAnsi="Times New Roman" w:cs="Times New Roman"/>
                <w:b/>
                <w:sz w:val="24"/>
              </w:rPr>
              <w:t>噪声源强值</w:t>
            </w:r>
            <w:r>
              <w:rPr>
                <w:rFonts w:hint="default" w:ascii="Times New Roman" w:hAnsi="Times New Roman" w:cs="Times New Roman"/>
                <w:b/>
                <w:sz w:val="24"/>
              </w:rPr>
              <w:tab/>
            </w:r>
            <w:r>
              <w:rPr>
                <w:rFonts w:hint="default" w:ascii="Times New Roman" w:hAnsi="Times New Roman" w:cs="Times New Roman"/>
                <w:b/>
                <w:sz w:val="24"/>
              </w:rPr>
              <w:t>单位dB(A)</w:t>
            </w:r>
          </w:p>
          <w:tbl>
            <w:tblPr>
              <w:tblStyle w:val="22"/>
              <w:tblW w:w="808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836"/>
              <w:gridCol w:w="836"/>
              <w:gridCol w:w="1149"/>
              <w:gridCol w:w="703"/>
              <w:gridCol w:w="818"/>
              <w:gridCol w:w="1268"/>
              <w:gridCol w:w="886"/>
              <w:gridCol w:w="696"/>
              <w:gridCol w:w="895"/>
            </w:tblGrid>
            <w:tr w14:paraId="6942510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5" w:hRule="atLeast"/>
                <w:jc w:val="center"/>
              </w:trPr>
              <w:tc>
                <w:tcPr>
                  <w:tcW w:w="836" w:type="dxa"/>
                  <w:vMerge w:val="restart"/>
                  <w:tcBorders>
                    <w:tl2br w:val="nil"/>
                    <w:tr2bl w:val="nil"/>
                  </w:tcBorders>
                  <w:shd w:val="clear" w:color="auto" w:fill="auto"/>
                  <w:noWrap/>
                  <w:vAlign w:val="center"/>
                </w:tcPr>
                <w:p w14:paraId="3B049B9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声源类型</w:t>
                  </w:r>
                </w:p>
              </w:tc>
              <w:tc>
                <w:tcPr>
                  <w:tcW w:w="836" w:type="dxa"/>
                  <w:vMerge w:val="restart"/>
                  <w:tcBorders>
                    <w:tl2br w:val="nil"/>
                    <w:tr2bl w:val="nil"/>
                  </w:tcBorders>
                  <w:shd w:val="clear" w:color="auto" w:fill="auto"/>
                  <w:noWrap/>
                  <w:vAlign w:val="center"/>
                </w:tcPr>
                <w:p w14:paraId="70E3C32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建筑物名称</w:t>
                  </w:r>
                </w:p>
              </w:tc>
              <w:tc>
                <w:tcPr>
                  <w:tcW w:w="1149" w:type="dxa"/>
                  <w:vMerge w:val="restart"/>
                  <w:tcBorders>
                    <w:tl2br w:val="nil"/>
                    <w:tr2bl w:val="nil"/>
                  </w:tcBorders>
                  <w:shd w:val="clear" w:color="auto" w:fill="auto"/>
                  <w:noWrap/>
                  <w:vAlign w:val="center"/>
                </w:tcPr>
                <w:p w14:paraId="5D601EA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声源名称</w:t>
                  </w:r>
                </w:p>
              </w:tc>
              <w:tc>
                <w:tcPr>
                  <w:tcW w:w="703" w:type="dxa"/>
                  <w:vMerge w:val="restart"/>
                  <w:tcBorders>
                    <w:tl2br w:val="nil"/>
                    <w:tr2bl w:val="nil"/>
                  </w:tcBorders>
                  <w:shd w:val="clear" w:color="auto" w:fill="auto"/>
                  <w:vAlign w:val="center"/>
                </w:tcPr>
                <w:p w14:paraId="1234D5E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型号</w:t>
                  </w:r>
                </w:p>
              </w:tc>
              <w:tc>
                <w:tcPr>
                  <w:tcW w:w="818" w:type="dxa"/>
                  <w:vMerge w:val="restart"/>
                  <w:tcBorders>
                    <w:tl2br w:val="nil"/>
                    <w:tr2bl w:val="nil"/>
                  </w:tcBorders>
                  <w:shd w:val="clear" w:color="auto" w:fill="auto"/>
                  <w:noWrap/>
                  <w:vAlign w:val="center"/>
                </w:tcPr>
                <w:p w14:paraId="0E3CA39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声源源强</w:t>
                  </w:r>
                  <w:r>
                    <w:rPr>
                      <w:rFonts w:hint="default" w:ascii="Times New Roman" w:hAnsi="Times New Roman" w:eastAsia="宋体" w:cs="Times New Roman"/>
                      <w:b/>
                      <w:bCs/>
                      <w:i w:val="0"/>
                      <w:iCs w:val="0"/>
                      <w:color w:val="000000"/>
                      <w:kern w:val="0"/>
                      <w:sz w:val="21"/>
                      <w:szCs w:val="21"/>
                      <w:u w:val="none"/>
                      <w:lang w:val="en-US" w:eastAsia="zh-CN" w:bidi="ar"/>
                    </w:rPr>
                    <w:t>dB(A)</w:t>
                  </w:r>
                </w:p>
              </w:tc>
              <w:tc>
                <w:tcPr>
                  <w:tcW w:w="1268" w:type="dxa"/>
                  <w:vMerge w:val="restart"/>
                  <w:tcBorders>
                    <w:tl2br w:val="nil"/>
                    <w:tr2bl w:val="nil"/>
                  </w:tcBorders>
                  <w:shd w:val="clear" w:color="auto" w:fill="auto"/>
                  <w:noWrap/>
                  <w:vAlign w:val="center"/>
                </w:tcPr>
                <w:p w14:paraId="057C46E9">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声源控制措施</w:t>
                  </w:r>
                </w:p>
              </w:tc>
              <w:tc>
                <w:tcPr>
                  <w:tcW w:w="2477" w:type="dxa"/>
                  <w:gridSpan w:val="3"/>
                  <w:tcBorders>
                    <w:tl2br w:val="nil"/>
                    <w:tr2bl w:val="nil"/>
                  </w:tcBorders>
                  <w:shd w:val="clear" w:color="auto" w:fill="auto"/>
                  <w:noWrap/>
                  <w:vAlign w:val="center"/>
                </w:tcPr>
                <w:p w14:paraId="330F560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空间位置</w:t>
                  </w:r>
                  <w:r>
                    <w:rPr>
                      <w:rFonts w:hint="default" w:ascii="Times New Roman" w:hAnsi="Times New Roman" w:eastAsia="宋体" w:cs="Times New Roman"/>
                      <w:b/>
                      <w:bCs/>
                      <w:i w:val="0"/>
                      <w:iCs w:val="0"/>
                      <w:color w:val="000000"/>
                      <w:kern w:val="0"/>
                      <w:sz w:val="21"/>
                      <w:szCs w:val="21"/>
                      <w:u w:val="none"/>
                      <w:lang w:val="en-US" w:eastAsia="zh-CN" w:bidi="ar"/>
                    </w:rPr>
                    <w:t>/m</w:t>
                  </w:r>
                </w:p>
              </w:tc>
            </w:tr>
            <w:tr w14:paraId="54745F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40" w:hRule="atLeast"/>
                <w:jc w:val="center"/>
              </w:trPr>
              <w:tc>
                <w:tcPr>
                  <w:tcW w:w="836" w:type="dxa"/>
                  <w:vMerge w:val="continue"/>
                  <w:tcBorders>
                    <w:tl2br w:val="nil"/>
                    <w:tr2bl w:val="nil"/>
                  </w:tcBorders>
                  <w:shd w:val="clear" w:color="auto" w:fill="auto"/>
                  <w:noWrap/>
                  <w:vAlign w:val="center"/>
                </w:tcPr>
                <w:p w14:paraId="7C2CFC76">
                  <w:pPr>
                    <w:jc w:val="center"/>
                    <w:rPr>
                      <w:rFonts w:hint="default" w:ascii="Times New Roman" w:hAnsi="Times New Roman" w:eastAsia="宋体" w:cs="Times New Roman"/>
                      <w:b/>
                      <w:bCs/>
                      <w:i w:val="0"/>
                      <w:iCs w:val="0"/>
                      <w:color w:val="000000"/>
                      <w:sz w:val="21"/>
                      <w:szCs w:val="21"/>
                      <w:u w:val="none"/>
                    </w:rPr>
                  </w:pPr>
                </w:p>
              </w:tc>
              <w:tc>
                <w:tcPr>
                  <w:tcW w:w="836" w:type="dxa"/>
                  <w:vMerge w:val="continue"/>
                  <w:tcBorders>
                    <w:tl2br w:val="nil"/>
                    <w:tr2bl w:val="nil"/>
                  </w:tcBorders>
                  <w:shd w:val="clear" w:color="auto" w:fill="auto"/>
                  <w:noWrap/>
                  <w:vAlign w:val="center"/>
                </w:tcPr>
                <w:p w14:paraId="15654EBE">
                  <w:pPr>
                    <w:jc w:val="center"/>
                    <w:rPr>
                      <w:rFonts w:hint="default" w:ascii="Times New Roman" w:hAnsi="Times New Roman" w:eastAsia="宋体" w:cs="Times New Roman"/>
                      <w:b/>
                      <w:bCs/>
                      <w:i w:val="0"/>
                      <w:iCs w:val="0"/>
                      <w:color w:val="000000"/>
                      <w:sz w:val="21"/>
                      <w:szCs w:val="21"/>
                      <w:u w:val="none"/>
                    </w:rPr>
                  </w:pPr>
                </w:p>
              </w:tc>
              <w:tc>
                <w:tcPr>
                  <w:tcW w:w="1149" w:type="dxa"/>
                  <w:vMerge w:val="continue"/>
                  <w:tcBorders>
                    <w:tl2br w:val="nil"/>
                    <w:tr2bl w:val="nil"/>
                  </w:tcBorders>
                  <w:shd w:val="clear" w:color="auto" w:fill="auto"/>
                  <w:noWrap/>
                  <w:vAlign w:val="center"/>
                </w:tcPr>
                <w:p w14:paraId="4CB4468E">
                  <w:pPr>
                    <w:jc w:val="center"/>
                    <w:rPr>
                      <w:rFonts w:hint="default" w:ascii="Times New Roman" w:hAnsi="Times New Roman" w:eastAsia="宋体" w:cs="Times New Roman"/>
                      <w:b/>
                      <w:bCs/>
                      <w:i w:val="0"/>
                      <w:iCs w:val="0"/>
                      <w:color w:val="000000"/>
                      <w:sz w:val="21"/>
                      <w:szCs w:val="21"/>
                      <w:u w:val="none"/>
                    </w:rPr>
                  </w:pPr>
                </w:p>
              </w:tc>
              <w:tc>
                <w:tcPr>
                  <w:tcW w:w="703" w:type="dxa"/>
                  <w:vMerge w:val="continue"/>
                  <w:tcBorders>
                    <w:tl2br w:val="nil"/>
                    <w:tr2bl w:val="nil"/>
                  </w:tcBorders>
                  <w:shd w:val="clear" w:color="auto" w:fill="auto"/>
                  <w:vAlign w:val="center"/>
                </w:tcPr>
                <w:p w14:paraId="198E1635">
                  <w:pPr>
                    <w:jc w:val="center"/>
                    <w:rPr>
                      <w:rFonts w:hint="default" w:ascii="Times New Roman" w:hAnsi="Times New Roman" w:eastAsia="宋体" w:cs="Times New Roman"/>
                      <w:b/>
                      <w:bCs/>
                      <w:i w:val="0"/>
                      <w:iCs w:val="0"/>
                      <w:color w:val="000000"/>
                      <w:sz w:val="21"/>
                      <w:szCs w:val="21"/>
                      <w:u w:val="none"/>
                    </w:rPr>
                  </w:pPr>
                </w:p>
              </w:tc>
              <w:tc>
                <w:tcPr>
                  <w:tcW w:w="818" w:type="dxa"/>
                  <w:vMerge w:val="continue"/>
                  <w:tcBorders>
                    <w:tl2br w:val="nil"/>
                    <w:tr2bl w:val="nil"/>
                  </w:tcBorders>
                  <w:shd w:val="clear" w:color="auto" w:fill="auto"/>
                  <w:noWrap/>
                  <w:vAlign w:val="center"/>
                </w:tcPr>
                <w:p w14:paraId="216BB324">
                  <w:pPr>
                    <w:jc w:val="center"/>
                    <w:rPr>
                      <w:rFonts w:hint="default" w:ascii="Times New Roman" w:hAnsi="Times New Roman" w:eastAsia="宋体" w:cs="Times New Roman"/>
                      <w:b/>
                      <w:bCs/>
                      <w:i w:val="0"/>
                      <w:iCs w:val="0"/>
                      <w:color w:val="000000"/>
                      <w:sz w:val="21"/>
                      <w:szCs w:val="21"/>
                      <w:u w:val="none"/>
                    </w:rPr>
                  </w:pPr>
                </w:p>
              </w:tc>
              <w:tc>
                <w:tcPr>
                  <w:tcW w:w="1268" w:type="dxa"/>
                  <w:vMerge w:val="continue"/>
                  <w:tcBorders>
                    <w:tl2br w:val="nil"/>
                    <w:tr2bl w:val="nil"/>
                  </w:tcBorders>
                  <w:shd w:val="clear" w:color="auto" w:fill="auto"/>
                  <w:noWrap/>
                  <w:vAlign w:val="center"/>
                </w:tcPr>
                <w:p w14:paraId="0CBB299B">
                  <w:pPr>
                    <w:jc w:val="center"/>
                    <w:rPr>
                      <w:rFonts w:hint="default" w:ascii="Times New Roman" w:hAnsi="Times New Roman" w:eastAsia="宋体" w:cs="Times New Roman"/>
                      <w:b/>
                      <w:bCs/>
                      <w:i w:val="0"/>
                      <w:iCs w:val="0"/>
                      <w:color w:val="000000"/>
                      <w:sz w:val="21"/>
                      <w:szCs w:val="21"/>
                      <w:u w:val="none"/>
                    </w:rPr>
                  </w:pPr>
                </w:p>
              </w:tc>
              <w:tc>
                <w:tcPr>
                  <w:tcW w:w="886" w:type="dxa"/>
                  <w:tcBorders>
                    <w:tl2br w:val="nil"/>
                    <w:tr2bl w:val="nil"/>
                  </w:tcBorders>
                  <w:shd w:val="clear" w:color="auto" w:fill="auto"/>
                  <w:noWrap/>
                  <w:vAlign w:val="center"/>
                </w:tcPr>
                <w:p w14:paraId="344743A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X</w:t>
                  </w:r>
                </w:p>
              </w:tc>
              <w:tc>
                <w:tcPr>
                  <w:tcW w:w="696" w:type="dxa"/>
                  <w:tcBorders>
                    <w:tl2br w:val="nil"/>
                    <w:tr2bl w:val="nil"/>
                  </w:tcBorders>
                  <w:shd w:val="clear" w:color="auto" w:fill="auto"/>
                  <w:noWrap/>
                  <w:vAlign w:val="center"/>
                </w:tcPr>
                <w:p w14:paraId="7C706A2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Y</w:t>
                  </w:r>
                </w:p>
              </w:tc>
              <w:tc>
                <w:tcPr>
                  <w:tcW w:w="895" w:type="dxa"/>
                  <w:tcBorders>
                    <w:tl2br w:val="nil"/>
                    <w:tr2bl w:val="nil"/>
                  </w:tcBorders>
                  <w:shd w:val="clear" w:color="auto" w:fill="auto"/>
                  <w:noWrap/>
                  <w:vAlign w:val="center"/>
                </w:tcPr>
                <w:p w14:paraId="0237B0A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Z</w:t>
                  </w:r>
                </w:p>
              </w:tc>
            </w:tr>
            <w:tr w14:paraId="2FD65A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40" w:hRule="atLeast"/>
                <w:jc w:val="center"/>
              </w:trPr>
              <w:tc>
                <w:tcPr>
                  <w:tcW w:w="836" w:type="dxa"/>
                  <w:vMerge w:val="restart"/>
                  <w:tcBorders>
                    <w:tl2br w:val="nil"/>
                    <w:tr2bl w:val="nil"/>
                  </w:tcBorders>
                  <w:shd w:val="clear" w:color="auto" w:fill="auto"/>
                  <w:noWrap/>
                  <w:vAlign w:val="center"/>
                </w:tcPr>
                <w:p w14:paraId="4150AAD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室内声源</w:t>
                  </w:r>
                </w:p>
              </w:tc>
              <w:tc>
                <w:tcPr>
                  <w:tcW w:w="836" w:type="dxa"/>
                  <w:vMerge w:val="restart"/>
                  <w:tcBorders>
                    <w:tl2br w:val="nil"/>
                    <w:tr2bl w:val="nil"/>
                  </w:tcBorders>
                  <w:shd w:val="clear" w:color="auto" w:fill="auto"/>
                  <w:noWrap/>
                  <w:vAlign w:val="center"/>
                </w:tcPr>
                <w:p w14:paraId="3267FB0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生产车间</w:t>
                  </w:r>
                </w:p>
              </w:tc>
              <w:tc>
                <w:tcPr>
                  <w:tcW w:w="1149" w:type="dxa"/>
                  <w:tcBorders>
                    <w:tl2br w:val="nil"/>
                    <w:tr2bl w:val="nil"/>
                  </w:tcBorders>
                  <w:shd w:val="clear" w:color="auto" w:fill="auto"/>
                  <w:vAlign w:val="center"/>
                </w:tcPr>
                <w:p w14:paraId="220FD86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颚式破碎机</w:t>
                  </w:r>
                </w:p>
              </w:tc>
              <w:tc>
                <w:tcPr>
                  <w:tcW w:w="703" w:type="dxa"/>
                  <w:tcBorders>
                    <w:tl2br w:val="nil"/>
                    <w:tr2bl w:val="nil"/>
                  </w:tcBorders>
                  <w:shd w:val="clear" w:color="auto" w:fill="auto"/>
                  <w:noWrap/>
                  <w:vAlign w:val="center"/>
                </w:tcPr>
                <w:p w14:paraId="354617D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600*900</w:t>
                  </w:r>
                </w:p>
              </w:tc>
              <w:tc>
                <w:tcPr>
                  <w:tcW w:w="818" w:type="dxa"/>
                  <w:tcBorders>
                    <w:tl2br w:val="nil"/>
                    <w:tr2bl w:val="nil"/>
                  </w:tcBorders>
                  <w:shd w:val="clear" w:color="auto" w:fill="auto"/>
                  <w:noWrap/>
                  <w:vAlign w:val="center"/>
                </w:tcPr>
                <w:p w14:paraId="4D60FCB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100</w:t>
                  </w:r>
                </w:p>
              </w:tc>
              <w:tc>
                <w:tcPr>
                  <w:tcW w:w="1268" w:type="dxa"/>
                  <w:vMerge w:val="restart"/>
                  <w:tcBorders>
                    <w:tl2br w:val="nil"/>
                    <w:tr2bl w:val="nil"/>
                  </w:tcBorders>
                  <w:shd w:val="clear" w:color="auto" w:fill="auto"/>
                  <w:vAlign w:val="center"/>
                </w:tcPr>
                <w:p w14:paraId="16C56CA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选用低噪声设备，加强设备保养，加强建筑物封闭，设置减震设施</w:t>
                  </w:r>
                </w:p>
              </w:tc>
              <w:tc>
                <w:tcPr>
                  <w:tcW w:w="886" w:type="dxa"/>
                  <w:tcBorders>
                    <w:tl2br w:val="nil"/>
                    <w:tr2bl w:val="nil"/>
                  </w:tcBorders>
                  <w:shd w:val="clear" w:color="auto" w:fill="auto"/>
                  <w:noWrap/>
                  <w:vAlign w:val="center"/>
                </w:tcPr>
                <w:p w14:paraId="0F14CAA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6.64</w:t>
                  </w:r>
                </w:p>
              </w:tc>
              <w:tc>
                <w:tcPr>
                  <w:tcW w:w="696" w:type="dxa"/>
                  <w:tcBorders>
                    <w:tl2br w:val="nil"/>
                    <w:tr2bl w:val="nil"/>
                  </w:tcBorders>
                  <w:shd w:val="clear" w:color="auto" w:fill="auto"/>
                  <w:noWrap/>
                  <w:vAlign w:val="center"/>
                </w:tcPr>
                <w:p w14:paraId="7414B74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10.03</w:t>
                  </w:r>
                </w:p>
              </w:tc>
              <w:tc>
                <w:tcPr>
                  <w:tcW w:w="895" w:type="dxa"/>
                  <w:tcBorders>
                    <w:tl2br w:val="nil"/>
                    <w:tr2bl w:val="nil"/>
                  </w:tcBorders>
                  <w:shd w:val="clear" w:color="auto" w:fill="auto"/>
                  <w:noWrap/>
                  <w:vAlign w:val="center"/>
                </w:tcPr>
                <w:p w14:paraId="74B1BF5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21EC0E0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836" w:type="dxa"/>
                  <w:vMerge w:val="continue"/>
                  <w:tcBorders>
                    <w:tl2br w:val="nil"/>
                    <w:tr2bl w:val="nil"/>
                  </w:tcBorders>
                  <w:shd w:val="clear" w:color="auto" w:fill="auto"/>
                  <w:noWrap/>
                  <w:vAlign w:val="center"/>
                </w:tcPr>
                <w:p w14:paraId="73B07E3A">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2BDEE6D5">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10E5873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圆锥破碎机</w:t>
                  </w:r>
                </w:p>
              </w:tc>
              <w:tc>
                <w:tcPr>
                  <w:tcW w:w="703" w:type="dxa"/>
                  <w:tcBorders>
                    <w:tl2br w:val="nil"/>
                    <w:tr2bl w:val="nil"/>
                  </w:tcBorders>
                  <w:shd w:val="clear" w:color="auto" w:fill="auto"/>
                  <w:vAlign w:val="center"/>
                </w:tcPr>
                <w:p w14:paraId="1C0353E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140</w:t>
                  </w:r>
                  <w:r>
                    <w:rPr>
                      <w:rFonts w:hint="eastAsia" w:ascii="Times New Roman" w:hAnsi="Times New Roman" w:eastAsia="宋体" w:cs="Times New Roman"/>
                      <w:i w:val="0"/>
                      <w:iCs w:val="0"/>
                      <w:color w:val="000000"/>
                      <w:kern w:val="0"/>
                      <w:sz w:val="21"/>
                      <w:szCs w:val="21"/>
                      <w:u w:val="none"/>
                      <w:lang w:val="en-US" w:eastAsia="zh-CN" w:bidi="ar"/>
                    </w:rPr>
                    <w:t>型</w:t>
                  </w:r>
                </w:p>
              </w:tc>
              <w:tc>
                <w:tcPr>
                  <w:tcW w:w="818" w:type="dxa"/>
                  <w:tcBorders>
                    <w:tl2br w:val="nil"/>
                    <w:tr2bl w:val="nil"/>
                  </w:tcBorders>
                  <w:shd w:val="clear" w:color="auto" w:fill="auto"/>
                  <w:noWrap/>
                  <w:vAlign w:val="center"/>
                </w:tcPr>
                <w:p w14:paraId="6E1A726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100</w:t>
                  </w:r>
                </w:p>
              </w:tc>
              <w:tc>
                <w:tcPr>
                  <w:tcW w:w="1268" w:type="dxa"/>
                  <w:vMerge w:val="continue"/>
                  <w:tcBorders>
                    <w:tl2br w:val="nil"/>
                    <w:tr2bl w:val="nil"/>
                  </w:tcBorders>
                  <w:shd w:val="clear" w:color="auto" w:fill="auto"/>
                  <w:vAlign w:val="center"/>
                </w:tcPr>
                <w:p w14:paraId="177E91F1">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29DBB24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12.56</w:t>
                  </w:r>
                </w:p>
              </w:tc>
              <w:tc>
                <w:tcPr>
                  <w:tcW w:w="696" w:type="dxa"/>
                  <w:tcBorders>
                    <w:tl2br w:val="nil"/>
                    <w:tr2bl w:val="nil"/>
                  </w:tcBorders>
                  <w:shd w:val="clear" w:color="auto" w:fill="auto"/>
                  <w:noWrap/>
                  <w:vAlign w:val="center"/>
                </w:tcPr>
                <w:p w14:paraId="1657D87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4.96</w:t>
                  </w:r>
                </w:p>
              </w:tc>
              <w:tc>
                <w:tcPr>
                  <w:tcW w:w="895" w:type="dxa"/>
                  <w:tcBorders>
                    <w:tl2br w:val="nil"/>
                    <w:tr2bl w:val="nil"/>
                  </w:tcBorders>
                  <w:shd w:val="clear" w:color="auto" w:fill="auto"/>
                  <w:noWrap/>
                  <w:vAlign w:val="center"/>
                </w:tcPr>
                <w:p w14:paraId="54493DF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315B563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836" w:type="dxa"/>
                  <w:vMerge w:val="continue"/>
                  <w:tcBorders>
                    <w:tl2br w:val="nil"/>
                    <w:tr2bl w:val="nil"/>
                  </w:tcBorders>
                  <w:shd w:val="clear" w:color="auto" w:fill="auto"/>
                  <w:noWrap/>
                  <w:vAlign w:val="center"/>
                </w:tcPr>
                <w:p w14:paraId="0F47F04B">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02B17346">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56CF8F8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制砂机</w:t>
                  </w:r>
                </w:p>
              </w:tc>
              <w:tc>
                <w:tcPr>
                  <w:tcW w:w="703" w:type="dxa"/>
                  <w:tcBorders>
                    <w:tl2br w:val="nil"/>
                    <w:tr2bl w:val="nil"/>
                  </w:tcBorders>
                  <w:shd w:val="clear" w:color="auto" w:fill="auto"/>
                  <w:vAlign w:val="center"/>
                </w:tcPr>
                <w:p w14:paraId="258B22B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9500</w:t>
                  </w:r>
                  <w:r>
                    <w:rPr>
                      <w:rFonts w:hint="eastAsia" w:ascii="Times New Roman" w:hAnsi="Times New Roman" w:eastAsia="宋体" w:cs="Times New Roman"/>
                      <w:i w:val="0"/>
                      <w:iCs w:val="0"/>
                      <w:color w:val="000000"/>
                      <w:kern w:val="0"/>
                      <w:sz w:val="21"/>
                      <w:szCs w:val="21"/>
                      <w:u w:val="none"/>
                      <w:lang w:val="en-US" w:eastAsia="zh-CN" w:bidi="ar"/>
                    </w:rPr>
                    <w:t>型</w:t>
                  </w:r>
                </w:p>
              </w:tc>
              <w:tc>
                <w:tcPr>
                  <w:tcW w:w="818" w:type="dxa"/>
                  <w:tcBorders>
                    <w:tl2br w:val="nil"/>
                    <w:tr2bl w:val="nil"/>
                  </w:tcBorders>
                  <w:shd w:val="clear" w:color="auto" w:fill="auto"/>
                  <w:noWrap/>
                  <w:vAlign w:val="center"/>
                </w:tcPr>
                <w:p w14:paraId="48C3F9F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100</w:t>
                  </w:r>
                </w:p>
              </w:tc>
              <w:tc>
                <w:tcPr>
                  <w:tcW w:w="1268" w:type="dxa"/>
                  <w:vMerge w:val="continue"/>
                  <w:tcBorders>
                    <w:tl2br w:val="nil"/>
                    <w:tr2bl w:val="nil"/>
                  </w:tcBorders>
                  <w:shd w:val="clear" w:color="auto" w:fill="auto"/>
                  <w:vAlign w:val="center"/>
                </w:tcPr>
                <w:p w14:paraId="6E543D59">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23F57F2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20.17</w:t>
                  </w:r>
                </w:p>
              </w:tc>
              <w:tc>
                <w:tcPr>
                  <w:tcW w:w="696" w:type="dxa"/>
                  <w:tcBorders>
                    <w:tl2br w:val="nil"/>
                    <w:tr2bl w:val="nil"/>
                  </w:tcBorders>
                  <w:shd w:val="clear" w:color="auto" w:fill="auto"/>
                  <w:noWrap/>
                  <w:vAlign w:val="center"/>
                </w:tcPr>
                <w:p w14:paraId="77FA5C0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6.23</w:t>
                  </w:r>
                </w:p>
              </w:tc>
              <w:tc>
                <w:tcPr>
                  <w:tcW w:w="895" w:type="dxa"/>
                  <w:tcBorders>
                    <w:tl2br w:val="nil"/>
                    <w:tr2bl w:val="nil"/>
                  </w:tcBorders>
                  <w:shd w:val="clear" w:color="auto" w:fill="auto"/>
                  <w:noWrap/>
                  <w:vAlign w:val="center"/>
                </w:tcPr>
                <w:p w14:paraId="79E5BC2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16912F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836" w:type="dxa"/>
                  <w:vMerge w:val="continue"/>
                  <w:tcBorders>
                    <w:tl2br w:val="nil"/>
                    <w:tr2bl w:val="nil"/>
                  </w:tcBorders>
                  <w:shd w:val="clear" w:color="auto" w:fill="auto"/>
                  <w:noWrap/>
                  <w:vAlign w:val="center"/>
                </w:tcPr>
                <w:p w14:paraId="19F8C0C1">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72CB2785">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2D27DA3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振动筛</w:t>
                  </w:r>
                </w:p>
              </w:tc>
              <w:tc>
                <w:tcPr>
                  <w:tcW w:w="703" w:type="dxa"/>
                  <w:tcBorders>
                    <w:tl2br w:val="nil"/>
                    <w:tr2bl w:val="nil"/>
                  </w:tcBorders>
                  <w:shd w:val="clear" w:color="auto" w:fill="auto"/>
                  <w:vAlign w:val="center"/>
                </w:tcPr>
                <w:p w14:paraId="3458872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737FF3C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90</w:t>
                  </w:r>
                </w:p>
              </w:tc>
              <w:tc>
                <w:tcPr>
                  <w:tcW w:w="1268" w:type="dxa"/>
                  <w:vMerge w:val="continue"/>
                  <w:tcBorders>
                    <w:tl2br w:val="nil"/>
                    <w:tr2bl w:val="nil"/>
                  </w:tcBorders>
                  <w:shd w:val="clear" w:color="auto" w:fill="auto"/>
                  <w:vAlign w:val="center"/>
                </w:tcPr>
                <w:p w14:paraId="1328DE02">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43C7CB7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5.79</w:t>
                  </w:r>
                </w:p>
              </w:tc>
              <w:tc>
                <w:tcPr>
                  <w:tcW w:w="696" w:type="dxa"/>
                  <w:tcBorders>
                    <w:tl2br w:val="nil"/>
                    <w:tr2bl w:val="nil"/>
                  </w:tcBorders>
                  <w:shd w:val="clear" w:color="auto" w:fill="auto"/>
                  <w:noWrap/>
                  <w:vAlign w:val="center"/>
                </w:tcPr>
                <w:p w14:paraId="6B84FDF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4.54</w:t>
                  </w:r>
                </w:p>
              </w:tc>
              <w:tc>
                <w:tcPr>
                  <w:tcW w:w="895" w:type="dxa"/>
                  <w:tcBorders>
                    <w:tl2br w:val="nil"/>
                    <w:tr2bl w:val="nil"/>
                  </w:tcBorders>
                  <w:shd w:val="clear" w:color="auto" w:fill="auto"/>
                  <w:noWrap/>
                  <w:vAlign w:val="center"/>
                </w:tcPr>
                <w:p w14:paraId="3787496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746E4A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836" w:type="dxa"/>
                  <w:vMerge w:val="continue"/>
                  <w:tcBorders>
                    <w:tl2br w:val="nil"/>
                    <w:tr2bl w:val="nil"/>
                  </w:tcBorders>
                  <w:shd w:val="clear" w:color="auto" w:fill="auto"/>
                  <w:noWrap/>
                  <w:vAlign w:val="center"/>
                </w:tcPr>
                <w:p w14:paraId="5698B41C">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1357D4BD">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0033217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振动筛</w:t>
                  </w:r>
                </w:p>
              </w:tc>
              <w:tc>
                <w:tcPr>
                  <w:tcW w:w="703" w:type="dxa"/>
                  <w:tcBorders>
                    <w:tl2br w:val="nil"/>
                    <w:tr2bl w:val="nil"/>
                  </w:tcBorders>
                  <w:shd w:val="clear" w:color="auto" w:fill="auto"/>
                  <w:vAlign w:val="center"/>
                </w:tcPr>
                <w:p w14:paraId="049E20C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46B7383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90</w:t>
                  </w:r>
                </w:p>
              </w:tc>
              <w:tc>
                <w:tcPr>
                  <w:tcW w:w="1268" w:type="dxa"/>
                  <w:vMerge w:val="continue"/>
                  <w:tcBorders>
                    <w:tl2br w:val="nil"/>
                    <w:tr2bl w:val="nil"/>
                  </w:tcBorders>
                  <w:shd w:val="clear" w:color="auto" w:fill="auto"/>
                  <w:vAlign w:val="center"/>
                </w:tcPr>
                <w:p w14:paraId="36FC9407">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5B2F052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10.02</w:t>
                  </w:r>
                </w:p>
              </w:tc>
              <w:tc>
                <w:tcPr>
                  <w:tcW w:w="696" w:type="dxa"/>
                  <w:tcBorders>
                    <w:tl2br w:val="nil"/>
                    <w:tr2bl w:val="nil"/>
                  </w:tcBorders>
                  <w:shd w:val="clear" w:color="auto" w:fill="auto"/>
                  <w:noWrap/>
                  <w:vAlign w:val="center"/>
                </w:tcPr>
                <w:p w14:paraId="070C8B7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5.80 </w:t>
                  </w:r>
                </w:p>
              </w:tc>
              <w:tc>
                <w:tcPr>
                  <w:tcW w:w="895" w:type="dxa"/>
                  <w:tcBorders>
                    <w:tl2br w:val="nil"/>
                    <w:tr2bl w:val="nil"/>
                  </w:tcBorders>
                  <w:shd w:val="clear" w:color="auto" w:fill="auto"/>
                  <w:noWrap/>
                  <w:vAlign w:val="center"/>
                </w:tcPr>
                <w:p w14:paraId="1966235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68A8EF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5" w:hRule="atLeast"/>
                <w:jc w:val="center"/>
              </w:trPr>
              <w:tc>
                <w:tcPr>
                  <w:tcW w:w="836" w:type="dxa"/>
                  <w:vMerge w:val="continue"/>
                  <w:tcBorders>
                    <w:tl2br w:val="nil"/>
                    <w:tr2bl w:val="nil"/>
                  </w:tcBorders>
                  <w:shd w:val="clear" w:color="auto" w:fill="auto"/>
                  <w:noWrap/>
                  <w:vAlign w:val="center"/>
                </w:tcPr>
                <w:p w14:paraId="7336AF80">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6B7B3CD5">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16B3297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振动筛</w:t>
                  </w:r>
                </w:p>
              </w:tc>
              <w:tc>
                <w:tcPr>
                  <w:tcW w:w="703" w:type="dxa"/>
                  <w:tcBorders>
                    <w:tl2br w:val="nil"/>
                    <w:tr2bl w:val="nil"/>
                  </w:tcBorders>
                  <w:shd w:val="clear" w:color="auto" w:fill="auto"/>
                  <w:vAlign w:val="center"/>
                </w:tcPr>
                <w:p w14:paraId="0306FBA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2849897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90</w:t>
                  </w:r>
                </w:p>
              </w:tc>
              <w:tc>
                <w:tcPr>
                  <w:tcW w:w="1268" w:type="dxa"/>
                  <w:vMerge w:val="continue"/>
                  <w:tcBorders>
                    <w:tl2br w:val="nil"/>
                    <w:tr2bl w:val="nil"/>
                  </w:tcBorders>
                  <w:shd w:val="clear" w:color="auto" w:fill="auto"/>
                  <w:vAlign w:val="center"/>
                </w:tcPr>
                <w:p w14:paraId="485C3547">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190CC97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18.55</w:t>
                  </w:r>
                </w:p>
              </w:tc>
              <w:tc>
                <w:tcPr>
                  <w:tcW w:w="696" w:type="dxa"/>
                  <w:tcBorders>
                    <w:tl2br w:val="nil"/>
                    <w:tr2bl w:val="nil"/>
                  </w:tcBorders>
                  <w:shd w:val="clear" w:color="auto" w:fill="auto"/>
                  <w:noWrap/>
                  <w:vAlign w:val="center"/>
                </w:tcPr>
                <w:p w14:paraId="3D6D117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4.70 </w:t>
                  </w:r>
                </w:p>
              </w:tc>
              <w:tc>
                <w:tcPr>
                  <w:tcW w:w="895" w:type="dxa"/>
                  <w:tcBorders>
                    <w:tl2br w:val="nil"/>
                    <w:tr2bl w:val="nil"/>
                  </w:tcBorders>
                  <w:shd w:val="clear" w:color="auto" w:fill="auto"/>
                  <w:noWrap/>
                  <w:vAlign w:val="center"/>
                </w:tcPr>
                <w:p w14:paraId="4CDB014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37A256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836" w:type="dxa"/>
                  <w:vMerge w:val="continue"/>
                  <w:tcBorders>
                    <w:tl2br w:val="nil"/>
                    <w:tr2bl w:val="nil"/>
                  </w:tcBorders>
                  <w:shd w:val="clear" w:color="auto" w:fill="auto"/>
                  <w:noWrap/>
                  <w:vAlign w:val="center"/>
                </w:tcPr>
                <w:p w14:paraId="50618521">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2939A492">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2E3B96A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洗砂机</w:t>
                  </w:r>
                </w:p>
              </w:tc>
              <w:tc>
                <w:tcPr>
                  <w:tcW w:w="703" w:type="dxa"/>
                  <w:tcBorders>
                    <w:tl2br w:val="nil"/>
                    <w:tr2bl w:val="nil"/>
                  </w:tcBorders>
                  <w:shd w:val="clear" w:color="auto" w:fill="auto"/>
                  <w:vAlign w:val="center"/>
                </w:tcPr>
                <w:p w14:paraId="01B011C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295C635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80</w:t>
                  </w:r>
                </w:p>
              </w:tc>
              <w:tc>
                <w:tcPr>
                  <w:tcW w:w="1268" w:type="dxa"/>
                  <w:vMerge w:val="continue"/>
                  <w:tcBorders>
                    <w:tl2br w:val="nil"/>
                    <w:tr2bl w:val="nil"/>
                  </w:tcBorders>
                  <w:shd w:val="clear" w:color="auto" w:fill="auto"/>
                  <w:vAlign w:val="center"/>
                </w:tcPr>
                <w:p w14:paraId="44051FB9">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06EF3AA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6.62</w:t>
                  </w:r>
                </w:p>
              </w:tc>
              <w:tc>
                <w:tcPr>
                  <w:tcW w:w="696" w:type="dxa"/>
                  <w:tcBorders>
                    <w:tl2br w:val="nil"/>
                    <w:tr2bl w:val="nil"/>
                  </w:tcBorders>
                  <w:shd w:val="clear" w:color="auto" w:fill="auto"/>
                  <w:noWrap/>
                  <w:vAlign w:val="center"/>
                </w:tcPr>
                <w:p w14:paraId="1BBD816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4.63</w:t>
                  </w:r>
                </w:p>
              </w:tc>
              <w:tc>
                <w:tcPr>
                  <w:tcW w:w="895" w:type="dxa"/>
                  <w:tcBorders>
                    <w:tl2br w:val="nil"/>
                    <w:tr2bl w:val="nil"/>
                  </w:tcBorders>
                  <w:shd w:val="clear" w:color="auto" w:fill="auto"/>
                  <w:noWrap/>
                  <w:vAlign w:val="center"/>
                </w:tcPr>
                <w:p w14:paraId="71F1641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3C86A09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836" w:type="dxa"/>
                  <w:vMerge w:val="continue"/>
                  <w:tcBorders>
                    <w:tl2br w:val="nil"/>
                    <w:tr2bl w:val="nil"/>
                  </w:tcBorders>
                  <w:shd w:val="clear" w:color="auto" w:fill="auto"/>
                  <w:noWrap/>
                  <w:vAlign w:val="center"/>
                </w:tcPr>
                <w:p w14:paraId="4A7CD305">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1E29B188">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1A768F5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洗砂机</w:t>
                  </w:r>
                </w:p>
              </w:tc>
              <w:tc>
                <w:tcPr>
                  <w:tcW w:w="703" w:type="dxa"/>
                  <w:tcBorders>
                    <w:tl2br w:val="nil"/>
                    <w:tr2bl w:val="nil"/>
                  </w:tcBorders>
                  <w:shd w:val="clear" w:color="auto" w:fill="auto"/>
                  <w:vAlign w:val="center"/>
                </w:tcPr>
                <w:p w14:paraId="0747489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7EE3F25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80</w:t>
                  </w:r>
                </w:p>
              </w:tc>
              <w:tc>
                <w:tcPr>
                  <w:tcW w:w="1268" w:type="dxa"/>
                  <w:vMerge w:val="continue"/>
                  <w:tcBorders>
                    <w:tl2br w:val="nil"/>
                    <w:tr2bl w:val="nil"/>
                  </w:tcBorders>
                  <w:shd w:val="clear" w:color="auto" w:fill="auto"/>
                  <w:vAlign w:val="center"/>
                </w:tcPr>
                <w:p w14:paraId="700421CA">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6ACBBC6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10.57</w:t>
                  </w:r>
                </w:p>
              </w:tc>
              <w:tc>
                <w:tcPr>
                  <w:tcW w:w="696" w:type="dxa"/>
                  <w:tcBorders>
                    <w:tl2br w:val="nil"/>
                    <w:tr2bl w:val="nil"/>
                  </w:tcBorders>
                  <w:shd w:val="clear" w:color="auto" w:fill="auto"/>
                  <w:noWrap/>
                  <w:vAlign w:val="center"/>
                </w:tcPr>
                <w:p w14:paraId="40C1672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4.56</w:t>
                  </w:r>
                </w:p>
              </w:tc>
              <w:tc>
                <w:tcPr>
                  <w:tcW w:w="895" w:type="dxa"/>
                  <w:tcBorders>
                    <w:tl2br w:val="nil"/>
                    <w:tr2bl w:val="nil"/>
                  </w:tcBorders>
                  <w:shd w:val="clear" w:color="auto" w:fill="auto"/>
                  <w:noWrap/>
                  <w:vAlign w:val="center"/>
                </w:tcPr>
                <w:p w14:paraId="40E756C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34A37F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5" w:hRule="atLeast"/>
                <w:jc w:val="center"/>
              </w:trPr>
              <w:tc>
                <w:tcPr>
                  <w:tcW w:w="836" w:type="dxa"/>
                  <w:vMerge w:val="continue"/>
                  <w:tcBorders>
                    <w:tl2br w:val="nil"/>
                    <w:tr2bl w:val="nil"/>
                  </w:tcBorders>
                  <w:shd w:val="clear" w:color="auto" w:fill="auto"/>
                  <w:noWrap/>
                  <w:vAlign w:val="center"/>
                </w:tcPr>
                <w:p w14:paraId="20FBCFE9">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76FC74A2">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38E4263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洗砂机</w:t>
                  </w:r>
                </w:p>
              </w:tc>
              <w:tc>
                <w:tcPr>
                  <w:tcW w:w="703" w:type="dxa"/>
                  <w:tcBorders>
                    <w:tl2br w:val="nil"/>
                    <w:tr2bl w:val="nil"/>
                  </w:tcBorders>
                  <w:shd w:val="clear" w:color="auto" w:fill="auto"/>
                  <w:vAlign w:val="center"/>
                </w:tcPr>
                <w:p w14:paraId="2B3C228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0DB18F6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80</w:t>
                  </w:r>
                </w:p>
              </w:tc>
              <w:tc>
                <w:tcPr>
                  <w:tcW w:w="1268" w:type="dxa"/>
                  <w:vMerge w:val="continue"/>
                  <w:tcBorders>
                    <w:tl2br w:val="nil"/>
                    <w:tr2bl w:val="nil"/>
                  </w:tcBorders>
                  <w:shd w:val="clear" w:color="auto" w:fill="auto"/>
                  <w:vAlign w:val="center"/>
                </w:tcPr>
                <w:p w14:paraId="68E84F7F">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1F6559B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17.70 </w:t>
                  </w:r>
                </w:p>
              </w:tc>
              <w:tc>
                <w:tcPr>
                  <w:tcW w:w="696" w:type="dxa"/>
                  <w:tcBorders>
                    <w:tl2br w:val="nil"/>
                    <w:tr2bl w:val="nil"/>
                  </w:tcBorders>
                  <w:shd w:val="clear" w:color="auto" w:fill="auto"/>
                  <w:noWrap/>
                  <w:vAlign w:val="center"/>
                </w:tcPr>
                <w:p w14:paraId="096989D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4.12</w:t>
                  </w:r>
                </w:p>
              </w:tc>
              <w:tc>
                <w:tcPr>
                  <w:tcW w:w="895" w:type="dxa"/>
                  <w:tcBorders>
                    <w:tl2br w:val="nil"/>
                    <w:tr2bl w:val="nil"/>
                  </w:tcBorders>
                  <w:shd w:val="clear" w:color="auto" w:fill="auto"/>
                  <w:noWrap/>
                  <w:vAlign w:val="center"/>
                </w:tcPr>
                <w:p w14:paraId="5C82268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14397F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30" w:hRule="atLeast"/>
                <w:jc w:val="center"/>
              </w:trPr>
              <w:tc>
                <w:tcPr>
                  <w:tcW w:w="836" w:type="dxa"/>
                  <w:vMerge w:val="continue"/>
                  <w:tcBorders>
                    <w:tl2br w:val="nil"/>
                    <w:tr2bl w:val="nil"/>
                  </w:tcBorders>
                  <w:shd w:val="clear" w:color="auto" w:fill="auto"/>
                  <w:noWrap/>
                  <w:vAlign w:val="center"/>
                </w:tcPr>
                <w:p w14:paraId="43CF385F">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36" w:type="dxa"/>
                  <w:vMerge w:val="continue"/>
                  <w:tcBorders>
                    <w:tl2br w:val="nil"/>
                    <w:tr2bl w:val="nil"/>
                  </w:tcBorders>
                  <w:shd w:val="clear" w:color="auto" w:fill="auto"/>
                  <w:noWrap/>
                  <w:vAlign w:val="center"/>
                </w:tcPr>
                <w:p w14:paraId="218BF4D0">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1149" w:type="dxa"/>
                  <w:tcBorders>
                    <w:tl2br w:val="nil"/>
                    <w:tr2bl w:val="nil"/>
                  </w:tcBorders>
                  <w:shd w:val="clear" w:color="auto" w:fill="auto"/>
                  <w:vAlign w:val="center"/>
                </w:tcPr>
                <w:p w14:paraId="72A3728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脱水筛</w:t>
                  </w:r>
                </w:p>
              </w:tc>
              <w:tc>
                <w:tcPr>
                  <w:tcW w:w="703" w:type="dxa"/>
                  <w:tcBorders>
                    <w:tl2br w:val="nil"/>
                    <w:tr2bl w:val="nil"/>
                  </w:tcBorders>
                  <w:shd w:val="clear" w:color="auto" w:fill="auto"/>
                  <w:vAlign w:val="center"/>
                </w:tcPr>
                <w:p w14:paraId="74D25E0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294AB6C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80</w:t>
                  </w:r>
                </w:p>
              </w:tc>
              <w:tc>
                <w:tcPr>
                  <w:tcW w:w="1268" w:type="dxa"/>
                  <w:vMerge w:val="continue"/>
                  <w:tcBorders>
                    <w:tl2br w:val="nil"/>
                    <w:tr2bl w:val="nil"/>
                  </w:tcBorders>
                  <w:shd w:val="clear" w:color="auto" w:fill="auto"/>
                  <w:vAlign w:val="center"/>
                </w:tcPr>
                <w:p w14:paraId="131A7263">
                  <w:pPr>
                    <w:jc w:val="center"/>
                    <w:rPr>
                      <w:rFonts w:hint="default" w:ascii="Times New Roman" w:hAnsi="Times New Roman" w:eastAsia="宋体" w:cs="Times New Roman"/>
                      <w:i w:val="0"/>
                      <w:iCs w:val="0"/>
                      <w:color w:val="000000"/>
                      <w:kern w:val="0"/>
                      <w:sz w:val="21"/>
                      <w:szCs w:val="21"/>
                      <w:u w:val="none"/>
                      <w:lang w:val="en-US" w:eastAsia="zh-CN" w:bidi="ar"/>
                    </w:rPr>
                  </w:pPr>
                </w:p>
              </w:tc>
              <w:tc>
                <w:tcPr>
                  <w:tcW w:w="886" w:type="dxa"/>
                  <w:tcBorders>
                    <w:tl2br w:val="nil"/>
                    <w:tr2bl w:val="nil"/>
                  </w:tcBorders>
                  <w:shd w:val="clear" w:color="auto" w:fill="auto"/>
                  <w:noWrap/>
                  <w:vAlign w:val="center"/>
                </w:tcPr>
                <w:p w14:paraId="14DC5AA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14.60 </w:t>
                  </w:r>
                </w:p>
              </w:tc>
              <w:tc>
                <w:tcPr>
                  <w:tcW w:w="696" w:type="dxa"/>
                  <w:tcBorders>
                    <w:tl2br w:val="nil"/>
                    <w:tr2bl w:val="nil"/>
                  </w:tcBorders>
                  <w:shd w:val="clear" w:color="auto" w:fill="auto"/>
                  <w:noWrap/>
                  <w:vAlign w:val="center"/>
                </w:tcPr>
                <w:p w14:paraId="3C39FD1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0.53</w:t>
                  </w:r>
                </w:p>
              </w:tc>
              <w:tc>
                <w:tcPr>
                  <w:tcW w:w="895" w:type="dxa"/>
                  <w:tcBorders>
                    <w:tl2br w:val="nil"/>
                    <w:tr2bl w:val="nil"/>
                  </w:tcBorders>
                  <w:shd w:val="clear" w:color="auto" w:fill="auto"/>
                  <w:noWrap/>
                  <w:vAlign w:val="center"/>
                </w:tcPr>
                <w:p w14:paraId="027FDB9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r w14:paraId="0ED4F99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93" w:hRule="atLeast"/>
                <w:jc w:val="center"/>
              </w:trPr>
              <w:tc>
                <w:tcPr>
                  <w:tcW w:w="836" w:type="dxa"/>
                  <w:tcBorders>
                    <w:tl2br w:val="nil"/>
                    <w:tr2bl w:val="nil"/>
                  </w:tcBorders>
                  <w:shd w:val="clear" w:color="auto" w:fill="auto"/>
                  <w:noWrap/>
                  <w:vAlign w:val="center"/>
                </w:tcPr>
                <w:p w14:paraId="7915736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室外声源</w:t>
                  </w:r>
                </w:p>
              </w:tc>
              <w:tc>
                <w:tcPr>
                  <w:tcW w:w="836" w:type="dxa"/>
                  <w:tcBorders>
                    <w:tl2br w:val="nil"/>
                    <w:tr2bl w:val="nil"/>
                  </w:tcBorders>
                  <w:shd w:val="clear" w:color="auto" w:fill="auto"/>
                  <w:noWrap/>
                  <w:vAlign w:val="center"/>
                </w:tcPr>
                <w:p w14:paraId="6BEE1B7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厂区道路</w:t>
                  </w:r>
                </w:p>
              </w:tc>
              <w:tc>
                <w:tcPr>
                  <w:tcW w:w="1149" w:type="dxa"/>
                  <w:tcBorders>
                    <w:tl2br w:val="nil"/>
                    <w:tr2bl w:val="nil"/>
                  </w:tcBorders>
                  <w:shd w:val="clear" w:color="auto" w:fill="auto"/>
                  <w:noWrap/>
                  <w:vAlign w:val="center"/>
                </w:tcPr>
                <w:p w14:paraId="48F070E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装载机等</w:t>
                  </w:r>
                </w:p>
              </w:tc>
              <w:tc>
                <w:tcPr>
                  <w:tcW w:w="703" w:type="dxa"/>
                  <w:tcBorders>
                    <w:tl2br w:val="nil"/>
                    <w:tr2bl w:val="nil"/>
                  </w:tcBorders>
                  <w:shd w:val="clear" w:color="auto" w:fill="auto"/>
                  <w:noWrap/>
                  <w:vAlign w:val="center"/>
                </w:tcPr>
                <w:p w14:paraId="7EC9FFC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818" w:type="dxa"/>
                  <w:tcBorders>
                    <w:tl2br w:val="nil"/>
                    <w:tr2bl w:val="nil"/>
                  </w:tcBorders>
                  <w:shd w:val="clear" w:color="auto" w:fill="auto"/>
                  <w:noWrap/>
                  <w:vAlign w:val="center"/>
                </w:tcPr>
                <w:p w14:paraId="6022533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85</w:t>
                  </w:r>
                </w:p>
              </w:tc>
              <w:tc>
                <w:tcPr>
                  <w:tcW w:w="1268" w:type="dxa"/>
                  <w:tcBorders>
                    <w:tl2br w:val="nil"/>
                    <w:tr2bl w:val="nil"/>
                  </w:tcBorders>
                  <w:shd w:val="clear" w:color="auto" w:fill="auto"/>
                  <w:vAlign w:val="center"/>
                </w:tcPr>
                <w:p w14:paraId="49896BD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加强设备润滑和保养</w:t>
                  </w:r>
                </w:p>
              </w:tc>
              <w:tc>
                <w:tcPr>
                  <w:tcW w:w="886" w:type="dxa"/>
                  <w:tcBorders>
                    <w:tl2br w:val="nil"/>
                    <w:tr2bl w:val="nil"/>
                  </w:tcBorders>
                  <w:shd w:val="clear" w:color="auto" w:fill="auto"/>
                  <w:noWrap/>
                  <w:vAlign w:val="center"/>
                </w:tcPr>
                <w:p w14:paraId="48C37CC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18.36</w:t>
                  </w:r>
                </w:p>
              </w:tc>
              <w:tc>
                <w:tcPr>
                  <w:tcW w:w="696" w:type="dxa"/>
                  <w:tcBorders>
                    <w:tl2br w:val="nil"/>
                    <w:tr2bl w:val="nil"/>
                  </w:tcBorders>
                  <w:shd w:val="clear" w:color="auto" w:fill="auto"/>
                  <w:noWrap/>
                  <w:vAlign w:val="center"/>
                </w:tcPr>
                <w:p w14:paraId="1C44064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-35.60 </w:t>
                  </w:r>
                </w:p>
              </w:tc>
              <w:tc>
                <w:tcPr>
                  <w:tcW w:w="895" w:type="dxa"/>
                  <w:tcBorders>
                    <w:tl2br w:val="nil"/>
                    <w:tr2bl w:val="nil"/>
                  </w:tcBorders>
                  <w:shd w:val="clear" w:color="auto" w:fill="auto"/>
                  <w:noWrap/>
                  <w:vAlign w:val="center"/>
                </w:tcPr>
                <w:p w14:paraId="69A834B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r>
          </w:tbl>
          <w:p w14:paraId="01937046">
            <w:pPr>
              <w:pStyle w:val="2"/>
              <w:ind w:firstLine="180" w:firstLineChars="100"/>
              <w:rPr>
                <w:rFonts w:hint="default" w:eastAsia="宋体"/>
                <w:lang w:val="en-US" w:eastAsia="zh-CN"/>
              </w:rPr>
            </w:pPr>
            <w:r>
              <w:rPr>
                <w:rFonts w:hint="eastAsia"/>
                <w:lang w:val="en-US" w:eastAsia="zh-CN"/>
              </w:rPr>
              <w:t>备注：装载机为厂区内流动声源，但活动范围相对较小，因此本项目将其视为点声源。</w:t>
            </w:r>
          </w:p>
          <w:p w14:paraId="45FCCA25">
            <w:pPr>
              <w:pStyle w:val="2"/>
              <w:spacing w:after="0" w:line="420" w:lineRule="auto"/>
              <w:rPr>
                <w:rFonts w:hint="default" w:ascii="Times New Roman" w:hAnsi="Times New Roman" w:cs="Times New Roman"/>
                <w:sz w:val="24"/>
              </w:rPr>
            </w:pPr>
            <w:r>
              <w:rPr>
                <w:rFonts w:hint="default" w:ascii="Times New Roman" w:hAnsi="Times New Roman" w:cs="Times New Roman"/>
                <w:sz w:val="24"/>
              </w:rPr>
              <w:t>本环评要求采取如下噪声控制措施：</w:t>
            </w:r>
          </w:p>
          <w:p w14:paraId="6ACCD809">
            <w:pPr>
              <w:adjustRightInd w:val="0"/>
              <w:snapToGrid w:val="0"/>
              <w:spacing w:line="420" w:lineRule="auto"/>
              <w:ind w:firstLine="480" w:firstLineChars="200"/>
              <w:rPr>
                <w:rFonts w:hint="default" w:ascii="Times New Roman" w:hAnsi="Times New Roman" w:cs="Times New Roman"/>
                <w:bCs/>
                <w:sz w:val="24"/>
              </w:rPr>
            </w:pPr>
            <w:r>
              <w:rPr>
                <w:rFonts w:hint="default" w:ascii="Times New Roman" w:hAnsi="Times New Roman" w:cs="Times New Roman"/>
                <w:bCs/>
                <w:sz w:val="24"/>
              </w:rPr>
              <w:t>①选用低噪声设备：充分选用先进的低噪设备，以从声源上降低设备本身噪声；</w:t>
            </w:r>
          </w:p>
          <w:p w14:paraId="07E7560A">
            <w:pPr>
              <w:adjustRightInd w:val="0"/>
              <w:snapToGrid w:val="0"/>
              <w:spacing w:line="420" w:lineRule="auto"/>
              <w:ind w:firstLine="480" w:firstLineChars="200"/>
              <w:rPr>
                <w:rFonts w:hint="default" w:cs="Times New Roman"/>
                <w:bCs/>
                <w:sz w:val="24"/>
                <w:lang w:eastAsia="zh-CN"/>
              </w:rPr>
            </w:pPr>
            <w:r>
              <w:rPr>
                <w:rFonts w:hint="default" w:ascii="Times New Roman" w:hAnsi="Times New Roman" w:cs="Times New Roman"/>
                <w:bCs/>
                <w:sz w:val="24"/>
              </w:rPr>
              <w:t>②将</w:t>
            </w:r>
            <w:r>
              <w:rPr>
                <w:rFonts w:hint="eastAsia" w:cs="Times New Roman"/>
                <w:bCs/>
                <w:sz w:val="24"/>
                <w:lang w:eastAsia="zh-CN"/>
              </w:rPr>
              <w:t>生产线设置于封闭的车间内</w:t>
            </w:r>
            <w:r>
              <w:rPr>
                <w:rFonts w:hint="default" w:ascii="Times New Roman" w:hAnsi="Times New Roman" w:cs="Times New Roman"/>
                <w:bCs/>
                <w:sz w:val="24"/>
              </w:rPr>
              <w:t>，利用设备间建筑结构屏蔽噪声对外环境的影响；</w:t>
            </w:r>
          </w:p>
          <w:p w14:paraId="7B615F2B">
            <w:pPr>
              <w:adjustRightInd w:val="0"/>
              <w:snapToGrid w:val="0"/>
              <w:spacing w:line="420" w:lineRule="auto"/>
              <w:ind w:firstLine="480" w:firstLineChars="200"/>
              <w:rPr>
                <w:rFonts w:hint="default" w:ascii="Times New Roman" w:hAnsi="Times New Roman" w:cs="Times New Roman"/>
                <w:bCs/>
                <w:sz w:val="24"/>
                <w:lang w:eastAsia="zh-CN"/>
              </w:rPr>
            </w:pPr>
            <w:r>
              <w:rPr>
                <w:rFonts w:hint="default" w:cs="Times New Roman"/>
                <w:bCs/>
                <w:sz w:val="24"/>
                <w:lang w:eastAsia="zh-CN"/>
              </w:rPr>
              <w:t>③加强设备的维护，确保设备处于良好的运转状态，杜绝因设备不正常运转时产</w:t>
            </w:r>
            <w:r>
              <w:rPr>
                <w:rFonts w:hint="default" w:ascii="Times New Roman" w:hAnsi="Times New Roman" w:cs="Times New Roman"/>
                <w:bCs/>
                <w:sz w:val="24"/>
                <w:lang w:eastAsia="zh-CN"/>
              </w:rPr>
              <w:t>生的高噪声现象；</w:t>
            </w:r>
          </w:p>
          <w:p w14:paraId="5BD97869">
            <w:pPr>
              <w:adjustRightInd w:val="0"/>
              <w:snapToGrid w:val="0"/>
              <w:spacing w:line="420" w:lineRule="auto"/>
              <w:ind w:firstLine="480" w:firstLineChars="200"/>
              <w:rPr>
                <w:rFonts w:hint="eastAsia" w:ascii="Times New Roman" w:hAnsi="Times New Roman" w:cs="Times New Roman"/>
                <w:bCs/>
                <w:sz w:val="24"/>
                <w:lang w:eastAsia="zh-CN"/>
              </w:rPr>
            </w:pPr>
            <w:r>
              <w:rPr>
                <w:rFonts w:hint="eastAsia" w:ascii="Times New Roman" w:hAnsi="Times New Roman" w:cs="Times New Roman"/>
                <w:bCs/>
                <w:sz w:val="24"/>
                <w:lang w:eastAsia="zh-CN"/>
              </w:rPr>
              <w:t>④振动筛、鄂破机、圆锥破等主要产震设备，设置减震设施。</w:t>
            </w:r>
          </w:p>
          <w:p w14:paraId="62160FB0">
            <w:pPr>
              <w:adjustRightInd w:val="0"/>
              <w:snapToGrid w:val="0"/>
              <w:spacing w:line="420" w:lineRule="auto"/>
              <w:ind w:firstLine="480" w:firstLineChars="200"/>
              <w:rPr>
                <w:rFonts w:hint="eastAsia" w:ascii="Times New Roman" w:hAnsi="Times New Roman" w:cs="Times New Roman"/>
                <w:bCs/>
                <w:sz w:val="24"/>
                <w:lang w:eastAsia="zh-CN"/>
              </w:rPr>
            </w:pPr>
            <w:r>
              <w:rPr>
                <w:rFonts w:hint="eastAsia" w:ascii="Times New Roman" w:hAnsi="Times New Roman" w:cs="Times New Roman"/>
                <w:bCs/>
                <w:sz w:val="24"/>
                <w:lang w:eastAsia="zh-CN"/>
              </w:rPr>
              <w:t>⑤</w:t>
            </w:r>
            <w:r>
              <w:rPr>
                <w:rFonts w:hint="eastAsia" w:cs="Times New Roman"/>
                <w:bCs/>
                <w:sz w:val="24"/>
                <w:lang w:eastAsia="zh-CN"/>
              </w:rPr>
              <w:t>合理安排生产时间，禁止夜间生产。</w:t>
            </w:r>
          </w:p>
          <w:p w14:paraId="52D7528A">
            <w:pPr>
              <w:adjustRightInd w:val="0"/>
              <w:snapToGrid w:val="0"/>
              <w:spacing w:line="420" w:lineRule="auto"/>
              <w:ind w:firstLine="482" w:firstLineChars="200"/>
              <w:rPr>
                <w:rFonts w:hint="default" w:ascii="Times New Roman" w:hAnsi="Times New Roman" w:cs="Times New Roman"/>
                <w:b/>
                <w:sz w:val="24"/>
              </w:rPr>
            </w:pPr>
            <w:r>
              <w:rPr>
                <w:rFonts w:hint="default" w:ascii="Times New Roman" w:hAnsi="Times New Roman" w:cs="Times New Roman"/>
                <w:b/>
                <w:sz w:val="24"/>
              </w:rPr>
              <w:t>（2）噪声达标分析</w:t>
            </w:r>
          </w:p>
          <w:p w14:paraId="782D2D3B">
            <w:pPr>
              <w:adjustRightInd w:val="0"/>
              <w:snapToGrid w:val="0"/>
              <w:spacing w:line="420" w:lineRule="auto"/>
              <w:ind w:firstLine="480" w:firstLineChars="200"/>
              <w:rPr>
                <w:rFonts w:hint="eastAsia" w:ascii="Times New Roman" w:hAnsi="Times New Roman" w:cs="Times New Roman"/>
                <w:sz w:val="24"/>
                <w:lang w:val="en-US" w:eastAsia="zh-CN"/>
              </w:rPr>
            </w:pPr>
            <w:r>
              <w:rPr>
                <w:rFonts w:hint="default" w:ascii="Times New Roman" w:hAnsi="Times New Roman" w:cs="Times New Roman"/>
                <w:sz w:val="24"/>
              </w:rPr>
              <w:t>本项目</w:t>
            </w:r>
            <w:r>
              <w:rPr>
                <w:rFonts w:hint="eastAsia" w:ascii="Times New Roman" w:hAnsi="Times New Roman" w:cs="Times New Roman"/>
                <w:sz w:val="24"/>
                <w:lang w:val="en-US" w:eastAsia="zh-CN"/>
              </w:rPr>
              <w:t>50m范围内无声环境保护目标，因此仅做厂界达标分析。为计算本项目厂界噪声，项目采用环安科技噪声软件进行计算，计算结果如下：</w:t>
            </w:r>
          </w:p>
          <w:p w14:paraId="6F9A1B24">
            <w:pPr>
              <w:pStyle w:val="21"/>
              <w:spacing w:after="0" w:line="420" w:lineRule="auto"/>
              <w:ind w:left="0" w:leftChars="0" w:firstLine="0" w:firstLineChars="0"/>
              <w:jc w:val="center"/>
              <w:rPr>
                <w:rFonts w:hint="default" w:ascii="Times New Roman" w:hAnsi="Times New Roman" w:cs="Times New Roman"/>
                <w:szCs w:val="24"/>
              </w:rPr>
            </w:pPr>
            <w:r>
              <w:drawing>
                <wp:inline distT="0" distB="0" distL="114300" distR="114300">
                  <wp:extent cx="4335780" cy="2836545"/>
                  <wp:effectExtent l="0" t="0" r="7620" b="190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9"/>
                          <a:stretch>
                            <a:fillRect/>
                          </a:stretch>
                        </pic:blipFill>
                        <pic:spPr>
                          <a:xfrm>
                            <a:off x="0" y="0"/>
                            <a:ext cx="4335780" cy="2836545"/>
                          </a:xfrm>
                          <a:prstGeom prst="rect">
                            <a:avLst/>
                          </a:prstGeom>
                          <a:noFill/>
                          <a:ln>
                            <a:noFill/>
                          </a:ln>
                        </pic:spPr>
                      </pic:pic>
                    </a:graphicData>
                  </a:graphic>
                </wp:inline>
              </w:drawing>
            </w:r>
          </w:p>
          <w:p w14:paraId="6DDB5BA8">
            <w:pPr>
              <w:pStyle w:val="45"/>
              <w:bidi w:val="0"/>
              <w:rPr>
                <w:rFonts w:hint="default"/>
                <w:lang w:val="en-US" w:eastAsia="zh-CN"/>
              </w:rPr>
            </w:pPr>
            <w:r>
              <w:rPr>
                <w:rFonts w:hint="eastAsia"/>
                <w:lang w:eastAsia="zh-CN"/>
              </w:rPr>
              <w:t>图</w:t>
            </w:r>
            <w:r>
              <w:rPr>
                <w:rFonts w:hint="eastAsia"/>
                <w:lang w:val="en-US" w:eastAsia="zh-CN"/>
              </w:rPr>
              <w:t>4-1噪声等值线图</w:t>
            </w:r>
          </w:p>
          <w:p w14:paraId="0FA6C9FA">
            <w:pPr>
              <w:pStyle w:val="21"/>
              <w:spacing w:after="0" w:line="420" w:lineRule="auto"/>
              <w:ind w:left="0" w:leftChars="0" w:firstLine="480"/>
              <w:rPr>
                <w:rFonts w:hint="eastAsia" w:cs="Times New Roman"/>
                <w:szCs w:val="24"/>
                <w:lang w:eastAsia="zh-CN"/>
              </w:rPr>
            </w:pPr>
            <w:r>
              <w:rPr>
                <w:rFonts w:hint="eastAsia" w:ascii="Times New Roman" w:hAnsi="Times New Roman" w:cs="Times New Roman"/>
                <w:szCs w:val="24"/>
                <w:lang w:eastAsia="zh-CN"/>
              </w:rPr>
              <w:t>根据软件预测，本项目厂界噪声</w:t>
            </w:r>
            <w:r>
              <w:rPr>
                <w:rFonts w:hint="eastAsia" w:cs="Times New Roman"/>
                <w:szCs w:val="24"/>
                <w:lang w:eastAsia="zh-CN"/>
              </w:rPr>
              <w:t>预测结果如下：</w:t>
            </w:r>
          </w:p>
          <w:p w14:paraId="4B8D389F">
            <w:pPr>
              <w:adjustRightInd w:val="0"/>
              <w:snapToGrid w:val="0"/>
              <w:spacing w:before="120" w:beforeLines="50" w:line="360" w:lineRule="auto"/>
              <w:jc w:val="center"/>
              <w:rPr>
                <w:rFonts w:hint="default" w:ascii="Times New Roman" w:hAnsi="Times New Roman" w:cs="Times New Roman"/>
                <w:b/>
                <w:sz w:val="24"/>
              </w:rPr>
            </w:pPr>
            <w:r>
              <w:rPr>
                <w:rFonts w:hint="default" w:ascii="Times New Roman" w:hAnsi="Times New Roman" w:cs="Times New Roman"/>
                <w:b/>
                <w:sz w:val="24"/>
              </w:rPr>
              <w:t>表4-</w:t>
            </w:r>
            <w:r>
              <w:rPr>
                <w:rFonts w:hint="eastAsia" w:cs="Times New Roman"/>
                <w:b/>
                <w:sz w:val="24"/>
                <w:lang w:val="en-US" w:eastAsia="zh-CN"/>
              </w:rPr>
              <w:t>3</w:t>
            </w:r>
            <w:r>
              <w:rPr>
                <w:rFonts w:hint="default" w:ascii="Times New Roman" w:hAnsi="Times New Roman" w:cs="Times New Roman"/>
                <w:b/>
                <w:sz w:val="24"/>
              </w:rPr>
              <w:tab/>
            </w:r>
            <w:r>
              <w:rPr>
                <w:rFonts w:hint="eastAsia" w:cs="Times New Roman"/>
                <w:b/>
                <w:sz w:val="24"/>
                <w:lang w:eastAsia="zh-CN"/>
              </w:rPr>
              <w:t>厂界</w:t>
            </w:r>
            <w:r>
              <w:rPr>
                <w:rFonts w:hint="default" w:ascii="Times New Roman" w:hAnsi="Times New Roman" w:cs="Times New Roman"/>
                <w:b/>
                <w:sz w:val="24"/>
              </w:rPr>
              <w:t>噪声</w:t>
            </w:r>
            <w:r>
              <w:rPr>
                <w:rFonts w:hint="eastAsia" w:cs="Times New Roman"/>
                <w:b/>
                <w:sz w:val="24"/>
                <w:lang w:eastAsia="zh-CN"/>
              </w:rPr>
              <w:t>预测结果</w:t>
            </w:r>
            <w:r>
              <w:rPr>
                <w:rFonts w:hint="default" w:ascii="Times New Roman" w:hAnsi="Times New Roman" w:cs="Times New Roman"/>
                <w:b/>
                <w:sz w:val="24"/>
              </w:rPr>
              <w:tab/>
            </w:r>
            <w:r>
              <w:rPr>
                <w:rFonts w:hint="default" w:ascii="Times New Roman" w:hAnsi="Times New Roman" w:cs="Times New Roman"/>
                <w:b/>
                <w:sz w:val="24"/>
              </w:rPr>
              <w:t>单位dB(A)</w:t>
            </w:r>
          </w:p>
          <w:tbl>
            <w:tblPr>
              <w:tblStyle w:val="22"/>
              <w:tblW w:w="815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273"/>
              <w:gridCol w:w="1274"/>
              <w:gridCol w:w="1787"/>
              <w:gridCol w:w="1274"/>
              <w:gridCol w:w="1274"/>
              <w:gridCol w:w="1274"/>
            </w:tblGrid>
            <w:tr w14:paraId="56573F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PrEx>
              <w:trPr>
                <w:trHeight w:val="819" w:hRule="atLeast"/>
                <w:jc w:val="center"/>
              </w:trPr>
              <w:tc>
                <w:tcPr>
                  <w:tcW w:w="1273" w:type="dxa"/>
                  <w:tcBorders>
                    <w:tl2br w:val="nil"/>
                    <w:tr2bl w:val="nil"/>
                  </w:tcBorders>
                  <w:shd w:val="clear" w:color="auto" w:fill="auto"/>
                  <w:vAlign w:val="center"/>
                </w:tcPr>
                <w:p w14:paraId="5683CEA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时段</w:t>
                  </w:r>
                </w:p>
              </w:tc>
              <w:tc>
                <w:tcPr>
                  <w:tcW w:w="1274" w:type="dxa"/>
                  <w:tcBorders>
                    <w:tl2br w:val="nil"/>
                    <w:tr2bl w:val="nil"/>
                  </w:tcBorders>
                  <w:shd w:val="clear" w:color="auto" w:fill="auto"/>
                  <w:vAlign w:val="center"/>
                </w:tcPr>
                <w:p w14:paraId="7A98217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点位</w:t>
                  </w:r>
                </w:p>
              </w:tc>
              <w:tc>
                <w:tcPr>
                  <w:tcW w:w="1787" w:type="dxa"/>
                  <w:tcBorders>
                    <w:tl2br w:val="nil"/>
                    <w:tr2bl w:val="nil"/>
                  </w:tcBorders>
                  <w:shd w:val="clear" w:color="auto" w:fill="auto"/>
                  <w:vAlign w:val="center"/>
                </w:tcPr>
                <w:p w14:paraId="5DF75DC3">
                  <w:pPr>
                    <w:keepNext w:val="0"/>
                    <w:keepLines w:val="0"/>
                    <w:widowControl/>
                    <w:suppressLineNumbers w:val="0"/>
                    <w:jc w:val="left"/>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X</w:t>
                  </w:r>
                  <w:r>
                    <w:rPr>
                      <w:rFonts w:hint="eastAsia" w:ascii="宋体" w:hAnsi="宋体" w:eastAsia="宋体" w:cs="宋体"/>
                      <w:i w:val="0"/>
                      <w:iCs w:val="0"/>
                      <w:color w:val="000000"/>
                      <w:kern w:val="0"/>
                      <w:sz w:val="24"/>
                      <w:szCs w:val="24"/>
                      <w:u w:val="none"/>
                      <w:lang w:val="en-US" w:eastAsia="zh-CN" w:bidi="ar"/>
                    </w:rPr>
                    <w:t>坐标（</w:t>
                  </w:r>
                  <w:r>
                    <w:rPr>
                      <w:rFonts w:hint="default" w:ascii="Times New Roman" w:hAnsi="Times New Roman" w:eastAsia="宋体" w:cs="Times New Roman"/>
                      <w:i w:val="0"/>
                      <w:iCs w:val="0"/>
                      <w:color w:val="000000"/>
                      <w:kern w:val="0"/>
                      <w:sz w:val="24"/>
                      <w:szCs w:val="24"/>
                      <w:u w:val="none"/>
                      <w:lang w:val="en-US" w:eastAsia="zh-CN" w:bidi="ar"/>
                    </w:rPr>
                    <w:t>m</w:t>
                  </w:r>
                  <w:r>
                    <w:rPr>
                      <w:rFonts w:hint="eastAsia" w:ascii="宋体" w:hAnsi="宋体" w:eastAsia="宋体" w:cs="宋体"/>
                      <w:i w:val="0"/>
                      <w:iCs w:val="0"/>
                      <w:color w:val="000000"/>
                      <w:kern w:val="0"/>
                      <w:sz w:val="24"/>
                      <w:szCs w:val="24"/>
                      <w:u w:val="none"/>
                      <w:lang w:val="en-US" w:eastAsia="zh-CN" w:bidi="ar"/>
                    </w:rPr>
                    <w:t>）</w:t>
                  </w:r>
                </w:p>
              </w:tc>
              <w:tc>
                <w:tcPr>
                  <w:tcW w:w="1274" w:type="dxa"/>
                  <w:tcBorders>
                    <w:tl2br w:val="nil"/>
                    <w:tr2bl w:val="nil"/>
                  </w:tcBorders>
                  <w:shd w:val="clear" w:color="auto" w:fill="auto"/>
                  <w:vAlign w:val="center"/>
                </w:tcPr>
                <w:p w14:paraId="5B966CD1">
                  <w:pPr>
                    <w:keepNext w:val="0"/>
                    <w:keepLines w:val="0"/>
                    <w:widowControl/>
                    <w:suppressLineNumbers w:val="0"/>
                    <w:jc w:val="left"/>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Y</w:t>
                  </w:r>
                  <w:r>
                    <w:rPr>
                      <w:rFonts w:hint="eastAsia" w:ascii="宋体" w:hAnsi="宋体" w:eastAsia="宋体" w:cs="宋体"/>
                      <w:i w:val="0"/>
                      <w:iCs w:val="0"/>
                      <w:color w:val="000000"/>
                      <w:kern w:val="0"/>
                      <w:sz w:val="24"/>
                      <w:szCs w:val="24"/>
                      <w:u w:val="none"/>
                      <w:lang w:val="en-US" w:eastAsia="zh-CN" w:bidi="ar"/>
                    </w:rPr>
                    <w:t>坐标（</w:t>
                  </w:r>
                  <w:r>
                    <w:rPr>
                      <w:rFonts w:hint="default" w:ascii="Times New Roman" w:hAnsi="Times New Roman" w:eastAsia="宋体" w:cs="Times New Roman"/>
                      <w:i w:val="0"/>
                      <w:iCs w:val="0"/>
                      <w:color w:val="000000"/>
                      <w:kern w:val="0"/>
                      <w:sz w:val="24"/>
                      <w:szCs w:val="24"/>
                      <w:u w:val="none"/>
                      <w:lang w:val="en-US" w:eastAsia="zh-CN" w:bidi="ar"/>
                    </w:rPr>
                    <w:t>m</w:t>
                  </w:r>
                  <w:r>
                    <w:rPr>
                      <w:rFonts w:hint="eastAsia" w:ascii="宋体" w:hAnsi="宋体" w:eastAsia="宋体" w:cs="宋体"/>
                      <w:i w:val="0"/>
                      <w:iCs w:val="0"/>
                      <w:color w:val="000000"/>
                      <w:kern w:val="0"/>
                      <w:sz w:val="24"/>
                      <w:szCs w:val="24"/>
                      <w:u w:val="none"/>
                      <w:lang w:val="en-US" w:eastAsia="zh-CN" w:bidi="ar"/>
                    </w:rPr>
                    <w:t>）</w:t>
                  </w:r>
                </w:p>
              </w:tc>
              <w:tc>
                <w:tcPr>
                  <w:tcW w:w="1274" w:type="dxa"/>
                  <w:tcBorders>
                    <w:tl2br w:val="nil"/>
                    <w:tr2bl w:val="nil"/>
                  </w:tcBorders>
                  <w:shd w:val="clear" w:color="auto" w:fill="auto"/>
                  <w:vAlign w:val="center"/>
                </w:tcPr>
                <w:p w14:paraId="5BE7428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贡献值</w:t>
                  </w:r>
                  <w:r>
                    <w:rPr>
                      <w:rFonts w:hint="default" w:ascii="Times New Roman" w:hAnsi="Times New Roman" w:eastAsia="宋体" w:cs="Times New Roman"/>
                      <w:i w:val="0"/>
                      <w:iCs w:val="0"/>
                      <w:color w:val="000000"/>
                      <w:kern w:val="0"/>
                      <w:sz w:val="21"/>
                      <w:szCs w:val="21"/>
                      <w:u w:val="none"/>
                      <w:lang w:val="en-US" w:eastAsia="zh-CN" w:bidi="ar"/>
                    </w:rPr>
                    <w:t>dB(A)</w:t>
                  </w:r>
                </w:p>
              </w:tc>
              <w:tc>
                <w:tcPr>
                  <w:tcW w:w="1274" w:type="dxa"/>
                  <w:tcBorders>
                    <w:tl2br w:val="nil"/>
                    <w:tr2bl w:val="nil"/>
                  </w:tcBorders>
                  <w:shd w:val="clear" w:color="auto" w:fill="auto"/>
                  <w:vAlign w:val="center"/>
                </w:tcPr>
                <w:p w14:paraId="24CC95C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标准值</w:t>
                  </w:r>
                  <w:r>
                    <w:rPr>
                      <w:rFonts w:hint="default" w:ascii="Times New Roman" w:hAnsi="Times New Roman" w:eastAsia="宋体" w:cs="Times New Roman"/>
                      <w:i w:val="0"/>
                      <w:iCs w:val="0"/>
                      <w:color w:val="000000"/>
                      <w:kern w:val="0"/>
                      <w:sz w:val="21"/>
                      <w:szCs w:val="21"/>
                      <w:u w:val="none"/>
                      <w:lang w:val="en-US" w:eastAsia="zh-CN" w:bidi="ar"/>
                    </w:rPr>
                    <w:t>dB(A)</w:t>
                  </w:r>
                </w:p>
              </w:tc>
            </w:tr>
            <w:tr w14:paraId="78FC5C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8" w:hRule="atLeast"/>
                <w:jc w:val="center"/>
              </w:trPr>
              <w:tc>
                <w:tcPr>
                  <w:tcW w:w="1273" w:type="dxa"/>
                  <w:vMerge w:val="restart"/>
                  <w:tcBorders>
                    <w:tl2br w:val="nil"/>
                    <w:tr2bl w:val="nil"/>
                  </w:tcBorders>
                  <w:shd w:val="clear" w:color="auto" w:fill="auto"/>
                  <w:vAlign w:val="center"/>
                </w:tcPr>
                <w:p w14:paraId="6BA8FE5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昼间</w:t>
                  </w:r>
                  <w:r>
                    <w:rPr>
                      <w:rFonts w:hint="eastAsia" w:ascii="Times New Roman" w:hAnsi="Times New Roman" w:eastAsia="宋体" w:cs="Times New Roman"/>
                      <w:i w:val="0"/>
                      <w:iCs w:val="0"/>
                      <w:color w:val="000000"/>
                      <w:kern w:val="0"/>
                      <w:sz w:val="21"/>
                      <w:szCs w:val="21"/>
                      <w:u w:val="none"/>
                      <w:lang w:val="en-US" w:eastAsia="zh-CN" w:bidi="ar"/>
                    </w:rPr>
                    <w:t xml:space="preserve"> </w:t>
                  </w:r>
                </w:p>
              </w:tc>
              <w:tc>
                <w:tcPr>
                  <w:tcW w:w="1274" w:type="dxa"/>
                  <w:tcBorders>
                    <w:tl2br w:val="nil"/>
                    <w:tr2bl w:val="nil"/>
                  </w:tcBorders>
                  <w:shd w:val="clear" w:color="auto" w:fill="auto"/>
                  <w:vAlign w:val="center"/>
                </w:tcPr>
                <w:p w14:paraId="0805C0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北侧厂界</w:t>
                  </w:r>
                </w:p>
              </w:tc>
              <w:tc>
                <w:tcPr>
                  <w:tcW w:w="1787" w:type="dxa"/>
                  <w:tcBorders>
                    <w:tl2br w:val="nil"/>
                    <w:tr2bl w:val="nil"/>
                  </w:tcBorders>
                  <w:shd w:val="clear" w:color="auto" w:fill="auto"/>
                  <w:vAlign w:val="center"/>
                </w:tcPr>
                <w:p w14:paraId="0135521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30.88</w:t>
                  </w:r>
                </w:p>
              </w:tc>
              <w:tc>
                <w:tcPr>
                  <w:tcW w:w="1274" w:type="dxa"/>
                  <w:tcBorders>
                    <w:tl2br w:val="nil"/>
                    <w:tr2bl w:val="nil"/>
                  </w:tcBorders>
                  <w:shd w:val="clear" w:color="auto" w:fill="auto"/>
                  <w:vAlign w:val="center"/>
                </w:tcPr>
                <w:p w14:paraId="03FE6ED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63.23</w:t>
                  </w:r>
                </w:p>
              </w:tc>
              <w:tc>
                <w:tcPr>
                  <w:tcW w:w="1274" w:type="dxa"/>
                  <w:tcBorders>
                    <w:tl2br w:val="nil"/>
                    <w:tr2bl w:val="nil"/>
                  </w:tcBorders>
                  <w:shd w:val="clear" w:color="auto" w:fill="auto"/>
                  <w:vAlign w:val="center"/>
                </w:tcPr>
                <w:p w14:paraId="5E9D715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57.67</w:t>
                  </w:r>
                </w:p>
              </w:tc>
              <w:tc>
                <w:tcPr>
                  <w:tcW w:w="1274" w:type="dxa"/>
                  <w:vMerge w:val="restart"/>
                  <w:tcBorders>
                    <w:tl2br w:val="nil"/>
                    <w:tr2bl w:val="nil"/>
                  </w:tcBorders>
                  <w:shd w:val="clear" w:color="auto" w:fill="auto"/>
                  <w:vAlign w:val="center"/>
                </w:tcPr>
                <w:p w14:paraId="55112AD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60dB</w:t>
                  </w:r>
                  <w:r>
                    <w:rPr>
                      <w:rFonts w:hint="eastAsia" w:ascii="宋体" w:hAnsi="宋体" w:eastAsia="宋体" w:cs="宋体"/>
                      <w:i w:val="0"/>
                      <w:iCs w:val="0"/>
                      <w:color w:val="000000"/>
                      <w:kern w:val="0"/>
                      <w:sz w:val="21"/>
                      <w:szCs w:val="21"/>
                      <w:u w:val="none"/>
                      <w:lang w:val="en-US" w:eastAsia="zh-CN" w:bidi="ar"/>
                    </w:rPr>
                    <w:t>（</w:t>
                  </w:r>
                  <w:r>
                    <w:rPr>
                      <w:rFonts w:hint="default" w:ascii="Times New Roman" w:hAnsi="Times New Roman" w:eastAsia="宋体" w:cs="Times New Roman"/>
                      <w:i w:val="0"/>
                      <w:iCs w:val="0"/>
                      <w:color w:val="000000"/>
                      <w:kern w:val="0"/>
                      <w:sz w:val="21"/>
                      <w:szCs w:val="21"/>
                      <w:u w:val="none"/>
                      <w:lang w:val="en-US" w:eastAsia="zh-CN" w:bidi="ar"/>
                    </w:rPr>
                    <w:t>A</w:t>
                  </w:r>
                  <w:r>
                    <w:rPr>
                      <w:rFonts w:hint="eastAsia" w:ascii="宋体" w:hAnsi="宋体" w:eastAsia="宋体" w:cs="宋体"/>
                      <w:i w:val="0"/>
                      <w:iCs w:val="0"/>
                      <w:color w:val="000000"/>
                      <w:kern w:val="0"/>
                      <w:sz w:val="21"/>
                      <w:szCs w:val="21"/>
                      <w:u w:val="none"/>
                      <w:lang w:val="en-US" w:eastAsia="zh-CN" w:bidi="ar"/>
                    </w:rPr>
                    <w:t>）</w:t>
                  </w:r>
                </w:p>
              </w:tc>
            </w:tr>
            <w:tr w14:paraId="31C1CF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8" w:hRule="atLeast"/>
                <w:jc w:val="center"/>
              </w:trPr>
              <w:tc>
                <w:tcPr>
                  <w:tcW w:w="1273" w:type="dxa"/>
                  <w:vMerge w:val="continue"/>
                  <w:tcBorders>
                    <w:tl2br w:val="nil"/>
                    <w:tr2bl w:val="nil"/>
                  </w:tcBorders>
                  <w:shd w:val="clear" w:color="auto" w:fill="auto"/>
                  <w:vAlign w:val="center"/>
                </w:tcPr>
                <w:p w14:paraId="054900CB">
                  <w:pPr>
                    <w:jc w:val="center"/>
                    <w:rPr>
                      <w:rFonts w:hint="eastAsia" w:ascii="宋体" w:hAnsi="宋体" w:eastAsia="宋体" w:cs="宋体"/>
                      <w:i w:val="0"/>
                      <w:iCs w:val="0"/>
                      <w:color w:val="000000"/>
                      <w:sz w:val="21"/>
                      <w:szCs w:val="21"/>
                      <w:u w:val="none"/>
                    </w:rPr>
                  </w:pPr>
                </w:p>
              </w:tc>
              <w:tc>
                <w:tcPr>
                  <w:tcW w:w="1274" w:type="dxa"/>
                  <w:tcBorders>
                    <w:tl2br w:val="nil"/>
                    <w:tr2bl w:val="nil"/>
                  </w:tcBorders>
                  <w:shd w:val="clear" w:color="auto" w:fill="auto"/>
                  <w:vAlign w:val="center"/>
                </w:tcPr>
                <w:p w14:paraId="7FDBA6F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西侧厂界</w:t>
                  </w:r>
                </w:p>
              </w:tc>
              <w:tc>
                <w:tcPr>
                  <w:tcW w:w="1787" w:type="dxa"/>
                  <w:tcBorders>
                    <w:tl2br w:val="nil"/>
                    <w:tr2bl w:val="nil"/>
                  </w:tcBorders>
                  <w:shd w:val="clear" w:color="auto" w:fill="auto"/>
                  <w:vAlign w:val="center"/>
                </w:tcPr>
                <w:p w14:paraId="08641F6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68.76</w:t>
                  </w:r>
                </w:p>
              </w:tc>
              <w:tc>
                <w:tcPr>
                  <w:tcW w:w="1274" w:type="dxa"/>
                  <w:tcBorders>
                    <w:tl2br w:val="nil"/>
                    <w:tr2bl w:val="nil"/>
                  </w:tcBorders>
                  <w:shd w:val="clear" w:color="auto" w:fill="auto"/>
                  <w:vAlign w:val="center"/>
                </w:tcPr>
                <w:p w14:paraId="426F5F5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-7.79</w:t>
                  </w:r>
                </w:p>
              </w:tc>
              <w:tc>
                <w:tcPr>
                  <w:tcW w:w="1274" w:type="dxa"/>
                  <w:tcBorders>
                    <w:tl2br w:val="nil"/>
                    <w:tr2bl w:val="nil"/>
                  </w:tcBorders>
                  <w:shd w:val="clear" w:color="auto" w:fill="auto"/>
                  <w:vAlign w:val="center"/>
                </w:tcPr>
                <w:p w14:paraId="1897E2C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58.14</w:t>
                  </w:r>
                </w:p>
              </w:tc>
              <w:tc>
                <w:tcPr>
                  <w:tcW w:w="1274" w:type="dxa"/>
                  <w:vMerge w:val="continue"/>
                  <w:tcBorders>
                    <w:tl2br w:val="nil"/>
                    <w:tr2bl w:val="nil"/>
                  </w:tcBorders>
                  <w:shd w:val="clear" w:color="auto" w:fill="auto"/>
                  <w:vAlign w:val="center"/>
                </w:tcPr>
                <w:p w14:paraId="7C6D189E">
                  <w:pPr>
                    <w:jc w:val="center"/>
                    <w:rPr>
                      <w:rFonts w:hint="default" w:ascii="Times New Roman" w:hAnsi="Times New Roman" w:eastAsia="宋体" w:cs="Times New Roman"/>
                      <w:i w:val="0"/>
                      <w:iCs w:val="0"/>
                      <w:color w:val="000000"/>
                      <w:sz w:val="21"/>
                      <w:szCs w:val="21"/>
                      <w:u w:val="none"/>
                    </w:rPr>
                  </w:pPr>
                </w:p>
              </w:tc>
            </w:tr>
            <w:tr w14:paraId="654060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8" w:hRule="atLeast"/>
                <w:jc w:val="center"/>
              </w:trPr>
              <w:tc>
                <w:tcPr>
                  <w:tcW w:w="1273" w:type="dxa"/>
                  <w:vMerge w:val="continue"/>
                  <w:tcBorders>
                    <w:tl2br w:val="nil"/>
                    <w:tr2bl w:val="nil"/>
                  </w:tcBorders>
                  <w:shd w:val="clear" w:color="auto" w:fill="auto"/>
                  <w:vAlign w:val="center"/>
                </w:tcPr>
                <w:p w14:paraId="5B1102BA">
                  <w:pPr>
                    <w:jc w:val="center"/>
                    <w:rPr>
                      <w:rFonts w:hint="eastAsia" w:ascii="宋体" w:hAnsi="宋体" w:eastAsia="宋体" w:cs="宋体"/>
                      <w:i w:val="0"/>
                      <w:iCs w:val="0"/>
                      <w:color w:val="000000"/>
                      <w:sz w:val="21"/>
                      <w:szCs w:val="21"/>
                      <w:u w:val="none"/>
                    </w:rPr>
                  </w:pPr>
                </w:p>
              </w:tc>
              <w:tc>
                <w:tcPr>
                  <w:tcW w:w="1274" w:type="dxa"/>
                  <w:tcBorders>
                    <w:tl2br w:val="nil"/>
                    <w:tr2bl w:val="nil"/>
                  </w:tcBorders>
                  <w:shd w:val="clear" w:color="auto" w:fill="auto"/>
                  <w:vAlign w:val="center"/>
                </w:tcPr>
                <w:p w14:paraId="5866303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南侧厂界</w:t>
                  </w:r>
                </w:p>
              </w:tc>
              <w:tc>
                <w:tcPr>
                  <w:tcW w:w="1787" w:type="dxa"/>
                  <w:tcBorders>
                    <w:tl2br w:val="nil"/>
                    <w:tr2bl w:val="nil"/>
                  </w:tcBorders>
                  <w:shd w:val="clear" w:color="auto" w:fill="auto"/>
                  <w:vAlign w:val="center"/>
                </w:tcPr>
                <w:p w14:paraId="224963D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-7.68</w:t>
                  </w:r>
                </w:p>
              </w:tc>
              <w:tc>
                <w:tcPr>
                  <w:tcW w:w="1274" w:type="dxa"/>
                  <w:tcBorders>
                    <w:tl2br w:val="nil"/>
                    <w:tr2bl w:val="nil"/>
                  </w:tcBorders>
                  <w:shd w:val="clear" w:color="auto" w:fill="auto"/>
                  <w:vAlign w:val="center"/>
                </w:tcPr>
                <w:p w14:paraId="19385E4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-65.96</w:t>
                  </w:r>
                </w:p>
              </w:tc>
              <w:tc>
                <w:tcPr>
                  <w:tcW w:w="1274" w:type="dxa"/>
                  <w:tcBorders>
                    <w:tl2br w:val="nil"/>
                    <w:tr2bl w:val="nil"/>
                  </w:tcBorders>
                  <w:shd w:val="clear" w:color="auto" w:fill="auto"/>
                  <w:vAlign w:val="center"/>
                </w:tcPr>
                <w:p w14:paraId="4514DC0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55.46</w:t>
                  </w:r>
                </w:p>
              </w:tc>
              <w:tc>
                <w:tcPr>
                  <w:tcW w:w="1274" w:type="dxa"/>
                  <w:vMerge w:val="continue"/>
                  <w:tcBorders>
                    <w:tl2br w:val="nil"/>
                    <w:tr2bl w:val="nil"/>
                  </w:tcBorders>
                  <w:shd w:val="clear" w:color="auto" w:fill="auto"/>
                  <w:vAlign w:val="center"/>
                </w:tcPr>
                <w:p w14:paraId="36121E47">
                  <w:pPr>
                    <w:jc w:val="center"/>
                    <w:rPr>
                      <w:rFonts w:hint="default" w:ascii="Times New Roman" w:hAnsi="Times New Roman" w:eastAsia="宋体" w:cs="Times New Roman"/>
                      <w:i w:val="0"/>
                      <w:iCs w:val="0"/>
                      <w:color w:val="000000"/>
                      <w:sz w:val="21"/>
                      <w:szCs w:val="21"/>
                      <w:u w:val="none"/>
                    </w:rPr>
                  </w:pPr>
                </w:p>
              </w:tc>
            </w:tr>
            <w:tr w14:paraId="259D0BC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3" w:hRule="atLeast"/>
                <w:jc w:val="center"/>
              </w:trPr>
              <w:tc>
                <w:tcPr>
                  <w:tcW w:w="1273" w:type="dxa"/>
                  <w:vMerge w:val="continue"/>
                  <w:tcBorders>
                    <w:tl2br w:val="nil"/>
                    <w:tr2bl w:val="nil"/>
                  </w:tcBorders>
                  <w:shd w:val="clear" w:color="auto" w:fill="auto"/>
                  <w:vAlign w:val="center"/>
                </w:tcPr>
                <w:p w14:paraId="7AEEA067">
                  <w:pPr>
                    <w:jc w:val="center"/>
                    <w:rPr>
                      <w:rFonts w:hint="eastAsia" w:ascii="宋体" w:hAnsi="宋体" w:eastAsia="宋体" w:cs="宋体"/>
                      <w:i w:val="0"/>
                      <w:iCs w:val="0"/>
                      <w:color w:val="000000"/>
                      <w:sz w:val="21"/>
                      <w:szCs w:val="21"/>
                      <w:u w:val="none"/>
                    </w:rPr>
                  </w:pPr>
                </w:p>
              </w:tc>
              <w:tc>
                <w:tcPr>
                  <w:tcW w:w="1274" w:type="dxa"/>
                  <w:tcBorders>
                    <w:tl2br w:val="nil"/>
                    <w:tr2bl w:val="nil"/>
                  </w:tcBorders>
                  <w:shd w:val="clear" w:color="auto" w:fill="auto"/>
                  <w:vAlign w:val="center"/>
                </w:tcPr>
                <w:p w14:paraId="67A01BB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东侧厂界</w:t>
                  </w:r>
                </w:p>
              </w:tc>
              <w:tc>
                <w:tcPr>
                  <w:tcW w:w="1787" w:type="dxa"/>
                  <w:tcBorders>
                    <w:tl2br w:val="nil"/>
                    <w:tr2bl w:val="nil"/>
                  </w:tcBorders>
                  <w:shd w:val="clear" w:color="auto" w:fill="auto"/>
                  <w:vAlign w:val="center"/>
                </w:tcPr>
                <w:p w14:paraId="65D132F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-40.14</w:t>
                  </w:r>
                </w:p>
              </w:tc>
              <w:tc>
                <w:tcPr>
                  <w:tcW w:w="1274" w:type="dxa"/>
                  <w:tcBorders>
                    <w:tl2br w:val="nil"/>
                    <w:tr2bl w:val="nil"/>
                  </w:tcBorders>
                  <w:shd w:val="clear" w:color="auto" w:fill="auto"/>
                  <w:vAlign w:val="center"/>
                </w:tcPr>
                <w:p w14:paraId="18E112E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31.29</w:t>
                  </w:r>
                </w:p>
              </w:tc>
              <w:tc>
                <w:tcPr>
                  <w:tcW w:w="1274" w:type="dxa"/>
                  <w:tcBorders>
                    <w:tl2br w:val="nil"/>
                    <w:tr2bl w:val="nil"/>
                  </w:tcBorders>
                  <w:shd w:val="clear" w:color="auto" w:fill="auto"/>
                  <w:vAlign w:val="center"/>
                </w:tcPr>
                <w:p w14:paraId="32E596F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58.59</w:t>
                  </w:r>
                </w:p>
              </w:tc>
              <w:tc>
                <w:tcPr>
                  <w:tcW w:w="1274" w:type="dxa"/>
                  <w:vMerge w:val="continue"/>
                  <w:tcBorders>
                    <w:tl2br w:val="nil"/>
                    <w:tr2bl w:val="nil"/>
                  </w:tcBorders>
                  <w:shd w:val="clear" w:color="auto" w:fill="auto"/>
                  <w:vAlign w:val="center"/>
                </w:tcPr>
                <w:p w14:paraId="3D259B41">
                  <w:pPr>
                    <w:jc w:val="center"/>
                    <w:rPr>
                      <w:rFonts w:hint="default" w:ascii="Times New Roman" w:hAnsi="Times New Roman" w:eastAsia="宋体" w:cs="Times New Roman"/>
                      <w:i w:val="0"/>
                      <w:iCs w:val="0"/>
                      <w:color w:val="000000"/>
                      <w:sz w:val="21"/>
                      <w:szCs w:val="21"/>
                      <w:u w:val="none"/>
                    </w:rPr>
                  </w:pPr>
                </w:p>
              </w:tc>
            </w:tr>
          </w:tbl>
          <w:p w14:paraId="5F0128C0">
            <w:pPr>
              <w:pStyle w:val="21"/>
              <w:spacing w:after="0" w:line="420" w:lineRule="auto"/>
              <w:ind w:left="0" w:leftChars="0" w:firstLine="480"/>
              <w:rPr>
                <w:rFonts w:hint="default" w:ascii="Times New Roman" w:hAnsi="Times New Roman" w:eastAsia="宋体" w:cs="Times New Roman"/>
                <w:lang w:val="en-US" w:eastAsia="zh-CN"/>
              </w:rPr>
            </w:pPr>
            <w:r>
              <w:rPr>
                <w:rFonts w:hint="eastAsia" w:cs="Times New Roman"/>
                <w:szCs w:val="24"/>
                <w:lang w:eastAsia="zh-CN"/>
              </w:rPr>
              <w:t>根据预测，项目厂界噪声</w:t>
            </w:r>
            <w:r>
              <w:rPr>
                <w:rFonts w:hint="eastAsia" w:ascii="Times New Roman" w:hAnsi="Times New Roman" w:cs="Times New Roman"/>
                <w:szCs w:val="24"/>
                <w:lang w:eastAsia="zh-CN"/>
              </w:rPr>
              <w:t>最大</w:t>
            </w:r>
            <w:r>
              <w:rPr>
                <w:rFonts w:hint="eastAsia" w:cs="Times New Roman"/>
                <w:szCs w:val="24"/>
                <w:lang w:eastAsia="zh-CN"/>
              </w:rPr>
              <w:t>贡献值</w:t>
            </w:r>
            <w:r>
              <w:rPr>
                <w:rFonts w:hint="eastAsia" w:ascii="Times New Roman" w:hAnsi="Times New Roman" w:cs="Times New Roman"/>
                <w:szCs w:val="24"/>
                <w:lang w:eastAsia="zh-CN"/>
              </w:rPr>
              <w:t>为</w:t>
            </w:r>
            <w:r>
              <w:rPr>
                <w:rFonts w:hint="eastAsia" w:cs="Times New Roman"/>
                <w:szCs w:val="24"/>
                <w:lang w:val="en-US" w:eastAsia="zh-CN"/>
              </w:rPr>
              <w:t>58.59</w:t>
            </w:r>
            <w:r>
              <w:rPr>
                <w:rFonts w:hint="default" w:ascii="Times New Roman" w:hAnsi="Times New Roman" w:cs="Times New Roman"/>
                <w:szCs w:val="24"/>
              </w:rPr>
              <w:t>dB(A)</w:t>
            </w:r>
            <w:r>
              <w:rPr>
                <w:rFonts w:hint="eastAsia" w:ascii="Times New Roman" w:hAnsi="Times New Roman" w:cs="Times New Roman"/>
                <w:szCs w:val="24"/>
                <w:lang w:eastAsia="zh-CN"/>
              </w:rPr>
              <w:t>，位于厂界</w:t>
            </w:r>
            <w:r>
              <w:rPr>
                <w:rFonts w:hint="eastAsia" w:cs="Times New Roman"/>
                <w:szCs w:val="24"/>
                <w:lang w:eastAsia="zh-CN"/>
              </w:rPr>
              <w:t>东</w:t>
            </w:r>
            <w:r>
              <w:rPr>
                <w:rFonts w:hint="eastAsia" w:ascii="Times New Roman" w:hAnsi="Times New Roman" w:cs="Times New Roman"/>
                <w:szCs w:val="24"/>
                <w:lang w:eastAsia="zh-CN"/>
              </w:rPr>
              <w:t>侧，</w:t>
            </w:r>
            <w:r>
              <w:rPr>
                <w:rFonts w:hint="default" w:ascii="Times New Roman" w:hAnsi="Times New Roman" w:cs="Times New Roman"/>
              </w:rPr>
              <w:t>因此本项目噪声满足《工业企业厂界环境噪声排放标准》（GB12348-2008）2类标准[昼间60dB(A)]</w:t>
            </w:r>
            <w:r>
              <w:rPr>
                <w:rFonts w:hint="eastAsia" w:cs="Times New Roman"/>
                <w:lang w:eastAsia="zh-CN"/>
              </w:rPr>
              <w:t>，</w:t>
            </w:r>
            <w:r>
              <w:rPr>
                <w:rFonts w:hint="eastAsia" w:cs="Times New Roman"/>
                <w:lang w:val="en-US" w:eastAsia="zh-CN"/>
              </w:rPr>
              <w:t>项目夜间不生产</w:t>
            </w:r>
            <w:r>
              <w:rPr>
                <w:rFonts w:hint="default" w:ascii="Times New Roman" w:hAnsi="Times New Roman" w:cs="Times New Roman"/>
              </w:rPr>
              <w:t>。本项目建成后对声环境影响不大。</w:t>
            </w:r>
          </w:p>
          <w:p w14:paraId="7670D6B2">
            <w:pPr>
              <w:spacing w:line="360" w:lineRule="auto"/>
              <w:ind w:left="420" w:leftChars="200"/>
              <w:rPr>
                <w:rFonts w:hint="default" w:ascii="Times New Roman" w:hAnsi="Times New Roman" w:cs="Times New Roman"/>
                <w:b/>
                <w:bCs/>
                <w:sz w:val="24"/>
                <w:szCs w:val="20"/>
              </w:rPr>
            </w:pPr>
            <w:r>
              <w:rPr>
                <w:rFonts w:hint="default" w:ascii="Times New Roman" w:hAnsi="Times New Roman" w:cs="Times New Roman"/>
                <w:b/>
                <w:bCs/>
                <w:sz w:val="24"/>
                <w:szCs w:val="20"/>
              </w:rPr>
              <w:t>4、固体废弃物</w:t>
            </w:r>
          </w:p>
          <w:p w14:paraId="4083AA8F">
            <w:pPr>
              <w:pStyle w:val="44"/>
              <w:ind w:firstLine="482"/>
              <w:rPr>
                <w:rFonts w:hint="default" w:ascii="Times New Roman" w:hAnsi="Times New Roman" w:cs="Times New Roman"/>
                <w:b/>
                <w:bCs/>
              </w:rPr>
            </w:pPr>
            <w:r>
              <w:rPr>
                <w:rFonts w:hint="default" w:ascii="Times New Roman" w:hAnsi="Times New Roman" w:cs="Times New Roman"/>
                <w:b/>
                <w:bCs/>
              </w:rPr>
              <w:t>（1）产生环节</w:t>
            </w:r>
          </w:p>
          <w:p w14:paraId="69743663">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运营期间本项目产生的固废主要为：</w:t>
            </w:r>
            <w:r>
              <w:rPr>
                <w:rFonts w:hint="eastAsia" w:cs="Times New Roman"/>
                <w:sz w:val="24"/>
                <w:szCs w:val="20"/>
                <w:lang w:eastAsia="zh-CN"/>
              </w:rPr>
              <w:t>废包装袋、</w:t>
            </w:r>
            <w:r>
              <w:rPr>
                <w:rFonts w:hint="default" w:ascii="Times New Roman" w:hAnsi="Times New Roman" w:cs="Times New Roman"/>
                <w:sz w:val="24"/>
                <w:szCs w:val="20"/>
              </w:rPr>
              <w:t>生活垃圾、</w:t>
            </w:r>
            <w:r>
              <w:rPr>
                <w:rFonts w:hint="eastAsia" w:cs="Times New Roman"/>
                <w:sz w:val="24"/>
                <w:szCs w:val="20"/>
                <w:lang w:eastAsia="zh-CN"/>
              </w:rPr>
              <w:t>沉淀池泥沙</w:t>
            </w:r>
            <w:r>
              <w:rPr>
                <w:rFonts w:hint="default" w:ascii="Times New Roman" w:hAnsi="Times New Roman" w:cs="Times New Roman"/>
                <w:sz w:val="24"/>
                <w:szCs w:val="20"/>
              </w:rPr>
              <w:t>、</w:t>
            </w:r>
            <w:r>
              <w:rPr>
                <w:rFonts w:hint="eastAsia" w:cs="Times New Roman"/>
                <w:sz w:val="24"/>
                <w:szCs w:val="20"/>
                <w:lang w:eastAsia="zh-CN"/>
              </w:rPr>
              <w:t>生活污水</w:t>
            </w:r>
            <w:r>
              <w:rPr>
                <w:rFonts w:hint="default" w:ascii="Times New Roman" w:hAnsi="Times New Roman" w:cs="Times New Roman"/>
                <w:sz w:val="24"/>
                <w:szCs w:val="20"/>
              </w:rPr>
              <w:t>预处理池（化粪池）</w:t>
            </w:r>
            <w:r>
              <w:rPr>
                <w:rFonts w:hint="eastAsia" w:cs="Times New Roman"/>
                <w:sz w:val="24"/>
                <w:szCs w:val="20"/>
                <w:lang w:eastAsia="zh-CN"/>
              </w:rPr>
              <w:t>污泥</w:t>
            </w:r>
            <w:r>
              <w:rPr>
                <w:rFonts w:hint="default" w:ascii="Times New Roman" w:hAnsi="Times New Roman" w:cs="Times New Roman"/>
                <w:sz w:val="24"/>
                <w:szCs w:val="20"/>
              </w:rPr>
              <w:t>、废含油手套和抹布、废</w:t>
            </w:r>
            <w:r>
              <w:rPr>
                <w:rFonts w:hint="eastAsia" w:cs="Times New Roman"/>
                <w:sz w:val="24"/>
                <w:szCs w:val="20"/>
                <w:lang w:eastAsia="zh-CN"/>
              </w:rPr>
              <w:t>润滑</w:t>
            </w:r>
            <w:r>
              <w:rPr>
                <w:rFonts w:hint="default" w:ascii="Times New Roman" w:hAnsi="Times New Roman" w:cs="Times New Roman"/>
                <w:sz w:val="24"/>
                <w:szCs w:val="20"/>
              </w:rPr>
              <w:t>油、废油桶。</w:t>
            </w:r>
          </w:p>
          <w:p w14:paraId="6C586498">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①生活垃圾</w:t>
            </w:r>
          </w:p>
          <w:p w14:paraId="3DC7D1D5">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本项目职工定员</w:t>
            </w:r>
            <w:r>
              <w:rPr>
                <w:rFonts w:hint="eastAsia" w:ascii="Times New Roman" w:hAnsi="Times New Roman" w:cs="Times New Roman"/>
                <w:sz w:val="24"/>
                <w:szCs w:val="20"/>
                <w:lang w:val="en-US" w:eastAsia="zh-CN"/>
              </w:rPr>
              <w:t>2</w:t>
            </w:r>
            <w:r>
              <w:rPr>
                <w:rFonts w:hint="default" w:ascii="Times New Roman" w:hAnsi="Times New Roman" w:cs="Times New Roman"/>
                <w:sz w:val="24"/>
                <w:szCs w:val="20"/>
              </w:rPr>
              <w:t>1人，办公生活垃圾按0.4kg/人•d计算，则每天的生活垃圾产生量约为</w:t>
            </w:r>
            <w:r>
              <w:rPr>
                <w:rFonts w:hint="eastAsia" w:ascii="Times New Roman" w:hAnsi="Times New Roman" w:cs="Times New Roman"/>
                <w:sz w:val="24"/>
                <w:szCs w:val="20"/>
                <w:lang w:val="en-US" w:eastAsia="zh-CN"/>
              </w:rPr>
              <w:t>8</w:t>
            </w:r>
            <w:r>
              <w:rPr>
                <w:rFonts w:hint="default" w:ascii="Times New Roman" w:hAnsi="Times New Roman" w:cs="Times New Roman"/>
                <w:sz w:val="24"/>
                <w:szCs w:val="20"/>
              </w:rPr>
              <w:t>.4kg，每年的产生量约</w:t>
            </w:r>
            <w:r>
              <w:rPr>
                <w:rFonts w:hint="eastAsia" w:ascii="Times New Roman" w:hAnsi="Times New Roman" w:cs="Times New Roman"/>
                <w:sz w:val="24"/>
                <w:szCs w:val="20"/>
                <w:lang w:val="en-US" w:eastAsia="zh-CN"/>
              </w:rPr>
              <w:t>2.52</w:t>
            </w:r>
            <w:r>
              <w:rPr>
                <w:rFonts w:hint="default" w:ascii="Times New Roman" w:hAnsi="Times New Roman" w:cs="Times New Roman"/>
                <w:sz w:val="24"/>
                <w:szCs w:val="20"/>
              </w:rPr>
              <w:t>t。统一收集后定期送至垃圾收集点，由</w:t>
            </w:r>
            <w:r>
              <w:rPr>
                <w:rFonts w:hint="eastAsia" w:ascii="Times New Roman" w:hAnsi="Times New Roman" w:cs="Times New Roman"/>
                <w:sz w:val="24"/>
                <w:szCs w:val="20"/>
                <w:lang w:eastAsia="zh-CN"/>
              </w:rPr>
              <w:t>市政</w:t>
            </w:r>
            <w:r>
              <w:rPr>
                <w:rFonts w:hint="default" w:ascii="Times New Roman" w:hAnsi="Times New Roman" w:cs="Times New Roman"/>
                <w:sz w:val="24"/>
                <w:szCs w:val="20"/>
              </w:rPr>
              <w:t>环卫部门统一清运。</w:t>
            </w:r>
          </w:p>
          <w:p w14:paraId="42B8E4CE">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②</w:t>
            </w:r>
            <w:r>
              <w:rPr>
                <w:rFonts w:hint="eastAsia" w:cs="Times New Roman"/>
                <w:sz w:val="24"/>
                <w:szCs w:val="20"/>
                <w:lang w:eastAsia="zh-CN"/>
              </w:rPr>
              <w:t>沉淀池泥沙</w:t>
            </w:r>
          </w:p>
          <w:p w14:paraId="78DA19E1">
            <w:pPr>
              <w:spacing w:line="420" w:lineRule="auto"/>
              <w:ind w:firstLine="480" w:firstLineChars="200"/>
              <w:rPr>
                <w:rFonts w:hint="default" w:ascii="Times New Roman" w:hAnsi="Times New Roman" w:cs="Times New Roman"/>
                <w:sz w:val="24"/>
                <w:szCs w:val="20"/>
                <w:lang w:val="en-US" w:eastAsia="zh-CN"/>
              </w:rPr>
            </w:pPr>
            <w:r>
              <w:rPr>
                <w:rFonts w:hint="default" w:ascii="Times New Roman" w:hAnsi="Times New Roman" w:cs="Times New Roman"/>
                <w:sz w:val="24"/>
                <w:szCs w:val="20"/>
              </w:rPr>
              <w:t>本项目</w:t>
            </w:r>
            <w:r>
              <w:rPr>
                <w:rFonts w:hint="eastAsia" w:cs="Times New Roman"/>
                <w:sz w:val="24"/>
                <w:szCs w:val="20"/>
                <w:lang w:eastAsia="zh-CN"/>
              </w:rPr>
              <w:t>连砂石含泥约</w:t>
            </w:r>
            <w:r>
              <w:rPr>
                <w:rFonts w:hint="eastAsia" w:cs="Times New Roman"/>
                <w:sz w:val="24"/>
                <w:szCs w:val="20"/>
                <w:lang w:val="en-US" w:eastAsia="zh-CN"/>
              </w:rPr>
              <w:t>1%</w:t>
            </w:r>
            <w:r>
              <w:rPr>
                <w:rFonts w:hint="default" w:ascii="Times New Roman" w:hAnsi="Times New Roman" w:cs="Times New Roman"/>
                <w:sz w:val="24"/>
                <w:szCs w:val="20"/>
              </w:rPr>
              <w:t>，</w:t>
            </w:r>
            <w:r>
              <w:rPr>
                <w:rFonts w:hint="eastAsia" w:cs="Times New Roman"/>
                <w:sz w:val="24"/>
                <w:szCs w:val="20"/>
                <w:lang w:eastAsia="zh-CN"/>
              </w:rPr>
              <w:t>泥浆罐絮凝用药约为污泥产生量的</w:t>
            </w:r>
            <w:r>
              <w:rPr>
                <w:rFonts w:hint="eastAsia" w:cs="Times New Roman"/>
                <w:sz w:val="24"/>
                <w:szCs w:val="20"/>
                <w:lang w:val="en-US" w:eastAsia="zh-CN"/>
              </w:rPr>
              <w:t>1%，项目年产100万吨砂石，因此淤泥产生量约1.01万吨，</w:t>
            </w:r>
            <w:r>
              <w:rPr>
                <w:rFonts w:hint="eastAsia" w:cs="Times New Roman"/>
                <w:sz w:val="24"/>
                <w:szCs w:val="20"/>
                <w:lang w:eastAsia="zh-CN"/>
              </w:rPr>
              <w:t>泥沙经过压滤成泥饼后在符合相关标准的前提下用于筑路回填、土地复耕、绿化等</w:t>
            </w:r>
            <w:r>
              <w:rPr>
                <w:rFonts w:hint="default" w:ascii="Times New Roman" w:hAnsi="Times New Roman" w:cs="Times New Roman"/>
                <w:sz w:val="24"/>
                <w:szCs w:val="20"/>
                <w:lang w:val="en-US" w:eastAsia="zh-CN"/>
              </w:rPr>
              <w:t>。</w:t>
            </w:r>
          </w:p>
          <w:p w14:paraId="6A7E2C30">
            <w:pPr>
              <w:spacing w:line="420" w:lineRule="auto"/>
              <w:ind w:firstLine="480" w:firstLineChars="200"/>
              <w:rPr>
                <w:rFonts w:hint="eastAsia" w:ascii="Times New Roman" w:hAnsi="Times New Roman" w:eastAsia="宋体" w:cs="Times New Roman"/>
                <w:sz w:val="24"/>
                <w:szCs w:val="20"/>
                <w:lang w:eastAsia="zh-CN"/>
              </w:rPr>
            </w:pPr>
            <w:r>
              <w:rPr>
                <w:rFonts w:hint="default" w:ascii="Times New Roman" w:hAnsi="Times New Roman" w:cs="Times New Roman"/>
                <w:sz w:val="24"/>
                <w:szCs w:val="20"/>
              </w:rPr>
              <w:t>③</w:t>
            </w:r>
            <w:r>
              <w:rPr>
                <w:rFonts w:hint="eastAsia" w:cs="Times New Roman"/>
                <w:sz w:val="24"/>
                <w:szCs w:val="20"/>
                <w:lang w:eastAsia="zh-CN"/>
              </w:rPr>
              <w:t>废包装袋</w:t>
            </w:r>
          </w:p>
          <w:p w14:paraId="1963F74D">
            <w:pPr>
              <w:spacing w:line="420" w:lineRule="auto"/>
              <w:ind w:firstLine="480" w:firstLineChars="200"/>
              <w:rPr>
                <w:rFonts w:hint="default" w:ascii="Times New Roman" w:hAnsi="Times New Roman" w:cs="Times New Roman"/>
                <w:sz w:val="24"/>
                <w:szCs w:val="20"/>
              </w:rPr>
            </w:pPr>
            <w:r>
              <w:rPr>
                <w:rFonts w:hint="eastAsia" w:cs="Times New Roman"/>
                <w:sz w:val="24"/>
                <w:szCs w:val="20"/>
                <w:lang w:eastAsia="zh-CN"/>
              </w:rPr>
              <w:t>本项目废包装袋主要水处理剂聚丙烯酰胺包装袋，产生量约</w:t>
            </w:r>
            <w:r>
              <w:rPr>
                <w:rFonts w:hint="eastAsia" w:cs="Times New Roman"/>
                <w:sz w:val="24"/>
                <w:szCs w:val="20"/>
                <w:lang w:val="en-US" w:eastAsia="zh-CN"/>
              </w:rPr>
              <w:t>0.2t/a，废包装袋收集后出售给废品收购单位</w:t>
            </w:r>
            <w:r>
              <w:rPr>
                <w:rFonts w:hint="default" w:ascii="Times New Roman" w:hAnsi="Times New Roman" w:cs="Times New Roman"/>
                <w:sz w:val="24"/>
                <w:szCs w:val="20"/>
              </w:rPr>
              <w:t>。</w:t>
            </w:r>
          </w:p>
          <w:p w14:paraId="523D1C6A">
            <w:pPr>
              <w:spacing w:line="420" w:lineRule="auto"/>
              <w:ind w:firstLine="480" w:firstLineChars="200"/>
              <w:rPr>
                <w:rFonts w:hint="eastAsia" w:ascii="Times New Roman" w:hAnsi="Times New Roman" w:eastAsia="宋体" w:cs="Times New Roman"/>
                <w:sz w:val="24"/>
                <w:szCs w:val="20"/>
                <w:lang w:eastAsia="zh-CN"/>
              </w:rPr>
            </w:pPr>
            <w:r>
              <w:rPr>
                <w:rFonts w:hint="default" w:ascii="Times New Roman" w:hAnsi="Times New Roman" w:cs="Times New Roman"/>
                <w:sz w:val="24"/>
                <w:szCs w:val="20"/>
              </w:rPr>
              <w:t>④</w:t>
            </w:r>
            <w:r>
              <w:rPr>
                <w:rFonts w:hint="eastAsia" w:cs="Times New Roman"/>
                <w:sz w:val="24"/>
                <w:szCs w:val="20"/>
                <w:lang w:eastAsia="zh-CN"/>
              </w:rPr>
              <w:t>化粪池污泥</w:t>
            </w:r>
          </w:p>
          <w:p w14:paraId="5D372076">
            <w:pPr>
              <w:spacing w:line="420" w:lineRule="auto"/>
              <w:ind w:firstLine="480" w:firstLineChars="200"/>
              <w:rPr>
                <w:rFonts w:hint="default" w:ascii="Times New Roman" w:hAnsi="Times New Roman" w:cs="Times New Roman"/>
                <w:color w:val="FF0000"/>
                <w:sz w:val="24"/>
                <w:szCs w:val="20"/>
              </w:rPr>
            </w:pPr>
            <w:r>
              <w:rPr>
                <w:rFonts w:hint="default" w:ascii="Times New Roman" w:hAnsi="Times New Roman" w:cs="Times New Roman"/>
                <w:color w:val="auto"/>
                <w:sz w:val="24"/>
                <w:szCs w:val="20"/>
              </w:rPr>
              <w:t>根据建设单位提供的数据，本项目</w:t>
            </w:r>
            <w:r>
              <w:rPr>
                <w:rFonts w:hint="eastAsia" w:cs="Times New Roman"/>
                <w:color w:val="auto"/>
                <w:sz w:val="24"/>
                <w:szCs w:val="20"/>
                <w:lang w:eastAsia="zh-CN"/>
              </w:rPr>
              <w:t>化粪池</w:t>
            </w:r>
            <w:r>
              <w:rPr>
                <w:rFonts w:hint="default" w:ascii="Times New Roman" w:hAnsi="Times New Roman" w:cs="Times New Roman"/>
                <w:color w:val="auto"/>
                <w:sz w:val="24"/>
                <w:szCs w:val="20"/>
              </w:rPr>
              <w:t>产生量约0.2t/a，</w:t>
            </w:r>
            <w:r>
              <w:rPr>
                <w:rFonts w:hint="eastAsia" w:ascii="Times New Roman" w:hAnsi="Times New Roman" w:cs="Times New Roman"/>
                <w:color w:val="auto"/>
                <w:sz w:val="24"/>
                <w:szCs w:val="20"/>
                <w:lang w:eastAsia="zh-CN"/>
              </w:rPr>
              <w:t>每半年清一次，清掏后</w:t>
            </w:r>
            <w:r>
              <w:rPr>
                <w:rFonts w:hint="eastAsia" w:cs="Times New Roman"/>
                <w:color w:val="auto"/>
                <w:sz w:val="24"/>
                <w:szCs w:val="20"/>
                <w:lang w:eastAsia="zh-CN"/>
              </w:rPr>
              <w:t>用于林</w:t>
            </w:r>
            <w:r>
              <w:rPr>
                <w:rFonts w:hint="eastAsia" w:cs="Times New Roman"/>
                <w:color w:val="000000" w:themeColor="text1"/>
                <w:sz w:val="24"/>
                <w:szCs w:val="20"/>
                <w:lang w:eastAsia="zh-CN"/>
                <w14:textFill>
                  <w14:solidFill>
                    <w14:schemeClr w14:val="tx1"/>
                  </w14:solidFill>
                </w14:textFill>
              </w:rPr>
              <w:t>地施肥</w:t>
            </w:r>
            <w:r>
              <w:rPr>
                <w:rFonts w:hint="default" w:ascii="Times New Roman" w:hAnsi="Times New Roman" w:cs="Times New Roman"/>
                <w:color w:val="000000" w:themeColor="text1"/>
                <w:sz w:val="24"/>
                <w:szCs w:val="20"/>
                <w14:textFill>
                  <w14:solidFill>
                    <w14:schemeClr w14:val="tx1"/>
                  </w14:solidFill>
                </w14:textFill>
              </w:rPr>
              <w:t>。</w:t>
            </w:r>
          </w:p>
          <w:p w14:paraId="1E4EAB59">
            <w:pPr>
              <w:spacing w:line="420" w:lineRule="auto"/>
              <w:ind w:firstLine="480" w:firstLineChars="200"/>
              <w:rPr>
                <w:rFonts w:hint="default" w:ascii="Times New Roman" w:hAnsi="Times New Roman" w:cs="Times New Roman"/>
                <w:sz w:val="24"/>
                <w:szCs w:val="20"/>
              </w:rPr>
            </w:pPr>
            <w:r>
              <w:rPr>
                <w:rFonts w:hint="eastAsia" w:cs="Times New Roman"/>
                <w:sz w:val="24"/>
                <w:szCs w:val="20"/>
                <w:lang w:eastAsia="zh-CN"/>
              </w:rPr>
              <w:t>⑤</w:t>
            </w:r>
            <w:r>
              <w:rPr>
                <w:rFonts w:hint="default" w:ascii="Times New Roman" w:hAnsi="Times New Roman" w:cs="Times New Roman"/>
                <w:sz w:val="24"/>
                <w:szCs w:val="20"/>
              </w:rPr>
              <w:t>废含油手套和抹布、废矿物油及废油桶</w:t>
            </w:r>
          </w:p>
          <w:p w14:paraId="06D605E8">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szCs w:val="20"/>
              </w:rPr>
              <w:t>本项目设备维护过程中会产生一定量的废含油手套、废润滑油及废油桶。根据建设单位提供的数据，废含油手套产生量约0.01t/a，废含油桶产生量约0.01t/a，废矿物油（润滑油）产生量约0.05t/a。废含油、废油桶、废矿物油统一收入公司危废间，废油桶</w:t>
            </w:r>
            <w:r>
              <w:rPr>
                <w:rFonts w:hint="eastAsia" w:ascii="Times New Roman" w:hAnsi="Times New Roman" w:cs="Times New Roman"/>
                <w:sz w:val="24"/>
                <w:szCs w:val="20"/>
                <w:lang w:eastAsia="zh-CN"/>
              </w:rPr>
              <w:t>、</w:t>
            </w:r>
            <w:r>
              <w:rPr>
                <w:rFonts w:hint="default" w:ascii="Times New Roman" w:hAnsi="Times New Roman" w:cs="Times New Roman"/>
                <w:sz w:val="24"/>
                <w:szCs w:val="20"/>
              </w:rPr>
              <w:t>废矿物油收集到一定量后交由资质单位处置。</w:t>
            </w:r>
          </w:p>
          <w:p w14:paraId="50744856">
            <w:pPr>
              <w:spacing w:before="120" w:beforeLines="50" w:line="420" w:lineRule="auto"/>
              <w:ind w:firstLine="480" w:firstLineChars="200"/>
              <w:rPr>
                <w:rFonts w:hint="default" w:ascii="Times New Roman" w:hAnsi="Times New Roman" w:cs="Times New Roman"/>
                <w:b/>
                <w:bCs/>
                <w:sz w:val="24"/>
                <w:szCs w:val="22"/>
              </w:rPr>
            </w:pPr>
            <w:r>
              <w:rPr>
                <w:rFonts w:hint="eastAsia" w:cs="Times New Roman"/>
                <w:sz w:val="24"/>
                <w:szCs w:val="20"/>
                <w:lang w:val="en-US" w:eastAsia="zh-CN"/>
              </w:rPr>
              <w:t xml:space="preserve"> </w:t>
            </w:r>
            <w:r>
              <w:rPr>
                <w:rFonts w:hint="default" w:ascii="Times New Roman" w:hAnsi="Times New Roman" w:cs="Times New Roman"/>
                <w:b/>
                <w:bCs/>
                <w:sz w:val="24"/>
                <w:szCs w:val="22"/>
              </w:rPr>
              <w:t>（2）固废信息汇总</w:t>
            </w:r>
          </w:p>
          <w:p w14:paraId="7E80BD90">
            <w:pPr>
              <w:pStyle w:val="45"/>
              <w:rPr>
                <w:rFonts w:hint="default" w:ascii="Times New Roman" w:hAnsi="Times New Roman" w:cs="Times New Roman"/>
              </w:rPr>
            </w:pPr>
            <w:r>
              <w:rPr>
                <w:rFonts w:hint="default" w:ascii="Times New Roman" w:hAnsi="Times New Roman" w:cs="Times New Roman"/>
              </w:rPr>
              <w:t>表4-</w:t>
            </w:r>
            <w:r>
              <w:rPr>
                <w:rFonts w:hint="eastAsia" w:ascii="Times New Roman" w:hAnsi="Times New Roman" w:cs="Times New Roman"/>
                <w:lang w:val="en-US" w:eastAsia="zh-CN"/>
              </w:rPr>
              <w:t>4</w:t>
            </w:r>
            <w:r>
              <w:rPr>
                <w:rFonts w:hint="default" w:ascii="Times New Roman" w:hAnsi="Times New Roman" w:cs="Times New Roman"/>
              </w:rPr>
              <w:t>固废产生及处置表</w:t>
            </w:r>
          </w:p>
          <w:tbl>
            <w:tblPr>
              <w:tblStyle w:val="22"/>
              <w:tblW w:w="809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56"/>
              <w:gridCol w:w="893"/>
              <w:gridCol w:w="1040"/>
              <w:gridCol w:w="657"/>
              <w:gridCol w:w="853"/>
              <w:gridCol w:w="705"/>
              <w:gridCol w:w="1215"/>
              <w:gridCol w:w="784"/>
              <w:gridCol w:w="1093"/>
            </w:tblGrid>
            <w:tr w14:paraId="239BC2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61" w:hRule="atLeast"/>
                <w:jc w:val="center"/>
              </w:trPr>
              <w:tc>
                <w:tcPr>
                  <w:tcW w:w="856" w:type="dxa"/>
                  <w:noWrap w:val="0"/>
                  <w:vAlign w:val="center"/>
                </w:tcPr>
                <w:p w14:paraId="49A308D0">
                  <w:pPr>
                    <w:widowControl/>
                    <w:jc w:val="center"/>
                    <w:textAlignment w:val="center"/>
                    <w:rPr>
                      <w:rFonts w:hint="default" w:ascii="Times New Roman" w:hAnsi="Times New Roman" w:cs="Times New Roman"/>
                      <w:b/>
                      <w:bCs/>
                      <w:color w:val="000000"/>
                      <w:sz w:val="18"/>
                      <w:szCs w:val="18"/>
                    </w:rPr>
                  </w:pPr>
                  <w:r>
                    <w:rPr>
                      <w:rFonts w:hint="default" w:ascii="Times New Roman" w:hAnsi="Times New Roman" w:cs="Times New Roman"/>
                      <w:b/>
                      <w:bCs/>
                      <w:color w:val="000000"/>
                      <w:kern w:val="0"/>
                      <w:sz w:val="18"/>
                      <w:szCs w:val="18"/>
                      <w:lang w:bidi="ar"/>
                    </w:rPr>
                    <w:t>废物种类</w:t>
                  </w:r>
                </w:p>
              </w:tc>
              <w:tc>
                <w:tcPr>
                  <w:tcW w:w="893" w:type="dxa"/>
                  <w:noWrap w:val="0"/>
                  <w:vAlign w:val="center"/>
                </w:tcPr>
                <w:p w14:paraId="6E72FD10">
                  <w:pPr>
                    <w:widowControl/>
                    <w:jc w:val="center"/>
                    <w:textAlignment w:val="center"/>
                    <w:rPr>
                      <w:rFonts w:hint="default" w:ascii="Times New Roman" w:hAnsi="Times New Roman" w:cs="Times New Roman"/>
                      <w:b/>
                      <w:bCs/>
                      <w:color w:val="000000"/>
                      <w:sz w:val="18"/>
                      <w:szCs w:val="18"/>
                    </w:rPr>
                  </w:pPr>
                  <w:r>
                    <w:rPr>
                      <w:rFonts w:hint="default" w:ascii="Times New Roman" w:hAnsi="Times New Roman" w:cs="Times New Roman"/>
                      <w:b/>
                      <w:bCs/>
                      <w:color w:val="000000"/>
                      <w:kern w:val="0"/>
                      <w:sz w:val="18"/>
                      <w:szCs w:val="18"/>
                      <w:lang w:bidi="ar"/>
                    </w:rPr>
                    <w:t>产生量</w:t>
                  </w:r>
                </w:p>
              </w:tc>
              <w:tc>
                <w:tcPr>
                  <w:tcW w:w="1040" w:type="dxa"/>
                  <w:noWrap w:val="0"/>
                  <w:vAlign w:val="center"/>
                </w:tcPr>
                <w:p w14:paraId="3C0D4408">
                  <w:pPr>
                    <w:widowControl/>
                    <w:jc w:val="center"/>
                    <w:textAlignment w:val="center"/>
                    <w:rPr>
                      <w:rFonts w:hint="default" w:ascii="Times New Roman" w:hAnsi="Times New Roman" w:cs="Times New Roman"/>
                      <w:b/>
                      <w:bCs/>
                      <w:color w:val="000000"/>
                      <w:sz w:val="18"/>
                      <w:szCs w:val="18"/>
                    </w:rPr>
                  </w:pPr>
                  <w:r>
                    <w:rPr>
                      <w:rFonts w:hint="default" w:ascii="Times New Roman" w:hAnsi="Times New Roman" w:cs="Times New Roman"/>
                      <w:b/>
                      <w:bCs/>
                      <w:color w:val="000000"/>
                      <w:kern w:val="0"/>
                      <w:sz w:val="18"/>
                      <w:szCs w:val="18"/>
                      <w:lang w:bidi="ar"/>
                    </w:rPr>
                    <w:t>废物类别</w:t>
                  </w:r>
                </w:p>
              </w:tc>
              <w:tc>
                <w:tcPr>
                  <w:tcW w:w="657" w:type="dxa"/>
                  <w:noWrap w:val="0"/>
                  <w:vAlign w:val="center"/>
                </w:tcPr>
                <w:p w14:paraId="5BE592D4">
                  <w:pPr>
                    <w:widowControl/>
                    <w:jc w:val="center"/>
                    <w:textAlignment w:val="center"/>
                    <w:rPr>
                      <w:rFonts w:hint="default" w:ascii="Times New Roman" w:hAnsi="Times New Roman" w:cs="Times New Roman"/>
                      <w:b/>
                      <w:bCs/>
                      <w:color w:val="000000"/>
                      <w:kern w:val="0"/>
                      <w:sz w:val="18"/>
                      <w:szCs w:val="18"/>
                      <w:lang w:bidi="ar"/>
                    </w:rPr>
                  </w:pPr>
                  <w:r>
                    <w:rPr>
                      <w:rFonts w:hint="default" w:ascii="Times New Roman" w:hAnsi="Times New Roman" w:cs="Times New Roman"/>
                      <w:b/>
                      <w:bCs/>
                      <w:color w:val="000000"/>
                      <w:kern w:val="0"/>
                      <w:sz w:val="18"/>
                      <w:szCs w:val="18"/>
                      <w:lang w:bidi="ar"/>
                    </w:rPr>
                    <w:t>有害物质名称</w:t>
                  </w:r>
                </w:p>
              </w:tc>
              <w:tc>
                <w:tcPr>
                  <w:tcW w:w="853" w:type="dxa"/>
                  <w:noWrap/>
                  <w:vAlign w:val="center"/>
                </w:tcPr>
                <w:p w14:paraId="5DED4770">
                  <w:pPr>
                    <w:widowControl/>
                    <w:jc w:val="center"/>
                    <w:textAlignment w:val="center"/>
                    <w:rPr>
                      <w:rFonts w:hint="default" w:ascii="Times New Roman" w:hAnsi="Times New Roman" w:cs="Times New Roman"/>
                      <w:b/>
                      <w:bCs/>
                      <w:color w:val="000000"/>
                      <w:kern w:val="0"/>
                      <w:sz w:val="18"/>
                      <w:szCs w:val="18"/>
                      <w:lang w:bidi="ar"/>
                    </w:rPr>
                  </w:pPr>
                  <w:r>
                    <w:rPr>
                      <w:rFonts w:hint="default" w:ascii="Times New Roman" w:hAnsi="Times New Roman" w:cs="Times New Roman"/>
                      <w:b/>
                      <w:bCs/>
                      <w:color w:val="000000"/>
                      <w:kern w:val="0"/>
                      <w:sz w:val="18"/>
                      <w:szCs w:val="18"/>
                      <w:lang w:bidi="ar"/>
                    </w:rPr>
                    <w:t>物理性状</w:t>
                  </w:r>
                </w:p>
              </w:tc>
              <w:tc>
                <w:tcPr>
                  <w:tcW w:w="705" w:type="dxa"/>
                  <w:noWrap/>
                  <w:vAlign w:val="center"/>
                </w:tcPr>
                <w:p w14:paraId="29C45A0E">
                  <w:pPr>
                    <w:widowControl/>
                    <w:jc w:val="center"/>
                    <w:textAlignment w:val="center"/>
                    <w:rPr>
                      <w:rFonts w:hint="default" w:ascii="Times New Roman" w:hAnsi="Times New Roman" w:cs="Times New Roman"/>
                      <w:b/>
                      <w:bCs/>
                      <w:color w:val="000000"/>
                      <w:kern w:val="0"/>
                      <w:sz w:val="18"/>
                      <w:szCs w:val="18"/>
                      <w:lang w:bidi="ar"/>
                    </w:rPr>
                  </w:pPr>
                  <w:r>
                    <w:rPr>
                      <w:rFonts w:hint="default" w:ascii="Times New Roman" w:hAnsi="Times New Roman" w:cs="Times New Roman"/>
                      <w:b/>
                      <w:bCs/>
                      <w:color w:val="000000"/>
                      <w:kern w:val="0"/>
                      <w:sz w:val="18"/>
                      <w:szCs w:val="18"/>
                      <w:lang w:bidi="ar"/>
                    </w:rPr>
                    <w:t>危险性</w:t>
                  </w:r>
                </w:p>
              </w:tc>
              <w:tc>
                <w:tcPr>
                  <w:tcW w:w="1215" w:type="dxa"/>
                  <w:noWrap/>
                  <w:vAlign w:val="center"/>
                </w:tcPr>
                <w:p w14:paraId="363B813A">
                  <w:pPr>
                    <w:widowControl/>
                    <w:jc w:val="center"/>
                    <w:textAlignment w:val="center"/>
                    <w:rPr>
                      <w:rFonts w:hint="default" w:ascii="Times New Roman" w:hAnsi="Times New Roman" w:cs="Times New Roman"/>
                      <w:b/>
                      <w:bCs/>
                      <w:color w:val="000000"/>
                      <w:kern w:val="0"/>
                      <w:sz w:val="18"/>
                      <w:szCs w:val="18"/>
                      <w:lang w:bidi="ar"/>
                    </w:rPr>
                  </w:pPr>
                  <w:r>
                    <w:rPr>
                      <w:rFonts w:hint="default" w:ascii="Times New Roman" w:hAnsi="Times New Roman" w:cs="Times New Roman"/>
                      <w:b/>
                      <w:bCs/>
                      <w:color w:val="000000"/>
                      <w:kern w:val="0"/>
                      <w:sz w:val="18"/>
                      <w:szCs w:val="18"/>
                      <w:lang w:bidi="ar"/>
                    </w:rPr>
                    <w:t>贮存方式</w:t>
                  </w:r>
                </w:p>
              </w:tc>
              <w:tc>
                <w:tcPr>
                  <w:tcW w:w="784" w:type="dxa"/>
                  <w:noWrap/>
                  <w:vAlign w:val="center"/>
                </w:tcPr>
                <w:p w14:paraId="104E0E4A">
                  <w:pPr>
                    <w:widowControl/>
                    <w:jc w:val="center"/>
                    <w:textAlignment w:val="center"/>
                    <w:rPr>
                      <w:rFonts w:hint="default" w:ascii="Times New Roman" w:hAnsi="Times New Roman" w:cs="Times New Roman"/>
                      <w:b/>
                      <w:bCs/>
                      <w:color w:val="000000"/>
                      <w:kern w:val="0"/>
                      <w:sz w:val="18"/>
                      <w:szCs w:val="18"/>
                      <w:lang w:bidi="ar"/>
                    </w:rPr>
                  </w:pPr>
                  <w:r>
                    <w:rPr>
                      <w:rFonts w:hint="default" w:ascii="Times New Roman" w:hAnsi="Times New Roman" w:cs="Times New Roman"/>
                      <w:b/>
                      <w:bCs/>
                      <w:color w:val="000000"/>
                      <w:kern w:val="0"/>
                      <w:sz w:val="18"/>
                      <w:szCs w:val="18"/>
                      <w:lang w:bidi="ar"/>
                    </w:rPr>
                    <w:t>利用或处置量</w:t>
                  </w:r>
                </w:p>
              </w:tc>
              <w:tc>
                <w:tcPr>
                  <w:tcW w:w="1093" w:type="dxa"/>
                  <w:noWrap w:val="0"/>
                  <w:vAlign w:val="center"/>
                </w:tcPr>
                <w:p w14:paraId="413DBDF4">
                  <w:pPr>
                    <w:widowControl/>
                    <w:jc w:val="center"/>
                    <w:textAlignment w:val="center"/>
                    <w:rPr>
                      <w:rFonts w:hint="default" w:ascii="Times New Roman" w:hAnsi="Times New Roman" w:cs="Times New Roman"/>
                      <w:b/>
                      <w:bCs/>
                      <w:color w:val="000000"/>
                      <w:sz w:val="18"/>
                      <w:szCs w:val="18"/>
                    </w:rPr>
                  </w:pPr>
                  <w:r>
                    <w:rPr>
                      <w:rFonts w:hint="default" w:ascii="Times New Roman" w:hAnsi="Times New Roman" w:cs="Times New Roman"/>
                      <w:b/>
                      <w:bCs/>
                      <w:color w:val="000000"/>
                      <w:kern w:val="0"/>
                      <w:sz w:val="18"/>
                      <w:szCs w:val="18"/>
                      <w:lang w:bidi="ar"/>
                    </w:rPr>
                    <w:t>处理措施及处理去向</w:t>
                  </w:r>
                </w:p>
              </w:tc>
            </w:tr>
            <w:tr w14:paraId="32BA02E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08" w:hRule="atLeast"/>
                <w:jc w:val="center"/>
              </w:trPr>
              <w:tc>
                <w:tcPr>
                  <w:tcW w:w="856" w:type="dxa"/>
                  <w:noWrap w:val="0"/>
                  <w:vAlign w:val="center"/>
                </w:tcPr>
                <w:p w14:paraId="69A8E1A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生活垃圾</w:t>
                  </w:r>
                </w:p>
              </w:tc>
              <w:tc>
                <w:tcPr>
                  <w:tcW w:w="893" w:type="dxa"/>
                  <w:noWrap w:val="0"/>
                  <w:vAlign w:val="center"/>
                </w:tcPr>
                <w:p w14:paraId="439E3C32">
                  <w:pPr>
                    <w:widowControl/>
                    <w:jc w:val="center"/>
                    <w:textAlignment w:val="center"/>
                    <w:rPr>
                      <w:rFonts w:hint="default" w:ascii="Times New Roman" w:hAnsi="Times New Roman" w:cs="Times New Roman"/>
                      <w:color w:val="000000"/>
                      <w:sz w:val="18"/>
                      <w:szCs w:val="18"/>
                    </w:rPr>
                  </w:pPr>
                  <w:r>
                    <w:rPr>
                      <w:rFonts w:hint="eastAsia" w:ascii="Times New Roman" w:hAnsi="Times New Roman" w:cs="Times New Roman"/>
                      <w:color w:val="000000"/>
                      <w:sz w:val="18"/>
                      <w:szCs w:val="18"/>
                      <w:lang w:val="en-US" w:eastAsia="zh-CN"/>
                    </w:rPr>
                    <w:t>2.52</w:t>
                  </w:r>
                  <w:r>
                    <w:rPr>
                      <w:rFonts w:hint="default" w:ascii="Times New Roman" w:hAnsi="Times New Roman" w:cs="Times New Roman"/>
                      <w:color w:val="000000"/>
                      <w:sz w:val="18"/>
                      <w:szCs w:val="18"/>
                    </w:rPr>
                    <w:t>t/a</w:t>
                  </w:r>
                </w:p>
              </w:tc>
              <w:tc>
                <w:tcPr>
                  <w:tcW w:w="1040" w:type="dxa"/>
                  <w:noWrap w:val="0"/>
                  <w:vAlign w:val="center"/>
                </w:tcPr>
                <w:p w14:paraId="22C90DE3">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一般固废</w:t>
                  </w:r>
                </w:p>
              </w:tc>
              <w:tc>
                <w:tcPr>
                  <w:tcW w:w="657" w:type="dxa"/>
                  <w:noWrap/>
                  <w:vAlign w:val="center"/>
                </w:tcPr>
                <w:p w14:paraId="6374AD65">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853" w:type="dxa"/>
                  <w:noWrap/>
                  <w:vAlign w:val="center"/>
                </w:tcPr>
                <w:p w14:paraId="337A83EC">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tc>
              <w:tc>
                <w:tcPr>
                  <w:tcW w:w="705" w:type="dxa"/>
                  <w:noWrap/>
                  <w:vAlign w:val="center"/>
                </w:tcPr>
                <w:p w14:paraId="77D5E1A3">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1215" w:type="dxa"/>
                  <w:noWrap/>
                  <w:vAlign w:val="center"/>
                </w:tcPr>
                <w:p w14:paraId="3DC68A3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生活垃圾暂存设施暂存</w:t>
                  </w:r>
                </w:p>
              </w:tc>
              <w:tc>
                <w:tcPr>
                  <w:tcW w:w="784" w:type="dxa"/>
                  <w:noWrap/>
                  <w:vAlign w:val="center"/>
                </w:tcPr>
                <w:p w14:paraId="6DF53AAF">
                  <w:pPr>
                    <w:widowControl/>
                    <w:jc w:val="center"/>
                    <w:textAlignment w:val="center"/>
                    <w:rPr>
                      <w:rFonts w:hint="default" w:ascii="Times New Roman" w:hAnsi="Times New Roman" w:cs="Times New Roman"/>
                      <w:color w:val="000000"/>
                      <w:sz w:val="18"/>
                      <w:szCs w:val="18"/>
                    </w:rPr>
                  </w:pPr>
                  <w:r>
                    <w:rPr>
                      <w:rFonts w:hint="eastAsia" w:ascii="Times New Roman" w:hAnsi="Times New Roman" w:cs="Times New Roman"/>
                      <w:color w:val="000000"/>
                      <w:sz w:val="18"/>
                      <w:szCs w:val="18"/>
                      <w:lang w:val="en-US" w:eastAsia="zh-CN"/>
                    </w:rPr>
                    <w:t>2.52</w:t>
                  </w:r>
                  <w:r>
                    <w:rPr>
                      <w:rFonts w:hint="default" w:ascii="Times New Roman" w:hAnsi="Times New Roman" w:cs="Times New Roman"/>
                      <w:color w:val="000000"/>
                      <w:sz w:val="18"/>
                      <w:szCs w:val="18"/>
                    </w:rPr>
                    <w:t>t/a</w:t>
                  </w:r>
                </w:p>
              </w:tc>
              <w:tc>
                <w:tcPr>
                  <w:tcW w:w="1093" w:type="dxa"/>
                  <w:noWrap w:val="0"/>
                  <w:vAlign w:val="center"/>
                </w:tcPr>
                <w:p w14:paraId="7881C3B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交由环卫部门处置</w:t>
                  </w:r>
                </w:p>
              </w:tc>
            </w:tr>
            <w:tr w14:paraId="608D60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49" w:hRule="atLeast"/>
                <w:jc w:val="center"/>
              </w:trPr>
              <w:tc>
                <w:tcPr>
                  <w:tcW w:w="856" w:type="dxa"/>
                  <w:noWrap w:val="0"/>
                  <w:vAlign w:val="center"/>
                </w:tcPr>
                <w:p w14:paraId="22E725BA">
                  <w:pPr>
                    <w:widowControl/>
                    <w:jc w:val="center"/>
                    <w:textAlignment w:val="center"/>
                    <w:rPr>
                      <w:rFonts w:hint="default" w:ascii="Times New Roman" w:hAnsi="Times New Roman" w:cs="Times New Roman"/>
                      <w:color w:val="000000"/>
                      <w:sz w:val="18"/>
                      <w:szCs w:val="18"/>
                    </w:rPr>
                  </w:pPr>
                  <w:r>
                    <w:rPr>
                      <w:rFonts w:hint="eastAsia" w:cs="Times New Roman"/>
                      <w:color w:val="000000"/>
                      <w:sz w:val="18"/>
                      <w:szCs w:val="18"/>
                      <w:lang w:eastAsia="zh-CN"/>
                    </w:rPr>
                    <w:t>沉淀池泥沙</w:t>
                  </w:r>
                </w:p>
              </w:tc>
              <w:tc>
                <w:tcPr>
                  <w:tcW w:w="893" w:type="dxa"/>
                  <w:noWrap w:val="0"/>
                  <w:vAlign w:val="center"/>
                </w:tcPr>
                <w:p w14:paraId="7BB8C125">
                  <w:pPr>
                    <w:widowControl/>
                    <w:jc w:val="center"/>
                    <w:textAlignment w:val="center"/>
                    <w:rPr>
                      <w:rFonts w:hint="default" w:ascii="Times New Roman" w:hAnsi="Times New Roman" w:eastAsia="宋体" w:cs="Times New Roman"/>
                      <w:color w:val="000000"/>
                      <w:sz w:val="18"/>
                      <w:szCs w:val="18"/>
                      <w:lang w:eastAsia="zh-CN"/>
                    </w:rPr>
                  </w:pPr>
                  <w:r>
                    <w:rPr>
                      <w:rFonts w:hint="eastAsia" w:cs="Times New Roman"/>
                      <w:color w:val="000000"/>
                      <w:sz w:val="18"/>
                      <w:szCs w:val="18"/>
                      <w:lang w:val="en-US" w:eastAsia="zh-CN"/>
                    </w:rPr>
                    <w:t>1.01万</w:t>
                  </w:r>
                  <w:r>
                    <w:rPr>
                      <w:rFonts w:hint="default" w:ascii="Times New Roman" w:hAnsi="Times New Roman" w:cs="Times New Roman"/>
                      <w:color w:val="000000"/>
                      <w:sz w:val="18"/>
                      <w:szCs w:val="18"/>
                      <w:lang w:eastAsia="zh-CN"/>
                    </w:rPr>
                    <w:t>t/a</w:t>
                  </w:r>
                </w:p>
              </w:tc>
              <w:tc>
                <w:tcPr>
                  <w:tcW w:w="1040" w:type="dxa"/>
                  <w:noWrap w:val="0"/>
                  <w:vAlign w:val="center"/>
                </w:tcPr>
                <w:p w14:paraId="715D5579">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一般固废</w:t>
                  </w:r>
                </w:p>
              </w:tc>
              <w:tc>
                <w:tcPr>
                  <w:tcW w:w="657" w:type="dxa"/>
                  <w:noWrap/>
                  <w:vAlign w:val="center"/>
                </w:tcPr>
                <w:p w14:paraId="09B884E5">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853" w:type="dxa"/>
                  <w:noWrap/>
                  <w:vAlign w:val="center"/>
                </w:tcPr>
                <w:p w14:paraId="043E66D8">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tc>
              <w:tc>
                <w:tcPr>
                  <w:tcW w:w="705" w:type="dxa"/>
                  <w:noWrap/>
                  <w:vAlign w:val="center"/>
                </w:tcPr>
                <w:p w14:paraId="4A16F2D4">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1215" w:type="dxa"/>
                  <w:noWrap/>
                  <w:vAlign w:val="center"/>
                </w:tcPr>
                <w:p w14:paraId="7BC58C9C">
                  <w:pPr>
                    <w:widowControl/>
                    <w:jc w:val="center"/>
                    <w:textAlignment w:val="center"/>
                    <w:rPr>
                      <w:rFonts w:hint="eastAsia" w:ascii="Times New Roman" w:hAnsi="Times New Roman" w:eastAsia="宋体" w:cs="Times New Roman"/>
                      <w:color w:val="000000"/>
                      <w:sz w:val="18"/>
                      <w:szCs w:val="18"/>
                      <w:lang w:eastAsia="zh-CN"/>
                    </w:rPr>
                  </w:pPr>
                  <w:r>
                    <w:rPr>
                      <w:rFonts w:hint="eastAsia" w:cs="Times New Roman"/>
                      <w:color w:val="000000"/>
                      <w:sz w:val="18"/>
                      <w:szCs w:val="18"/>
                      <w:lang w:eastAsia="zh-CN"/>
                    </w:rPr>
                    <w:t>压滤后暂存于泥饼堆场</w:t>
                  </w:r>
                </w:p>
              </w:tc>
              <w:tc>
                <w:tcPr>
                  <w:tcW w:w="784" w:type="dxa"/>
                  <w:noWrap/>
                  <w:vAlign w:val="center"/>
                </w:tcPr>
                <w:p w14:paraId="2D56A052">
                  <w:pPr>
                    <w:widowControl/>
                    <w:jc w:val="center"/>
                    <w:textAlignment w:val="center"/>
                    <w:rPr>
                      <w:rFonts w:hint="default" w:ascii="Times New Roman" w:hAnsi="Times New Roman" w:eastAsia="宋体" w:cs="Times New Roman"/>
                      <w:color w:val="000000"/>
                      <w:sz w:val="18"/>
                      <w:szCs w:val="18"/>
                      <w:lang w:eastAsia="zh-CN"/>
                    </w:rPr>
                  </w:pPr>
                  <w:r>
                    <w:rPr>
                      <w:rFonts w:hint="eastAsia" w:cs="Times New Roman"/>
                      <w:color w:val="000000"/>
                      <w:sz w:val="18"/>
                      <w:szCs w:val="18"/>
                      <w:lang w:val="en-US" w:eastAsia="zh-CN"/>
                    </w:rPr>
                    <w:t>1.01万</w:t>
                  </w:r>
                  <w:r>
                    <w:rPr>
                      <w:rFonts w:hint="default" w:ascii="Times New Roman" w:hAnsi="Times New Roman" w:cs="Times New Roman"/>
                      <w:color w:val="000000"/>
                      <w:sz w:val="18"/>
                      <w:szCs w:val="18"/>
                      <w:lang w:eastAsia="zh-CN"/>
                    </w:rPr>
                    <w:t>t/a</w:t>
                  </w:r>
                </w:p>
              </w:tc>
              <w:tc>
                <w:tcPr>
                  <w:tcW w:w="1093" w:type="dxa"/>
                  <w:noWrap w:val="0"/>
                  <w:vAlign w:val="center"/>
                </w:tcPr>
                <w:p w14:paraId="3D316FB8">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在符合相关标准的前提下用于筑路回填、土地复耕、绿化等</w:t>
                  </w:r>
                </w:p>
              </w:tc>
            </w:tr>
            <w:tr w14:paraId="5EC361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0" w:hRule="atLeast"/>
                <w:jc w:val="center"/>
              </w:trPr>
              <w:tc>
                <w:tcPr>
                  <w:tcW w:w="856" w:type="dxa"/>
                  <w:noWrap w:val="0"/>
                  <w:vAlign w:val="center"/>
                </w:tcPr>
                <w:p w14:paraId="5B4C0117">
                  <w:pPr>
                    <w:widowControl/>
                    <w:jc w:val="center"/>
                    <w:textAlignment w:val="center"/>
                    <w:rPr>
                      <w:rFonts w:hint="eastAsia" w:ascii="Times New Roman" w:hAnsi="Times New Roman" w:cs="Times New Roman"/>
                      <w:color w:val="000000"/>
                      <w:sz w:val="18"/>
                      <w:szCs w:val="18"/>
                      <w:lang w:eastAsia="zh-CN"/>
                    </w:rPr>
                  </w:pPr>
                  <w:r>
                    <w:rPr>
                      <w:rFonts w:hint="default" w:ascii="Times New Roman" w:hAnsi="Times New Roman" w:cs="Times New Roman"/>
                      <w:color w:val="000000"/>
                      <w:sz w:val="18"/>
                      <w:szCs w:val="18"/>
                    </w:rPr>
                    <w:t>废</w:t>
                  </w:r>
                  <w:r>
                    <w:rPr>
                      <w:rFonts w:hint="eastAsia" w:ascii="Times New Roman" w:hAnsi="Times New Roman" w:cs="Times New Roman"/>
                      <w:color w:val="000000"/>
                      <w:sz w:val="18"/>
                      <w:szCs w:val="18"/>
                      <w:lang w:eastAsia="zh-CN"/>
                    </w:rPr>
                    <w:t>包装袋</w:t>
                  </w:r>
                </w:p>
              </w:tc>
              <w:tc>
                <w:tcPr>
                  <w:tcW w:w="893" w:type="dxa"/>
                  <w:noWrap w:val="0"/>
                  <w:vAlign w:val="center"/>
                </w:tcPr>
                <w:p w14:paraId="7FEBB582">
                  <w:pPr>
                    <w:widowControl/>
                    <w:jc w:val="center"/>
                    <w:textAlignment w:val="center"/>
                    <w:rPr>
                      <w:rFonts w:hint="default" w:ascii="Times New Roman" w:hAnsi="Times New Roman" w:cs="Times New Roman"/>
                      <w:color w:val="000000"/>
                      <w:sz w:val="18"/>
                      <w:szCs w:val="18"/>
                    </w:rPr>
                  </w:pPr>
                  <w:r>
                    <w:rPr>
                      <w:rFonts w:hint="eastAsia" w:cs="Times New Roman"/>
                      <w:color w:val="000000"/>
                      <w:sz w:val="18"/>
                      <w:szCs w:val="18"/>
                      <w:lang w:val="en-US" w:eastAsia="zh-CN"/>
                    </w:rPr>
                    <w:t>0.2</w:t>
                  </w:r>
                  <w:r>
                    <w:rPr>
                      <w:rFonts w:hint="default" w:ascii="Times New Roman" w:hAnsi="Times New Roman" w:cs="Times New Roman"/>
                      <w:color w:val="000000"/>
                      <w:sz w:val="18"/>
                      <w:szCs w:val="18"/>
                    </w:rPr>
                    <w:t>t/a</w:t>
                  </w:r>
                </w:p>
              </w:tc>
              <w:tc>
                <w:tcPr>
                  <w:tcW w:w="1040" w:type="dxa"/>
                  <w:noWrap w:val="0"/>
                  <w:vAlign w:val="center"/>
                </w:tcPr>
                <w:p w14:paraId="4733CC42">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一般固废</w:t>
                  </w:r>
                </w:p>
              </w:tc>
              <w:tc>
                <w:tcPr>
                  <w:tcW w:w="657" w:type="dxa"/>
                  <w:noWrap/>
                  <w:vAlign w:val="center"/>
                </w:tcPr>
                <w:p w14:paraId="0E8DCB70">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853" w:type="dxa"/>
                  <w:noWrap/>
                  <w:vAlign w:val="center"/>
                </w:tcPr>
                <w:p w14:paraId="2F0AD626">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tc>
              <w:tc>
                <w:tcPr>
                  <w:tcW w:w="705" w:type="dxa"/>
                  <w:noWrap/>
                  <w:vAlign w:val="center"/>
                </w:tcPr>
                <w:p w14:paraId="293C8E13">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1215" w:type="dxa"/>
                  <w:noWrap/>
                  <w:vAlign w:val="center"/>
                </w:tcPr>
                <w:p w14:paraId="768968B6">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一般固废暂存间暂存</w:t>
                  </w:r>
                </w:p>
              </w:tc>
              <w:tc>
                <w:tcPr>
                  <w:tcW w:w="784" w:type="dxa"/>
                  <w:noWrap/>
                  <w:vAlign w:val="center"/>
                </w:tcPr>
                <w:p w14:paraId="7CA4C98B">
                  <w:pPr>
                    <w:widowControl/>
                    <w:jc w:val="center"/>
                    <w:textAlignment w:val="center"/>
                    <w:rPr>
                      <w:rFonts w:hint="default" w:ascii="Times New Roman" w:hAnsi="Times New Roman" w:cs="Times New Roman"/>
                      <w:color w:val="auto"/>
                      <w:sz w:val="18"/>
                      <w:szCs w:val="18"/>
                    </w:rPr>
                  </w:pPr>
                  <w:r>
                    <w:rPr>
                      <w:rFonts w:hint="eastAsia" w:cs="Times New Roman"/>
                      <w:color w:val="auto"/>
                      <w:sz w:val="18"/>
                      <w:szCs w:val="18"/>
                      <w:lang w:val="en-US" w:eastAsia="zh-CN"/>
                    </w:rPr>
                    <w:t>0.2</w:t>
                  </w:r>
                  <w:r>
                    <w:rPr>
                      <w:rFonts w:hint="default" w:ascii="Times New Roman" w:hAnsi="Times New Roman" w:cs="Times New Roman"/>
                      <w:color w:val="auto"/>
                      <w:sz w:val="18"/>
                      <w:szCs w:val="18"/>
                    </w:rPr>
                    <w:t>t/a</w:t>
                  </w:r>
                </w:p>
              </w:tc>
              <w:tc>
                <w:tcPr>
                  <w:tcW w:w="1093" w:type="dxa"/>
                  <w:noWrap w:val="0"/>
                  <w:vAlign w:val="center"/>
                </w:tcPr>
                <w:p w14:paraId="11982411">
                  <w:pPr>
                    <w:widowControl/>
                    <w:jc w:val="center"/>
                    <w:textAlignment w:val="center"/>
                    <w:rPr>
                      <w:rFonts w:hint="eastAsia"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rPr>
                    <w:t>交由环卫部门处置</w:t>
                  </w:r>
                </w:p>
              </w:tc>
            </w:tr>
            <w:tr w14:paraId="770D0D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08" w:hRule="atLeast"/>
                <w:jc w:val="center"/>
              </w:trPr>
              <w:tc>
                <w:tcPr>
                  <w:tcW w:w="856" w:type="dxa"/>
                  <w:noWrap w:val="0"/>
                  <w:vAlign w:val="center"/>
                </w:tcPr>
                <w:p w14:paraId="6A2F2AB0">
                  <w:pPr>
                    <w:widowControl/>
                    <w:jc w:val="center"/>
                    <w:textAlignment w:val="center"/>
                    <w:rPr>
                      <w:rFonts w:hint="eastAsia" w:ascii="Times New Roman" w:hAnsi="Times New Roman" w:eastAsia="宋体" w:cs="Times New Roman"/>
                      <w:color w:val="000000"/>
                      <w:sz w:val="18"/>
                      <w:szCs w:val="18"/>
                      <w:lang w:eastAsia="zh-CN"/>
                    </w:rPr>
                  </w:pPr>
                  <w:r>
                    <w:rPr>
                      <w:rFonts w:hint="default" w:ascii="Times New Roman" w:hAnsi="Times New Roman" w:cs="Times New Roman"/>
                      <w:color w:val="000000"/>
                      <w:sz w:val="18"/>
                      <w:szCs w:val="18"/>
                    </w:rPr>
                    <w:t>化粪池</w:t>
                  </w:r>
                  <w:r>
                    <w:rPr>
                      <w:rFonts w:hint="eastAsia" w:cs="Times New Roman"/>
                      <w:color w:val="000000"/>
                      <w:sz w:val="18"/>
                      <w:szCs w:val="18"/>
                      <w:lang w:eastAsia="zh-CN"/>
                    </w:rPr>
                    <w:t>污</w:t>
                  </w:r>
                  <w:r>
                    <w:rPr>
                      <w:rFonts w:hint="eastAsia" w:ascii="Times New Roman" w:hAnsi="Times New Roman" w:cs="Times New Roman"/>
                      <w:color w:val="000000"/>
                      <w:sz w:val="18"/>
                      <w:szCs w:val="18"/>
                      <w:lang w:eastAsia="zh-CN"/>
                    </w:rPr>
                    <w:t>泥</w:t>
                  </w:r>
                </w:p>
              </w:tc>
              <w:tc>
                <w:tcPr>
                  <w:tcW w:w="893" w:type="dxa"/>
                  <w:noWrap w:val="0"/>
                  <w:vAlign w:val="center"/>
                </w:tcPr>
                <w:p w14:paraId="282D462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0.2t/a</w:t>
                  </w:r>
                </w:p>
              </w:tc>
              <w:tc>
                <w:tcPr>
                  <w:tcW w:w="1040" w:type="dxa"/>
                  <w:noWrap w:val="0"/>
                  <w:vAlign w:val="center"/>
                </w:tcPr>
                <w:p w14:paraId="06C20A53">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一般固废</w:t>
                  </w:r>
                </w:p>
              </w:tc>
              <w:tc>
                <w:tcPr>
                  <w:tcW w:w="657" w:type="dxa"/>
                  <w:noWrap/>
                  <w:vAlign w:val="center"/>
                </w:tcPr>
                <w:p w14:paraId="01050893">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853" w:type="dxa"/>
                  <w:noWrap/>
                  <w:vAlign w:val="center"/>
                </w:tcPr>
                <w:p w14:paraId="28A2BF80">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tc>
              <w:tc>
                <w:tcPr>
                  <w:tcW w:w="705" w:type="dxa"/>
                  <w:noWrap/>
                  <w:vAlign w:val="center"/>
                </w:tcPr>
                <w:p w14:paraId="3F06EC57">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w:t>
                  </w:r>
                </w:p>
              </w:tc>
              <w:tc>
                <w:tcPr>
                  <w:tcW w:w="1215" w:type="dxa"/>
                  <w:noWrap/>
                  <w:vAlign w:val="center"/>
                </w:tcPr>
                <w:p w14:paraId="3BB6BFED">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清掏后</w:t>
                  </w:r>
                  <w:r>
                    <w:rPr>
                      <w:rFonts w:hint="eastAsia" w:ascii="Times New Roman" w:hAnsi="Times New Roman" w:cs="Times New Roman"/>
                      <w:color w:val="auto"/>
                      <w:sz w:val="18"/>
                      <w:szCs w:val="18"/>
                      <w:lang w:eastAsia="zh-CN"/>
                    </w:rPr>
                    <w:t>环卫部门处置</w:t>
                  </w:r>
                  <w:r>
                    <w:rPr>
                      <w:rFonts w:hint="default" w:ascii="Times New Roman" w:hAnsi="Times New Roman" w:cs="Times New Roman"/>
                      <w:color w:val="auto"/>
                      <w:sz w:val="18"/>
                      <w:szCs w:val="18"/>
                    </w:rPr>
                    <w:t>，不暂存</w:t>
                  </w:r>
                </w:p>
              </w:tc>
              <w:tc>
                <w:tcPr>
                  <w:tcW w:w="784" w:type="dxa"/>
                  <w:noWrap/>
                  <w:vAlign w:val="center"/>
                </w:tcPr>
                <w:p w14:paraId="37D38A5D">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0.2t/a</w:t>
                  </w:r>
                </w:p>
              </w:tc>
              <w:tc>
                <w:tcPr>
                  <w:tcW w:w="1093" w:type="dxa"/>
                  <w:noWrap w:val="0"/>
                  <w:vAlign w:val="center"/>
                </w:tcPr>
                <w:p w14:paraId="27563C18">
                  <w:pPr>
                    <w:widowControl/>
                    <w:jc w:val="center"/>
                    <w:textAlignment w:val="center"/>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 xml:space="preserve">清掏后用于林地施肥 </w:t>
                  </w:r>
                </w:p>
              </w:tc>
            </w:tr>
            <w:tr w14:paraId="4AB9B28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92" w:hRule="atLeast"/>
                <w:jc w:val="center"/>
              </w:trPr>
              <w:tc>
                <w:tcPr>
                  <w:tcW w:w="856" w:type="dxa"/>
                  <w:noWrap w:val="0"/>
                  <w:vAlign w:val="center"/>
                </w:tcPr>
                <w:p w14:paraId="29EEE50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废润滑油</w:t>
                  </w:r>
                </w:p>
              </w:tc>
              <w:tc>
                <w:tcPr>
                  <w:tcW w:w="893" w:type="dxa"/>
                  <w:noWrap w:val="0"/>
                  <w:vAlign w:val="center"/>
                </w:tcPr>
                <w:p w14:paraId="02E2F517">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0.05t/a</w:t>
                  </w:r>
                </w:p>
              </w:tc>
              <w:tc>
                <w:tcPr>
                  <w:tcW w:w="1040" w:type="dxa"/>
                  <w:noWrap w:val="0"/>
                  <w:vAlign w:val="center"/>
                </w:tcPr>
                <w:p w14:paraId="4079E17A">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危险废物</w:t>
                  </w:r>
                </w:p>
                <w:p w14:paraId="5EC2723A">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(HW08900-217-08)</w:t>
                  </w:r>
                </w:p>
              </w:tc>
              <w:tc>
                <w:tcPr>
                  <w:tcW w:w="657" w:type="dxa"/>
                  <w:noWrap/>
                  <w:vAlign w:val="center"/>
                </w:tcPr>
                <w:p w14:paraId="07CE390C">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矿物油</w:t>
                  </w:r>
                </w:p>
              </w:tc>
              <w:tc>
                <w:tcPr>
                  <w:tcW w:w="853" w:type="dxa"/>
                  <w:noWrap/>
                  <w:vAlign w:val="center"/>
                </w:tcPr>
                <w:p w14:paraId="50E5C67D">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液体</w:t>
                  </w:r>
                </w:p>
              </w:tc>
              <w:tc>
                <w:tcPr>
                  <w:tcW w:w="705" w:type="dxa"/>
                  <w:noWrap/>
                  <w:vAlign w:val="center"/>
                </w:tcPr>
                <w:p w14:paraId="2DC51C5B">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T,I</w:t>
                  </w:r>
                </w:p>
              </w:tc>
              <w:tc>
                <w:tcPr>
                  <w:tcW w:w="1215" w:type="dxa"/>
                  <w:noWrap/>
                  <w:vAlign w:val="center"/>
                </w:tcPr>
                <w:p w14:paraId="4A857D2D">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危废间暂存</w:t>
                  </w:r>
                </w:p>
              </w:tc>
              <w:tc>
                <w:tcPr>
                  <w:tcW w:w="784" w:type="dxa"/>
                  <w:noWrap/>
                  <w:vAlign w:val="center"/>
                </w:tcPr>
                <w:p w14:paraId="670F9DB0">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0.05t/a</w:t>
                  </w:r>
                </w:p>
              </w:tc>
              <w:tc>
                <w:tcPr>
                  <w:tcW w:w="1093" w:type="dxa"/>
                  <w:noWrap w:val="0"/>
                  <w:vAlign w:val="center"/>
                </w:tcPr>
                <w:p w14:paraId="43F997A2">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交由资质单位处置</w:t>
                  </w:r>
                </w:p>
              </w:tc>
            </w:tr>
            <w:tr w14:paraId="5B8B08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92" w:hRule="atLeast"/>
                <w:jc w:val="center"/>
              </w:trPr>
              <w:tc>
                <w:tcPr>
                  <w:tcW w:w="856" w:type="dxa"/>
                  <w:noWrap w:val="0"/>
                  <w:vAlign w:val="center"/>
                </w:tcPr>
                <w:p w14:paraId="5223B96C">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废润滑油桶</w:t>
                  </w:r>
                </w:p>
              </w:tc>
              <w:tc>
                <w:tcPr>
                  <w:tcW w:w="893" w:type="dxa"/>
                  <w:noWrap w:val="0"/>
                  <w:vAlign w:val="center"/>
                </w:tcPr>
                <w:p w14:paraId="3C66119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c>
                <w:tcPr>
                  <w:tcW w:w="1040" w:type="dxa"/>
                  <w:noWrap w:val="0"/>
                  <w:vAlign w:val="center"/>
                </w:tcPr>
                <w:p w14:paraId="0BCB46CB">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危险废物</w:t>
                  </w:r>
                </w:p>
                <w:p w14:paraId="08CAFD1F">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(HW08900-218-08)</w:t>
                  </w:r>
                </w:p>
              </w:tc>
              <w:tc>
                <w:tcPr>
                  <w:tcW w:w="657" w:type="dxa"/>
                  <w:noWrap/>
                  <w:vAlign w:val="center"/>
                </w:tcPr>
                <w:p w14:paraId="29C5CA59">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矿物油</w:t>
                  </w:r>
                </w:p>
              </w:tc>
              <w:tc>
                <w:tcPr>
                  <w:tcW w:w="853" w:type="dxa"/>
                  <w:noWrap/>
                  <w:vAlign w:val="center"/>
                </w:tcPr>
                <w:p w14:paraId="0CF8AAB8">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tc>
              <w:tc>
                <w:tcPr>
                  <w:tcW w:w="705" w:type="dxa"/>
                  <w:noWrap/>
                  <w:vAlign w:val="center"/>
                </w:tcPr>
                <w:p w14:paraId="456E6BD2">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T,I</w:t>
                  </w:r>
                </w:p>
              </w:tc>
              <w:tc>
                <w:tcPr>
                  <w:tcW w:w="1215" w:type="dxa"/>
                  <w:noWrap/>
                  <w:vAlign w:val="center"/>
                </w:tcPr>
                <w:p w14:paraId="131BFFA7">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危废间暂存</w:t>
                  </w:r>
                </w:p>
              </w:tc>
              <w:tc>
                <w:tcPr>
                  <w:tcW w:w="784" w:type="dxa"/>
                  <w:noWrap/>
                  <w:vAlign w:val="center"/>
                </w:tcPr>
                <w:p w14:paraId="22591CE8">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c>
                <w:tcPr>
                  <w:tcW w:w="1093" w:type="dxa"/>
                  <w:noWrap w:val="0"/>
                  <w:vAlign w:val="center"/>
                </w:tcPr>
                <w:p w14:paraId="5EAC4E6B">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交由资质单位处置</w:t>
                  </w:r>
                </w:p>
              </w:tc>
            </w:tr>
            <w:tr w14:paraId="4168F93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92" w:hRule="atLeast"/>
                <w:jc w:val="center"/>
              </w:trPr>
              <w:tc>
                <w:tcPr>
                  <w:tcW w:w="856" w:type="dxa"/>
                  <w:noWrap w:val="0"/>
                  <w:vAlign w:val="center"/>
                </w:tcPr>
                <w:p w14:paraId="7ABFC290">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废含油手套及抹布</w:t>
                  </w:r>
                </w:p>
              </w:tc>
              <w:tc>
                <w:tcPr>
                  <w:tcW w:w="893" w:type="dxa"/>
                  <w:noWrap w:val="0"/>
                  <w:vAlign w:val="center"/>
                </w:tcPr>
                <w:p w14:paraId="4AC982E9">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c>
                <w:tcPr>
                  <w:tcW w:w="1040" w:type="dxa"/>
                  <w:noWrap w:val="0"/>
                  <w:vAlign w:val="center"/>
                </w:tcPr>
                <w:p w14:paraId="0DE96375">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危险废物</w:t>
                  </w:r>
                </w:p>
                <w:p w14:paraId="5B70FA4C">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(HW49900-041-49)</w:t>
                  </w:r>
                </w:p>
              </w:tc>
              <w:tc>
                <w:tcPr>
                  <w:tcW w:w="657" w:type="dxa"/>
                  <w:noWrap/>
                  <w:vAlign w:val="center"/>
                </w:tcPr>
                <w:p w14:paraId="5E0677D1">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矿物油</w:t>
                  </w:r>
                </w:p>
              </w:tc>
              <w:tc>
                <w:tcPr>
                  <w:tcW w:w="853" w:type="dxa"/>
                  <w:noWrap/>
                  <w:vAlign w:val="center"/>
                </w:tcPr>
                <w:p w14:paraId="16AF6130">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固体</w:t>
                  </w:r>
                </w:p>
              </w:tc>
              <w:tc>
                <w:tcPr>
                  <w:tcW w:w="705" w:type="dxa"/>
                  <w:noWrap/>
                  <w:vAlign w:val="center"/>
                </w:tcPr>
                <w:p w14:paraId="3401883D">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T,In</w:t>
                  </w:r>
                </w:p>
              </w:tc>
              <w:tc>
                <w:tcPr>
                  <w:tcW w:w="1215" w:type="dxa"/>
                  <w:noWrap/>
                  <w:vAlign w:val="center"/>
                </w:tcPr>
                <w:p w14:paraId="116F829D">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危废间暂存</w:t>
                  </w:r>
                </w:p>
              </w:tc>
              <w:tc>
                <w:tcPr>
                  <w:tcW w:w="784" w:type="dxa"/>
                  <w:noWrap/>
                  <w:vAlign w:val="center"/>
                </w:tcPr>
                <w:p w14:paraId="12BC7ACC">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c>
                <w:tcPr>
                  <w:tcW w:w="1093" w:type="dxa"/>
                  <w:noWrap w:val="0"/>
                  <w:vAlign w:val="center"/>
                </w:tcPr>
                <w:p w14:paraId="710E6A6C">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交由资质单位处置</w:t>
                  </w:r>
                </w:p>
              </w:tc>
            </w:tr>
          </w:tbl>
          <w:p w14:paraId="40C9F08F">
            <w:pPr>
              <w:pStyle w:val="2"/>
              <w:rPr>
                <w:rFonts w:hint="default" w:ascii="Times New Roman" w:hAnsi="Times New Roman" w:cs="Times New Roman"/>
              </w:rPr>
            </w:pPr>
            <w:r>
              <w:rPr>
                <w:rFonts w:hint="default" w:ascii="Times New Roman" w:hAnsi="Times New Roman" w:cs="Times New Roman"/>
                <w:b/>
                <w:bCs/>
                <w:sz w:val="24"/>
                <w:szCs w:val="22"/>
              </w:rPr>
              <w:t>（3）固废环境管理要求</w:t>
            </w:r>
          </w:p>
          <w:p w14:paraId="2ACB01BA">
            <w:pPr>
              <w:spacing w:line="420" w:lineRule="auto"/>
              <w:ind w:firstLine="480" w:firstLineChars="200"/>
              <w:rPr>
                <w:rFonts w:hint="default" w:eastAsia="宋体"/>
                <w:color w:val="auto"/>
                <w:sz w:val="24"/>
                <w:szCs w:val="22"/>
                <w:lang w:val="en-US" w:eastAsia="zh-CN"/>
              </w:rPr>
            </w:pPr>
            <w:r>
              <w:rPr>
                <w:color w:val="auto"/>
                <w:sz w:val="24"/>
                <w:szCs w:val="22"/>
              </w:rPr>
              <w:t>依据国家相关法律法规，一般固废暂存间</w:t>
            </w:r>
            <w:r>
              <w:rPr>
                <w:rFonts w:hint="eastAsia"/>
                <w:color w:val="auto"/>
                <w:sz w:val="24"/>
                <w:szCs w:val="22"/>
              </w:rPr>
              <w:t>采用库房、包装工具（罐、桶、包装袋等）贮存一般工业固体废物的，贮存过程应满足相应防渗漏、防雨淋、防扬尘等环境保护要求；危险废物和生活垃圾不得进入一般工业固体废物贮存场；不相容的一般工业固体废物应设置不同的分区进行贮存；贮存场应设置清晰、完整的一般工业固体废物标志牌等。</w:t>
            </w:r>
            <w:r>
              <w:rPr>
                <w:rFonts w:hint="eastAsia"/>
                <w:color w:val="auto"/>
                <w:sz w:val="24"/>
                <w:szCs w:val="22"/>
                <w:lang w:val="en-US" w:eastAsia="zh-CN"/>
              </w:rPr>
              <w:t>建设单位</w:t>
            </w:r>
            <w:r>
              <w:rPr>
                <w:rFonts w:hint="eastAsia"/>
                <w:color w:val="auto"/>
                <w:sz w:val="24"/>
                <w:szCs w:val="22"/>
              </w:rPr>
              <w:t>生产运营期间一般工业固体废物自行贮存/利用/处置设施的环境管理和相关设施运行维护要求还应符合GB15562.2、GB18599、GB30485和HJ2035等相关标准规范要求</w:t>
            </w:r>
            <w:r>
              <w:rPr>
                <w:color w:val="auto"/>
                <w:sz w:val="24"/>
                <w:szCs w:val="22"/>
              </w:rPr>
              <w:t>，并按照《一般工业固体废物管理台账制定指南（试行）》（生态环境部公告2021年82号）的相关要求做好一般固废的管理台账，并合法处置一般工业固废。</w:t>
            </w:r>
            <w:r>
              <w:rPr>
                <w:rFonts w:hint="eastAsia"/>
                <w:color w:val="auto"/>
                <w:sz w:val="24"/>
                <w:szCs w:val="22"/>
                <w:lang w:val="en-US" w:eastAsia="zh-CN"/>
              </w:rPr>
              <w:t>建设单位委托他人运输、利用、处置一般工业固体废物的，应落实《中华人民共和国固体废物污染环境防治法》等法律法规要求，对受托方的主体资格和技术能力进行核实，依法签订书面合同，在合同中约定污染防治要求等。</w:t>
            </w:r>
          </w:p>
          <w:p w14:paraId="44623891">
            <w:pPr>
              <w:spacing w:line="420" w:lineRule="auto"/>
              <w:ind w:firstLine="480" w:firstLineChars="200"/>
              <w:rPr>
                <w:rFonts w:hint="default" w:ascii="Times New Roman" w:hAnsi="Times New Roman" w:cs="Times New Roman"/>
                <w:color w:val="auto"/>
                <w:sz w:val="24"/>
                <w:szCs w:val="22"/>
                <w:highlight w:val="none"/>
              </w:rPr>
            </w:pPr>
            <w:r>
              <w:rPr>
                <w:rFonts w:hint="default" w:ascii="Times New Roman" w:hAnsi="Times New Roman" w:cs="Times New Roman"/>
                <w:color w:val="auto"/>
                <w:sz w:val="24"/>
                <w:szCs w:val="22"/>
                <w:highlight w:val="none"/>
              </w:rPr>
              <w:t>危废暂存间严格按照《危险废物贮存污染控制标准》GB18597-20</w:t>
            </w:r>
            <w:r>
              <w:rPr>
                <w:rFonts w:hint="eastAsia" w:ascii="Times New Roman" w:hAnsi="Times New Roman" w:cs="Times New Roman"/>
                <w:color w:val="auto"/>
                <w:sz w:val="24"/>
                <w:szCs w:val="22"/>
                <w:highlight w:val="none"/>
                <w:lang w:val="en-US" w:eastAsia="zh-CN"/>
              </w:rPr>
              <w:t>23</w:t>
            </w:r>
            <w:r>
              <w:rPr>
                <w:rFonts w:hint="default" w:ascii="Times New Roman" w:hAnsi="Times New Roman" w:cs="Times New Roman"/>
                <w:color w:val="auto"/>
                <w:sz w:val="24"/>
                <w:szCs w:val="22"/>
                <w:highlight w:val="none"/>
              </w:rPr>
              <w:t>的要求设计，做好防雨、防渗、防腐，防止二次污染</w:t>
            </w:r>
            <w:r>
              <w:rPr>
                <w:rFonts w:hint="default" w:ascii="Times New Roman" w:hAnsi="Times New Roman" w:cs="Times New Roman"/>
                <w:color w:val="auto"/>
                <w:sz w:val="24"/>
                <w:szCs w:val="22"/>
                <w:highlight w:val="none"/>
                <w:lang w:val="en-US" w:eastAsia="zh-CN"/>
              </w:rPr>
              <w:t>并按照《危险废物管理计划和管理台账制定技术导则》HJ1259-2022的相关要求做好管理计划和台账</w:t>
            </w:r>
            <w:r>
              <w:rPr>
                <w:rFonts w:hint="default" w:ascii="Times New Roman" w:hAnsi="Times New Roman" w:cs="Times New Roman"/>
                <w:color w:val="auto"/>
                <w:sz w:val="24"/>
                <w:szCs w:val="22"/>
                <w:highlight w:val="none"/>
              </w:rPr>
              <w:t>。</w:t>
            </w:r>
          </w:p>
          <w:p w14:paraId="6F6D41AC">
            <w:pPr>
              <w:spacing w:line="42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szCs w:val="22"/>
                <w:highlight w:val="none"/>
              </w:rPr>
              <w:t>针对危险废物暂存间的建设要求</w:t>
            </w:r>
            <w:r>
              <w:rPr>
                <w:rFonts w:hint="default" w:ascii="Times New Roman" w:hAnsi="Times New Roman" w:cs="Times New Roman"/>
                <w:color w:val="auto"/>
                <w:sz w:val="24"/>
                <w:highlight w:val="none"/>
              </w:rPr>
              <w:t>具体要求如下：</w:t>
            </w:r>
          </w:p>
          <w:p w14:paraId="1257ACCA">
            <w:pPr>
              <w:spacing w:line="420" w:lineRule="auto"/>
              <w:ind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①贮存设施应根据危险废物的形态、物理化学性质、包装形式和污染物迁移途径，采取必要的防风、防晒、防雨、防漏、防渗、防腐以及其他环境污染防治措施，不应露天堆放危险废物。</w:t>
            </w:r>
          </w:p>
          <w:p w14:paraId="072E3379">
            <w:pPr>
              <w:spacing w:line="420" w:lineRule="auto"/>
              <w:ind w:firstLine="480" w:firstLineChars="200"/>
              <w:rPr>
                <w:rFonts w:hint="default" w:ascii="Times New Roman" w:hAnsi="Times New Roman" w:cs="Times New Roman"/>
                <w:color w:val="auto"/>
                <w:sz w:val="24"/>
                <w:highlight w:val="none"/>
              </w:rPr>
            </w:pPr>
            <w:r>
              <w:rPr>
                <w:rFonts w:hint="eastAsia" w:cs="Times New Roman"/>
                <w:color w:val="auto"/>
                <w:sz w:val="24"/>
                <w:highlight w:val="none"/>
                <w:lang w:eastAsia="zh-CN"/>
              </w:rPr>
              <w:t>②</w:t>
            </w:r>
            <w:r>
              <w:rPr>
                <w:rFonts w:hint="default" w:ascii="Times New Roman" w:hAnsi="Times New Roman" w:cs="Times New Roman"/>
                <w:color w:val="auto"/>
                <w:sz w:val="24"/>
                <w:highlight w:val="none"/>
              </w:rPr>
              <w:t>贮存设施应根据危险废物的类别、数量、形态、物理化学性质和污染防治等要求设置必要的贮</w:t>
            </w:r>
            <w:r>
              <w:rPr>
                <w:rFonts w:hint="eastAsia" w:ascii="Times New Roman" w:hAnsi="Times New Roman" w:cs="Times New Roman"/>
                <w:color w:val="auto"/>
                <w:sz w:val="24"/>
                <w:highlight w:val="none"/>
                <w:lang w:val="en-US" w:eastAsia="zh-CN"/>
              </w:rPr>
              <w:t xml:space="preserve">存分区，避免不相容的危险废物接触、混合。 </w:t>
            </w:r>
          </w:p>
          <w:p w14:paraId="6050D456">
            <w:pPr>
              <w:spacing w:line="420" w:lineRule="auto"/>
              <w:ind w:firstLine="480" w:firstLineChars="200"/>
              <w:rPr>
                <w:rFonts w:hint="default" w:ascii="Times New Roman" w:hAnsi="Times New Roman" w:cs="Times New Roman"/>
                <w:color w:val="auto"/>
                <w:sz w:val="24"/>
                <w:highlight w:val="none"/>
              </w:rPr>
            </w:pPr>
            <w:r>
              <w:rPr>
                <w:rFonts w:hint="eastAsia" w:cs="Times New Roman"/>
                <w:color w:val="auto"/>
                <w:sz w:val="24"/>
                <w:highlight w:val="none"/>
                <w:lang w:val="en-US" w:eastAsia="zh-CN"/>
              </w:rPr>
              <w:t>③</w:t>
            </w:r>
            <w:r>
              <w:rPr>
                <w:rFonts w:hint="eastAsia" w:ascii="Times New Roman" w:hAnsi="Times New Roman" w:cs="Times New Roman"/>
                <w:color w:val="auto"/>
                <w:sz w:val="24"/>
                <w:highlight w:val="none"/>
                <w:lang w:val="en-US" w:eastAsia="zh-CN"/>
              </w:rPr>
              <w:t xml:space="preserve">贮存设施或贮存分区内地面、墙面裙脚、堵截泄漏的围堰、接触危险废物的隔板和墙体等应采用坚固的材料建造，表面无裂缝。 </w:t>
            </w:r>
          </w:p>
          <w:p w14:paraId="53FD854F">
            <w:pPr>
              <w:spacing w:line="420" w:lineRule="auto"/>
              <w:ind w:firstLine="480" w:firstLineChars="200"/>
              <w:rPr>
                <w:rFonts w:hint="default" w:ascii="Times New Roman" w:hAnsi="Times New Roman" w:cs="Times New Roman"/>
                <w:color w:val="auto"/>
                <w:sz w:val="24"/>
                <w:highlight w:val="none"/>
              </w:rPr>
            </w:pPr>
            <w:r>
              <w:rPr>
                <w:rFonts w:hint="eastAsia" w:cs="Times New Roman"/>
                <w:color w:val="auto"/>
                <w:sz w:val="24"/>
                <w:highlight w:val="none"/>
                <w:lang w:val="en-US" w:eastAsia="zh-CN"/>
              </w:rPr>
              <w:t>④</w:t>
            </w:r>
            <w:r>
              <w:rPr>
                <w:rFonts w:hint="eastAsia" w:ascii="Times New Roman" w:hAnsi="Times New Roman" w:cs="Times New Roman"/>
                <w:color w:val="auto"/>
                <w:sz w:val="24"/>
                <w:highlight w:val="none"/>
                <w:lang w:val="en-US" w:eastAsia="zh-CN"/>
              </w:rPr>
              <w:t xml:space="preserve">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 </w:t>
            </w:r>
            <w:r>
              <w:rPr>
                <w:rFonts w:hint="default" w:ascii="Times New Roman" w:hAnsi="Times New Roman" w:cs="Times New Roman"/>
                <w:color w:val="auto"/>
                <w:sz w:val="24"/>
                <w:highlight w:val="none"/>
                <w:lang w:val="en-US" w:eastAsia="zh-CN"/>
              </w:rPr>
              <w:t xml:space="preserve">1 m </w:t>
            </w:r>
            <w:r>
              <w:rPr>
                <w:rFonts w:hint="eastAsia" w:ascii="Times New Roman" w:hAnsi="Times New Roman" w:cs="Times New Roman"/>
                <w:color w:val="auto"/>
                <w:sz w:val="24"/>
                <w:highlight w:val="none"/>
                <w:lang w:val="en-US" w:eastAsia="zh-CN"/>
              </w:rPr>
              <w:t xml:space="preserve">厚黏土层（渗透系数不大于 </w:t>
            </w:r>
            <w:r>
              <w:rPr>
                <w:rFonts w:hint="default" w:ascii="Times New Roman" w:hAnsi="Times New Roman" w:cs="Times New Roman"/>
                <w:color w:val="auto"/>
                <w:sz w:val="24"/>
                <w:highlight w:val="none"/>
                <w:lang w:val="en-US" w:eastAsia="zh-CN"/>
              </w:rPr>
              <w:t>10</w:t>
            </w:r>
            <w:r>
              <w:rPr>
                <w:rFonts w:hint="default" w:ascii="Times New Roman" w:hAnsi="Times New Roman" w:cs="Times New Roman"/>
                <w:color w:val="auto"/>
                <w:sz w:val="24"/>
                <w:highlight w:val="none"/>
                <w:vertAlign w:val="superscript"/>
                <w:lang w:val="en-US" w:eastAsia="zh-CN"/>
              </w:rPr>
              <w:t>-7</w:t>
            </w:r>
            <w:r>
              <w:rPr>
                <w:rFonts w:hint="default" w:ascii="Times New Roman" w:hAnsi="Times New Roman" w:cs="Times New Roman"/>
                <w:color w:val="auto"/>
                <w:sz w:val="24"/>
                <w:highlight w:val="none"/>
                <w:lang w:val="en-US" w:eastAsia="zh-CN"/>
              </w:rPr>
              <w:t xml:space="preserve"> cm/s</w:t>
            </w:r>
            <w:r>
              <w:rPr>
                <w:rFonts w:hint="eastAsia" w:ascii="Times New Roman" w:hAnsi="Times New Roman" w:cs="Times New Roman"/>
                <w:color w:val="auto"/>
                <w:sz w:val="24"/>
                <w:highlight w:val="none"/>
                <w:lang w:val="en-US" w:eastAsia="zh-CN"/>
              </w:rPr>
              <w:t>），或至少</w:t>
            </w:r>
            <w:r>
              <w:rPr>
                <w:rFonts w:hint="default" w:ascii="Times New Roman" w:hAnsi="Times New Roman" w:cs="Times New Roman"/>
                <w:color w:val="auto"/>
                <w:sz w:val="24"/>
                <w:highlight w:val="none"/>
                <w:lang w:val="en-US" w:eastAsia="zh-CN"/>
              </w:rPr>
              <w:t xml:space="preserve">2 mm </w:t>
            </w:r>
            <w:r>
              <w:rPr>
                <w:rFonts w:hint="eastAsia" w:ascii="Times New Roman" w:hAnsi="Times New Roman" w:cs="Times New Roman"/>
                <w:color w:val="auto"/>
                <w:sz w:val="24"/>
                <w:highlight w:val="none"/>
                <w:lang w:val="en-US" w:eastAsia="zh-CN"/>
              </w:rPr>
              <w:t xml:space="preserve">厚高密度聚乙烯膜等人工防渗材料（渗透系数不大于 </w:t>
            </w:r>
            <w:r>
              <w:rPr>
                <w:rFonts w:hint="default" w:ascii="Times New Roman" w:hAnsi="Times New Roman" w:cs="Times New Roman"/>
                <w:color w:val="auto"/>
                <w:sz w:val="24"/>
                <w:highlight w:val="none"/>
                <w:lang w:val="en-US" w:eastAsia="zh-CN"/>
              </w:rPr>
              <w:t>10</w:t>
            </w:r>
            <w:r>
              <w:rPr>
                <w:rFonts w:hint="default" w:ascii="Times New Roman" w:hAnsi="Times New Roman" w:cs="Times New Roman"/>
                <w:color w:val="auto"/>
                <w:sz w:val="24"/>
                <w:highlight w:val="none"/>
                <w:vertAlign w:val="superscript"/>
                <w:lang w:val="en-US" w:eastAsia="zh-CN"/>
              </w:rPr>
              <w:t xml:space="preserve">-10 </w:t>
            </w:r>
            <w:r>
              <w:rPr>
                <w:rFonts w:hint="default" w:ascii="Times New Roman" w:hAnsi="Times New Roman" w:cs="Times New Roman"/>
                <w:color w:val="auto"/>
                <w:sz w:val="24"/>
                <w:highlight w:val="none"/>
                <w:lang w:val="en-US" w:eastAsia="zh-CN"/>
              </w:rPr>
              <w:t>cm/s</w:t>
            </w:r>
            <w:r>
              <w:rPr>
                <w:rFonts w:hint="eastAsia" w:ascii="Times New Roman" w:hAnsi="Times New Roman" w:cs="Times New Roman"/>
                <w:color w:val="auto"/>
                <w:sz w:val="24"/>
                <w:highlight w:val="none"/>
                <w:lang w:val="en-US" w:eastAsia="zh-CN"/>
              </w:rPr>
              <w:t xml:space="preserve">），或其他防渗性能等效的材料。 </w:t>
            </w:r>
          </w:p>
          <w:p w14:paraId="6995C573">
            <w:pPr>
              <w:spacing w:line="420" w:lineRule="auto"/>
              <w:ind w:firstLine="480" w:firstLineChars="200"/>
              <w:rPr>
                <w:rFonts w:hint="default" w:ascii="Times New Roman" w:hAnsi="Times New Roman" w:cs="Times New Roman"/>
                <w:color w:val="auto"/>
                <w:sz w:val="24"/>
                <w:highlight w:val="none"/>
              </w:rPr>
            </w:pPr>
            <w:r>
              <w:rPr>
                <w:rFonts w:hint="eastAsia" w:cs="Times New Roman"/>
                <w:color w:val="auto"/>
                <w:sz w:val="24"/>
                <w:highlight w:val="none"/>
                <w:lang w:val="en-US" w:eastAsia="zh-CN"/>
              </w:rPr>
              <w:t>⑤</w:t>
            </w:r>
            <w:r>
              <w:rPr>
                <w:rFonts w:hint="eastAsia" w:ascii="Times New Roman" w:hAnsi="Times New Roman" w:cs="Times New Roman"/>
                <w:color w:val="auto"/>
                <w:sz w:val="24"/>
                <w:highlight w:val="none"/>
                <w:lang w:val="en-US" w:eastAsia="zh-CN"/>
              </w:rPr>
              <w:t xml:space="preserve">同一贮存设施宜采用相同的防渗、防腐工艺（包括防渗、防腐结构或材料），防渗、防腐材料应覆盖所有可能与废物及其渗滤液、渗漏液等接触的构筑物表面；采用不同防渗、防腐工艺应分别建设贮存分区。 </w:t>
            </w:r>
          </w:p>
          <w:p w14:paraId="6CDF8C98">
            <w:pPr>
              <w:spacing w:line="420" w:lineRule="auto"/>
              <w:ind w:firstLine="480" w:firstLineChars="200"/>
              <w:rPr>
                <w:rFonts w:hint="eastAsia" w:ascii="Times New Roman" w:hAnsi="Times New Roman" w:cs="Times New Roman"/>
                <w:color w:val="auto"/>
                <w:sz w:val="24"/>
                <w:highlight w:val="none"/>
                <w:lang w:val="en-US" w:eastAsia="zh-CN"/>
              </w:rPr>
            </w:pPr>
            <w:r>
              <w:rPr>
                <w:rFonts w:hint="eastAsia" w:cs="Times New Roman"/>
                <w:color w:val="auto"/>
                <w:sz w:val="24"/>
                <w:highlight w:val="none"/>
                <w:lang w:val="en-US" w:eastAsia="zh-CN"/>
              </w:rPr>
              <w:t>⑥</w:t>
            </w:r>
            <w:r>
              <w:rPr>
                <w:rFonts w:hint="eastAsia" w:ascii="Times New Roman" w:hAnsi="Times New Roman" w:cs="Times New Roman"/>
                <w:color w:val="auto"/>
                <w:sz w:val="24"/>
                <w:highlight w:val="none"/>
                <w:lang w:val="en-US" w:eastAsia="zh-CN"/>
              </w:rPr>
              <w:t>贮存设施应采取技术和管理措施防止无关人员进入。</w:t>
            </w:r>
          </w:p>
          <w:p w14:paraId="540DFD8C">
            <w:pPr>
              <w:spacing w:line="420" w:lineRule="auto"/>
              <w:ind w:firstLine="482" w:firstLineChars="200"/>
              <w:rPr>
                <w:b/>
                <w:bCs/>
                <w:color w:val="auto"/>
                <w:sz w:val="24"/>
                <w:highlight w:val="none"/>
              </w:rPr>
            </w:pPr>
            <w:r>
              <w:rPr>
                <w:b/>
                <w:bCs/>
                <w:color w:val="auto"/>
                <w:sz w:val="24"/>
                <w:highlight w:val="none"/>
              </w:rPr>
              <w:t>危险废物暂存间（重点防渗区域）防渗措施推荐建设方式：</w:t>
            </w:r>
          </w:p>
          <w:p w14:paraId="276A5291">
            <w:pPr>
              <w:spacing w:line="420" w:lineRule="auto"/>
              <w:ind w:firstLine="480" w:firstLineChars="200"/>
              <w:rPr>
                <w:rFonts w:hint="eastAsia"/>
                <w:color w:val="auto"/>
                <w:sz w:val="24"/>
                <w:highlight w:val="none"/>
                <w:lang w:eastAsia="zh-CN"/>
              </w:rPr>
            </w:pPr>
            <w:r>
              <w:rPr>
                <w:color w:val="auto"/>
                <w:sz w:val="24"/>
                <w:highlight w:val="none"/>
              </w:rPr>
              <w:t>本项目新危险废物暂存间1处，面积约</w:t>
            </w:r>
            <w:r>
              <w:rPr>
                <w:rFonts w:hint="eastAsia"/>
                <w:color w:val="auto"/>
                <w:sz w:val="24"/>
                <w:highlight w:val="none"/>
                <w:lang w:val="en-US" w:eastAsia="zh-CN"/>
              </w:rPr>
              <w:t>5</w:t>
            </w:r>
            <w:r>
              <w:rPr>
                <w:color w:val="auto"/>
                <w:sz w:val="24"/>
                <w:highlight w:val="none"/>
              </w:rPr>
              <w:t>平方米，危险废物暂存间为重点防渗区域，防渗措施应依据《危险废物贮存污染控制标准》（GB18597</w:t>
            </w:r>
            <w:r>
              <w:rPr>
                <w:rFonts w:hint="eastAsia"/>
                <w:color w:val="auto"/>
                <w:sz w:val="24"/>
                <w:highlight w:val="none"/>
                <w:lang w:val="en-US" w:eastAsia="zh-CN"/>
              </w:rPr>
              <w:t>-2023</w:t>
            </w:r>
            <w:r>
              <w:rPr>
                <w:color w:val="auto"/>
                <w:sz w:val="24"/>
                <w:highlight w:val="none"/>
              </w:rPr>
              <w:t>）进行设置</w:t>
            </w:r>
            <w:r>
              <w:rPr>
                <w:rFonts w:hint="eastAsia"/>
                <w:color w:val="auto"/>
                <w:sz w:val="24"/>
                <w:highlight w:val="none"/>
                <w:lang w:eastAsia="zh-CN"/>
              </w:rPr>
              <w:t>。</w:t>
            </w:r>
          </w:p>
          <w:p w14:paraId="0E71804E">
            <w:pPr>
              <w:spacing w:line="420" w:lineRule="auto"/>
              <w:ind w:firstLine="480" w:firstLineChars="200"/>
              <w:rPr>
                <w:color w:val="auto"/>
                <w:sz w:val="24"/>
                <w:highlight w:val="none"/>
              </w:rPr>
            </w:pPr>
            <w:r>
              <w:rPr>
                <w:rFonts w:hint="eastAsia"/>
                <w:color w:val="auto"/>
                <w:sz w:val="24"/>
                <w:highlight w:val="none"/>
                <w:lang w:val="en-US" w:eastAsia="zh-CN"/>
              </w:rPr>
              <w:t>针对本项目，危废间建设方式</w:t>
            </w:r>
            <w:r>
              <w:rPr>
                <w:color w:val="auto"/>
                <w:sz w:val="24"/>
                <w:highlight w:val="none"/>
              </w:rPr>
              <w:t>建议采用刚性+柔性防渗+防腐措施，即采用P8（渗透系数0.26×10</w:t>
            </w:r>
            <w:r>
              <w:rPr>
                <w:color w:val="auto"/>
                <w:sz w:val="24"/>
                <w:highlight w:val="none"/>
                <w:vertAlign w:val="superscript"/>
              </w:rPr>
              <w:t>-8</w:t>
            </w:r>
            <w:r>
              <w:rPr>
                <w:color w:val="auto"/>
                <w:sz w:val="24"/>
                <w:highlight w:val="none"/>
              </w:rPr>
              <w:t>cm/s）等级混凝土+2mmHDPE膜防渗结构，防渗结构由上至下依次为：环氧碱类防腐层、水泥基渗透结晶型防渗涂层（≥0.8mm）、抗渗混凝土面层（厚度30cm，抗渗等级为P8）、600g/m</w:t>
            </w:r>
            <w:r>
              <w:rPr>
                <w:color w:val="auto"/>
                <w:sz w:val="24"/>
                <w:highlight w:val="none"/>
                <w:vertAlign w:val="superscript"/>
              </w:rPr>
              <w:t>2</w:t>
            </w:r>
            <w:r>
              <w:rPr>
                <w:color w:val="auto"/>
                <w:sz w:val="24"/>
                <w:highlight w:val="none"/>
              </w:rPr>
              <w:t>长丝无纺土工布、2.0mm厚HDPE防渗膜、基层+垫层、600g/m</w:t>
            </w:r>
            <w:r>
              <w:rPr>
                <w:color w:val="auto"/>
                <w:sz w:val="24"/>
                <w:highlight w:val="none"/>
                <w:vertAlign w:val="superscript"/>
              </w:rPr>
              <w:t>2</w:t>
            </w:r>
            <w:r>
              <w:rPr>
                <w:color w:val="auto"/>
                <w:sz w:val="24"/>
                <w:highlight w:val="none"/>
              </w:rPr>
              <w:t>长丝无纺土工布、细砂保护层、原土压实。</w:t>
            </w:r>
          </w:p>
          <w:p w14:paraId="611B83F4">
            <w:pPr>
              <w:pStyle w:val="7"/>
            </w:pPr>
          </w:p>
          <w:p w14:paraId="63347F9E">
            <w:pPr>
              <w:spacing w:line="420" w:lineRule="auto"/>
              <w:ind w:firstLine="482" w:firstLineChars="200"/>
              <w:rPr>
                <w:b/>
                <w:bCs/>
                <w:color w:val="auto"/>
                <w:sz w:val="24"/>
              </w:rPr>
            </w:pPr>
            <w:r>
              <w:rPr>
                <w:b/>
                <w:bCs/>
                <w:color w:val="auto"/>
                <w:sz w:val="24"/>
              </w:rPr>
              <w:t>危废暂存管理措施：</w:t>
            </w:r>
          </w:p>
          <w:p w14:paraId="7476E6C5">
            <w:pPr>
              <w:spacing w:line="420" w:lineRule="auto"/>
              <w:ind w:firstLine="480" w:firstLineChars="200"/>
              <w:rPr>
                <w:color w:val="auto"/>
                <w:sz w:val="24"/>
              </w:rPr>
            </w:pPr>
            <w:r>
              <w:rPr>
                <w:color w:val="auto"/>
                <w:sz w:val="24"/>
              </w:rPr>
              <w:t>针对危废管理，本环评提出以下具体要求：</w:t>
            </w:r>
          </w:p>
          <w:p w14:paraId="0C59D65C">
            <w:pPr>
              <w:spacing w:line="420" w:lineRule="auto"/>
              <w:ind w:firstLine="480" w:firstLineChars="200"/>
              <w:rPr>
                <w:rFonts w:hint="eastAsia" w:ascii="Times New Roman" w:hAnsi="Times New Roman" w:eastAsia="宋体" w:cs="Times New Roman"/>
                <w:color w:val="auto"/>
                <w:sz w:val="24"/>
                <w:szCs w:val="22"/>
              </w:rPr>
            </w:pPr>
            <w:r>
              <w:rPr>
                <w:rFonts w:hint="eastAsia" w:ascii="Times New Roman" w:hAnsi="Times New Roman" w:eastAsia="宋体" w:cs="Times New Roman"/>
                <w:color w:val="auto"/>
                <w:sz w:val="24"/>
                <w:szCs w:val="22"/>
                <w:lang w:val="en-US" w:eastAsia="zh-CN"/>
              </w:rPr>
              <w:t>危险废物</w:t>
            </w:r>
            <w:r>
              <w:rPr>
                <w:rFonts w:hint="eastAsia" w:ascii="Times New Roman" w:hAnsi="Times New Roman" w:eastAsia="宋体" w:cs="Times New Roman"/>
                <w:color w:val="auto"/>
                <w:sz w:val="24"/>
                <w:szCs w:val="22"/>
              </w:rPr>
              <w:t>包装容器应达到相应的强度要求并完好无损，禁止混合贮存性质不相容而未经安全性处置的危险废物；危险废物容器和包装物以及危险废物贮存设施、场所应按规定设置危险废物识别标志；仓库式贮存设施应分开存放不相容危险废物，按危险废物的种类和特性进行分区贮存，采用防腐、防渗地面和裙脚，设置防止</w:t>
            </w:r>
            <w:r>
              <w:rPr>
                <w:rFonts w:hint="eastAsia" w:ascii="Times New Roman" w:hAnsi="Times New Roman" w:eastAsia="宋体" w:cs="Times New Roman"/>
                <w:color w:val="auto"/>
                <w:sz w:val="24"/>
                <w:szCs w:val="22"/>
                <w:lang w:eastAsia="zh-CN"/>
              </w:rPr>
              <w:t>泄漏</w:t>
            </w:r>
            <w:r>
              <w:rPr>
                <w:rFonts w:hint="eastAsia" w:ascii="Times New Roman" w:hAnsi="Times New Roman" w:eastAsia="宋体" w:cs="Times New Roman"/>
                <w:color w:val="auto"/>
                <w:sz w:val="24"/>
                <w:szCs w:val="22"/>
              </w:rPr>
              <w:t>物质扩散至外环境的拦截、导流、收集设施；贮存堆场要防风、防雨、防晒。</w:t>
            </w:r>
            <w:r>
              <w:rPr>
                <w:rFonts w:hint="eastAsia" w:ascii="Times New Roman" w:hAnsi="Times New Roman" w:eastAsia="宋体" w:cs="Times New Roman"/>
                <w:color w:val="auto"/>
                <w:sz w:val="24"/>
                <w:szCs w:val="22"/>
                <w:lang w:val="en-US" w:eastAsia="zh-CN"/>
              </w:rPr>
              <w:t>建设单位</w:t>
            </w:r>
            <w:r>
              <w:rPr>
                <w:rFonts w:hint="eastAsia" w:ascii="Times New Roman" w:hAnsi="Times New Roman" w:eastAsia="宋体" w:cs="Times New Roman"/>
                <w:color w:val="auto"/>
                <w:sz w:val="24"/>
                <w:szCs w:val="22"/>
              </w:rPr>
              <w:t>生产运营期间危险废物自行贮存设施的环境管理和相关设施运行维护还应符合GB15562.2、GB18484、GB18597、GB30485、HJ2025和HJ2042等相关标准规范要求。</w:t>
            </w:r>
          </w:p>
          <w:p w14:paraId="1AC645B6">
            <w:pPr>
              <w:spacing w:line="420" w:lineRule="auto"/>
              <w:ind w:firstLine="482" w:firstLineChars="200"/>
              <w:rPr>
                <w:rFonts w:hint="default" w:ascii="Times New Roman" w:hAnsi="Times New Roman" w:cs="Times New Roman"/>
                <w:b/>
                <w:bCs/>
                <w:sz w:val="24"/>
              </w:rPr>
            </w:pPr>
            <w:r>
              <w:rPr>
                <w:rFonts w:hint="default" w:ascii="Times New Roman" w:hAnsi="Times New Roman" w:cs="Times New Roman"/>
                <w:b/>
                <w:bCs/>
                <w:sz w:val="24"/>
              </w:rPr>
              <w:t>危废转移要求：</w:t>
            </w:r>
          </w:p>
          <w:p w14:paraId="3402992D">
            <w:pPr>
              <w:spacing w:line="420" w:lineRule="auto"/>
              <w:ind w:firstLine="480" w:firstLineChars="200"/>
              <w:rPr>
                <w:rFonts w:hint="eastAsia" w:ascii="Times New Roman" w:hAnsi="Times New Roman" w:cs="Times New Roman"/>
                <w:color w:val="auto"/>
                <w:sz w:val="24"/>
                <w:lang w:val="en-US" w:eastAsia="zh-CN"/>
              </w:rPr>
            </w:pPr>
            <w:r>
              <w:rPr>
                <w:rFonts w:hint="eastAsia" w:ascii="Times New Roman" w:hAnsi="Times New Roman" w:eastAsia="宋体" w:cs="Times New Roman"/>
                <w:color w:val="auto"/>
                <w:sz w:val="24"/>
                <w:szCs w:val="22"/>
                <w:lang w:val="en-US" w:eastAsia="zh-CN"/>
              </w:rPr>
              <w:t>建设</w:t>
            </w:r>
            <w:r>
              <w:rPr>
                <w:rFonts w:hint="eastAsia" w:ascii="Times New Roman" w:hAnsi="Times New Roman" w:eastAsia="宋体" w:cs="Times New Roman"/>
                <w:color w:val="auto"/>
                <w:sz w:val="24"/>
                <w:szCs w:val="22"/>
              </w:rPr>
              <w:t>单位委托他人运输、利用、处置危险废物的，应落实《中华人民共和国固体废物污染环境防治法》等法律法规要求，对受托方的主体资格和技术能力进行核实，依法签订书面合同，在合同中约定污染防治要求；转移危险废物的，应当按照国家有关规定填写、运行危险废物转移联单等</w:t>
            </w:r>
            <w:r>
              <w:rPr>
                <w:rFonts w:hint="eastAsia" w:ascii="Times New Roman" w:hAnsi="Times New Roman" w:eastAsia="宋体" w:cs="Times New Roman"/>
                <w:color w:val="auto"/>
                <w:sz w:val="24"/>
                <w:szCs w:val="22"/>
                <w:lang w:eastAsia="zh-CN"/>
              </w:rPr>
              <w:t>。</w:t>
            </w:r>
            <w:r>
              <w:rPr>
                <w:rFonts w:hint="eastAsia" w:ascii="Times New Roman" w:hAnsi="Times New Roman" w:cs="Times New Roman"/>
                <w:color w:val="auto"/>
                <w:sz w:val="24"/>
                <w:lang w:val="en-US" w:eastAsia="zh-CN"/>
              </w:rPr>
              <w:t>危险废物的转移</w:t>
            </w:r>
            <w:r>
              <w:rPr>
                <w:rFonts w:hint="eastAsia" w:cs="Times New Roman"/>
                <w:color w:val="auto"/>
                <w:sz w:val="24"/>
                <w:lang w:val="en-US" w:eastAsia="zh-CN"/>
              </w:rPr>
              <w:t>还</w:t>
            </w:r>
            <w:r>
              <w:rPr>
                <w:rFonts w:hint="eastAsia" w:ascii="Times New Roman" w:hAnsi="Times New Roman" w:cs="Times New Roman"/>
                <w:color w:val="auto"/>
                <w:sz w:val="24"/>
                <w:lang w:val="en-US" w:eastAsia="zh-CN"/>
              </w:rPr>
              <w:t>应严格按照2021年11月30日发布的《危险废物转移管理办法》（生态环境部公安部交通运输部</w:t>
            </w:r>
            <w:r>
              <w:rPr>
                <w:rFonts w:hint="eastAsia" w:cs="Times New Roman"/>
                <w:color w:val="auto"/>
                <w:sz w:val="24"/>
                <w:lang w:val="en-US" w:eastAsia="zh-CN"/>
              </w:rPr>
              <w:t xml:space="preserve"> </w:t>
            </w:r>
            <w:r>
              <w:rPr>
                <w:rFonts w:hint="eastAsia" w:ascii="Times New Roman" w:hAnsi="Times New Roman" w:cs="Times New Roman"/>
                <w:color w:val="auto"/>
                <w:sz w:val="24"/>
                <w:lang w:val="en-US" w:eastAsia="zh-CN"/>
              </w:rPr>
              <w:t>部令第23号）相关要求执行。</w:t>
            </w:r>
          </w:p>
          <w:p w14:paraId="211D212A">
            <w:pPr>
              <w:spacing w:line="420" w:lineRule="auto"/>
              <w:ind w:firstLine="482" w:firstLineChars="200"/>
              <w:rPr>
                <w:rFonts w:hint="default" w:ascii="Times New Roman" w:hAnsi="Times New Roman" w:cs="Times New Roman"/>
                <w:b/>
                <w:bCs/>
                <w:sz w:val="24"/>
              </w:rPr>
            </w:pPr>
            <w:r>
              <w:rPr>
                <w:rFonts w:hint="default" w:ascii="Times New Roman" w:hAnsi="Times New Roman" w:cs="Times New Roman"/>
                <w:b/>
                <w:bCs/>
                <w:sz w:val="24"/>
              </w:rPr>
              <w:t>5、土壤和地下水</w:t>
            </w:r>
          </w:p>
          <w:p w14:paraId="58FDEF3B">
            <w:pPr>
              <w:spacing w:line="420" w:lineRule="auto"/>
              <w:ind w:firstLine="480" w:firstLineChars="200"/>
              <w:rPr>
                <w:rFonts w:hint="default" w:ascii="Times New Roman" w:hAnsi="Times New Roman" w:cs="Times New Roman"/>
                <w:sz w:val="24"/>
              </w:rPr>
            </w:pPr>
            <w:r>
              <w:rPr>
                <w:rFonts w:hint="default" w:ascii="Times New Roman" w:hAnsi="Times New Roman" w:cs="Times New Roman"/>
                <w:bCs/>
                <w:sz w:val="24"/>
              </w:rPr>
              <w:t>本项目运行期间对地下水环境和土壤环境的主要影响因子是危废间废矿物油（润滑油）渗漏对地下水造成的水质污染影响</w:t>
            </w:r>
            <w:r>
              <w:rPr>
                <w:rFonts w:hint="default" w:ascii="Times New Roman" w:hAnsi="Times New Roman" w:cs="Times New Roman"/>
                <w:sz w:val="24"/>
              </w:rPr>
              <w:t>，故应对危废间进行重点防控。</w:t>
            </w:r>
          </w:p>
          <w:p w14:paraId="5C1B5FC9">
            <w:pPr>
              <w:spacing w:line="420" w:lineRule="auto"/>
              <w:ind w:firstLine="480" w:firstLineChars="200"/>
              <w:rPr>
                <w:rFonts w:hint="default" w:ascii="Times New Roman" w:hAnsi="Times New Roman" w:cs="Times New Roman"/>
                <w:sz w:val="24"/>
              </w:rPr>
            </w:pPr>
            <w:r>
              <w:rPr>
                <w:rFonts w:hint="default" w:ascii="Times New Roman" w:hAnsi="Times New Roman" w:cs="Times New Roman"/>
                <w:sz w:val="24"/>
              </w:rPr>
              <w:t>重点防控的方式为将以上区域划分为重点防渗区，重点防渗区的防渗系统本环评要求采用2毫米以上的高密度聚乙烯或其他人工防渗材料组成，渗透系数应小于1.0×10</w:t>
            </w:r>
            <w:r>
              <w:rPr>
                <w:rFonts w:hint="default" w:ascii="Times New Roman" w:hAnsi="Times New Roman" w:cs="Times New Roman"/>
                <w:sz w:val="24"/>
                <w:vertAlign w:val="superscript"/>
              </w:rPr>
              <w:t>-10</w:t>
            </w:r>
            <w:r>
              <w:rPr>
                <w:rFonts w:hint="default" w:ascii="Times New Roman" w:hAnsi="Times New Roman" w:cs="Times New Roman"/>
                <w:sz w:val="24"/>
              </w:rPr>
              <w:t>cm/s，或参照GB18598执行</w:t>
            </w:r>
            <w:r>
              <w:rPr>
                <w:rFonts w:hint="eastAsia" w:ascii="Times New Roman" w:hAnsi="Times New Roman" w:cs="Times New Roman"/>
                <w:sz w:val="24"/>
                <w:lang w:eastAsia="zh-CN"/>
              </w:rPr>
              <w:t>，或本项目推荐方式建设</w:t>
            </w:r>
            <w:r>
              <w:rPr>
                <w:rFonts w:hint="default" w:ascii="Times New Roman" w:hAnsi="Times New Roman" w:cs="Times New Roman"/>
                <w:sz w:val="24"/>
              </w:rPr>
              <w:t>。</w:t>
            </w:r>
          </w:p>
          <w:p w14:paraId="75C79E44">
            <w:pPr>
              <w:spacing w:line="420" w:lineRule="auto"/>
              <w:ind w:firstLine="480" w:firstLineChars="200"/>
              <w:rPr>
                <w:rFonts w:hint="default" w:eastAsia="宋体"/>
                <w:color w:val="000000"/>
                <w:sz w:val="24"/>
                <w:lang w:val="en-US" w:eastAsia="zh-CN"/>
              </w:rPr>
            </w:pPr>
            <w:r>
              <w:rPr>
                <w:rFonts w:hint="eastAsia"/>
                <w:color w:val="000000"/>
                <w:sz w:val="24"/>
                <w:lang w:val="en-US" w:eastAsia="zh-CN"/>
              </w:rPr>
              <w:t xml:space="preserve"> 沉淀池划分为一般防渗区，一般防渗区采用等效黏土防渗层Mb≥1.5m，K≤1×10</w:t>
            </w:r>
            <w:r>
              <w:rPr>
                <w:rFonts w:hint="eastAsia" w:ascii="Times New Roman" w:hAnsi="Times New Roman" w:cs="Times New Roman"/>
                <w:color w:val="000000"/>
                <w:sz w:val="24"/>
                <w:vertAlign w:val="superscript"/>
                <w:lang w:val="en-US" w:eastAsia="zh-CN"/>
              </w:rPr>
              <w:t>-7</w:t>
            </w:r>
            <w:r>
              <w:rPr>
                <w:rFonts w:hint="eastAsia"/>
                <w:color w:val="000000"/>
                <w:sz w:val="24"/>
                <w:lang w:val="en-US" w:eastAsia="zh-CN"/>
              </w:rPr>
              <w:t>cm/s；或参照GB16889执行</w:t>
            </w:r>
          </w:p>
          <w:p w14:paraId="0F63B9B6">
            <w:pPr>
              <w:spacing w:line="420" w:lineRule="auto"/>
              <w:ind w:firstLine="480" w:firstLineChars="200"/>
              <w:rPr>
                <w:color w:val="000000"/>
                <w:sz w:val="24"/>
              </w:rPr>
            </w:pPr>
            <w:r>
              <w:rPr>
                <w:color w:val="000000"/>
                <w:sz w:val="24"/>
              </w:rPr>
              <w:t>本项目</w:t>
            </w:r>
            <w:r>
              <w:rPr>
                <w:rFonts w:hint="eastAsia"/>
                <w:color w:val="000000"/>
                <w:sz w:val="24"/>
                <w:lang w:val="en-US" w:eastAsia="zh-CN"/>
              </w:rPr>
              <w:t>重点防渗区和一般防渗区</w:t>
            </w:r>
            <w:r>
              <w:rPr>
                <w:color w:val="000000"/>
                <w:sz w:val="24"/>
              </w:rPr>
              <w:t>以外的其他区域</w:t>
            </w:r>
            <w:r>
              <w:rPr>
                <w:rFonts w:hint="eastAsia"/>
                <w:color w:val="000000"/>
                <w:sz w:val="24"/>
              </w:rPr>
              <w:t>为简单防渗区</w:t>
            </w:r>
            <w:r>
              <w:rPr>
                <w:color w:val="000000"/>
                <w:sz w:val="24"/>
              </w:rPr>
              <w:t>，简单防渗</w:t>
            </w:r>
            <w:r>
              <w:rPr>
                <w:rFonts w:hint="eastAsia"/>
                <w:color w:val="000000"/>
                <w:sz w:val="24"/>
              </w:rPr>
              <w:t>区采取一般地面硬化即可</w:t>
            </w:r>
            <w:r>
              <w:rPr>
                <w:color w:val="000000"/>
                <w:sz w:val="24"/>
              </w:rPr>
              <w:t>。</w:t>
            </w:r>
          </w:p>
          <w:p w14:paraId="0B4A4B21">
            <w:pPr>
              <w:adjustRightInd w:val="0"/>
              <w:snapToGrid w:val="0"/>
              <w:spacing w:line="42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本项目采取的措施能够满足保护地下水及土壤的需求，分区防渗要求能够满足地下水、</w:t>
            </w:r>
            <w:r>
              <w:rPr>
                <w:rFonts w:hint="eastAsia" w:cs="Times New Roman"/>
                <w:sz w:val="24"/>
                <w:lang w:eastAsia="zh-CN"/>
              </w:rPr>
              <w:t>土壤污染防治</w:t>
            </w:r>
            <w:r>
              <w:rPr>
                <w:rFonts w:hint="default" w:ascii="Times New Roman" w:hAnsi="Times New Roman" w:cs="Times New Roman"/>
                <w:sz w:val="24"/>
              </w:rPr>
              <w:t>要求。</w:t>
            </w:r>
          </w:p>
          <w:p w14:paraId="76C97F4C">
            <w:pPr>
              <w:pStyle w:val="45"/>
              <w:rPr>
                <w:rFonts w:hint="default" w:ascii="Times New Roman" w:hAnsi="Times New Roman" w:cs="Times New Roman"/>
              </w:rPr>
            </w:pPr>
            <w:r>
              <w:rPr>
                <w:rFonts w:hint="default" w:ascii="Times New Roman" w:hAnsi="Times New Roman" w:cs="Times New Roman"/>
              </w:rPr>
              <w:t>表4-</w:t>
            </w:r>
            <w:r>
              <w:rPr>
                <w:rFonts w:hint="eastAsia" w:ascii="Times New Roman" w:hAnsi="Times New Roman" w:cs="Times New Roman"/>
                <w:lang w:val="en-US" w:eastAsia="zh-CN"/>
              </w:rPr>
              <w:t>5</w:t>
            </w:r>
            <w:r>
              <w:rPr>
                <w:rFonts w:hint="default" w:ascii="Times New Roman" w:hAnsi="Times New Roman" w:cs="Times New Roman"/>
              </w:rPr>
              <w:t>防渗分区表</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957"/>
              <w:gridCol w:w="2040"/>
              <w:gridCol w:w="3263"/>
            </w:tblGrid>
            <w:tr w14:paraId="1A1948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535" w:hRule="atLeast"/>
                <w:jc w:val="center"/>
              </w:trPr>
              <w:tc>
                <w:tcPr>
                  <w:tcW w:w="1033" w:type="dxa"/>
                  <w:noWrap w:val="0"/>
                  <w:vAlign w:val="center"/>
                </w:tcPr>
                <w:p w14:paraId="01E32D40">
                  <w:pPr>
                    <w:jc w:val="center"/>
                    <w:rPr>
                      <w:rFonts w:hint="default" w:ascii="Times New Roman" w:hAnsi="Times New Roman" w:cs="Times New Roman"/>
                      <w:b/>
                      <w:bCs/>
                      <w:sz w:val="24"/>
                    </w:rPr>
                  </w:pPr>
                  <w:r>
                    <w:rPr>
                      <w:rFonts w:hint="default" w:ascii="Times New Roman" w:hAnsi="Times New Roman" w:cs="Times New Roman"/>
                      <w:b/>
                      <w:bCs/>
                      <w:sz w:val="24"/>
                    </w:rPr>
                    <w:t>序号</w:t>
                  </w:r>
                </w:p>
              </w:tc>
              <w:tc>
                <w:tcPr>
                  <w:tcW w:w="2132" w:type="dxa"/>
                  <w:noWrap w:val="0"/>
                  <w:vAlign w:val="center"/>
                </w:tcPr>
                <w:p w14:paraId="434FE9F8">
                  <w:pPr>
                    <w:jc w:val="center"/>
                    <w:rPr>
                      <w:rFonts w:hint="default" w:ascii="Times New Roman" w:hAnsi="Times New Roman" w:cs="Times New Roman"/>
                      <w:b/>
                      <w:bCs/>
                      <w:sz w:val="24"/>
                    </w:rPr>
                  </w:pPr>
                  <w:r>
                    <w:rPr>
                      <w:rFonts w:hint="default" w:ascii="Times New Roman" w:hAnsi="Times New Roman" w:cs="Times New Roman"/>
                      <w:b/>
                      <w:bCs/>
                      <w:sz w:val="24"/>
                    </w:rPr>
                    <w:t>区域</w:t>
                  </w:r>
                </w:p>
              </w:tc>
              <w:tc>
                <w:tcPr>
                  <w:tcW w:w="2223" w:type="dxa"/>
                  <w:noWrap w:val="0"/>
                  <w:vAlign w:val="center"/>
                </w:tcPr>
                <w:p w14:paraId="7F720AF7">
                  <w:pPr>
                    <w:jc w:val="center"/>
                    <w:rPr>
                      <w:rFonts w:hint="default" w:ascii="Times New Roman" w:hAnsi="Times New Roman" w:cs="Times New Roman"/>
                      <w:b/>
                      <w:bCs/>
                      <w:sz w:val="24"/>
                    </w:rPr>
                  </w:pPr>
                  <w:r>
                    <w:rPr>
                      <w:rFonts w:hint="default" w:ascii="Times New Roman" w:hAnsi="Times New Roman" w:cs="Times New Roman"/>
                      <w:b/>
                      <w:bCs/>
                      <w:sz w:val="24"/>
                    </w:rPr>
                    <w:t>防渗级别</w:t>
                  </w:r>
                </w:p>
              </w:tc>
              <w:tc>
                <w:tcPr>
                  <w:tcW w:w="3570" w:type="dxa"/>
                  <w:noWrap w:val="0"/>
                  <w:vAlign w:val="center"/>
                </w:tcPr>
                <w:p w14:paraId="4A94763E">
                  <w:pPr>
                    <w:jc w:val="center"/>
                    <w:rPr>
                      <w:rFonts w:hint="default" w:ascii="Times New Roman" w:hAnsi="Times New Roman" w:cs="Times New Roman"/>
                      <w:b/>
                      <w:bCs/>
                      <w:sz w:val="24"/>
                    </w:rPr>
                  </w:pPr>
                  <w:r>
                    <w:rPr>
                      <w:rFonts w:hint="default" w:ascii="Times New Roman" w:hAnsi="Times New Roman" w:cs="Times New Roman"/>
                      <w:b/>
                      <w:bCs/>
                      <w:sz w:val="24"/>
                    </w:rPr>
                    <w:t>防渗措施</w:t>
                  </w:r>
                </w:p>
              </w:tc>
            </w:tr>
            <w:tr w14:paraId="5DEDBC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88" w:hRule="atLeast"/>
                <w:jc w:val="center"/>
              </w:trPr>
              <w:tc>
                <w:tcPr>
                  <w:tcW w:w="1033" w:type="dxa"/>
                  <w:noWrap w:val="0"/>
                  <w:vAlign w:val="center"/>
                </w:tcPr>
                <w:p w14:paraId="2E06DB88">
                  <w:pPr>
                    <w:spacing w:line="360" w:lineRule="auto"/>
                    <w:jc w:val="center"/>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1</w:t>
                  </w:r>
                </w:p>
              </w:tc>
              <w:tc>
                <w:tcPr>
                  <w:tcW w:w="2132" w:type="dxa"/>
                  <w:noWrap w:val="0"/>
                  <w:vAlign w:val="center"/>
                </w:tcPr>
                <w:p w14:paraId="7B8B7F5F">
                  <w:pPr>
                    <w:jc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rPr>
                    <w:t>危废暂存间区</w:t>
                  </w:r>
                </w:p>
              </w:tc>
              <w:tc>
                <w:tcPr>
                  <w:tcW w:w="2223" w:type="dxa"/>
                  <w:noWrap w:val="0"/>
                  <w:vAlign w:val="center"/>
                </w:tcPr>
                <w:p w14:paraId="4054F836">
                  <w:pPr>
                    <w:spacing w:line="360" w:lineRule="auto"/>
                    <w:jc w:val="center"/>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重点防渗区</w:t>
                  </w:r>
                </w:p>
              </w:tc>
              <w:tc>
                <w:tcPr>
                  <w:tcW w:w="3570" w:type="dxa"/>
                  <w:noWrap w:val="0"/>
                  <w:vAlign w:val="center"/>
                </w:tcPr>
                <w:p w14:paraId="5F2C4112">
                  <w:pPr>
                    <w:spacing w:line="0" w:lineRule="atLeast"/>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rPr>
                    <w:t>采用2毫米以上的高密度聚乙烯或其他人工防渗材料组成，渗透系数应小于1.0×10</w:t>
                  </w:r>
                  <w:r>
                    <w:rPr>
                      <w:rFonts w:hint="default" w:ascii="Times New Roman" w:hAnsi="Times New Roman" w:cs="Times New Roman"/>
                      <w:color w:val="000000"/>
                      <w:sz w:val="21"/>
                      <w:szCs w:val="21"/>
                      <w:vertAlign w:val="superscript"/>
                    </w:rPr>
                    <w:t>-10</w:t>
                  </w:r>
                  <w:r>
                    <w:rPr>
                      <w:rFonts w:hint="default" w:ascii="Times New Roman" w:hAnsi="Times New Roman" w:cs="Times New Roman"/>
                      <w:color w:val="000000"/>
                      <w:sz w:val="21"/>
                      <w:szCs w:val="21"/>
                    </w:rPr>
                    <w:t>cm/s，或参照GB18598执行</w:t>
                  </w:r>
                  <w:r>
                    <w:rPr>
                      <w:rFonts w:hint="default" w:ascii="Times New Roman" w:hAnsi="Times New Roman" w:cs="Times New Roman"/>
                      <w:color w:val="000000"/>
                      <w:sz w:val="21"/>
                      <w:szCs w:val="21"/>
                      <w:lang w:eastAsia="zh-CN"/>
                    </w:rPr>
                    <w:t>，或本项目推荐方式建设</w:t>
                  </w:r>
                  <w:r>
                    <w:rPr>
                      <w:rFonts w:hint="default" w:ascii="Times New Roman" w:hAnsi="Times New Roman" w:cs="Times New Roman"/>
                      <w:color w:val="000000"/>
                      <w:sz w:val="21"/>
                      <w:szCs w:val="21"/>
                    </w:rPr>
                    <w:t>。</w:t>
                  </w:r>
                </w:p>
              </w:tc>
            </w:tr>
            <w:tr w14:paraId="4A9D79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033" w:type="dxa"/>
                  <w:noWrap w:val="0"/>
                  <w:vAlign w:val="center"/>
                </w:tcPr>
                <w:p w14:paraId="22EE05AA">
                  <w:pPr>
                    <w:spacing w:line="360" w:lineRule="auto"/>
                    <w:jc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2</w:t>
                  </w:r>
                </w:p>
              </w:tc>
              <w:tc>
                <w:tcPr>
                  <w:tcW w:w="2132" w:type="dxa"/>
                  <w:noWrap w:val="0"/>
                  <w:vAlign w:val="center"/>
                </w:tcPr>
                <w:p w14:paraId="2E0E67B5">
                  <w:pPr>
                    <w:jc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沉淀池</w:t>
                  </w:r>
                </w:p>
              </w:tc>
              <w:tc>
                <w:tcPr>
                  <w:tcW w:w="2223" w:type="dxa"/>
                  <w:noWrap w:val="0"/>
                  <w:vAlign w:val="center"/>
                </w:tcPr>
                <w:p w14:paraId="21C7E347">
                  <w:pPr>
                    <w:spacing w:line="360" w:lineRule="auto"/>
                    <w:jc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一般防渗区</w:t>
                  </w:r>
                </w:p>
              </w:tc>
              <w:tc>
                <w:tcPr>
                  <w:tcW w:w="3570" w:type="dxa"/>
                  <w:noWrap w:val="0"/>
                  <w:vAlign w:val="center"/>
                </w:tcPr>
                <w:p w14:paraId="07C6042B">
                  <w:pPr>
                    <w:spacing w:line="0" w:lineRule="atLeast"/>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采用等效黏土防渗层Mb≥1.5m，K≤1×10</w:t>
                  </w:r>
                  <w:r>
                    <w:rPr>
                      <w:rFonts w:hint="default" w:ascii="Times New Roman" w:hAnsi="Times New Roman" w:cs="Times New Roman"/>
                      <w:color w:val="000000"/>
                      <w:sz w:val="21"/>
                      <w:szCs w:val="21"/>
                      <w:vertAlign w:val="superscript"/>
                    </w:rPr>
                    <w:t>-7</w:t>
                  </w:r>
                  <w:r>
                    <w:rPr>
                      <w:rFonts w:hint="default" w:ascii="Times New Roman" w:hAnsi="Times New Roman" w:cs="Times New Roman"/>
                      <w:color w:val="000000"/>
                      <w:sz w:val="21"/>
                      <w:szCs w:val="21"/>
                    </w:rPr>
                    <w:t>cm/s；或参照GB16889执行</w:t>
                  </w:r>
                </w:p>
              </w:tc>
            </w:tr>
            <w:tr w14:paraId="77D9A2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1033" w:type="dxa"/>
                  <w:noWrap w:val="0"/>
                  <w:vAlign w:val="center"/>
                </w:tcPr>
                <w:p w14:paraId="46F6796B">
                  <w:pPr>
                    <w:spacing w:line="360" w:lineRule="auto"/>
                    <w:jc w:val="center"/>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val="en-US" w:eastAsia="zh-CN"/>
                    </w:rPr>
                    <w:t>3</w:t>
                  </w:r>
                </w:p>
              </w:tc>
              <w:tc>
                <w:tcPr>
                  <w:tcW w:w="2132" w:type="dxa"/>
                  <w:noWrap w:val="0"/>
                  <w:vAlign w:val="center"/>
                </w:tcPr>
                <w:p w14:paraId="12572B5B">
                  <w:pPr>
                    <w:jc w:val="center"/>
                    <w:rPr>
                      <w:rFonts w:hint="default" w:ascii="Times New Roman" w:hAnsi="Times New Roman" w:cs="Times New Roman"/>
                      <w:sz w:val="21"/>
                      <w:szCs w:val="21"/>
                    </w:rPr>
                  </w:pPr>
                  <w:r>
                    <w:rPr>
                      <w:rFonts w:hint="default" w:ascii="Times New Roman" w:hAnsi="Times New Roman" w:cs="Times New Roman"/>
                      <w:sz w:val="21"/>
                      <w:szCs w:val="21"/>
                    </w:rPr>
                    <w:t>除危废间以外的其他区域</w:t>
                  </w:r>
                </w:p>
              </w:tc>
              <w:tc>
                <w:tcPr>
                  <w:tcW w:w="2223" w:type="dxa"/>
                  <w:noWrap w:val="0"/>
                  <w:vAlign w:val="center"/>
                </w:tcPr>
                <w:p w14:paraId="26CA018B">
                  <w:pPr>
                    <w:spacing w:line="0" w:lineRule="atLeast"/>
                    <w:jc w:val="center"/>
                    <w:rPr>
                      <w:rFonts w:hint="default" w:ascii="Times New Roman" w:hAnsi="Times New Roman" w:cs="Times New Roman"/>
                      <w:sz w:val="21"/>
                      <w:szCs w:val="21"/>
                    </w:rPr>
                  </w:pPr>
                  <w:r>
                    <w:rPr>
                      <w:rFonts w:hint="default" w:ascii="Times New Roman" w:hAnsi="Times New Roman" w:cs="Times New Roman"/>
                      <w:sz w:val="21"/>
                      <w:szCs w:val="21"/>
                    </w:rPr>
                    <w:t>简单防渗区</w:t>
                  </w:r>
                </w:p>
              </w:tc>
              <w:tc>
                <w:tcPr>
                  <w:tcW w:w="3570" w:type="dxa"/>
                  <w:noWrap w:val="0"/>
                  <w:vAlign w:val="center"/>
                </w:tcPr>
                <w:p w14:paraId="058CEA2E">
                  <w:pPr>
                    <w:spacing w:line="0" w:lineRule="atLeast"/>
                    <w:jc w:val="center"/>
                    <w:rPr>
                      <w:rFonts w:hint="default" w:ascii="Times New Roman" w:hAnsi="Times New Roman" w:cs="Times New Roman"/>
                      <w:sz w:val="21"/>
                      <w:szCs w:val="21"/>
                    </w:rPr>
                  </w:pPr>
                  <w:r>
                    <w:rPr>
                      <w:rFonts w:hint="default" w:ascii="Times New Roman" w:hAnsi="Times New Roman" w:cs="Times New Roman"/>
                      <w:sz w:val="21"/>
                      <w:szCs w:val="21"/>
                    </w:rPr>
                    <w:t>一般地面硬化</w:t>
                  </w:r>
                </w:p>
              </w:tc>
            </w:tr>
          </w:tbl>
          <w:p w14:paraId="78EC801E">
            <w:pPr>
              <w:adjustRightInd w:val="0"/>
              <w:snapToGrid w:val="0"/>
              <w:rPr>
                <w:rFonts w:hint="default" w:ascii="Times New Roman" w:hAnsi="Times New Roman" w:cs="Times New Roman"/>
                <w:bCs/>
                <w:spacing w:val="-10"/>
                <w:szCs w:val="21"/>
              </w:rPr>
            </w:pPr>
          </w:p>
          <w:p w14:paraId="70ABFA1B">
            <w:pPr>
              <w:adjustRightInd w:val="0"/>
              <w:snapToGrid w:val="0"/>
              <w:rPr>
                <w:rFonts w:hint="default" w:ascii="Times New Roman" w:hAnsi="Times New Roman" w:cs="Times New Roman"/>
                <w:bCs/>
                <w:spacing w:val="-10"/>
                <w:szCs w:val="21"/>
              </w:rPr>
            </w:pPr>
          </w:p>
          <w:p w14:paraId="22F5C897">
            <w:pPr>
              <w:numPr>
                <w:ilvl w:val="0"/>
                <w:numId w:val="4"/>
              </w:numPr>
              <w:spacing w:line="360" w:lineRule="auto"/>
              <w:ind w:firstLine="482" w:firstLineChars="200"/>
              <w:rPr>
                <w:rFonts w:hint="default" w:ascii="Times New Roman" w:hAnsi="Times New Roman" w:cs="Times New Roman"/>
                <w:b/>
                <w:bCs/>
                <w:sz w:val="24"/>
              </w:rPr>
            </w:pPr>
            <w:r>
              <w:rPr>
                <w:rFonts w:hint="default" w:ascii="Times New Roman" w:hAnsi="Times New Roman" w:cs="Times New Roman"/>
                <w:b/>
                <w:bCs/>
                <w:sz w:val="24"/>
              </w:rPr>
              <w:t>运营期监测计划</w:t>
            </w:r>
          </w:p>
          <w:p w14:paraId="249E5F88">
            <w:pPr>
              <w:adjustRightInd w:val="0"/>
              <w:snapToGrid w:val="0"/>
              <w:spacing w:line="420" w:lineRule="auto"/>
              <w:ind w:firstLine="480" w:firstLineChars="200"/>
              <w:rPr>
                <w:rFonts w:hint="default" w:ascii="Times New Roman" w:hAnsi="Times New Roman" w:cs="Times New Roman"/>
                <w:sz w:val="24"/>
              </w:rPr>
            </w:pPr>
            <w:r>
              <w:rPr>
                <w:rFonts w:hint="default" w:ascii="Times New Roman" w:hAnsi="Times New Roman" w:cs="Times New Roman"/>
                <w:sz w:val="24"/>
              </w:rPr>
              <w:t>参照《排污单位自行监测技术指南总则》</w:t>
            </w:r>
            <w:r>
              <w:rPr>
                <w:rFonts w:hint="eastAsia" w:ascii="Times New Roman" w:hAnsi="Times New Roman" w:cs="Times New Roman"/>
                <w:sz w:val="24"/>
                <w:lang w:eastAsia="zh-CN"/>
              </w:rPr>
              <w:t>（</w:t>
            </w:r>
            <w:r>
              <w:rPr>
                <w:rFonts w:hint="default" w:ascii="Times New Roman" w:hAnsi="Times New Roman" w:cs="Times New Roman"/>
                <w:sz w:val="24"/>
              </w:rPr>
              <w:t>HJ819-2017）中的相关要求及本项目的实际情况，本项目运营期具体监测计划如下表所示：</w:t>
            </w:r>
          </w:p>
          <w:p w14:paraId="14B09D60">
            <w:pPr>
              <w:pStyle w:val="45"/>
              <w:rPr>
                <w:rFonts w:hint="default" w:ascii="Times New Roman" w:hAnsi="Times New Roman" w:cs="Times New Roman"/>
              </w:rPr>
            </w:pPr>
            <w:r>
              <w:rPr>
                <w:rFonts w:hint="default" w:ascii="Times New Roman" w:hAnsi="Times New Roman" w:cs="Times New Roman"/>
              </w:rPr>
              <w:t>表4-</w:t>
            </w:r>
            <w:r>
              <w:rPr>
                <w:rFonts w:hint="eastAsia" w:ascii="Times New Roman" w:hAnsi="Times New Roman" w:cs="Times New Roman"/>
                <w:lang w:val="en-US" w:eastAsia="zh-CN"/>
              </w:rPr>
              <w:t>6</w:t>
            </w:r>
            <w:r>
              <w:rPr>
                <w:rFonts w:hint="default" w:ascii="Times New Roman" w:hAnsi="Times New Roman" w:cs="Times New Roman"/>
              </w:rPr>
              <w:t>运营期监测计划</w:t>
            </w:r>
          </w:p>
          <w:tbl>
            <w:tblPr>
              <w:tblStyle w:val="22"/>
              <w:tblW w:w="813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79"/>
              <w:gridCol w:w="1818"/>
              <w:gridCol w:w="1736"/>
              <w:gridCol w:w="2605"/>
            </w:tblGrid>
            <w:tr w14:paraId="040EBA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1" w:hRule="atLeast"/>
                <w:jc w:val="center"/>
              </w:trPr>
              <w:tc>
                <w:tcPr>
                  <w:tcW w:w="1979" w:type="dxa"/>
                  <w:noWrap w:val="0"/>
                  <w:vAlign w:val="center"/>
                </w:tcPr>
                <w:p w14:paraId="419ADEE2">
                  <w:pPr>
                    <w:widowControl/>
                    <w:jc w:val="center"/>
                    <w:rPr>
                      <w:rFonts w:hint="default" w:ascii="Times New Roman" w:hAnsi="Times New Roman" w:cs="Times New Roman"/>
                      <w:b/>
                      <w:spacing w:val="-1"/>
                      <w:kern w:val="0"/>
                      <w:sz w:val="24"/>
                    </w:rPr>
                  </w:pPr>
                  <w:r>
                    <w:rPr>
                      <w:rFonts w:hint="default" w:ascii="Times New Roman" w:hAnsi="Times New Roman" w:cs="Times New Roman"/>
                      <w:b/>
                      <w:spacing w:val="-1"/>
                      <w:kern w:val="0"/>
                      <w:sz w:val="24"/>
                    </w:rPr>
                    <w:t>点位</w:t>
                  </w:r>
                </w:p>
              </w:tc>
              <w:tc>
                <w:tcPr>
                  <w:tcW w:w="1818" w:type="dxa"/>
                  <w:noWrap w:val="0"/>
                  <w:vAlign w:val="center"/>
                </w:tcPr>
                <w:p w14:paraId="426E7722">
                  <w:pPr>
                    <w:widowControl/>
                    <w:jc w:val="center"/>
                    <w:rPr>
                      <w:rFonts w:hint="default" w:ascii="Times New Roman" w:hAnsi="Times New Roman" w:cs="Times New Roman"/>
                      <w:b/>
                      <w:spacing w:val="-1"/>
                      <w:kern w:val="0"/>
                      <w:sz w:val="24"/>
                    </w:rPr>
                  </w:pPr>
                  <w:r>
                    <w:rPr>
                      <w:rFonts w:hint="default" w:ascii="Times New Roman" w:hAnsi="Times New Roman" w:cs="Times New Roman"/>
                      <w:b/>
                      <w:spacing w:val="-1"/>
                      <w:kern w:val="0"/>
                      <w:sz w:val="24"/>
                    </w:rPr>
                    <w:t>监测因子</w:t>
                  </w:r>
                </w:p>
              </w:tc>
              <w:tc>
                <w:tcPr>
                  <w:tcW w:w="1736" w:type="dxa"/>
                  <w:noWrap w:val="0"/>
                  <w:vAlign w:val="center"/>
                </w:tcPr>
                <w:p w14:paraId="7B45A2E7">
                  <w:pPr>
                    <w:widowControl/>
                    <w:jc w:val="center"/>
                    <w:rPr>
                      <w:rFonts w:hint="default" w:ascii="Times New Roman" w:hAnsi="Times New Roman" w:cs="Times New Roman"/>
                      <w:b/>
                      <w:spacing w:val="-1"/>
                      <w:kern w:val="0"/>
                      <w:sz w:val="24"/>
                    </w:rPr>
                  </w:pPr>
                  <w:r>
                    <w:rPr>
                      <w:rFonts w:hint="default" w:ascii="Times New Roman" w:hAnsi="Times New Roman" w:cs="Times New Roman"/>
                      <w:b/>
                      <w:spacing w:val="-1"/>
                      <w:kern w:val="0"/>
                      <w:sz w:val="24"/>
                    </w:rPr>
                    <w:t>监测频次</w:t>
                  </w:r>
                </w:p>
              </w:tc>
              <w:tc>
                <w:tcPr>
                  <w:tcW w:w="2605" w:type="dxa"/>
                  <w:noWrap w:val="0"/>
                  <w:vAlign w:val="center"/>
                </w:tcPr>
                <w:p w14:paraId="1864C34A">
                  <w:pPr>
                    <w:widowControl/>
                    <w:jc w:val="center"/>
                    <w:rPr>
                      <w:rFonts w:hint="default" w:ascii="Times New Roman" w:hAnsi="Times New Roman" w:cs="Times New Roman"/>
                      <w:b/>
                      <w:spacing w:val="-1"/>
                      <w:kern w:val="0"/>
                      <w:sz w:val="24"/>
                    </w:rPr>
                  </w:pPr>
                  <w:r>
                    <w:rPr>
                      <w:rFonts w:hint="default" w:ascii="Times New Roman" w:hAnsi="Times New Roman" w:cs="Times New Roman"/>
                      <w:b/>
                      <w:spacing w:val="-1"/>
                      <w:kern w:val="0"/>
                      <w:sz w:val="24"/>
                    </w:rPr>
                    <w:t>执行标准</w:t>
                  </w:r>
                </w:p>
              </w:tc>
            </w:tr>
            <w:tr w14:paraId="3E55B3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1" w:hRule="atLeast"/>
                <w:jc w:val="center"/>
              </w:trPr>
              <w:tc>
                <w:tcPr>
                  <w:tcW w:w="1979" w:type="dxa"/>
                  <w:noWrap w:val="0"/>
                  <w:vAlign w:val="center"/>
                </w:tcPr>
                <w:p w14:paraId="4B7EFBE2">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厂界</w:t>
                  </w:r>
                </w:p>
              </w:tc>
              <w:tc>
                <w:tcPr>
                  <w:tcW w:w="1818" w:type="dxa"/>
                  <w:noWrap w:val="0"/>
                  <w:vAlign w:val="center"/>
                </w:tcPr>
                <w:p w14:paraId="2DE97EE9">
                  <w:pPr>
                    <w:adjustRightInd w:val="0"/>
                    <w:snapToGrid w:val="0"/>
                    <w:jc w:val="center"/>
                    <w:rPr>
                      <w:rFonts w:hint="default" w:ascii="Times New Roman" w:hAnsi="Times New Roman" w:cs="Times New Roman"/>
                      <w:b/>
                      <w:spacing w:val="-1"/>
                      <w:kern w:val="0"/>
                      <w:sz w:val="21"/>
                      <w:szCs w:val="21"/>
                    </w:rPr>
                  </w:pPr>
                  <w:r>
                    <w:rPr>
                      <w:rFonts w:hint="default" w:ascii="Times New Roman" w:hAnsi="Times New Roman" w:cs="Times New Roman"/>
                      <w:sz w:val="21"/>
                      <w:szCs w:val="21"/>
                    </w:rPr>
                    <w:t>颗粒物</w:t>
                  </w:r>
                </w:p>
              </w:tc>
              <w:tc>
                <w:tcPr>
                  <w:tcW w:w="1736" w:type="dxa"/>
                  <w:noWrap w:val="0"/>
                  <w:vAlign w:val="center"/>
                </w:tcPr>
                <w:p w14:paraId="143A3D67">
                  <w:pPr>
                    <w:adjustRightInd w:val="0"/>
                    <w:snapToGrid w:val="0"/>
                    <w:jc w:val="center"/>
                    <w:rPr>
                      <w:rFonts w:hint="default" w:ascii="Times New Roman" w:hAnsi="Times New Roman" w:cs="Times New Roman"/>
                      <w:b/>
                      <w:spacing w:val="-1"/>
                      <w:kern w:val="0"/>
                      <w:sz w:val="21"/>
                      <w:szCs w:val="21"/>
                    </w:rPr>
                  </w:pPr>
                  <w:r>
                    <w:rPr>
                      <w:rFonts w:hint="default" w:ascii="Times New Roman" w:hAnsi="Times New Roman" w:cs="Times New Roman"/>
                      <w:sz w:val="21"/>
                      <w:szCs w:val="21"/>
                    </w:rPr>
                    <w:t>每年1次</w:t>
                  </w:r>
                </w:p>
              </w:tc>
              <w:tc>
                <w:tcPr>
                  <w:tcW w:w="2605" w:type="dxa"/>
                  <w:noWrap w:val="0"/>
                  <w:vAlign w:val="center"/>
                </w:tcPr>
                <w:p w14:paraId="7EA83210">
                  <w:pPr>
                    <w:adjustRightInd w:val="0"/>
                    <w:snapToGrid w:val="0"/>
                    <w:jc w:val="center"/>
                    <w:rPr>
                      <w:rFonts w:hint="default" w:ascii="Times New Roman" w:hAnsi="Times New Roman" w:cs="Times New Roman"/>
                      <w:sz w:val="21"/>
                      <w:szCs w:val="21"/>
                    </w:rPr>
                  </w:pPr>
                  <w:r>
                    <w:rPr>
                      <w:rFonts w:hint="default" w:ascii="Times New Roman" w:hAnsi="Times New Roman" w:cs="Times New Roman"/>
                      <w:color w:val="auto"/>
                    </w:rPr>
                    <w:t>《大气污染物综合排放标准》（GB16297-1996）</w:t>
                  </w:r>
                </w:p>
              </w:tc>
            </w:tr>
            <w:tr w14:paraId="344A5B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33" w:hRule="atLeast"/>
                <w:jc w:val="center"/>
              </w:trPr>
              <w:tc>
                <w:tcPr>
                  <w:tcW w:w="1979" w:type="dxa"/>
                  <w:noWrap w:val="0"/>
                  <w:vAlign w:val="center"/>
                </w:tcPr>
                <w:p w14:paraId="6A15CD92">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厂界</w:t>
                  </w:r>
                </w:p>
              </w:tc>
              <w:tc>
                <w:tcPr>
                  <w:tcW w:w="1818" w:type="dxa"/>
                  <w:noWrap w:val="0"/>
                  <w:vAlign w:val="center"/>
                </w:tcPr>
                <w:p w14:paraId="6D7F6823">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1736" w:type="dxa"/>
                  <w:noWrap w:val="0"/>
                  <w:vAlign w:val="center"/>
                </w:tcPr>
                <w:p w14:paraId="50DCBACF">
                  <w:pPr>
                    <w:widowControl/>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每个季度1次</w:t>
                  </w:r>
                </w:p>
              </w:tc>
              <w:tc>
                <w:tcPr>
                  <w:tcW w:w="2605" w:type="dxa"/>
                  <w:noWrap w:val="0"/>
                  <w:vAlign w:val="center"/>
                </w:tcPr>
                <w:p w14:paraId="4E76846D">
                  <w:pPr>
                    <w:widowControl/>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《工业企业厂界环境噪声排放标准》（GB12348-2008）2类标准</w:t>
                  </w:r>
                </w:p>
              </w:tc>
            </w:tr>
          </w:tbl>
          <w:p w14:paraId="4364092B">
            <w:pPr>
              <w:rPr>
                <w:rFonts w:hint="default" w:ascii="Times New Roman" w:hAnsi="Times New Roman" w:cs="Times New Roman"/>
              </w:rPr>
            </w:pPr>
          </w:p>
          <w:p w14:paraId="3B482A05">
            <w:pPr>
              <w:spacing w:line="360" w:lineRule="auto"/>
              <w:ind w:firstLine="482" w:firstLineChars="200"/>
              <w:rPr>
                <w:rFonts w:hint="default" w:ascii="Times New Roman" w:hAnsi="Times New Roman" w:cs="Times New Roman"/>
                <w:b/>
                <w:bCs/>
                <w:sz w:val="24"/>
              </w:rPr>
            </w:pPr>
            <w:r>
              <w:rPr>
                <w:rFonts w:hint="default" w:ascii="Times New Roman" w:hAnsi="Times New Roman" w:cs="Times New Roman"/>
                <w:b/>
                <w:bCs/>
                <w:sz w:val="24"/>
              </w:rPr>
              <w:t>7、环境风险</w:t>
            </w:r>
          </w:p>
          <w:p w14:paraId="44E30529">
            <w:pPr>
              <w:pStyle w:val="44"/>
              <w:bidi w:val="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①风险物质识别</w:t>
            </w:r>
          </w:p>
          <w:p w14:paraId="00F22ABC">
            <w:pPr>
              <w:pStyle w:val="44"/>
              <w:ind w:firstLine="480"/>
              <w:jc w:val="both"/>
              <w:rPr>
                <w:rFonts w:hint="default" w:ascii="Times New Roman" w:hAnsi="Times New Roman" w:cs="Times New Roman"/>
              </w:rPr>
            </w:pPr>
            <w:r>
              <w:rPr>
                <w:rFonts w:hint="default" w:ascii="Times New Roman" w:hAnsi="Times New Roman" w:cs="Times New Roman"/>
              </w:rPr>
              <w:t>根据《建设项目环境风险评价技术导则》(HJ169—2018)、《企业突发环境事件风险分级方法》HJ941-2018本项目风险物质主要为矿物油（润滑油</w:t>
            </w:r>
            <w:r>
              <w:rPr>
                <w:rFonts w:hint="eastAsia" w:ascii="Times New Roman" w:hAnsi="Times New Roman" w:cs="Times New Roman"/>
                <w:lang w:val="en-US" w:eastAsia="zh-CN"/>
              </w:rPr>
              <w:t>及废润滑油</w:t>
            </w:r>
            <w:r>
              <w:rPr>
                <w:rFonts w:hint="default" w:ascii="Times New Roman" w:hAnsi="Times New Roman" w:cs="Times New Roman"/>
              </w:rPr>
              <w:t>），</w:t>
            </w:r>
            <w:r>
              <w:rPr>
                <w:rFonts w:hint="default" w:ascii="Times New Roman" w:hAnsi="Times New Roman" w:cs="Times New Roman"/>
                <w:color w:val="auto"/>
                <w:lang w:val="en-US" w:eastAsia="zh-CN"/>
              </w:rPr>
              <w:t>矿物油</w:t>
            </w:r>
            <w:r>
              <w:rPr>
                <w:rFonts w:hint="default" w:ascii="Times New Roman" w:hAnsi="Times New Roman" w:eastAsia="宋体" w:cs="Times New Roman"/>
                <w:color w:val="auto"/>
                <w:lang w:val="en-US" w:eastAsia="zh-CN"/>
              </w:rPr>
              <w:t>临界量均为</w:t>
            </w:r>
            <w:r>
              <w:rPr>
                <w:rFonts w:hint="default" w:ascii="Times New Roman" w:hAnsi="Times New Roman" w:cs="Times New Roman"/>
                <w:color w:val="auto"/>
                <w:lang w:val="en-US" w:eastAsia="zh-CN"/>
              </w:rPr>
              <w:t>250</w:t>
            </w:r>
            <w:r>
              <w:rPr>
                <w:rFonts w:hint="default" w:ascii="Times New Roman" w:hAnsi="Times New Roman" w:eastAsia="宋体" w:cs="Times New Roman"/>
                <w:color w:val="auto"/>
                <w:lang w:val="en-US" w:eastAsia="zh-CN"/>
              </w:rPr>
              <w:t>0t，本项目</w:t>
            </w:r>
            <w:r>
              <w:rPr>
                <w:rFonts w:hint="default" w:ascii="Times New Roman" w:hAnsi="Times New Roman" w:cs="Times New Roman"/>
                <w:color w:val="auto"/>
                <w:lang w:val="en-US" w:eastAsia="zh-CN"/>
              </w:rPr>
              <w:t>矿物油</w:t>
            </w:r>
            <w:r>
              <w:rPr>
                <w:rFonts w:hint="default" w:ascii="Times New Roman" w:hAnsi="Times New Roman" w:eastAsia="宋体" w:cs="Times New Roman"/>
                <w:color w:val="auto"/>
                <w:lang w:val="en-US" w:eastAsia="zh-CN"/>
              </w:rPr>
              <w:t>最大存量约</w:t>
            </w:r>
            <w:r>
              <w:rPr>
                <w:rFonts w:hint="eastAsia" w:ascii="Times New Roman" w:hAnsi="Times New Roman" w:cs="Times New Roman"/>
                <w:color w:val="auto"/>
                <w:lang w:val="en-US" w:eastAsia="zh-CN"/>
              </w:rPr>
              <w:t>0.2</w:t>
            </w:r>
            <w:r>
              <w:rPr>
                <w:rFonts w:hint="default" w:ascii="Times New Roman" w:hAnsi="Times New Roman" w:eastAsia="宋体" w:cs="Times New Roman"/>
                <w:color w:val="auto"/>
                <w:lang w:val="en-US" w:eastAsia="zh-CN"/>
              </w:rPr>
              <w:t>t。因此本项目Q</w:t>
            </w:r>
            <w:r>
              <w:rPr>
                <w:rFonts w:hint="default" w:ascii="Times New Roman" w:hAnsi="Times New Roman" w:cs="Times New Roman"/>
                <w:color w:val="auto"/>
                <w:lang w:val="en-US" w:eastAsia="zh-CN"/>
              </w:rPr>
              <w:t>=</w:t>
            </w:r>
            <w:r>
              <w:rPr>
                <w:rFonts w:hint="eastAsia" w:ascii="Times New Roman" w:hAnsi="Times New Roman" w:cs="Times New Roman"/>
                <w:color w:val="auto"/>
                <w:lang w:val="en-US" w:eastAsia="zh-CN"/>
              </w:rPr>
              <w:t>0.2</w:t>
            </w:r>
            <w:r>
              <w:rPr>
                <w:rFonts w:hint="default" w:ascii="Times New Roman" w:hAnsi="Times New Roman" w:cs="Times New Roman"/>
                <w:color w:val="auto"/>
                <w:lang w:val="en-US" w:eastAsia="zh-CN"/>
              </w:rPr>
              <w:t>/2500</w:t>
            </w:r>
            <w:r>
              <w:rPr>
                <w:rFonts w:hint="default" w:ascii="Times New Roman" w:hAnsi="Times New Roman" w:eastAsia="宋体" w:cs="Times New Roman"/>
                <w:color w:val="auto"/>
                <w:lang w:val="en-US" w:eastAsia="zh-CN"/>
              </w:rPr>
              <w:t>&lt;1。当Q＜1时，该项目环境风险潜势为Ⅰ，项目为低风险等级。</w:t>
            </w:r>
          </w:p>
          <w:p w14:paraId="6DA58379">
            <w:pPr>
              <w:pStyle w:val="44"/>
              <w:ind w:firstLine="480"/>
              <w:jc w:val="both"/>
              <w:rPr>
                <w:rFonts w:hint="default" w:ascii="Times New Roman" w:hAnsi="Times New Roman" w:cs="Times New Roman"/>
                <w:color w:val="auto"/>
              </w:rPr>
            </w:pPr>
            <w:r>
              <w:rPr>
                <w:rFonts w:hint="default" w:ascii="Times New Roman" w:hAnsi="Times New Roman" w:cs="Times New Roman"/>
                <w:color w:val="auto"/>
              </w:rPr>
              <w:t>②风险物质分布</w:t>
            </w:r>
          </w:p>
          <w:p w14:paraId="3EB41332">
            <w:pPr>
              <w:pStyle w:val="44"/>
              <w:ind w:firstLine="480"/>
              <w:jc w:val="both"/>
              <w:rPr>
                <w:rFonts w:hint="default" w:ascii="Times New Roman" w:hAnsi="Times New Roman" w:cs="Times New Roman"/>
                <w:color w:val="auto"/>
              </w:rPr>
            </w:pPr>
            <w:r>
              <w:rPr>
                <w:rFonts w:hint="default" w:ascii="Times New Roman" w:hAnsi="Times New Roman" w:cs="Times New Roman"/>
                <w:color w:val="auto"/>
              </w:rPr>
              <w:t>废</w:t>
            </w:r>
            <w:r>
              <w:rPr>
                <w:rFonts w:hint="default" w:ascii="Times New Roman" w:hAnsi="Times New Roman" w:cs="Times New Roman"/>
                <w:color w:val="auto"/>
                <w:lang w:val="en-US" w:eastAsia="zh-CN"/>
              </w:rPr>
              <w:t>矿物油</w:t>
            </w:r>
            <w:r>
              <w:rPr>
                <w:rFonts w:hint="default" w:ascii="Times New Roman" w:hAnsi="Times New Roman" w:cs="Times New Roman"/>
                <w:color w:val="auto"/>
              </w:rPr>
              <w:t>：位于公司危废间内，废</w:t>
            </w:r>
            <w:r>
              <w:rPr>
                <w:rFonts w:hint="default" w:ascii="Times New Roman" w:hAnsi="Times New Roman" w:cs="Times New Roman"/>
                <w:color w:val="auto"/>
                <w:lang w:val="en-US" w:eastAsia="zh-CN"/>
              </w:rPr>
              <w:t>矿物油</w:t>
            </w:r>
            <w:r>
              <w:rPr>
                <w:rFonts w:hint="default" w:ascii="Times New Roman" w:hAnsi="Times New Roman" w:cs="Times New Roman"/>
                <w:color w:val="auto"/>
              </w:rPr>
              <w:t>最大存量约</w:t>
            </w:r>
            <w:r>
              <w:rPr>
                <w:rFonts w:hint="eastAsia" w:ascii="Times New Roman" w:hAnsi="Times New Roman" w:cs="Times New Roman"/>
                <w:color w:val="auto"/>
                <w:lang w:val="en-US" w:eastAsia="zh-CN"/>
              </w:rPr>
              <w:t>0.2</w:t>
            </w:r>
            <w:r>
              <w:rPr>
                <w:rFonts w:hint="default" w:ascii="Times New Roman" w:hAnsi="Times New Roman" w:cs="Times New Roman"/>
                <w:color w:val="auto"/>
              </w:rPr>
              <w:t>t</w:t>
            </w:r>
          </w:p>
          <w:p w14:paraId="3D4C47E2">
            <w:pPr>
              <w:pStyle w:val="44"/>
              <w:ind w:firstLine="480"/>
              <w:jc w:val="both"/>
              <w:rPr>
                <w:rFonts w:hint="default" w:ascii="Times New Roman" w:hAnsi="Times New Roman" w:cs="Times New Roman"/>
                <w:color w:val="auto"/>
              </w:rPr>
            </w:pPr>
            <w:r>
              <w:rPr>
                <w:rFonts w:hint="default" w:ascii="Times New Roman" w:hAnsi="Times New Roman" w:cs="Times New Roman"/>
                <w:color w:val="auto"/>
              </w:rPr>
              <w:t>③影响途径</w:t>
            </w:r>
          </w:p>
          <w:p w14:paraId="478217B0">
            <w:pPr>
              <w:pStyle w:val="44"/>
              <w:numPr>
                <w:ilvl w:val="0"/>
                <w:numId w:val="5"/>
              </w:numPr>
              <w:ind w:firstLine="480"/>
              <w:jc w:val="both"/>
              <w:rPr>
                <w:rFonts w:hint="default" w:ascii="Times New Roman" w:hAnsi="Times New Roman" w:cs="Times New Roman"/>
                <w:color w:val="auto"/>
              </w:rPr>
            </w:pPr>
            <w:r>
              <w:rPr>
                <w:rFonts w:hint="default" w:ascii="Times New Roman" w:hAnsi="Times New Roman" w:cs="Times New Roman"/>
                <w:color w:val="auto"/>
              </w:rPr>
              <w:t>泄漏</w:t>
            </w:r>
          </w:p>
          <w:p w14:paraId="70B60357">
            <w:pPr>
              <w:pStyle w:val="44"/>
              <w:ind w:firstLine="480"/>
              <w:rPr>
                <w:rFonts w:hint="default" w:ascii="Times New Roman" w:hAnsi="Times New Roman" w:eastAsia="宋体" w:cs="Times New Roman"/>
                <w:color w:val="auto"/>
                <w:lang w:val="en-US" w:eastAsia="zh-CN"/>
              </w:rPr>
            </w:pPr>
            <w:r>
              <w:rPr>
                <w:rFonts w:hint="default" w:ascii="Times New Roman" w:hAnsi="Times New Roman" w:cs="Times New Roman"/>
                <w:color w:val="auto"/>
              </w:rPr>
              <w:t>危废间内废润滑油因存储容器破损导则废润滑油泄漏</w:t>
            </w:r>
            <w:r>
              <w:rPr>
                <w:rFonts w:hint="default" w:ascii="Times New Roman" w:hAnsi="Times New Roman" w:cs="Times New Roman"/>
                <w:color w:val="auto"/>
                <w:lang w:val="en-US" w:eastAsia="zh-CN"/>
              </w:rPr>
              <w:t>。</w:t>
            </w:r>
          </w:p>
          <w:p w14:paraId="15C0F45D">
            <w:pPr>
              <w:pStyle w:val="44"/>
              <w:numPr>
                <w:ilvl w:val="0"/>
                <w:numId w:val="5"/>
              </w:numPr>
              <w:ind w:firstLine="480"/>
              <w:rPr>
                <w:rFonts w:hint="default" w:ascii="Times New Roman" w:hAnsi="Times New Roman" w:cs="Times New Roman"/>
                <w:color w:val="auto"/>
              </w:rPr>
            </w:pPr>
            <w:r>
              <w:rPr>
                <w:rFonts w:hint="default" w:ascii="Times New Roman" w:hAnsi="Times New Roman" w:cs="Times New Roman"/>
                <w:color w:val="auto"/>
              </w:rPr>
              <w:t>火灾</w:t>
            </w:r>
          </w:p>
          <w:p w14:paraId="58CEC3ED">
            <w:pPr>
              <w:pStyle w:val="44"/>
              <w:ind w:left="420" w:leftChars="200" w:firstLine="0" w:firstLineChars="0"/>
              <w:rPr>
                <w:rFonts w:hint="default" w:ascii="Times New Roman" w:hAnsi="Times New Roman" w:cs="Times New Roman"/>
                <w:color w:val="auto"/>
              </w:rPr>
            </w:pPr>
            <w:r>
              <w:rPr>
                <w:rFonts w:hint="default" w:ascii="Times New Roman" w:hAnsi="Times New Roman" w:cs="Times New Roman"/>
                <w:color w:val="auto"/>
              </w:rPr>
              <w:t>本项目因厂区失火，导致润滑油被引燃，引发次生环境污染。</w:t>
            </w:r>
          </w:p>
          <w:p w14:paraId="15A9C4CE">
            <w:pPr>
              <w:pStyle w:val="44"/>
              <w:numPr>
                <w:ilvl w:val="0"/>
                <w:numId w:val="5"/>
              </w:numPr>
              <w:ind w:firstLine="480"/>
              <w:rPr>
                <w:rFonts w:hint="default" w:ascii="Times New Roman" w:hAnsi="Times New Roman" w:cs="Times New Roman"/>
                <w:color w:val="auto"/>
              </w:rPr>
            </w:pPr>
            <w:r>
              <w:rPr>
                <w:rFonts w:hint="default" w:ascii="Times New Roman" w:hAnsi="Times New Roman" w:cs="Times New Roman"/>
                <w:color w:val="auto"/>
              </w:rPr>
              <w:t>爆炸</w:t>
            </w:r>
          </w:p>
          <w:p w14:paraId="3C3FDCD2">
            <w:pPr>
              <w:pStyle w:val="44"/>
              <w:ind w:left="420" w:leftChars="200" w:firstLine="0" w:firstLineChars="0"/>
              <w:rPr>
                <w:rFonts w:hint="default" w:ascii="Times New Roman" w:hAnsi="Times New Roman" w:cs="Times New Roman"/>
                <w:color w:val="auto"/>
              </w:rPr>
            </w:pPr>
            <w:r>
              <w:rPr>
                <w:rFonts w:hint="default" w:ascii="Times New Roman" w:hAnsi="Times New Roman" w:cs="Times New Roman"/>
                <w:color w:val="auto"/>
              </w:rPr>
              <w:t>本项目不考虑爆炸影响途径。</w:t>
            </w:r>
          </w:p>
          <w:p w14:paraId="41E50A0A">
            <w:pPr>
              <w:pStyle w:val="44"/>
              <w:ind w:firstLine="480"/>
              <w:rPr>
                <w:rFonts w:hint="default" w:ascii="Times New Roman" w:hAnsi="Times New Roman" w:cs="Times New Roman"/>
                <w:color w:val="auto"/>
              </w:rPr>
            </w:pPr>
            <w:r>
              <w:rPr>
                <w:rFonts w:hint="eastAsia" w:ascii="Times New Roman" w:hAnsi="Times New Roman" w:cs="Times New Roman"/>
                <w:lang w:eastAsia="zh-CN"/>
              </w:rPr>
              <w:t>④</w:t>
            </w:r>
            <w:r>
              <w:rPr>
                <w:rFonts w:hint="default" w:ascii="Times New Roman" w:hAnsi="Times New Roman" w:cs="Times New Roman"/>
                <w:color w:val="auto"/>
              </w:rPr>
              <w:t>风险防范措施</w:t>
            </w:r>
          </w:p>
          <w:p w14:paraId="2DDEC0EF">
            <w:pPr>
              <w:pStyle w:val="44"/>
              <w:ind w:firstLine="480"/>
              <w:rPr>
                <w:rFonts w:hint="default" w:ascii="Times New Roman" w:hAnsi="Times New Roman" w:cs="Times New Roman"/>
              </w:rPr>
            </w:pPr>
            <w:r>
              <w:rPr>
                <w:rFonts w:hint="eastAsia" w:ascii="Times New Roman" w:hAnsi="Times New Roman" w:cs="Times New Roman"/>
                <w:lang w:val="en-US" w:eastAsia="zh-CN"/>
              </w:rPr>
              <w:t>1）</w:t>
            </w:r>
            <w:r>
              <w:rPr>
                <w:rFonts w:hint="default" w:ascii="Times New Roman" w:hAnsi="Times New Roman" w:cs="Times New Roman"/>
              </w:rPr>
              <w:t>针对润滑油火灾：加强管理，严格控制润滑油在厂区的储存量，以预防火灾的发生。</w:t>
            </w:r>
          </w:p>
          <w:p w14:paraId="4F9D497C">
            <w:pPr>
              <w:pStyle w:val="44"/>
              <w:ind w:firstLine="480"/>
              <w:rPr>
                <w:rFonts w:hint="default" w:ascii="Times New Roman" w:hAnsi="Times New Roman" w:cs="Times New Roman"/>
              </w:rPr>
            </w:pPr>
            <w:r>
              <w:rPr>
                <w:rFonts w:hint="eastAsia" w:ascii="Times New Roman" w:hAnsi="Times New Roman" w:cs="Times New Roman"/>
                <w:lang w:val="en-US" w:eastAsia="zh-CN"/>
              </w:rPr>
              <w:t>2）</w:t>
            </w:r>
            <w:r>
              <w:rPr>
                <w:rFonts w:hint="default" w:ascii="Times New Roman" w:hAnsi="Times New Roman" w:cs="Times New Roman"/>
              </w:rPr>
              <w:t>危废暂存间暂存的废油指派专人管理，暂存间内配置足够的灭火设施设备如配备干粉灭火器，消防沙等。</w:t>
            </w:r>
          </w:p>
          <w:p w14:paraId="15EA42C6">
            <w:pPr>
              <w:pStyle w:val="44"/>
              <w:ind w:firstLine="480"/>
              <w:rPr>
                <w:rFonts w:hint="default" w:ascii="Times New Roman" w:hAnsi="Times New Roman" w:cs="Times New Roman"/>
              </w:rPr>
            </w:pPr>
            <w:r>
              <w:rPr>
                <w:rFonts w:hint="eastAsia" w:ascii="Times New Roman" w:hAnsi="Times New Roman" w:cs="Times New Roman"/>
                <w:lang w:val="en-US" w:eastAsia="zh-CN"/>
              </w:rPr>
              <w:t>3）</w:t>
            </w:r>
            <w:r>
              <w:rPr>
                <w:rFonts w:hint="default" w:ascii="Times New Roman" w:hAnsi="Times New Roman" w:cs="Times New Roman"/>
              </w:rPr>
              <w:t>按照《危险废物贮存污染控制标准》GB18597－20</w:t>
            </w:r>
            <w:r>
              <w:rPr>
                <w:rFonts w:hint="eastAsia" w:ascii="Times New Roman" w:hAnsi="Times New Roman" w:cs="Times New Roman"/>
                <w:lang w:val="en-US" w:eastAsia="zh-CN"/>
              </w:rPr>
              <w:t>23</w:t>
            </w:r>
            <w:r>
              <w:rPr>
                <w:rFonts w:hint="default" w:ascii="Times New Roman" w:hAnsi="Times New Roman" w:cs="Times New Roman"/>
              </w:rPr>
              <w:t>的规定管理危废暂存间，并做好防渗、防泄漏、防遗撒措施。危险废物定期交由资质单位处置。</w:t>
            </w:r>
          </w:p>
          <w:p w14:paraId="34709C9A">
            <w:pPr>
              <w:pStyle w:val="44"/>
              <w:ind w:firstLine="480"/>
              <w:rPr>
                <w:rFonts w:hint="eastAsia" w:ascii="Times New Roman" w:hAnsi="Times New Roman" w:cs="Times New Roman"/>
                <w:lang w:val="en-US" w:eastAsia="zh-CN"/>
              </w:rPr>
            </w:pPr>
            <w:r>
              <w:rPr>
                <w:rFonts w:hint="eastAsia" w:ascii="Times New Roman" w:hAnsi="Times New Roman" w:cs="Times New Roman"/>
                <w:lang w:val="en-US" w:eastAsia="zh-CN"/>
              </w:rPr>
              <w:t>4）其他风险防范：其他风险主要为生产废水泄漏，为预防生产废水泄漏应做好以下工作：</w:t>
            </w:r>
          </w:p>
          <w:p w14:paraId="26234F57">
            <w:pPr>
              <w:pStyle w:val="44"/>
              <w:ind w:firstLine="480"/>
              <w:rPr>
                <w:rFonts w:hint="eastAsia" w:ascii="Times New Roman" w:hAnsi="Times New Roman" w:eastAsia="宋体" w:cs="Times New Roman"/>
                <w:lang w:val="en-US" w:eastAsia="zh-CN"/>
              </w:rPr>
            </w:pPr>
            <w:r>
              <w:rPr>
                <w:rFonts w:hint="eastAsia" w:ascii="Times New Roman" w:hAnsi="Times New Roman" w:cs="Times New Roman"/>
                <w:lang w:val="en-US" w:eastAsia="zh-CN"/>
              </w:rPr>
              <w:t>定期巡查沉淀池，若发现破损，应立即修复；制定安全生产操作规程，加强人员培训，降低风险事故发生的概率；安排专人负责废水处理系统运行和管理；为确保项目废水处理设施出现故障时事故废水不外排，将沉淀池兼作事故池使用，故障时项目应立即停止生产，并将废水引入沉淀池内暂存，待设施检修完毕后重新处理达标后循环使用，沉淀池在日常使用中池中的水量一般不超出池容的70%，以确保有足够的空间收纳事故废水和初期雨水。</w:t>
            </w:r>
          </w:p>
          <w:p w14:paraId="4AF1738B">
            <w:pPr>
              <w:pStyle w:val="44"/>
              <w:ind w:firstLine="480"/>
              <w:rPr>
                <w:rFonts w:hint="default" w:ascii="Times New Roman" w:hAnsi="Times New Roman" w:cs="Times New Roman"/>
              </w:rPr>
            </w:pPr>
            <w:r>
              <w:rPr>
                <w:rFonts w:hint="eastAsia" w:ascii="Times New Roman" w:hAnsi="Times New Roman" w:cs="Times New Roman"/>
                <w:lang w:val="en-US" w:eastAsia="zh-CN"/>
              </w:rPr>
              <w:t>5）</w:t>
            </w:r>
            <w:r>
              <w:rPr>
                <w:rFonts w:hint="default" w:ascii="Times New Roman" w:hAnsi="Times New Roman" w:cs="Times New Roman"/>
              </w:rPr>
              <w:t>制定《突发环境事件应急预案》，成立突发环境事件应急处置领导小组和应急救援兼职队伍，平时做好救援队伍的组织、训练和演练，并对工人进行自救和互救知识的宣传教育。</w:t>
            </w:r>
          </w:p>
          <w:p w14:paraId="5A797B9E">
            <w:pPr>
              <w:adjustRightInd w:val="0"/>
              <w:snapToGrid w:val="0"/>
              <w:spacing w:line="360" w:lineRule="auto"/>
              <w:ind w:firstLine="482" w:firstLineChars="200"/>
              <w:rPr>
                <w:rFonts w:hint="default" w:ascii="Times New Roman" w:hAnsi="Times New Roman" w:cs="Times New Roman"/>
                <w:b/>
                <w:sz w:val="24"/>
              </w:rPr>
            </w:pPr>
            <w:r>
              <w:rPr>
                <w:rFonts w:hint="default" w:ascii="Times New Roman" w:hAnsi="Times New Roman" w:cs="Times New Roman"/>
                <w:b/>
                <w:sz w:val="24"/>
              </w:rPr>
              <w:t>8、环境风险应急措施</w:t>
            </w:r>
          </w:p>
          <w:p w14:paraId="0C646C12">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本项目主要环境风险为润滑泄漏所引发环境污染及火灾引发的次生环境污染。本次环评对项目环境风险提出以下应急措施：</w:t>
            </w:r>
          </w:p>
          <w:p w14:paraId="528C1F21">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①发现润滑油泄漏后，应立即采用消防干</w:t>
            </w:r>
            <w:r>
              <w:rPr>
                <w:rFonts w:hint="eastAsia" w:cs="Times New Roman"/>
                <w:sz w:val="24"/>
                <w:szCs w:val="22"/>
                <w:lang w:eastAsia="zh-CN"/>
              </w:rPr>
              <w:t>砂</w:t>
            </w:r>
            <w:r>
              <w:rPr>
                <w:rFonts w:hint="default" w:ascii="Times New Roman" w:hAnsi="Times New Roman" w:cs="Times New Roman"/>
                <w:sz w:val="24"/>
                <w:szCs w:val="22"/>
              </w:rPr>
              <w:t>、碎布对泄漏的润滑油进行吸附处理，消除污染痕迹。</w:t>
            </w:r>
          </w:p>
          <w:p w14:paraId="431A9967">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②危废间暂存区设置推车式干粉灭火器，以备紧急状态下的应急灭火需要。</w:t>
            </w:r>
          </w:p>
          <w:p w14:paraId="16299925">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③厂房外设置一定数量的消防沙袋，以备暴雨</w:t>
            </w:r>
            <w:r>
              <w:rPr>
                <w:rFonts w:hint="eastAsia" w:ascii="Times New Roman" w:hAnsi="Times New Roman" w:cs="Times New Roman"/>
                <w:sz w:val="24"/>
                <w:szCs w:val="22"/>
                <w:lang w:eastAsia="zh-CN"/>
              </w:rPr>
              <w:t>或者</w:t>
            </w:r>
            <w:r>
              <w:rPr>
                <w:rFonts w:hint="default" w:ascii="Times New Roman" w:hAnsi="Times New Roman" w:cs="Times New Roman"/>
                <w:sz w:val="24"/>
                <w:szCs w:val="22"/>
              </w:rPr>
              <w:t>火灾状态下围堵雨水或消防废水的需要。</w:t>
            </w:r>
          </w:p>
          <w:p w14:paraId="28AA1AC8">
            <w:pPr>
              <w:spacing w:line="444" w:lineRule="auto"/>
              <w:ind w:firstLine="480" w:firstLineChars="200"/>
              <w:jc w:val="left"/>
              <w:rPr>
                <w:rFonts w:hint="default" w:ascii="Times New Roman" w:hAnsi="Times New Roman" w:cs="Times New Roman"/>
                <w:sz w:val="24"/>
                <w:szCs w:val="22"/>
              </w:rPr>
            </w:pPr>
            <w:r>
              <w:rPr>
                <w:rFonts w:hint="default" w:ascii="Times New Roman" w:hAnsi="Times New Roman" w:cs="Times New Roman"/>
                <w:sz w:val="24"/>
                <w:szCs w:val="22"/>
              </w:rPr>
              <w:t>④按照下表所示内容，制定突发环境事件应急预案，并报送遂宁市</w:t>
            </w:r>
            <w:r>
              <w:rPr>
                <w:rFonts w:hint="eastAsia" w:cs="Times New Roman"/>
                <w:sz w:val="24"/>
                <w:szCs w:val="22"/>
                <w:lang w:eastAsia="zh-CN"/>
              </w:rPr>
              <w:t>安居</w:t>
            </w:r>
            <w:r>
              <w:rPr>
                <w:rFonts w:hint="default" w:ascii="Times New Roman" w:hAnsi="Times New Roman" w:cs="Times New Roman"/>
                <w:sz w:val="24"/>
                <w:szCs w:val="22"/>
              </w:rPr>
              <w:t>生态环境局备案。</w:t>
            </w:r>
          </w:p>
          <w:p w14:paraId="7ACA1FEC">
            <w:pPr>
              <w:adjustRightInd w:val="0"/>
              <w:snapToGrid w:val="0"/>
              <w:spacing w:before="120" w:line="360" w:lineRule="auto"/>
              <w:ind w:firstLine="482" w:firstLineChars="200"/>
              <w:jc w:val="center"/>
              <w:rPr>
                <w:rFonts w:hint="default" w:ascii="Times New Roman" w:hAnsi="Times New Roman" w:cs="Times New Roman"/>
                <w:b/>
                <w:bCs/>
                <w:sz w:val="24"/>
              </w:rPr>
            </w:pPr>
            <w:r>
              <w:rPr>
                <w:rFonts w:hint="default" w:ascii="Times New Roman" w:hAnsi="Times New Roman" w:cs="Times New Roman"/>
                <w:b/>
                <w:bCs/>
                <w:sz w:val="24"/>
              </w:rPr>
              <w:t>表4-</w:t>
            </w:r>
            <w:r>
              <w:rPr>
                <w:rFonts w:hint="eastAsia" w:cs="Times New Roman"/>
                <w:b/>
                <w:bCs/>
                <w:sz w:val="24"/>
                <w:lang w:val="en-US" w:eastAsia="zh-CN"/>
              </w:rPr>
              <w:t>7</w:t>
            </w:r>
            <w:r>
              <w:rPr>
                <w:rFonts w:hint="default" w:ascii="Times New Roman" w:hAnsi="Times New Roman" w:cs="Times New Roman"/>
                <w:b/>
                <w:bCs/>
                <w:sz w:val="24"/>
              </w:rPr>
              <w:t>环境风险应急预案内容</w:t>
            </w:r>
          </w:p>
          <w:tbl>
            <w:tblPr>
              <w:tblStyle w:val="22"/>
              <w:tblW w:w="8220"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228"/>
              <w:gridCol w:w="2843"/>
              <w:gridCol w:w="4149"/>
            </w:tblGrid>
            <w:tr w14:paraId="6D560A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474" w:hRule="atLeast"/>
                <w:jc w:val="center"/>
              </w:trPr>
              <w:tc>
                <w:tcPr>
                  <w:tcW w:w="1332" w:type="dxa"/>
                  <w:noWrap w:val="0"/>
                  <w:vAlign w:val="center"/>
                </w:tcPr>
                <w:p w14:paraId="6360F609">
                  <w:pPr>
                    <w:widowControl/>
                    <w:adjustRightInd w:val="0"/>
                    <w:snapToGrid w:val="0"/>
                    <w:jc w:val="center"/>
                    <w:rPr>
                      <w:rFonts w:hint="default" w:ascii="Times New Roman" w:hAnsi="Times New Roman" w:cs="Times New Roman"/>
                      <w:b/>
                      <w:bCs/>
                      <w:sz w:val="24"/>
                    </w:rPr>
                  </w:pPr>
                  <w:r>
                    <w:rPr>
                      <w:rFonts w:hint="default" w:ascii="Times New Roman" w:hAnsi="Times New Roman" w:cs="Times New Roman"/>
                      <w:b/>
                      <w:bCs/>
                      <w:sz w:val="24"/>
                    </w:rPr>
                    <w:t>序号</w:t>
                  </w:r>
                </w:p>
              </w:tc>
              <w:tc>
                <w:tcPr>
                  <w:tcW w:w="3119" w:type="dxa"/>
                  <w:noWrap w:val="0"/>
                  <w:vAlign w:val="center"/>
                </w:tcPr>
                <w:p w14:paraId="189F5494">
                  <w:pPr>
                    <w:widowControl/>
                    <w:adjustRightInd w:val="0"/>
                    <w:snapToGrid w:val="0"/>
                    <w:jc w:val="center"/>
                    <w:rPr>
                      <w:rFonts w:hint="default" w:ascii="Times New Roman" w:hAnsi="Times New Roman" w:cs="Times New Roman"/>
                      <w:b/>
                      <w:bCs/>
                      <w:sz w:val="24"/>
                    </w:rPr>
                  </w:pPr>
                  <w:r>
                    <w:rPr>
                      <w:rFonts w:hint="default" w:ascii="Times New Roman" w:hAnsi="Times New Roman" w:cs="Times New Roman"/>
                      <w:b/>
                      <w:bCs/>
                      <w:sz w:val="24"/>
                    </w:rPr>
                    <w:t>项目</w:t>
                  </w:r>
                </w:p>
              </w:tc>
              <w:tc>
                <w:tcPr>
                  <w:tcW w:w="4563" w:type="dxa"/>
                  <w:noWrap w:val="0"/>
                  <w:vAlign w:val="center"/>
                </w:tcPr>
                <w:p w14:paraId="07C49AD3">
                  <w:pPr>
                    <w:widowControl/>
                    <w:adjustRightInd w:val="0"/>
                    <w:snapToGrid w:val="0"/>
                    <w:jc w:val="center"/>
                    <w:rPr>
                      <w:rFonts w:hint="default" w:ascii="Times New Roman" w:hAnsi="Times New Roman" w:cs="Times New Roman"/>
                      <w:b/>
                      <w:bCs/>
                      <w:sz w:val="24"/>
                    </w:rPr>
                  </w:pPr>
                  <w:r>
                    <w:rPr>
                      <w:rFonts w:hint="default" w:ascii="Times New Roman" w:hAnsi="Times New Roman" w:cs="Times New Roman"/>
                      <w:b/>
                      <w:bCs/>
                      <w:sz w:val="24"/>
                    </w:rPr>
                    <w:t>内容及要求</w:t>
                  </w:r>
                </w:p>
              </w:tc>
            </w:tr>
            <w:tr w14:paraId="156F49C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45" w:hRule="atLeast"/>
                <w:jc w:val="center"/>
              </w:trPr>
              <w:tc>
                <w:tcPr>
                  <w:tcW w:w="1332" w:type="dxa"/>
                  <w:noWrap w:val="0"/>
                  <w:vAlign w:val="center"/>
                </w:tcPr>
                <w:p w14:paraId="6166B515">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1</w:t>
                  </w:r>
                </w:p>
              </w:tc>
              <w:tc>
                <w:tcPr>
                  <w:tcW w:w="3119" w:type="dxa"/>
                  <w:noWrap w:val="0"/>
                  <w:vAlign w:val="center"/>
                </w:tcPr>
                <w:p w14:paraId="28548C8B">
                  <w:pPr>
                    <w:adjustRightInd w:val="0"/>
                    <w:snapToGrid w:val="0"/>
                    <w:rPr>
                      <w:rFonts w:hint="default" w:ascii="Times New Roman" w:hAnsi="Times New Roman" w:cs="Times New Roman"/>
                      <w:szCs w:val="21"/>
                    </w:rPr>
                  </w:pPr>
                  <w:r>
                    <w:rPr>
                      <w:rFonts w:hint="default" w:ascii="Times New Roman" w:hAnsi="Times New Roman" w:cs="Times New Roman"/>
                      <w:szCs w:val="21"/>
                    </w:rPr>
                    <w:t>应急组织机构、人员</w:t>
                  </w:r>
                </w:p>
              </w:tc>
              <w:tc>
                <w:tcPr>
                  <w:tcW w:w="4563" w:type="dxa"/>
                  <w:noWrap w:val="0"/>
                  <w:vAlign w:val="center"/>
                </w:tcPr>
                <w:p w14:paraId="47B05AA0">
                  <w:pPr>
                    <w:adjustRightInd w:val="0"/>
                    <w:snapToGrid w:val="0"/>
                    <w:rPr>
                      <w:rFonts w:hint="default" w:ascii="Times New Roman" w:hAnsi="Times New Roman" w:cs="Times New Roman"/>
                      <w:szCs w:val="21"/>
                    </w:rPr>
                  </w:pPr>
                  <w:r>
                    <w:rPr>
                      <w:rFonts w:hint="default" w:ascii="Times New Roman" w:hAnsi="Times New Roman" w:cs="Times New Roman"/>
                      <w:szCs w:val="21"/>
                    </w:rPr>
                    <w:t>公司应急机构人员，地方政府应急联络人员</w:t>
                  </w:r>
                </w:p>
              </w:tc>
            </w:tr>
            <w:tr w14:paraId="7AC79C7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07" w:hRule="atLeast"/>
                <w:jc w:val="center"/>
              </w:trPr>
              <w:tc>
                <w:tcPr>
                  <w:tcW w:w="1332" w:type="dxa"/>
                  <w:noWrap w:val="0"/>
                  <w:vAlign w:val="center"/>
                </w:tcPr>
                <w:p w14:paraId="57AB8458">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2</w:t>
                  </w:r>
                </w:p>
              </w:tc>
              <w:tc>
                <w:tcPr>
                  <w:tcW w:w="3119" w:type="dxa"/>
                  <w:noWrap w:val="0"/>
                  <w:vAlign w:val="center"/>
                </w:tcPr>
                <w:p w14:paraId="324E2EE8">
                  <w:pPr>
                    <w:adjustRightInd w:val="0"/>
                    <w:snapToGrid w:val="0"/>
                    <w:rPr>
                      <w:rFonts w:hint="default" w:ascii="Times New Roman" w:hAnsi="Times New Roman" w:cs="Times New Roman"/>
                      <w:szCs w:val="21"/>
                    </w:rPr>
                  </w:pPr>
                  <w:r>
                    <w:rPr>
                      <w:rFonts w:hint="default" w:ascii="Times New Roman" w:hAnsi="Times New Roman" w:cs="Times New Roman"/>
                      <w:szCs w:val="21"/>
                    </w:rPr>
                    <w:t>预案分级响应条件</w:t>
                  </w:r>
                </w:p>
              </w:tc>
              <w:tc>
                <w:tcPr>
                  <w:tcW w:w="4563" w:type="dxa"/>
                  <w:noWrap w:val="0"/>
                  <w:vAlign w:val="center"/>
                </w:tcPr>
                <w:p w14:paraId="1DF02DC9">
                  <w:pPr>
                    <w:adjustRightInd w:val="0"/>
                    <w:snapToGrid w:val="0"/>
                    <w:rPr>
                      <w:rFonts w:hint="default" w:ascii="Times New Roman" w:hAnsi="Times New Roman" w:cs="Times New Roman"/>
                      <w:szCs w:val="21"/>
                    </w:rPr>
                  </w:pPr>
                  <w:r>
                    <w:rPr>
                      <w:rFonts w:hint="default" w:ascii="Times New Roman" w:hAnsi="Times New Roman" w:cs="Times New Roman"/>
                      <w:szCs w:val="21"/>
                    </w:rPr>
                    <w:t>规定预案的级别及分级响应程序</w:t>
                  </w:r>
                </w:p>
              </w:tc>
            </w:tr>
            <w:tr w14:paraId="6F2FC86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45" w:hRule="atLeast"/>
                <w:jc w:val="center"/>
              </w:trPr>
              <w:tc>
                <w:tcPr>
                  <w:tcW w:w="1332" w:type="dxa"/>
                  <w:noWrap w:val="0"/>
                  <w:vAlign w:val="center"/>
                </w:tcPr>
                <w:p w14:paraId="061FBAE3">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3</w:t>
                  </w:r>
                </w:p>
              </w:tc>
              <w:tc>
                <w:tcPr>
                  <w:tcW w:w="3119" w:type="dxa"/>
                  <w:noWrap w:val="0"/>
                  <w:vAlign w:val="center"/>
                </w:tcPr>
                <w:p w14:paraId="758DAD55">
                  <w:pPr>
                    <w:adjustRightInd w:val="0"/>
                    <w:snapToGrid w:val="0"/>
                    <w:rPr>
                      <w:rFonts w:hint="default" w:ascii="Times New Roman" w:hAnsi="Times New Roman" w:cs="Times New Roman"/>
                      <w:szCs w:val="21"/>
                    </w:rPr>
                  </w:pPr>
                  <w:r>
                    <w:rPr>
                      <w:rFonts w:hint="default" w:ascii="Times New Roman" w:hAnsi="Times New Roman" w:cs="Times New Roman"/>
                      <w:szCs w:val="21"/>
                    </w:rPr>
                    <w:t>应急救援保障</w:t>
                  </w:r>
                </w:p>
              </w:tc>
              <w:tc>
                <w:tcPr>
                  <w:tcW w:w="4563" w:type="dxa"/>
                  <w:noWrap w:val="0"/>
                  <w:vAlign w:val="center"/>
                </w:tcPr>
                <w:p w14:paraId="5A249339">
                  <w:pPr>
                    <w:adjustRightInd w:val="0"/>
                    <w:snapToGrid w:val="0"/>
                    <w:rPr>
                      <w:rFonts w:hint="default" w:ascii="Times New Roman" w:hAnsi="Times New Roman" w:cs="Times New Roman"/>
                      <w:szCs w:val="21"/>
                    </w:rPr>
                  </w:pPr>
                  <w:r>
                    <w:rPr>
                      <w:rFonts w:hint="default" w:ascii="Times New Roman" w:hAnsi="Times New Roman" w:cs="Times New Roman"/>
                      <w:szCs w:val="21"/>
                    </w:rPr>
                    <w:t>应急设施、设备与器材等</w:t>
                  </w:r>
                </w:p>
              </w:tc>
            </w:tr>
            <w:tr w14:paraId="4FC6B64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32" w:type="dxa"/>
                  <w:noWrap w:val="0"/>
                  <w:vAlign w:val="center"/>
                </w:tcPr>
                <w:p w14:paraId="4F5695C2">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4</w:t>
                  </w:r>
                </w:p>
              </w:tc>
              <w:tc>
                <w:tcPr>
                  <w:tcW w:w="3119" w:type="dxa"/>
                  <w:noWrap w:val="0"/>
                  <w:vAlign w:val="center"/>
                </w:tcPr>
                <w:p w14:paraId="1B7490C7">
                  <w:pPr>
                    <w:adjustRightInd w:val="0"/>
                    <w:snapToGrid w:val="0"/>
                    <w:rPr>
                      <w:rFonts w:hint="default" w:ascii="Times New Roman" w:hAnsi="Times New Roman" w:cs="Times New Roman"/>
                      <w:szCs w:val="21"/>
                    </w:rPr>
                  </w:pPr>
                  <w:r>
                    <w:rPr>
                      <w:rFonts w:hint="default" w:ascii="Times New Roman" w:hAnsi="Times New Roman" w:cs="Times New Roman"/>
                      <w:szCs w:val="21"/>
                    </w:rPr>
                    <w:t>报警、通讯联络方式</w:t>
                  </w:r>
                </w:p>
              </w:tc>
              <w:tc>
                <w:tcPr>
                  <w:tcW w:w="4563" w:type="dxa"/>
                  <w:noWrap w:val="0"/>
                  <w:vAlign w:val="center"/>
                </w:tcPr>
                <w:p w14:paraId="5034BD84">
                  <w:pPr>
                    <w:adjustRightInd w:val="0"/>
                    <w:snapToGrid w:val="0"/>
                    <w:rPr>
                      <w:rFonts w:hint="default" w:ascii="Times New Roman" w:hAnsi="Times New Roman" w:cs="Times New Roman"/>
                      <w:szCs w:val="21"/>
                    </w:rPr>
                  </w:pPr>
                  <w:r>
                    <w:rPr>
                      <w:rFonts w:hint="default" w:ascii="Times New Roman" w:hAnsi="Times New Roman" w:cs="Times New Roman"/>
                      <w:szCs w:val="21"/>
                    </w:rPr>
                    <w:t>规定应急状态下的</w:t>
                  </w:r>
                  <w:r>
                    <w:rPr>
                      <w:rFonts w:hint="eastAsia" w:ascii="Times New Roman" w:hAnsi="Times New Roman" w:cs="Times New Roman"/>
                      <w:szCs w:val="21"/>
                      <w:lang w:eastAsia="zh-CN"/>
                    </w:rPr>
                    <w:t>报警通信</w:t>
                  </w:r>
                  <w:r>
                    <w:rPr>
                      <w:rFonts w:hint="default" w:ascii="Times New Roman" w:hAnsi="Times New Roman" w:cs="Times New Roman"/>
                      <w:szCs w:val="21"/>
                    </w:rPr>
                    <w:t>方式；交通保障、管制</w:t>
                  </w:r>
                </w:p>
              </w:tc>
            </w:tr>
            <w:tr w14:paraId="1B950D7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32" w:type="dxa"/>
                  <w:noWrap w:val="0"/>
                  <w:vAlign w:val="center"/>
                </w:tcPr>
                <w:p w14:paraId="1888B33E">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5</w:t>
                  </w:r>
                </w:p>
              </w:tc>
              <w:tc>
                <w:tcPr>
                  <w:tcW w:w="3119" w:type="dxa"/>
                  <w:noWrap w:val="0"/>
                  <w:vAlign w:val="center"/>
                </w:tcPr>
                <w:p w14:paraId="36CA2B42">
                  <w:pPr>
                    <w:adjustRightInd w:val="0"/>
                    <w:snapToGrid w:val="0"/>
                    <w:rPr>
                      <w:rFonts w:hint="default" w:ascii="Times New Roman" w:hAnsi="Times New Roman" w:cs="Times New Roman"/>
                      <w:szCs w:val="21"/>
                    </w:rPr>
                  </w:pPr>
                  <w:r>
                    <w:rPr>
                      <w:rFonts w:hint="default" w:ascii="Times New Roman" w:hAnsi="Times New Roman" w:cs="Times New Roman"/>
                      <w:szCs w:val="21"/>
                    </w:rPr>
                    <w:t>应急环境监测、抢险、救援及</w:t>
                  </w:r>
                </w:p>
                <w:p w14:paraId="14D58206">
                  <w:pPr>
                    <w:adjustRightInd w:val="0"/>
                    <w:snapToGrid w:val="0"/>
                    <w:rPr>
                      <w:rFonts w:hint="default" w:ascii="Times New Roman" w:hAnsi="Times New Roman" w:cs="Times New Roman"/>
                      <w:szCs w:val="21"/>
                    </w:rPr>
                  </w:pPr>
                  <w:r>
                    <w:rPr>
                      <w:rFonts w:hint="default" w:ascii="Times New Roman" w:hAnsi="Times New Roman" w:cs="Times New Roman"/>
                      <w:szCs w:val="21"/>
                    </w:rPr>
                    <w:t>控制措施</w:t>
                  </w:r>
                </w:p>
              </w:tc>
              <w:tc>
                <w:tcPr>
                  <w:tcW w:w="4563" w:type="dxa"/>
                  <w:noWrap w:val="0"/>
                  <w:vAlign w:val="center"/>
                </w:tcPr>
                <w:p w14:paraId="151C7F42">
                  <w:pPr>
                    <w:adjustRightInd w:val="0"/>
                    <w:snapToGrid w:val="0"/>
                    <w:rPr>
                      <w:rFonts w:hint="default" w:ascii="Times New Roman" w:hAnsi="Times New Roman" w:cs="Times New Roman"/>
                      <w:szCs w:val="21"/>
                    </w:rPr>
                  </w:pPr>
                  <w:r>
                    <w:rPr>
                      <w:rFonts w:hint="default" w:ascii="Times New Roman" w:hAnsi="Times New Roman" w:cs="Times New Roman"/>
                      <w:szCs w:val="21"/>
                    </w:rPr>
                    <w:t>委托监测机构对事故现场进行监测，对事故性质、参数与后果进行评估，为指挥部门提供决策根据</w:t>
                  </w:r>
                </w:p>
              </w:tc>
            </w:tr>
            <w:tr w14:paraId="04D3B3B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32" w:type="dxa"/>
                  <w:noWrap w:val="0"/>
                  <w:vAlign w:val="center"/>
                </w:tcPr>
                <w:p w14:paraId="4E8095D0">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6</w:t>
                  </w:r>
                </w:p>
              </w:tc>
              <w:tc>
                <w:tcPr>
                  <w:tcW w:w="3119" w:type="dxa"/>
                  <w:noWrap w:val="0"/>
                  <w:vAlign w:val="center"/>
                </w:tcPr>
                <w:p w14:paraId="79482706">
                  <w:pPr>
                    <w:adjustRightInd w:val="0"/>
                    <w:snapToGrid w:val="0"/>
                    <w:rPr>
                      <w:rFonts w:hint="default" w:ascii="Times New Roman" w:hAnsi="Times New Roman" w:cs="Times New Roman"/>
                      <w:szCs w:val="21"/>
                    </w:rPr>
                  </w:pPr>
                  <w:r>
                    <w:rPr>
                      <w:rFonts w:hint="default" w:ascii="Times New Roman" w:hAnsi="Times New Roman" w:cs="Times New Roman"/>
                      <w:szCs w:val="21"/>
                    </w:rPr>
                    <w:t>应急</w:t>
                  </w:r>
                  <w:r>
                    <w:rPr>
                      <w:rFonts w:hint="eastAsia" w:cs="Times New Roman"/>
                      <w:szCs w:val="21"/>
                      <w:lang w:eastAsia="zh-CN"/>
                    </w:rPr>
                    <w:t>监测</w:t>
                  </w:r>
                  <w:r>
                    <w:rPr>
                      <w:rFonts w:hint="default" w:ascii="Times New Roman" w:hAnsi="Times New Roman" w:cs="Times New Roman"/>
                      <w:szCs w:val="21"/>
                    </w:rPr>
                    <w:t>、防护措施、清除泄漏措施器材</w:t>
                  </w:r>
                </w:p>
              </w:tc>
              <w:tc>
                <w:tcPr>
                  <w:tcW w:w="4563" w:type="dxa"/>
                  <w:noWrap w:val="0"/>
                  <w:vAlign w:val="center"/>
                </w:tcPr>
                <w:p w14:paraId="2846755E">
                  <w:pPr>
                    <w:adjustRightInd w:val="0"/>
                    <w:snapToGrid w:val="0"/>
                    <w:rPr>
                      <w:rFonts w:hint="default" w:ascii="Times New Roman" w:hAnsi="Times New Roman" w:cs="Times New Roman"/>
                      <w:szCs w:val="21"/>
                    </w:rPr>
                  </w:pPr>
                  <w:r>
                    <w:rPr>
                      <w:rFonts w:hint="default" w:ascii="Times New Roman" w:hAnsi="Times New Roman" w:cs="Times New Roman"/>
                      <w:szCs w:val="21"/>
                    </w:rPr>
                    <w:t>事故现场、邻近区域、控制防火区域，控制和清除污染措施及相应设备</w:t>
                  </w:r>
                </w:p>
              </w:tc>
            </w:tr>
            <w:tr w14:paraId="42BFF13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07" w:hRule="atLeast"/>
                <w:jc w:val="center"/>
              </w:trPr>
              <w:tc>
                <w:tcPr>
                  <w:tcW w:w="1332" w:type="dxa"/>
                  <w:noWrap w:val="0"/>
                  <w:vAlign w:val="center"/>
                </w:tcPr>
                <w:p w14:paraId="21727623">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7</w:t>
                  </w:r>
                </w:p>
              </w:tc>
              <w:tc>
                <w:tcPr>
                  <w:tcW w:w="3119" w:type="dxa"/>
                  <w:noWrap w:val="0"/>
                  <w:vAlign w:val="center"/>
                </w:tcPr>
                <w:p w14:paraId="5256D3B9">
                  <w:pPr>
                    <w:adjustRightInd w:val="0"/>
                    <w:snapToGrid w:val="0"/>
                    <w:rPr>
                      <w:rFonts w:hint="default" w:ascii="Times New Roman" w:hAnsi="Times New Roman" w:cs="Times New Roman"/>
                      <w:szCs w:val="21"/>
                    </w:rPr>
                  </w:pPr>
                  <w:r>
                    <w:rPr>
                      <w:rFonts w:hint="default" w:ascii="Times New Roman" w:hAnsi="Times New Roman" w:cs="Times New Roman"/>
                      <w:szCs w:val="21"/>
                    </w:rPr>
                    <w:t>人员紧急撤离、疏散</w:t>
                  </w:r>
                </w:p>
              </w:tc>
              <w:tc>
                <w:tcPr>
                  <w:tcW w:w="4563" w:type="dxa"/>
                  <w:noWrap w:val="0"/>
                  <w:vAlign w:val="center"/>
                </w:tcPr>
                <w:p w14:paraId="2B780096">
                  <w:pPr>
                    <w:adjustRightInd w:val="0"/>
                    <w:snapToGrid w:val="0"/>
                    <w:rPr>
                      <w:rFonts w:hint="default" w:ascii="Times New Roman" w:hAnsi="Times New Roman" w:cs="Times New Roman"/>
                      <w:szCs w:val="21"/>
                    </w:rPr>
                  </w:pPr>
                  <w:r>
                    <w:rPr>
                      <w:rFonts w:hint="default" w:ascii="Times New Roman" w:hAnsi="Times New Roman" w:cs="Times New Roman"/>
                      <w:szCs w:val="21"/>
                    </w:rPr>
                    <w:t>撤离组织计划及救护，医疗救护与公众健康</w:t>
                  </w:r>
                </w:p>
              </w:tc>
            </w:tr>
            <w:tr w14:paraId="5C4041A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332" w:type="dxa"/>
                  <w:noWrap w:val="0"/>
                  <w:vAlign w:val="center"/>
                </w:tcPr>
                <w:p w14:paraId="65C09EC9">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8</w:t>
                  </w:r>
                </w:p>
              </w:tc>
              <w:tc>
                <w:tcPr>
                  <w:tcW w:w="3119" w:type="dxa"/>
                  <w:noWrap w:val="0"/>
                  <w:vAlign w:val="center"/>
                </w:tcPr>
                <w:p w14:paraId="7AE1FE7F">
                  <w:pPr>
                    <w:adjustRightInd w:val="0"/>
                    <w:snapToGrid w:val="0"/>
                    <w:rPr>
                      <w:rFonts w:hint="default" w:ascii="Times New Roman" w:hAnsi="Times New Roman" w:cs="Times New Roman"/>
                      <w:szCs w:val="21"/>
                    </w:rPr>
                  </w:pPr>
                  <w:r>
                    <w:rPr>
                      <w:rFonts w:hint="default" w:ascii="Times New Roman" w:hAnsi="Times New Roman" w:cs="Times New Roman"/>
                      <w:szCs w:val="21"/>
                    </w:rPr>
                    <w:t>事故应急救援关闭程序与恢</w:t>
                  </w:r>
                </w:p>
                <w:p w14:paraId="754B9829">
                  <w:pPr>
                    <w:adjustRightInd w:val="0"/>
                    <w:snapToGrid w:val="0"/>
                    <w:rPr>
                      <w:rFonts w:hint="default" w:ascii="Times New Roman" w:hAnsi="Times New Roman" w:cs="Times New Roman"/>
                      <w:szCs w:val="21"/>
                    </w:rPr>
                  </w:pPr>
                  <w:r>
                    <w:rPr>
                      <w:rFonts w:hint="default" w:ascii="Times New Roman" w:hAnsi="Times New Roman" w:cs="Times New Roman"/>
                      <w:szCs w:val="21"/>
                    </w:rPr>
                    <w:t>复措施</w:t>
                  </w:r>
                </w:p>
              </w:tc>
              <w:tc>
                <w:tcPr>
                  <w:tcW w:w="4563" w:type="dxa"/>
                  <w:noWrap w:val="0"/>
                  <w:vAlign w:val="center"/>
                </w:tcPr>
                <w:p w14:paraId="48CBA9BF">
                  <w:pPr>
                    <w:adjustRightInd w:val="0"/>
                    <w:snapToGrid w:val="0"/>
                    <w:rPr>
                      <w:rFonts w:hint="default" w:ascii="Times New Roman" w:hAnsi="Times New Roman" w:cs="Times New Roman"/>
                      <w:szCs w:val="21"/>
                    </w:rPr>
                  </w:pPr>
                  <w:r>
                    <w:rPr>
                      <w:rFonts w:hint="default" w:ascii="Times New Roman" w:hAnsi="Times New Roman" w:cs="Times New Roman"/>
                      <w:szCs w:val="21"/>
                    </w:rPr>
                    <w:t>专业队伍抢救结束后，做好事故现场善后</w:t>
                  </w:r>
                  <w:r>
                    <w:rPr>
                      <w:rFonts w:hint="eastAsia" w:cs="Times New Roman"/>
                      <w:szCs w:val="21"/>
                      <w:lang w:eastAsia="zh-CN"/>
                    </w:rPr>
                    <w:t>处理</w:t>
                  </w:r>
                  <w:r>
                    <w:rPr>
                      <w:rFonts w:hint="default" w:ascii="Times New Roman" w:hAnsi="Times New Roman" w:cs="Times New Roman"/>
                      <w:szCs w:val="21"/>
                    </w:rPr>
                    <w:t>，邻近区域解除事故警戒及善后恢复措施，现场调查、清理、清洗工作恢复生产状态，组织生产。</w:t>
                  </w:r>
                </w:p>
              </w:tc>
            </w:tr>
            <w:tr w14:paraId="4C8B76B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485" w:hRule="atLeast"/>
                <w:jc w:val="center"/>
              </w:trPr>
              <w:tc>
                <w:tcPr>
                  <w:tcW w:w="1332" w:type="dxa"/>
                  <w:noWrap w:val="0"/>
                  <w:vAlign w:val="center"/>
                </w:tcPr>
                <w:p w14:paraId="2D7951A9">
                  <w:pPr>
                    <w:adjustRightInd w:val="0"/>
                    <w:snapToGrid w:val="0"/>
                    <w:jc w:val="center"/>
                    <w:rPr>
                      <w:rFonts w:hint="default" w:ascii="Times New Roman" w:hAnsi="Times New Roman" w:cs="Times New Roman"/>
                      <w:szCs w:val="21"/>
                    </w:rPr>
                  </w:pPr>
                  <w:r>
                    <w:rPr>
                      <w:rFonts w:hint="default" w:ascii="Times New Roman" w:hAnsi="Times New Roman" w:cs="Times New Roman"/>
                      <w:szCs w:val="21"/>
                    </w:rPr>
                    <w:t>9</w:t>
                  </w:r>
                </w:p>
              </w:tc>
              <w:tc>
                <w:tcPr>
                  <w:tcW w:w="3119" w:type="dxa"/>
                  <w:noWrap w:val="0"/>
                  <w:vAlign w:val="center"/>
                </w:tcPr>
                <w:p w14:paraId="7C4E060D">
                  <w:pPr>
                    <w:adjustRightInd w:val="0"/>
                    <w:snapToGrid w:val="0"/>
                    <w:rPr>
                      <w:rFonts w:hint="default" w:ascii="Times New Roman" w:hAnsi="Times New Roman" w:cs="Times New Roman"/>
                      <w:szCs w:val="21"/>
                    </w:rPr>
                  </w:pPr>
                  <w:r>
                    <w:rPr>
                      <w:rFonts w:hint="default" w:ascii="Times New Roman" w:hAnsi="Times New Roman" w:cs="Times New Roman"/>
                      <w:szCs w:val="21"/>
                    </w:rPr>
                    <w:t>应急培训计划</w:t>
                  </w:r>
                </w:p>
              </w:tc>
              <w:tc>
                <w:tcPr>
                  <w:tcW w:w="4563" w:type="dxa"/>
                  <w:noWrap w:val="0"/>
                  <w:vAlign w:val="center"/>
                </w:tcPr>
                <w:p w14:paraId="6C8C3B8D">
                  <w:pPr>
                    <w:adjustRightInd w:val="0"/>
                    <w:snapToGrid w:val="0"/>
                    <w:rPr>
                      <w:rFonts w:hint="default" w:ascii="Times New Roman" w:hAnsi="Times New Roman" w:cs="Times New Roman"/>
                      <w:szCs w:val="21"/>
                    </w:rPr>
                  </w:pPr>
                  <w:r>
                    <w:rPr>
                      <w:rFonts w:hint="default" w:ascii="Times New Roman" w:hAnsi="Times New Roman" w:cs="Times New Roman"/>
                      <w:szCs w:val="21"/>
                    </w:rPr>
                    <w:t>制定计划，安排人员培训与演练</w:t>
                  </w:r>
                </w:p>
              </w:tc>
            </w:tr>
          </w:tbl>
          <w:p w14:paraId="1CA9A887">
            <w:pPr>
              <w:adjustRightInd w:val="0"/>
              <w:snapToGrid w:val="0"/>
              <w:rPr>
                <w:rFonts w:hint="default" w:ascii="Times New Roman" w:hAnsi="Times New Roman" w:cs="Times New Roman"/>
                <w:bCs/>
                <w:spacing w:val="-10"/>
                <w:szCs w:val="21"/>
              </w:rPr>
            </w:pPr>
          </w:p>
          <w:p w14:paraId="3E20B26A">
            <w:pPr>
              <w:pStyle w:val="2"/>
              <w:keepNext w:val="0"/>
              <w:keepLines w:val="0"/>
              <w:pageBreakBefore w:val="0"/>
              <w:widowControl/>
              <w:kinsoku/>
              <w:wordWrap/>
              <w:overflowPunct/>
              <w:topLinePunct w:val="0"/>
              <w:autoSpaceDE/>
              <w:autoSpaceDN/>
              <w:bidi w:val="0"/>
              <w:adjustRightInd/>
              <w:snapToGrid w:val="0"/>
              <w:spacing w:before="0" w:after="0" w:line="420" w:lineRule="auto"/>
              <w:ind w:right="0" w:firstLine="482" w:firstLineChars="200"/>
              <w:textAlignment w:val="auto"/>
              <w:rPr>
                <w:rFonts w:hint="eastAsia" w:cs="Times New Roman"/>
                <w:b/>
                <w:color w:val="auto"/>
                <w:sz w:val="24"/>
                <w:lang w:val="en-US" w:eastAsia="zh-CN"/>
              </w:rPr>
            </w:pPr>
            <w:r>
              <w:rPr>
                <w:rFonts w:hint="eastAsia" w:cs="Times New Roman"/>
                <w:b/>
                <w:color w:val="auto"/>
                <w:sz w:val="24"/>
                <w:lang w:val="en-US" w:eastAsia="zh-CN"/>
              </w:rPr>
              <w:t xml:space="preserve"> </w:t>
            </w:r>
          </w:p>
          <w:p w14:paraId="7E027F5C">
            <w:pPr>
              <w:spacing w:line="444" w:lineRule="auto"/>
              <w:ind w:firstLine="482" w:firstLineChars="200"/>
              <w:jc w:val="left"/>
              <w:rPr>
                <w:rFonts w:hint="eastAsia" w:ascii="Times New Roman" w:hAnsi="Times New Roman" w:eastAsia="宋体" w:cs="Times New Roman"/>
                <w:sz w:val="24"/>
                <w:szCs w:val="22"/>
                <w:lang w:val="en-US" w:eastAsia="zh-CN"/>
              </w:rPr>
            </w:pPr>
            <w:r>
              <w:rPr>
                <w:rFonts w:hint="eastAsia" w:cs="Times New Roman"/>
                <w:b/>
                <w:color w:val="auto"/>
                <w:sz w:val="24"/>
                <w:lang w:val="en-US" w:eastAsia="zh-CN"/>
              </w:rPr>
              <w:t>9、</w:t>
            </w:r>
            <w:r>
              <w:rPr>
                <w:rFonts w:hint="eastAsia" w:ascii="Times New Roman" w:hAnsi="Times New Roman" w:eastAsia="宋体" w:cs="Times New Roman"/>
                <w:b/>
                <w:color w:val="auto"/>
                <w:sz w:val="24"/>
                <w:lang w:val="en-US" w:eastAsia="zh-CN"/>
              </w:rPr>
              <w:t>退役期管理要求</w:t>
            </w:r>
          </w:p>
          <w:p w14:paraId="536F654B">
            <w:pPr>
              <w:spacing w:line="444" w:lineRule="auto"/>
              <w:ind w:firstLine="480" w:firstLineChars="200"/>
              <w:jc w:val="left"/>
              <w:rPr>
                <w:rFonts w:hint="eastAsia" w:ascii="Times New Roman" w:hAnsi="Times New Roman" w:eastAsia="宋体" w:cs="Times New Roman"/>
                <w:sz w:val="24"/>
                <w:szCs w:val="22"/>
                <w:lang w:val="en-US" w:eastAsia="zh-CN"/>
              </w:rPr>
            </w:pPr>
            <w:r>
              <w:rPr>
                <w:rFonts w:hint="eastAsia" w:ascii="Times New Roman" w:hAnsi="Times New Roman" w:eastAsia="宋体" w:cs="Times New Roman"/>
                <w:sz w:val="24"/>
                <w:szCs w:val="22"/>
                <w:lang w:val="en-US" w:eastAsia="zh-CN"/>
              </w:rPr>
              <w:t>根据现场踏勘，项目用地为公路用地，建设本项目前为乡村道路白马路建设而设置的临时拌和站，该拌和站处于闲置但未拆除状态。本次占地范围为原道路建设的临时堆场，无表土可剥离。</w:t>
            </w:r>
          </w:p>
          <w:p w14:paraId="2064300E">
            <w:pPr>
              <w:spacing w:line="444" w:lineRule="auto"/>
              <w:ind w:firstLine="480" w:firstLineChars="200"/>
              <w:jc w:val="left"/>
              <w:rPr>
                <w:rFonts w:hint="default" w:ascii="Times New Roman" w:hAnsi="Times New Roman" w:eastAsia="宋体" w:cs="Times New Roman"/>
                <w:sz w:val="24"/>
                <w:szCs w:val="22"/>
                <w:lang w:val="en-US" w:eastAsia="zh-CN"/>
              </w:rPr>
            </w:pPr>
            <w:r>
              <w:rPr>
                <w:rFonts w:hint="eastAsia" w:ascii="Times New Roman" w:hAnsi="Times New Roman" w:eastAsia="宋体" w:cs="Times New Roman"/>
                <w:sz w:val="24"/>
                <w:szCs w:val="22"/>
                <w:lang w:val="en-US" w:eastAsia="zh-CN"/>
              </w:rPr>
              <w:t>本项目为临时项目，专为成达万高铁建设方中建八局拌和站通过砂石原料。成达万高铁建成后，本项目需拆除。并完成迹地恢复。</w:t>
            </w:r>
          </w:p>
          <w:p w14:paraId="07AC503C">
            <w:pPr>
              <w:spacing w:line="444" w:lineRule="auto"/>
              <w:ind w:firstLine="480" w:firstLineChars="200"/>
              <w:jc w:val="left"/>
              <w:rPr>
                <w:rFonts w:hint="default" w:ascii="Times New Roman" w:hAnsi="Times New Roman" w:eastAsia="宋体" w:cs="Times New Roman"/>
                <w:sz w:val="24"/>
                <w:szCs w:val="22"/>
                <w:lang w:val="en-US" w:eastAsia="zh-CN"/>
              </w:rPr>
            </w:pPr>
            <w:r>
              <w:rPr>
                <w:rFonts w:hint="default" w:ascii="Times New Roman" w:hAnsi="Times New Roman" w:eastAsia="宋体" w:cs="Times New Roman"/>
                <w:sz w:val="24"/>
                <w:szCs w:val="22"/>
                <w:lang w:val="en-US" w:eastAsia="zh-CN"/>
              </w:rPr>
              <w:t>项目</w:t>
            </w:r>
            <w:r>
              <w:rPr>
                <w:rFonts w:hint="eastAsia" w:ascii="Times New Roman" w:hAnsi="Times New Roman" w:eastAsia="宋体" w:cs="Times New Roman"/>
                <w:sz w:val="24"/>
                <w:szCs w:val="22"/>
                <w:lang w:val="en-US" w:eastAsia="zh-CN"/>
              </w:rPr>
              <w:t>退役</w:t>
            </w:r>
            <w:r>
              <w:rPr>
                <w:rFonts w:hint="default" w:ascii="Times New Roman" w:hAnsi="Times New Roman" w:eastAsia="宋体" w:cs="Times New Roman"/>
                <w:sz w:val="24"/>
                <w:szCs w:val="22"/>
                <w:lang w:val="en-US" w:eastAsia="zh-CN"/>
              </w:rPr>
              <w:t>后，建设单位应严格履行土地使用人的义务，对临时占用的土地进行</w:t>
            </w:r>
            <w:r>
              <w:rPr>
                <w:rFonts w:hint="eastAsia" w:ascii="Times New Roman" w:hAnsi="Times New Roman" w:eastAsia="宋体" w:cs="Times New Roman"/>
                <w:sz w:val="24"/>
                <w:szCs w:val="22"/>
                <w:lang w:val="en-US" w:eastAsia="zh-CN"/>
              </w:rPr>
              <w:t>迹地恢复（或</w:t>
            </w:r>
            <w:r>
              <w:rPr>
                <w:rFonts w:hint="default" w:ascii="Times New Roman" w:hAnsi="Times New Roman" w:eastAsia="宋体" w:cs="Times New Roman"/>
                <w:sz w:val="24"/>
                <w:szCs w:val="22"/>
                <w:lang w:val="en-US" w:eastAsia="zh-CN"/>
              </w:rPr>
              <w:t>复耕复垦</w:t>
            </w:r>
            <w:r>
              <w:rPr>
                <w:rFonts w:hint="eastAsia" w:ascii="Times New Roman" w:hAnsi="Times New Roman" w:eastAsia="宋体" w:cs="Times New Roman"/>
                <w:sz w:val="24"/>
                <w:szCs w:val="22"/>
                <w:lang w:val="en-US" w:eastAsia="zh-CN"/>
              </w:rPr>
              <w:t>）</w:t>
            </w:r>
            <w:r>
              <w:rPr>
                <w:rFonts w:hint="default" w:ascii="Times New Roman" w:hAnsi="Times New Roman" w:eastAsia="宋体" w:cs="Times New Roman"/>
                <w:sz w:val="24"/>
                <w:szCs w:val="22"/>
                <w:lang w:val="en-US" w:eastAsia="zh-CN"/>
              </w:rPr>
              <w:t>，恢复为原有</w:t>
            </w:r>
            <w:r>
              <w:rPr>
                <w:rFonts w:hint="eastAsia" w:ascii="Times New Roman" w:hAnsi="Times New Roman" w:eastAsia="宋体" w:cs="Times New Roman"/>
                <w:sz w:val="24"/>
                <w:szCs w:val="22"/>
                <w:lang w:val="en-US" w:eastAsia="zh-CN"/>
              </w:rPr>
              <w:t>或规划</w:t>
            </w:r>
            <w:r>
              <w:rPr>
                <w:rFonts w:hint="default" w:ascii="Times New Roman" w:hAnsi="Times New Roman" w:eastAsia="宋体" w:cs="Times New Roman"/>
                <w:sz w:val="24"/>
                <w:szCs w:val="22"/>
                <w:lang w:val="en-US" w:eastAsia="zh-CN"/>
              </w:rPr>
              <w:t>土地利用类型</w:t>
            </w:r>
            <w:r>
              <w:rPr>
                <w:rFonts w:hint="eastAsia" w:ascii="Times New Roman" w:hAnsi="Times New Roman" w:eastAsia="宋体" w:cs="Times New Roman"/>
                <w:sz w:val="24"/>
                <w:szCs w:val="22"/>
                <w:lang w:val="en-US" w:eastAsia="zh-CN"/>
              </w:rPr>
              <w:t>。土地复垦的质量和数量不得低于占用前的质量和数量，复垦时表面应通过合法合规的渠道购入种植土进行复垦。复垦完成后需通过主管部门的评估和验收。</w:t>
            </w:r>
          </w:p>
          <w:p w14:paraId="703EE612">
            <w:pPr>
              <w:spacing w:line="444" w:lineRule="auto"/>
              <w:ind w:firstLine="480" w:firstLineChars="200"/>
              <w:jc w:val="left"/>
              <w:rPr>
                <w:rFonts w:hint="default" w:ascii="Times New Roman" w:hAnsi="Times New Roman" w:eastAsia="宋体" w:cs="Times New Roman"/>
                <w:sz w:val="24"/>
                <w:szCs w:val="22"/>
                <w:lang w:val="en-US" w:eastAsia="zh-CN"/>
              </w:rPr>
            </w:pPr>
            <w:r>
              <w:rPr>
                <w:rFonts w:hint="eastAsia" w:ascii="Times New Roman" w:hAnsi="Times New Roman" w:eastAsia="宋体" w:cs="Times New Roman"/>
                <w:sz w:val="24"/>
                <w:szCs w:val="22"/>
                <w:lang w:val="en-US" w:eastAsia="zh-CN"/>
              </w:rPr>
              <w:t>对于林草植被的恢复，建设单位应优先选用本土植被进行恢复，未经论证禁止选用外来物种进行植被恢复，以防止形成外来物种入侵而对项目所在地的生态环境系统造成冲击影响。</w:t>
            </w:r>
          </w:p>
          <w:p w14:paraId="6C718F6C">
            <w:pPr>
              <w:spacing w:line="444" w:lineRule="auto"/>
              <w:ind w:firstLine="420" w:firstLineChars="200"/>
              <w:jc w:val="left"/>
              <w:rPr>
                <w:rFonts w:hint="default"/>
                <w:lang w:val="en-US" w:eastAsia="zh-CN"/>
              </w:rPr>
            </w:pPr>
          </w:p>
          <w:p w14:paraId="34799E18">
            <w:pPr>
              <w:rPr>
                <w:rFonts w:hint="default"/>
                <w:lang w:val="en-US" w:eastAsia="zh-CN"/>
              </w:rPr>
            </w:pPr>
          </w:p>
          <w:p w14:paraId="7C315A55">
            <w:pPr>
              <w:pStyle w:val="7"/>
              <w:rPr>
                <w:rFonts w:hint="eastAsia" w:cs="Times New Roman"/>
                <w:b/>
                <w:color w:val="auto"/>
                <w:sz w:val="24"/>
                <w:lang w:val="en-US" w:eastAsia="zh-CN"/>
              </w:rPr>
            </w:pPr>
          </w:p>
          <w:p w14:paraId="2B660D80">
            <w:pPr>
              <w:rPr>
                <w:rFonts w:hint="eastAsia" w:cs="Times New Roman"/>
                <w:b/>
                <w:color w:val="auto"/>
                <w:sz w:val="24"/>
                <w:lang w:val="en-US" w:eastAsia="zh-CN"/>
              </w:rPr>
            </w:pPr>
          </w:p>
          <w:p w14:paraId="4C87F3C7">
            <w:pPr>
              <w:pStyle w:val="7"/>
              <w:rPr>
                <w:rFonts w:hint="eastAsia" w:cs="Times New Roman"/>
                <w:b/>
                <w:color w:val="auto"/>
                <w:sz w:val="24"/>
                <w:lang w:val="en-US" w:eastAsia="zh-CN"/>
              </w:rPr>
            </w:pPr>
          </w:p>
          <w:p w14:paraId="777D2FFA">
            <w:pPr>
              <w:rPr>
                <w:rFonts w:hint="eastAsia" w:cs="Times New Roman"/>
                <w:b/>
                <w:color w:val="auto"/>
                <w:sz w:val="24"/>
                <w:lang w:val="en-US" w:eastAsia="zh-CN"/>
              </w:rPr>
            </w:pPr>
          </w:p>
          <w:p w14:paraId="72A46BC7">
            <w:pPr>
              <w:pStyle w:val="7"/>
              <w:rPr>
                <w:rFonts w:hint="eastAsia" w:cs="Times New Roman"/>
                <w:b/>
                <w:color w:val="auto"/>
                <w:sz w:val="24"/>
                <w:lang w:val="en-US" w:eastAsia="zh-CN"/>
              </w:rPr>
            </w:pPr>
          </w:p>
          <w:p w14:paraId="0A9DF4EE">
            <w:pPr>
              <w:rPr>
                <w:rFonts w:hint="eastAsia" w:cs="Times New Roman"/>
                <w:b/>
                <w:color w:val="auto"/>
                <w:sz w:val="24"/>
                <w:lang w:val="en-US" w:eastAsia="zh-CN"/>
              </w:rPr>
            </w:pPr>
          </w:p>
          <w:p w14:paraId="29A5E3C1">
            <w:pPr>
              <w:pStyle w:val="2"/>
              <w:keepNext w:val="0"/>
              <w:keepLines w:val="0"/>
              <w:pageBreakBefore w:val="0"/>
              <w:widowControl/>
              <w:kinsoku/>
              <w:wordWrap/>
              <w:overflowPunct/>
              <w:topLinePunct w:val="0"/>
              <w:autoSpaceDE/>
              <w:autoSpaceDN/>
              <w:bidi w:val="0"/>
              <w:adjustRightInd/>
              <w:snapToGrid w:val="0"/>
              <w:spacing w:before="0" w:after="0" w:line="420" w:lineRule="auto"/>
              <w:ind w:right="0"/>
              <w:textAlignment w:val="auto"/>
              <w:rPr>
                <w:rFonts w:hint="default" w:ascii="Times New Roman" w:hAnsi="Times New Roman" w:eastAsia="宋体" w:cs="Times New Roman"/>
                <w:bCs/>
                <w:spacing w:val="-10"/>
                <w:szCs w:val="21"/>
                <w:lang w:val="en-US" w:eastAsia="zh-CN"/>
              </w:rPr>
            </w:pPr>
          </w:p>
        </w:tc>
      </w:tr>
    </w:tbl>
    <w:p w14:paraId="2A08C365">
      <w:pPr>
        <w:adjustRightInd w:val="0"/>
        <w:snapToGrid w:val="0"/>
        <w:spacing w:line="360" w:lineRule="auto"/>
        <w:rPr>
          <w:rFonts w:hint="default" w:ascii="Times New Roman" w:hAnsi="Times New Roman" w:cs="Times New Roman"/>
          <w:b/>
          <w:kern w:val="0"/>
          <w:sz w:val="28"/>
          <w:szCs w:val="28"/>
        </w:rPr>
        <w:sectPr>
          <w:pgSz w:w="11907" w:h="16840"/>
          <w:pgMar w:top="1701" w:right="1531" w:bottom="2127" w:left="1531" w:header="851" w:footer="851" w:gutter="0"/>
          <w:pgBorders>
            <w:top w:val="none" w:sz="0" w:space="0"/>
            <w:left w:val="none" w:sz="0" w:space="0"/>
            <w:bottom w:val="none" w:sz="0" w:space="0"/>
            <w:right w:val="none" w:sz="0" w:space="0"/>
          </w:pgBorders>
          <w:cols w:space="720" w:num="1"/>
          <w:docGrid w:linePitch="312" w:charSpace="0"/>
        </w:sectPr>
      </w:pPr>
    </w:p>
    <w:p w14:paraId="084D198B">
      <w:pPr>
        <w:pStyle w:val="19"/>
        <w:spacing w:before="0" w:beforeAutospacing="0" w:after="0" w:afterAutospacing="0"/>
        <w:outlineLvl w:val="0"/>
        <w:rPr>
          <w:rFonts w:hint="default" w:ascii="Times New Roman" w:hAnsi="Times New Roman" w:eastAsia="黑体" w:cs="Times New Roman"/>
          <w:snapToGrid w:val="0"/>
          <w:sz w:val="30"/>
          <w:szCs w:val="30"/>
        </w:rPr>
      </w:pPr>
      <w:r>
        <w:rPr>
          <w:rFonts w:hint="default" w:ascii="Times New Roman" w:hAnsi="Times New Roman" w:eastAsia="黑体" w:cs="Times New Roman"/>
          <w:snapToGrid w:val="0"/>
          <w:sz w:val="30"/>
          <w:szCs w:val="30"/>
        </w:rPr>
        <w:t>五、</w:t>
      </w:r>
      <w:bookmarkStart w:id="2" w:name="_Hlk54167917"/>
      <w:r>
        <w:rPr>
          <w:rFonts w:hint="default" w:ascii="Times New Roman" w:hAnsi="Times New Roman" w:eastAsia="黑体" w:cs="Times New Roman"/>
          <w:snapToGrid w:val="0"/>
          <w:sz w:val="30"/>
          <w:szCs w:val="30"/>
        </w:rPr>
        <w:t>环境保护措施监督检查清单</w:t>
      </w:r>
      <w:bookmarkEnd w:id="2"/>
    </w:p>
    <w:tbl>
      <w:tblPr>
        <w:tblStyle w:val="2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415"/>
        <w:gridCol w:w="2118"/>
        <w:gridCol w:w="1509"/>
        <w:gridCol w:w="2174"/>
        <w:gridCol w:w="1584"/>
      </w:tblGrid>
      <w:tr w14:paraId="2D77B2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15" w:type="dxa"/>
            <w:tcBorders>
              <w:tl2br w:val="single" w:color="auto" w:sz="4" w:space="0"/>
            </w:tcBorders>
            <w:noWrap w:val="0"/>
            <w:vAlign w:val="top"/>
          </w:tcPr>
          <w:p w14:paraId="6BB3B47B">
            <w:pPr>
              <w:adjustRightInd w:val="0"/>
              <w:snapToGrid w:val="0"/>
              <w:ind w:firstLine="840"/>
              <w:rPr>
                <w:rFonts w:hint="default" w:ascii="Times New Roman" w:hAnsi="Times New Roman" w:cs="Times New Roman"/>
                <w:sz w:val="24"/>
              </w:rPr>
            </w:pPr>
            <w:r>
              <w:rPr>
                <w:rFonts w:hint="default" w:ascii="Times New Roman" w:hAnsi="Times New Roman" w:cs="Times New Roman"/>
                <w:sz w:val="24"/>
              </w:rPr>
              <w:t>内容</w:t>
            </w:r>
          </w:p>
          <w:p w14:paraId="69DCDBAD">
            <w:pPr>
              <w:adjustRightInd w:val="0"/>
              <w:snapToGrid w:val="0"/>
              <w:rPr>
                <w:rFonts w:hint="default" w:ascii="Times New Roman" w:hAnsi="Times New Roman" w:cs="Times New Roman"/>
                <w:sz w:val="24"/>
              </w:rPr>
            </w:pPr>
            <w:r>
              <w:rPr>
                <w:rFonts w:hint="default" w:ascii="Times New Roman" w:hAnsi="Times New Roman" w:cs="Times New Roman"/>
                <w:sz w:val="24"/>
              </w:rPr>
              <w:t>要素</w:t>
            </w:r>
          </w:p>
        </w:tc>
        <w:tc>
          <w:tcPr>
            <w:tcW w:w="2118" w:type="dxa"/>
            <w:noWrap w:val="0"/>
            <w:vAlign w:val="center"/>
          </w:tcPr>
          <w:p w14:paraId="452BF480">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排放口</w:t>
            </w:r>
            <w:r>
              <w:rPr>
                <w:rFonts w:hint="eastAsia" w:ascii="Times New Roman" w:hAnsi="Times New Roman" w:cs="Times New Roman"/>
                <w:sz w:val="24"/>
                <w:lang w:eastAsia="zh-CN"/>
              </w:rPr>
              <w:t>（</w:t>
            </w:r>
            <w:r>
              <w:rPr>
                <w:rFonts w:hint="default" w:ascii="Times New Roman" w:hAnsi="Times New Roman" w:cs="Times New Roman"/>
                <w:sz w:val="24"/>
              </w:rPr>
              <w:t>编号、</w:t>
            </w:r>
          </w:p>
          <w:p w14:paraId="108A5065">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名称）/污染源</w:t>
            </w:r>
          </w:p>
        </w:tc>
        <w:tc>
          <w:tcPr>
            <w:tcW w:w="1509" w:type="dxa"/>
            <w:noWrap w:val="0"/>
            <w:vAlign w:val="center"/>
          </w:tcPr>
          <w:p w14:paraId="6218A966">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污染物项目</w:t>
            </w:r>
          </w:p>
        </w:tc>
        <w:tc>
          <w:tcPr>
            <w:tcW w:w="2174" w:type="dxa"/>
            <w:noWrap w:val="0"/>
            <w:vAlign w:val="center"/>
          </w:tcPr>
          <w:p w14:paraId="6CAB454B">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环境保护措施</w:t>
            </w:r>
          </w:p>
        </w:tc>
        <w:tc>
          <w:tcPr>
            <w:tcW w:w="1584" w:type="dxa"/>
            <w:noWrap w:val="0"/>
            <w:vAlign w:val="center"/>
          </w:tcPr>
          <w:p w14:paraId="28B0B97C">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执行标准</w:t>
            </w:r>
          </w:p>
        </w:tc>
      </w:tr>
      <w:tr w14:paraId="665B31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15" w:type="dxa"/>
            <w:vMerge w:val="restart"/>
            <w:noWrap w:val="0"/>
            <w:vAlign w:val="center"/>
          </w:tcPr>
          <w:p w14:paraId="5E795710">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大气环境</w:t>
            </w:r>
          </w:p>
        </w:tc>
        <w:tc>
          <w:tcPr>
            <w:tcW w:w="2118" w:type="dxa"/>
            <w:noWrap w:val="0"/>
            <w:vAlign w:val="center"/>
          </w:tcPr>
          <w:p w14:paraId="01F7AC76">
            <w:pPr>
              <w:widowControl/>
              <w:jc w:val="center"/>
              <w:textAlignment w:val="center"/>
              <w:rPr>
                <w:rFonts w:hint="default" w:ascii="Times New Roman" w:hAnsi="Times New Roman" w:eastAsia="宋体" w:cs="Times New Roman"/>
                <w:sz w:val="24"/>
                <w:lang w:eastAsia="zh-CN"/>
              </w:rPr>
            </w:pPr>
            <w:r>
              <w:rPr>
                <w:rFonts w:hint="eastAsia" w:ascii="Times New Roman" w:hAnsi="Times New Roman" w:eastAsia="宋体" w:cs="Times New Roman"/>
                <w:sz w:val="24"/>
                <w:lang w:val="en-US" w:eastAsia="zh-CN"/>
              </w:rPr>
              <w:t>卸料粉尘</w:t>
            </w:r>
          </w:p>
        </w:tc>
        <w:tc>
          <w:tcPr>
            <w:tcW w:w="1509" w:type="dxa"/>
            <w:vMerge w:val="restart"/>
            <w:noWrap w:val="0"/>
            <w:vAlign w:val="center"/>
          </w:tcPr>
          <w:p w14:paraId="3F0DF31E">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颗粒物</w:t>
            </w:r>
          </w:p>
        </w:tc>
        <w:tc>
          <w:tcPr>
            <w:tcW w:w="2174" w:type="dxa"/>
            <w:noWrap w:val="0"/>
            <w:vAlign w:val="center"/>
          </w:tcPr>
          <w:p w14:paraId="449FA783">
            <w:pPr>
              <w:widowControl/>
              <w:jc w:val="center"/>
              <w:textAlignment w:val="center"/>
              <w:rPr>
                <w:rFonts w:hint="default" w:ascii="Times New Roman" w:hAnsi="Times New Roman" w:cs="Times New Roman"/>
                <w:sz w:val="24"/>
              </w:rPr>
            </w:pPr>
            <w:r>
              <w:rPr>
                <w:rFonts w:hint="default" w:ascii="Times New Roman" w:hAnsi="Times New Roman" w:cs="Times New Roman"/>
                <w:sz w:val="24"/>
              </w:rPr>
              <w:t>封闭</w:t>
            </w:r>
            <w:r>
              <w:rPr>
                <w:rFonts w:hint="eastAsia" w:ascii="Times New Roman" w:hAnsi="Times New Roman" w:cs="Times New Roman"/>
                <w:sz w:val="24"/>
                <w:lang w:eastAsia="zh-CN"/>
              </w:rPr>
              <w:t>车间</w:t>
            </w:r>
            <w:r>
              <w:rPr>
                <w:rFonts w:hint="default" w:ascii="Times New Roman" w:hAnsi="Times New Roman" w:cs="Times New Roman"/>
                <w:sz w:val="24"/>
              </w:rPr>
              <w:t>+雾泡除尘</w:t>
            </w:r>
          </w:p>
        </w:tc>
        <w:tc>
          <w:tcPr>
            <w:tcW w:w="1584" w:type="dxa"/>
            <w:vMerge w:val="restart"/>
            <w:noWrap w:val="0"/>
            <w:vAlign w:val="center"/>
          </w:tcPr>
          <w:p w14:paraId="176E01CC">
            <w:pPr>
              <w:adjustRightInd w:val="0"/>
              <w:snapToGrid w:val="0"/>
              <w:jc w:val="center"/>
              <w:rPr>
                <w:rFonts w:hint="default" w:ascii="Times New Roman" w:hAnsi="Times New Roman" w:cs="Times New Roman"/>
                <w:sz w:val="24"/>
              </w:rPr>
            </w:pPr>
            <w:r>
              <w:rPr>
                <w:rFonts w:hint="default" w:ascii="Times New Roman" w:hAnsi="Times New Roman" w:eastAsia="宋体" w:cs="Times New Roman"/>
                <w:sz w:val="24"/>
                <w:lang w:eastAsia="zh-CN"/>
              </w:rPr>
              <w:t>《大气污染物综合排放标准》（GB16297-1996）</w:t>
            </w:r>
          </w:p>
        </w:tc>
      </w:tr>
      <w:tr w14:paraId="7E3818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2" w:hRule="atLeast"/>
          <w:jc w:val="center"/>
        </w:trPr>
        <w:tc>
          <w:tcPr>
            <w:tcW w:w="1415" w:type="dxa"/>
            <w:vMerge w:val="continue"/>
            <w:noWrap w:val="0"/>
            <w:vAlign w:val="center"/>
          </w:tcPr>
          <w:p w14:paraId="10490460">
            <w:pPr>
              <w:adjustRightInd w:val="0"/>
              <w:snapToGrid w:val="0"/>
              <w:jc w:val="center"/>
              <w:rPr>
                <w:rFonts w:hint="default" w:ascii="Times New Roman" w:hAnsi="Times New Roman" w:cs="Times New Roman"/>
                <w:sz w:val="24"/>
              </w:rPr>
            </w:pPr>
          </w:p>
        </w:tc>
        <w:tc>
          <w:tcPr>
            <w:tcW w:w="2118" w:type="dxa"/>
            <w:noWrap w:val="0"/>
            <w:vAlign w:val="center"/>
          </w:tcPr>
          <w:p w14:paraId="5C6B13C9">
            <w:pPr>
              <w:widowControl/>
              <w:jc w:val="center"/>
              <w:textAlignment w:val="center"/>
              <w:rPr>
                <w:rFonts w:hint="default" w:ascii="Times New Roman" w:hAnsi="Times New Roman" w:eastAsia="宋体" w:cs="Times New Roman"/>
                <w:sz w:val="24"/>
                <w:lang w:eastAsia="zh-CN"/>
              </w:rPr>
            </w:pPr>
            <w:r>
              <w:rPr>
                <w:rFonts w:hint="eastAsia" w:ascii="Times New Roman" w:hAnsi="Times New Roman" w:eastAsia="宋体" w:cs="Times New Roman"/>
                <w:sz w:val="24"/>
                <w:lang w:val="en-US" w:eastAsia="zh-CN"/>
              </w:rPr>
              <w:t>原料堆场粉尘</w:t>
            </w:r>
          </w:p>
        </w:tc>
        <w:tc>
          <w:tcPr>
            <w:tcW w:w="1509" w:type="dxa"/>
            <w:vMerge w:val="continue"/>
            <w:noWrap w:val="0"/>
            <w:vAlign w:val="center"/>
          </w:tcPr>
          <w:p w14:paraId="1B516872">
            <w:pPr>
              <w:adjustRightInd w:val="0"/>
              <w:snapToGrid w:val="0"/>
              <w:jc w:val="center"/>
              <w:rPr>
                <w:rFonts w:hint="default" w:ascii="Times New Roman" w:hAnsi="Times New Roman" w:cs="Times New Roman"/>
                <w:sz w:val="24"/>
              </w:rPr>
            </w:pPr>
          </w:p>
        </w:tc>
        <w:tc>
          <w:tcPr>
            <w:tcW w:w="2174" w:type="dxa"/>
            <w:noWrap w:val="0"/>
            <w:vAlign w:val="center"/>
          </w:tcPr>
          <w:p w14:paraId="70640C69">
            <w:pPr>
              <w:widowControl/>
              <w:jc w:val="center"/>
              <w:textAlignment w:val="center"/>
              <w:rPr>
                <w:rFonts w:hint="default" w:ascii="Times New Roman" w:hAnsi="Times New Roman" w:eastAsia="宋体" w:cs="Times New Roman"/>
                <w:sz w:val="24"/>
                <w:lang w:val="en-US" w:eastAsia="zh-CN"/>
              </w:rPr>
            </w:pPr>
            <w:r>
              <w:rPr>
                <w:rFonts w:hint="default" w:ascii="Times New Roman" w:hAnsi="Times New Roman" w:cs="Times New Roman"/>
                <w:sz w:val="24"/>
              </w:rPr>
              <w:t>封闭</w:t>
            </w:r>
            <w:r>
              <w:rPr>
                <w:rFonts w:hint="eastAsia" w:ascii="Times New Roman" w:hAnsi="Times New Roman" w:cs="Times New Roman"/>
                <w:sz w:val="24"/>
                <w:lang w:eastAsia="zh-CN"/>
              </w:rPr>
              <w:t>车间</w:t>
            </w:r>
            <w:r>
              <w:rPr>
                <w:rFonts w:hint="default" w:ascii="Times New Roman" w:hAnsi="Times New Roman" w:cs="Times New Roman"/>
                <w:sz w:val="24"/>
                <w:lang w:val="en-US" w:eastAsia="zh-CN"/>
              </w:rPr>
              <w:t>+喷淋设施</w:t>
            </w:r>
          </w:p>
        </w:tc>
        <w:tc>
          <w:tcPr>
            <w:tcW w:w="1584" w:type="dxa"/>
            <w:vMerge w:val="continue"/>
            <w:noWrap w:val="0"/>
            <w:vAlign w:val="center"/>
          </w:tcPr>
          <w:p w14:paraId="079C982A">
            <w:pPr>
              <w:adjustRightInd w:val="0"/>
              <w:snapToGrid w:val="0"/>
              <w:jc w:val="center"/>
              <w:rPr>
                <w:rFonts w:hint="default" w:ascii="Times New Roman" w:hAnsi="Times New Roman" w:cs="Times New Roman"/>
                <w:sz w:val="24"/>
                <w:szCs w:val="20"/>
              </w:rPr>
            </w:pPr>
          </w:p>
        </w:tc>
      </w:tr>
      <w:tr w14:paraId="68358D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15" w:type="dxa"/>
            <w:vMerge w:val="continue"/>
            <w:noWrap w:val="0"/>
            <w:vAlign w:val="center"/>
          </w:tcPr>
          <w:p w14:paraId="0AD25F45">
            <w:pPr>
              <w:adjustRightInd w:val="0"/>
              <w:snapToGrid w:val="0"/>
              <w:jc w:val="center"/>
              <w:rPr>
                <w:rFonts w:hint="default" w:ascii="Times New Roman" w:hAnsi="Times New Roman" w:cs="Times New Roman"/>
                <w:sz w:val="24"/>
              </w:rPr>
            </w:pPr>
          </w:p>
        </w:tc>
        <w:tc>
          <w:tcPr>
            <w:tcW w:w="2118" w:type="dxa"/>
            <w:noWrap w:val="0"/>
            <w:vAlign w:val="center"/>
          </w:tcPr>
          <w:p w14:paraId="3E47391E">
            <w:pPr>
              <w:widowControl/>
              <w:jc w:val="center"/>
              <w:textAlignment w:val="center"/>
              <w:rPr>
                <w:rFonts w:hint="default" w:ascii="Times New Roman" w:hAnsi="Times New Roman" w:eastAsia="宋体" w:cs="Times New Roman"/>
                <w:sz w:val="24"/>
                <w:lang w:eastAsia="zh-CN"/>
              </w:rPr>
            </w:pPr>
            <w:r>
              <w:rPr>
                <w:rFonts w:hint="eastAsia" w:ascii="Times New Roman" w:hAnsi="Times New Roman" w:eastAsia="宋体" w:cs="Times New Roman"/>
                <w:sz w:val="24"/>
                <w:lang w:val="en-US" w:eastAsia="zh-CN"/>
              </w:rPr>
              <w:t>原料上料粉尘</w:t>
            </w:r>
          </w:p>
        </w:tc>
        <w:tc>
          <w:tcPr>
            <w:tcW w:w="1509" w:type="dxa"/>
            <w:vMerge w:val="continue"/>
            <w:noWrap w:val="0"/>
            <w:vAlign w:val="center"/>
          </w:tcPr>
          <w:p w14:paraId="07DC3610">
            <w:pPr>
              <w:adjustRightInd w:val="0"/>
              <w:snapToGrid w:val="0"/>
              <w:jc w:val="center"/>
              <w:rPr>
                <w:rFonts w:hint="default" w:ascii="Times New Roman" w:hAnsi="Times New Roman" w:cs="Times New Roman"/>
                <w:sz w:val="24"/>
              </w:rPr>
            </w:pPr>
          </w:p>
        </w:tc>
        <w:tc>
          <w:tcPr>
            <w:tcW w:w="2174" w:type="dxa"/>
            <w:noWrap w:val="0"/>
            <w:vAlign w:val="center"/>
          </w:tcPr>
          <w:p w14:paraId="57CB2655">
            <w:pPr>
              <w:widowControl/>
              <w:jc w:val="center"/>
              <w:textAlignment w:val="center"/>
              <w:rPr>
                <w:rFonts w:hint="default" w:ascii="Times New Roman" w:hAnsi="Times New Roman" w:eastAsia="宋体" w:cs="Times New Roman"/>
                <w:sz w:val="24"/>
                <w:lang w:eastAsia="zh-CN"/>
              </w:rPr>
            </w:pPr>
            <w:r>
              <w:rPr>
                <w:rFonts w:hint="default" w:ascii="Times New Roman" w:hAnsi="Times New Roman" w:cs="Times New Roman"/>
                <w:sz w:val="24"/>
              </w:rPr>
              <w:t>湿润物料，</w:t>
            </w:r>
            <w:r>
              <w:rPr>
                <w:rFonts w:hint="eastAsia" w:cs="Times New Roman"/>
                <w:sz w:val="24"/>
                <w:lang w:val="en-US" w:eastAsia="zh-CN"/>
              </w:rPr>
              <w:t>封闭车间</w:t>
            </w:r>
            <w:r>
              <w:rPr>
                <w:rFonts w:hint="default" w:ascii="Times New Roman" w:hAnsi="Times New Roman" w:cs="Times New Roman"/>
                <w:sz w:val="24"/>
                <w:lang w:eastAsia="zh-CN"/>
              </w:rPr>
              <w:t>，设置喷淋设施</w:t>
            </w:r>
          </w:p>
        </w:tc>
        <w:tc>
          <w:tcPr>
            <w:tcW w:w="1584" w:type="dxa"/>
            <w:vMerge w:val="continue"/>
            <w:noWrap w:val="0"/>
            <w:vAlign w:val="center"/>
          </w:tcPr>
          <w:p w14:paraId="46C2C066">
            <w:pPr>
              <w:adjustRightInd w:val="0"/>
              <w:snapToGrid w:val="0"/>
              <w:jc w:val="center"/>
              <w:rPr>
                <w:rFonts w:hint="default" w:ascii="Times New Roman" w:hAnsi="Times New Roman" w:cs="Times New Roman"/>
                <w:sz w:val="24"/>
                <w:szCs w:val="20"/>
              </w:rPr>
            </w:pPr>
          </w:p>
        </w:tc>
      </w:tr>
      <w:tr w14:paraId="7096C5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15" w:type="dxa"/>
            <w:vMerge w:val="continue"/>
            <w:noWrap w:val="0"/>
            <w:vAlign w:val="center"/>
          </w:tcPr>
          <w:p w14:paraId="5AE941CB">
            <w:pPr>
              <w:adjustRightInd w:val="0"/>
              <w:snapToGrid w:val="0"/>
              <w:jc w:val="center"/>
              <w:rPr>
                <w:rFonts w:hint="default" w:ascii="Times New Roman" w:hAnsi="Times New Roman" w:cs="Times New Roman"/>
                <w:sz w:val="24"/>
              </w:rPr>
            </w:pPr>
          </w:p>
        </w:tc>
        <w:tc>
          <w:tcPr>
            <w:tcW w:w="2118" w:type="dxa"/>
            <w:noWrap w:val="0"/>
            <w:vAlign w:val="center"/>
          </w:tcPr>
          <w:p w14:paraId="7C9E1AF2">
            <w:pPr>
              <w:widowControl/>
              <w:jc w:val="center"/>
              <w:textAlignment w:val="center"/>
              <w:rPr>
                <w:rFonts w:hint="default" w:ascii="Times New Roman" w:hAnsi="Times New Roman" w:eastAsia="宋体" w:cs="Times New Roman"/>
                <w:sz w:val="24"/>
                <w:lang w:eastAsia="zh-CN"/>
              </w:rPr>
            </w:pPr>
            <w:r>
              <w:rPr>
                <w:rFonts w:hint="eastAsia" w:ascii="Times New Roman" w:hAnsi="Times New Roman" w:eastAsia="宋体" w:cs="Times New Roman"/>
                <w:sz w:val="24"/>
                <w:lang w:val="en-US" w:eastAsia="zh-CN"/>
              </w:rPr>
              <w:t>破碎、筛分粉尘</w:t>
            </w:r>
          </w:p>
        </w:tc>
        <w:tc>
          <w:tcPr>
            <w:tcW w:w="1509" w:type="dxa"/>
            <w:vMerge w:val="continue"/>
            <w:noWrap w:val="0"/>
            <w:vAlign w:val="center"/>
          </w:tcPr>
          <w:p w14:paraId="4E0EBBCB">
            <w:pPr>
              <w:adjustRightInd w:val="0"/>
              <w:snapToGrid w:val="0"/>
              <w:jc w:val="center"/>
              <w:rPr>
                <w:rFonts w:hint="default" w:ascii="Times New Roman" w:hAnsi="Times New Roman" w:cs="Times New Roman"/>
                <w:sz w:val="24"/>
              </w:rPr>
            </w:pPr>
          </w:p>
        </w:tc>
        <w:tc>
          <w:tcPr>
            <w:tcW w:w="2174" w:type="dxa"/>
            <w:vMerge w:val="restart"/>
            <w:noWrap w:val="0"/>
            <w:vAlign w:val="center"/>
          </w:tcPr>
          <w:p w14:paraId="14FDDC44">
            <w:pPr>
              <w:widowControl/>
              <w:jc w:val="center"/>
              <w:textAlignment w:val="center"/>
              <w:rPr>
                <w:rFonts w:hint="default" w:ascii="Times New Roman" w:hAnsi="Times New Roman" w:eastAsia="宋体" w:cs="Times New Roman"/>
                <w:sz w:val="24"/>
                <w:lang w:val="en-US" w:eastAsia="zh-CN"/>
              </w:rPr>
            </w:pPr>
            <w:r>
              <w:rPr>
                <w:rFonts w:hint="default" w:ascii="Times New Roman" w:hAnsi="Times New Roman" w:cs="Times New Roman"/>
                <w:sz w:val="24"/>
              </w:rPr>
              <w:t>封闭</w:t>
            </w:r>
            <w:r>
              <w:rPr>
                <w:rFonts w:hint="eastAsia" w:ascii="Times New Roman" w:hAnsi="Times New Roman" w:cs="Times New Roman"/>
                <w:sz w:val="24"/>
                <w:lang w:eastAsia="zh-CN"/>
              </w:rPr>
              <w:t>车间</w:t>
            </w:r>
            <w:r>
              <w:rPr>
                <w:rFonts w:hint="default" w:ascii="Times New Roman" w:hAnsi="Times New Roman" w:cs="Times New Roman"/>
                <w:sz w:val="24"/>
                <w:lang w:val="en-US" w:eastAsia="zh-CN"/>
              </w:rPr>
              <w:t>+喷淋设施</w:t>
            </w:r>
          </w:p>
        </w:tc>
        <w:tc>
          <w:tcPr>
            <w:tcW w:w="1584" w:type="dxa"/>
            <w:vMerge w:val="continue"/>
            <w:noWrap w:val="0"/>
            <w:vAlign w:val="center"/>
          </w:tcPr>
          <w:p w14:paraId="2453FDF3">
            <w:pPr>
              <w:adjustRightInd w:val="0"/>
              <w:snapToGrid w:val="0"/>
              <w:jc w:val="center"/>
              <w:rPr>
                <w:rFonts w:hint="default" w:ascii="Times New Roman" w:hAnsi="Times New Roman" w:cs="Times New Roman"/>
                <w:sz w:val="24"/>
                <w:szCs w:val="20"/>
              </w:rPr>
            </w:pPr>
          </w:p>
        </w:tc>
      </w:tr>
      <w:tr w14:paraId="1D95AA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415" w:type="dxa"/>
            <w:vMerge w:val="continue"/>
            <w:noWrap w:val="0"/>
            <w:vAlign w:val="center"/>
          </w:tcPr>
          <w:p w14:paraId="2B4ACFF3">
            <w:pPr>
              <w:adjustRightInd w:val="0"/>
              <w:snapToGrid w:val="0"/>
              <w:jc w:val="center"/>
              <w:rPr>
                <w:rFonts w:hint="default" w:ascii="Times New Roman" w:hAnsi="Times New Roman" w:cs="Times New Roman"/>
                <w:sz w:val="24"/>
              </w:rPr>
            </w:pPr>
          </w:p>
        </w:tc>
        <w:tc>
          <w:tcPr>
            <w:tcW w:w="2118" w:type="dxa"/>
            <w:noWrap w:val="0"/>
            <w:vAlign w:val="center"/>
          </w:tcPr>
          <w:p w14:paraId="2A27D7A2">
            <w:pPr>
              <w:widowControl/>
              <w:jc w:val="center"/>
              <w:textAlignment w:val="center"/>
              <w:rPr>
                <w:rFonts w:hint="default" w:ascii="Times New Roman" w:hAnsi="Times New Roman" w:eastAsia="宋体" w:cs="Times New Roman"/>
                <w:sz w:val="24"/>
                <w:lang w:eastAsia="zh-CN"/>
              </w:rPr>
            </w:pPr>
            <w:r>
              <w:rPr>
                <w:rFonts w:hint="eastAsia" w:ascii="Times New Roman" w:hAnsi="Times New Roman" w:eastAsia="宋体" w:cs="Times New Roman"/>
                <w:sz w:val="24"/>
                <w:lang w:val="en-US" w:eastAsia="zh-CN"/>
              </w:rPr>
              <w:t>成品堆场粉尘</w:t>
            </w:r>
          </w:p>
        </w:tc>
        <w:tc>
          <w:tcPr>
            <w:tcW w:w="1509" w:type="dxa"/>
            <w:vMerge w:val="continue"/>
            <w:noWrap w:val="0"/>
            <w:vAlign w:val="center"/>
          </w:tcPr>
          <w:p w14:paraId="524A4AAE">
            <w:pPr>
              <w:adjustRightInd w:val="0"/>
              <w:snapToGrid w:val="0"/>
              <w:jc w:val="center"/>
              <w:rPr>
                <w:rFonts w:hint="default" w:ascii="Times New Roman" w:hAnsi="Times New Roman" w:cs="Times New Roman"/>
                <w:sz w:val="24"/>
              </w:rPr>
            </w:pPr>
          </w:p>
        </w:tc>
        <w:tc>
          <w:tcPr>
            <w:tcW w:w="2174" w:type="dxa"/>
            <w:vMerge w:val="continue"/>
            <w:noWrap w:val="0"/>
            <w:vAlign w:val="center"/>
          </w:tcPr>
          <w:p w14:paraId="1FFABD8A">
            <w:pPr>
              <w:widowControl/>
              <w:jc w:val="center"/>
              <w:textAlignment w:val="center"/>
              <w:rPr>
                <w:rFonts w:hint="default" w:ascii="Times New Roman" w:hAnsi="Times New Roman" w:cs="Times New Roman"/>
                <w:sz w:val="24"/>
              </w:rPr>
            </w:pPr>
          </w:p>
        </w:tc>
        <w:tc>
          <w:tcPr>
            <w:tcW w:w="1584" w:type="dxa"/>
            <w:vMerge w:val="continue"/>
            <w:noWrap w:val="0"/>
            <w:vAlign w:val="center"/>
          </w:tcPr>
          <w:p w14:paraId="402A8CE5">
            <w:pPr>
              <w:adjustRightInd w:val="0"/>
              <w:snapToGrid w:val="0"/>
              <w:jc w:val="center"/>
              <w:rPr>
                <w:rFonts w:hint="default" w:ascii="Times New Roman" w:hAnsi="Times New Roman" w:cs="Times New Roman"/>
                <w:sz w:val="24"/>
                <w:szCs w:val="20"/>
              </w:rPr>
            </w:pPr>
          </w:p>
        </w:tc>
      </w:tr>
      <w:tr w14:paraId="6C3651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15" w:type="dxa"/>
            <w:vMerge w:val="restart"/>
            <w:noWrap w:val="0"/>
            <w:vAlign w:val="center"/>
          </w:tcPr>
          <w:p w14:paraId="705F3719">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地表水环境</w:t>
            </w:r>
          </w:p>
        </w:tc>
        <w:tc>
          <w:tcPr>
            <w:tcW w:w="2118" w:type="dxa"/>
            <w:noWrap w:val="0"/>
            <w:vAlign w:val="center"/>
          </w:tcPr>
          <w:p w14:paraId="1836C287">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生活废水</w:t>
            </w:r>
          </w:p>
          <w:p w14:paraId="782D36D7">
            <w:pPr>
              <w:adjustRightInd w:val="0"/>
              <w:snapToGrid w:val="0"/>
              <w:jc w:val="center"/>
              <w:rPr>
                <w:rFonts w:hint="eastAsia" w:ascii="Times New Roman" w:hAnsi="Times New Roman" w:eastAsia="宋体" w:cs="Times New Roman"/>
                <w:sz w:val="24"/>
                <w:lang w:eastAsia="zh-CN"/>
              </w:rPr>
            </w:pPr>
            <w:r>
              <w:rPr>
                <w:rFonts w:hint="eastAsia" w:cs="Times New Roman"/>
                <w:sz w:val="24"/>
                <w:lang w:val="en-US" w:eastAsia="zh-CN"/>
              </w:rPr>
              <w:t xml:space="preserve"> </w:t>
            </w:r>
          </w:p>
        </w:tc>
        <w:tc>
          <w:tcPr>
            <w:tcW w:w="1509" w:type="dxa"/>
            <w:noWrap w:val="0"/>
            <w:vAlign w:val="center"/>
          </w:tcPr>
          <w:p w14:paraId="6CCF8E86">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COD</w:t>
            </w:r>
            <w:r>
              <w:rPr>
                <w:rFonts w:hint="eastAsia" w:cs="Times New Roman"/>
                <w:sz w:val="24"/>
                <w:lang w:eastAsia="zh-CN"/>
              </w:rPr>
              <w:t>、</w:t>
            </w:r>
            <w:r>
              <w:rPr>
                <w:rFonts w:hint="default" w:ascii="Times New Roman" w:hAnsi="Times New Roman" w:cs="Times New Roman"/>
                <w:sz w:val="24"/>
              </w:rPr>
              <w:t>BOD</w:t>
            </w:r>
            <w:r>
              <w:rPr>
                <w:rFonts w:hint="default" w:ascii="Times New Roman" w:hAnsi="Times New Roman" w:cs="Times New Roman"/>
                <w:sz w:val="24"/>
                <w:vertAlign w:val="subscript"/>
              </w:rPr>
              <w:t>5</w:t>
            </w:r>
            <w:r>
              <w:rPr>
                <w:rFonts w:hint="default" w:ascii="Times New Roman" w:hAnsi="Times New Roman" w:cs="Times New Roman"/>
                <w:sz w:val="24"/>
              </w:rPr>
              <w:t>、NH</w:t>
            </w:r>
            <w:r>
              <w:rPr>
                <w:rFonts w:hint="default" w:ascii="Times New Roman" w:hAnsi="Times New Roman" w:cs="Times New Roman"/>
                <w:sz w:val="24"/>
                <w:vertAlign w:val="subscript"/>
              </w:rPr>
              <w:t>3</w:t>
            </w:r>
            <w:r>
              <w:rPr>
                <w:rFonts w:hint="default" w:ascii="Times New Roman" w:hAnsi="Times New Roman" w:cs="Times New Roman"/>
                <w:sz w:val="24"/>
              </w:rPr>
              <w:t>-N、TP、TN等</w:t>
            </w:r>
          </w:p>
        </w:tc>
        <w:tc>
          <w:tcPr>
            <w:tcW w:w="2174" w:type="dxa"/>
            <w:noWrap w:val="0"/>
            <w:vAlign w:val="center"/>
          </w:tcPr>
          <w:p w14:paraId="5CDE4D1F">
            <w:pPr>
              <w:adjustRightInd w:val="0"/>
              <w:snapToGrid w:val="0"/>
              <w:jc w:val="center"/>
              <w:rPr>
                <w:rFonts w:hint="eastAsia" w:ascii="Times New Roman" w:hAnsi="Times New Roman" w:eastAsia="宋体" w:cs="Times New Roman"/>
                <w:sz w:val="24"/>
                <w:lang w:eastAsia="zh-CN"/>
              </w:rPr>
            </w:pPr>
            <w:r>
              <w:rPr>
                <w:rFonts w:hint="eastAsia" w:cs="Times New Roman"/>
                <w:sz w:val="24"/>
                <w:lang w:val="en-US" w:eastAsia="zh-CN"/>
              </w:rPr>
              <w:t xml:space="preserve"> 生活污水</w:t>
            </w:r>
            <w:r>
              <w:rPr>
                <w:rFonts w:hint="eastAsia" w:cs="Times New Roman"/>
                <w:sz w:val="24"/>
                <w:lang w:eastAsia="zh-CN"/>
              </w:rPr>
              <w:t>经</w:t>
            </w:r>
            <w:r>
              <w:rPr>
                <w:rFonts w:hint="default" w:ascii="Times New Roman" w:hAnsi="Times New Roman" w:cs="Times New Roman"/>
                <w:sz w:val="24"/>
              </w:rPr>
              <w:t>化粪池处理后</w:t>
            </w:r>
            <w:r>
              <w:rPr>
                <w:rFonts w:hint="eastAsia" w:cs="Times New Roman"/>
                <w:sz w:val="24"/>
                <w:lang w:eastAsia="zh-CN"/>
              </w:rPr>
              <w:t>用于周边农业生产</w:t>
            </w:r>
          </w:p>
        </w:tc>
        <w:tc>
          <w:tcPr>
            <w:tcW w:w="1584" w:type="dxa"/>
            <w:noWrap w:val="0"/>
            <w:vAlign w:val="center"/>
          </w:tcPr>
          <w:p w14:paraId="254246AA">
            <w:pPr>
              <w:adjustRightInd w:val="0"/>
              <w:snapToGrid w:val="0"/>
              <w:jc w:val="center"/>
              <w:rPr>
                <w:rFonts w:hint="eastAsia" w:ascii="Times New Roman" w:hAnsi="Times New Roman" w:eastAsia="宋体" w:cs="Times New Roman"/>
                <w:sz w:val="24"/>
                <w:lang w:eastAsia="zh-CN"/>
              </w:rPr>
            </w:pPr>
            <w:r>
              <w:rPr>
                <w:rFonts w:hint="eastAsia" w:cs="Times New Roman"/>
                <w:sz w:val="24"/>
                <w:lang w:eastAsia="zh-CN"/>
              </w:rPr>
              <w:t>不直接排放</w:t>
            </w:r>
          </w:p>
        </w:tc>
      </w:tr>
      <w:tr w14:paraId="3D5788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15" w:type="dxa"/>
            <w:vMerge w:val="continue"/>
            <w:noWrap w:val="0"/>
            <w:vAlign w:val="center"/>
          </w:tcPr>
          <w:p w14:paraId="028F2D61">
            <w:pPr>
              <w:adjustRightInd w:val="0"/>
              <w:snapToGrid w:val="0"/>
              <w:jc w:val="center"/>
              <w:rPr>
                <w:rFonts w:hint="default" w:ascii="Times New Roman" w:hAnsi="Times New Roman" w:cs="Times New Roman"/>
                <w:sz w:val="24"/>
              </w:rPr>
            </w:pPr>
          </w:p>
        </w:tc>
        <w:tc>
          <w:tcPr>
            <w:tcW w:w="2118" w:type="dxa"/>
            <w:noWrap w:val="0"/>
            <w:vAlign w:val="center"/>
          </w:tcPr>
          <w:p w14:paraId="315681E4">
            <w:pPr>
              <w:adjustRightInd w:val="0"/>
              <w:snapToGrid w:val="0"/>
              <w:jc w:val="center"/>
              <w:rPr>
                <w:rFonts w:hint="eastAsia" w:ascii="Times New Roman" w:hAnsi="Times New Roman" w:eastAsia="宋体" w:cs="Times New Roman"/>
                <w:sz w:val="24"/>
                <w:lang w:eastAsia="zh-CN"/>
              </w:rPr>
            </w:pPr>
            <w:r>
              <w:rPr>
                <w:rFonts w:hint="eastAsia" w:ascii="Times New Roman" w:hAnsi="Times New Roman" w:cs="Times New Roman"/>
                <w:sz w:val="24"/>
                <w:lang w:eastAsia="zh-CN"/>
              </w:rPr>
              <w:t>生产废水</w:t>
            </w:r>
          </w:p>
        </w:tc>
        <w:tc>
          <w:tcPr>
            <w:tcW w:w="1509" w:type="dxa"/>
            <w:noWrap w:val="0"/>
            <w:vAlign w:val="center"/>
          </w:tcPr>
          <w:p w14:paraId="43C54B4F">
            <w:pPr>
              <w:adjustRightInd w:val="0"/>
              <w:snapToGrid w:val="0"/>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COD</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SS等</w:t>
            </w:r>
          </w:p>
        </w:tc>
        <w:tc>
          <w:tcPr>
            <w:tcW w:w="2174" w:type="dxa"/>
            <w:noWrap w:val="0"/>
            <w:vAlign w:val="center"/>
          </w:tcPr>
          <w:p w14:paraId="2AF65D00">
            <w:pPr>
              <w:adjustRightInd w:val="0"/>
              <w:snapToGrid w:val="0"/>
              <w:jc w:val="center"/>
              <w:rPr>
                <w:rFonts w:hint="default" w:ascii="Times New Roman" w:hAnsi="Times New Roman" w:cs="Times New Roman"/>
                <w:sz w:val="24"/>
                <w:lang w:val="en-US" w:eastAsia="zh-CN"/>
              </w:rPr>
            </w:pPr>
            <w:r>
              <w:rPr>
                <w:rFonts w:hint="eastAsia" w:ascii="Times New Roman" w:hAnsi="Times New Roman" w:cs="Times New Roman"/>
                <w:sz w:val="24"/>
                <w:lang w:eastAsia="zh-CN"/>
              </w:rPr>
              <w:t>生产废水经过</w:t>
            </w:r>
            <w:r>
              <w:rPr>
                <w:rFonts w:hint="eastAsia" w:cs="Times New Roman"/>
                <w:sz w:val="24"/>
                <w:lang w:eastAsia="zh-CN"/>
              </w:rPr>
              <w:t>沉淀池处理后回用于生产，沉淀池泥水经中水回用罐（泥浆罐）处理后清水回用于生产，泥浆罐泥沙压滤后清水回用，泥饼满足相关标准的前提下用于筑路回填、土地复耕、绿化等</w:t>
            </w:r>
            <w:r>
              <w:rPr>
                <w:rFonts w:hint="eastAsia" w:ascii="Times New Roman" w:hAnsi="Times New Roman" w:cs="Times New Roman"/>
                <w:sz w:val="24"/>
                <w:lang w:eastAsia="zh-CN"/>
              </w:rPr>
              <w:t>。</w:t>
            </w:r>
          </w:p>
        </w:tc>
        <w:tc>
          <w:tcPr>
            <w:tcW w:w="1584" w:type="dxa"/>
            <w:noWrap w:val="0"/>
            <w:vAlign w:val="center"/>
          </w:tcPr>
          <w:p w14:paraId="04EFC5DB">
            <w:pPr>
              <w:adjustRightInd w:val="0"/>
              <w:snapToGrid w:val="0"/>
              <w:jc w:val="center"/>
              <w:rPr>
                <w:rFonts w:hint="eastAsia" w:ascii="Times New Roman" w:hAnsi="Times New Roman" w:eastAsia="宋体" w:cs="Times New Roman"/>
                <w:sz w:val="24"/>
                <w:szCs w:val="20"/>
                <w:lang w:eastAsia="zh-CN"/>
              </w:rPr>
            </w:pPr>
            <w:r>
              <w:rPr>
                <w:rFonts w:hint="eastAsia" w:ascii="Times New Roman" w:hAnsi="Times New Roman" w:cs="Times New Roman"/>
                <w:sz w:val="24"/>
                <w:szCs w:val="20"/>
                <w:lang w:eastAsia="zh-CN"/>
              </w:rPr>
              <w:t>不排放</w:t>
            </w:r>
          </w:p>
        </w:tc>
      </w:tr>
      <w:tr w14:paraId="3FCCE2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15" w:type="dxa"/>
            <w:noWrap w:val="0"/>
            <w:vAlign w:val="center"/>
          </w:tcPr>
          <w:p w14:paraId="109877A5">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声环境</w:t>
            </w:r>
          </w:p>
        </w:tc>
        <w:tc>
          <w:tcPr>
            <w:tcW w:w="2118" w:type="dxa"/>
            <w:noWrap w:val="0"/>
            <w:vAlign w:val="center"/>
          </w:tcPr>
          <w:p w14:paraId="581C3554">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生产线设备</w:t>
            </w:r>
          </w:p>
        </w:tc>
        <w:tc>
          <w:tcPr>
            <w:tcW w:w="1509" w:type="dxa"/>
            <w:noWrap w:val="0"/>
            <w:vAlign w:val="center"/>
          </w:tcPr>
          <w:p w14:paraId="7EEE6C82">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设备噪声</w:t>
            </w:r>
          </w:p>
        </w:tc>
        <w:tc>
          <w:tcPr>
            <w:tcW w:w="2174" w:type="dxa"/>
            <w:noWrap w:val="0"/>
            <w:vAlign w:val="center"/>
          </w:tcPr>
          <w:p w14:paraId="70C9FEA5">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建筑结构屏蔽、设置减震设施、距离衰减</w:t>
            </w:r>
          </w:p>
        </w:tc>
        <w:tc>
          <w:tcPr>
            <w:tcW w:w="1584" w:type="dxa"/>
            <w:noWrap w:val="0"/>
            <w:vAlign w:val="center"/>
          </w:tcPr>
          <w:p w14:paraId="47CD4941">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《工业企业厂界环境噪声排放标准》（GB12348-2008）2类标准</w:t>
            </w:r>
          </w:p>
        </w:tc>
      </w:tr>
      <w:tr w14:paraId="55AA1D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0" w:hRule="atLeast"/>
          <w:jc w:val="center"/>
        </w:trPr>
        <w:tc>
          <w:tcPr>
            <w:tcW w:w="1415" w:type="dxa"/>
            <w:noWrap w:val="0"/>
            <w:vAlign w:val="center"/>
          </w:tcPr>
          <w:p w14:paraId="4A04B115">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电磁辐射</w:t>
            </w:r>
          </w:p>
        </w:tc>
        <w:tc>
          <w:tcPr>
            <w:tcW w:w="7385" w:type="dxa"/>
            <w:gridSpan w:val="4"/>
            <w:noWrap w:val="0"/>
            <w:vAlign w:val="center"/>
          </w:tcPr>
          <w:p w14:paraId="068C95DF">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不涉及</w:t>
            </w:r>
          </w:p>
        </w:tc>
      </w:tr>
      <w:tr w14:paraId="66CF60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415" w:type="dxa"/>
            <w:noWrap w:val="0"/>
            <w:vAlign w:val="center"/>
          </w:tcPr>
          <w:p w14:paraId="54216FE7">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固体废物</w:t>
            </w:r>
          </w:p>
        </w:tc>
        <w:tc>
          <w:tcPr>
            <w:tcW w:w="7385" w:type="dxa"/>
            <w:gridSpan w:val="4"/>
            <w:noWrap w:val="0"/>
            <w:vAlign w:val="center"/>
          </w:tcPr>
          <w:p w14:paraId="64662359">
            <w:pPr>
              <w:spacing w:line="420" w:lineRule="auto"/>
              <w:ind w:firstLine="480" w:firstLineChars="200"/>
              <w:rPr>
                <w:rFonts w:hint="default" w:ascii="Times New Roman" w:hAnsi="Times New Roman" w:cs="Times New Roman"/>
                <w:sz w:val="24"/>
                <w:szCs w:val="20"/>
              </w:rPr>
            </w:pPr>
            <w:r>
              <w:rPr>
                <w:rFonts w:hint="default" w:ascii="Times New Roman" w:hAnsi="Times New Roman" w:cs="Times New Roman"/>
                <w:sz w:val="24"/>
              </w:rPr>
              <w:t>运营期间本项目产生的固废主要为：</w:t>
            </w:r>
            <w:r>
              <w:rPr>
                <w:rFonts w:hint="eastAsia" w:cs="Times New Roman"/>
                <w:sz w:val="24"/>
                <w:szCs w:val="20"/>
                <w:lang w:eastAsia="zh-CN"/>
              </w:rPr>
              <w:t>废包装袋、</w:t>
            </w:r>
            <w:r>
              <w:rPr>
                <w:rFonts w:hint="default" w:ascii="Times New Roman" w:hAnsi="Times New Roman" w:cs="Times New Roman"/>
                <w:sz w:val="24"/>
                <w:szCs w:val="20"/>
              </w:rPr>
              <w:t>生活垃圾、</w:t>
            </w:r>
            <w:r>
              <w:rPr>
                <w:rFonts w:hint="eastAsia" w:ascii="Times New Roman" w:hAnsi="Times New Roman" w:cs="Times New Roman"/>
                <w:sz w:val="24"/>
                <w:szCs w:val="20"/>
                <w:lang w:eastAsia="zh-CN"/>
              </w:rPr>
              <w:t>沉淀池</w:t>
            </w:r>
            <w:r>
              <w:rPr>
                <w:rFonts w:hint="eastAsia" w:cs="Times New Roman"/>
                <w:sz w:val="24"/>
                <w:szCs w:val="20"/>
                <w:lang w:eastAsia="zh-CN"/>
              </w:rPr>
              <w:t>泥沙</w:t>
            </w:r>
            <w:r>
              <w:rPr>
                <w:rFonts w:hint="default" w:ascii="Times New Roman" w:hAnsi="Times New Roman" w:cs="Times New Roman"/>
                <w:sz w:val="24"/>
                <w:szCs w:val="20"/>
              </w:rPr>
              <w:t>、</w:t>
            </w:r>
            <w:r>
              <w:rPr>
                <w:rFonts w:hint="eastAsia" w:cs="Times New Roman"/>
                <w:sz w:val="24"/>
                <w:szCs w:val="20"/>
                <w:lang w:eastAsia="zh-CN"/>
              </w:rPr>
              <w:t>生活污水</w:t>
            </w:r>
            <w:r>
              <w:rPr>
                <w:rFonts w:hint="default" w:ascii="Times New Roman" w:hAnsi="Times New Roman" w:cs="Times New Roman"/>
                <w:sz w:val="24"/>
                <w:szCs w:val="20"/>
              </w:rPr>
              <w:t>预处理池（化粪池）</w:t>
            </w:r>
            <w:r>
              <w:rPr>
                <w:rFonts w:hint="eastAsia" w:ascii="Times New Roman" w:hAnsi="Times New Roman" w:cs="Times New Roman"/>
                <w:sz w:val="24"/>
                <w:szCs w:val="20"/>
                <w:lang w:eastAsia="zh-CN"/>
              </w:rPr>
              <w:t>污泥</w:t>
            </w:r>
            <w:r>
              <w:rPr>
                <w:rFonts w:hint="default" w:ascii="Times New Roman" w:hAnsi="Times New Roman" w:cs="Times New Roman"/>
                <w:sz w:val="24"/>
                <w:szCs w:val="20"/>
              </w:rPr>
              <w:t>、废含油手套和抹布、废</w:t>
            </w:r>
            <w:r>
              <w:rPr>
                <w:rFonts w:hint="eastAsia" w:cs="Times New Roman"/>
                <w:sz w:val="24"/>
                <w:szCs w:val="20"/>
                <w:lang w:eastAsia="zh-CN"/>
              </w:rPr>
              <w:t>润滑</w:t>
            </w:r>
            <w:r>
              <w:rPr>
                <w:rFonts w:hint="default" w:ascii="Times New Roman" w:hAnsi="Times New Roman" w:cs="Times New Roman"/>
                <w:sz w:val="24"/>
                <w:szCs w:val="20"/>
              </w:rPr>
              <w:t>油、废油桶。</w:t>
            </w:r>
          </w:p>
          <w:p w14:paraId="0C261F7D">
            <w:pPr>
              <w:pStyle w:val="14"/>
              <w:rPr>
                <w:rFonts w:hint="eastAsia" w:ascii="Times New Roman" w:hAnsi="Times New Roman" w:eastAsia="宋体" w:cs="Times New Roman"/>
                <w:sz w:val="24"/>
                <w:szCs w:val="20"/>
                <w:lang w:eastAsia="zh-CN"/>
              </w:rPr>
            </w:pPr>
            <w:r>
              <w:rPr>
                <w:rFonts w:hint="eastAsia" w:cs="Times New Roman"/>
                <w:sz w:val="24"/>
                <w:szCs w:val="20"/>
                <w:lang w:val="en-US" w:eastAsia="zh-CN"/>
              </w:rPr>
              <w:t xml:space="preserve">    </w:t>
            </w:r>
            <w:r>
              <w:rPr>
                <w:rFonts w:hint="default" w:ascii="Times New Roman" w:hAnsi="Times New Roman" w:cs="Times New Roman"/>
                <w:sz w:val="24"/>
                <w:szCs w:val="20"/>
              </w:rPr>
              <w:t>生活垃圾统一收集后交由市政环卫部门处置</w:t>
            </w:r>
            <w:r>
              <w:rPr>
                <w:rFonts w:hint="eastAsia" w:ascii="Times New Roman" w:hAnsi="Times New Roman" w:cs="Times New Roman"/>
                <w:sz w:val="24"/>
                <w:szCs w:val="20"/>
                <w:lang w:eastAsia="zh-CN"/>
              </w:rPr>
              <w:t>；</w:t>
            </w:r>
            <w:r>
              <w:rPr>
                <w:rFonts w:hint="eastAsia" w:cs="Times New Roman"/>
                <w:sz w:val="24"/>
                <w:szCs w:val="20"/>
                <w:lang w:eastAsia="zh-CN"/>
              </w:rPr>
              <w:t>生活污水</w:t>
            </w:r>
            <w:r>
              <w:rPr>
                <w:rFonts w:hint="default" w:ascii="Times New Roman" w:hAnsi="Times New Roman" w:cs="Times New Roman"/>
                <w:sz w:val="24"/>
                <w:szCs w:val="20"/>
              </w:rPr>
              <w:t>预处理池（化粪池）</w:t>
            </w:r>
            <w:r>
              <w:rPr>
                <w:rFonts w:hint="eastAsia" w:cs="Times New Roman"/>
                <w:sz w:val="24"/>
                <w:szCs w:val="20"/>
                <w:lang w:eastAsia="zh-CN"/>
              </w:rPr>
              <w:t>污泥</w:t>
            </w:r>
            <w:r>
              <w:rPr>
                <w:rFonts w:hint="eastAsia" w:ascii="Times New Roman" w:hAnsi="Times New Roman" w:cs="Times New Roman"/>
                <w:sz w:val="24"/>
                <w:szCs w:val="20"/>
                <w:lang w:eastAsia="zh-CN"/>
              </w:rPr>
              <w:t>定期</w:t>
            </w:r>
            <w:r>
              <w:rPr>
                <w:rFonts w:hint="eastAsia" w:cs="Times New Roman"/>
                <w:sz w:val="24"/>
                <w:szCs w:val="20"/>
                <w:lang w:eastAsia="zh-CN"/>
              </w:rPr>
              <w:t>清掏后用于林地施肥</w:t>
            </w:r>
            <w:r>
              <w:rPr>
                <w:rFonts w:hint="eastAsia" w:ascii="Times New Roman" w:hAnsi="Times New Roman" w:cs="Times New Roman"/>
                <w:sz w:val="24"/>
                <w:szCs w:val="20"/>
                <w:lang w:eastAsia="zh-CN"/>
              </w:rPr>
              <w:t>；</w:t>
            </w:r>
            <w:r>
              <w:rPr>
                <w:rFonts w:hint="eastAsia" w:cs="Times New Roman"/>
                <w:sz w:val="24"/>
                <w:szCs w:val="20"/>
                <w:lang w:eastAsia="zh-CN"/>
              </w:rPr>
              <w:t>沉淀池泥沙经过絮凝沉淀压滤成泥饼用于筑路</w:t>
            </w:r>
            <w:r>
              <w:rPr>
                <w:rFonts w:hint="eastAsia" w:cs="Times New Roman"/>
                <w:sz w:val="24"/>
                <w:lang w:eastAsia="zh-CN"/>
              </w:rPr>
              <w:t>回填、土地复耕、绿化等</w:t>
            </w:r>
            <w:r>
              <w:rPr>
                <w:rFonts w:hint="default" w:ascii="Times New Roman" w:hAnsi="Times New Roman" w:cs="Times New Roman"/>
                <w:sz w:val="24"/>
                <w:szCs w:val="20"/>
              </w:rPr>
              <w:t>、除尘器粉尘回用于生产；废润滑油桶、废</w:t>
            </w:r>
            <w:r>
              <w:rPr>
                <w:rFonts w:hint="eastAsia" w:ascii="Times New Roman" w:hAnsi="Times New Roman" w:cs="Times New Roman"/>
                <w:sz w:val="24"/>
                <w:szCs w:val="20"/>
                <w:lang w:eastAsia="zh-CN"/>
              </w:rPr>
              <w:t>含油</w:t>
            </w:r>
            <w:r>
              <w:rPr>
                <w:rFonts w:hint="default" w:ascii="Times New Roman" w:hAnsi="Times New Roman" w:cs="Times New Roman"/>
                <w:sz w:val="24"/>
                <w:szCs w:val="20"/>
              </w:rPr>
              <w:t>手套及抹布</w:t>
            </w:r>
            <w:r>
              <w:rPr>
                <w:rFonts w:hint="eastAsia" w:ascii="Times New Roman" w:hAnsi="Times New Roman" w:cs="Times New Roman"/>
                <w:sz w:val="24"/>
                <w:szCs w:val="20"/>
                <w:lang w:eastAsia="zh-CN"/>
              </w:rPr>
              <w:t>、</w:t>
            </w:r>
            <w:r>
              <w:rPr>
                <w:rFonts w:hint="default" w:ascii="Times New Roman" w:hAnsi="Times New Roman" w:cs="Times New Roman"/>
                <w:sz w:val="24"/>
                <w:szCs w:val="20"/>
              </w:rPr>
              <w:t>废矿物油统一收集后暂存于危废间内，定期委托资质单位处置</w:t>
            </w:r>
            <w:r>
              <w:rPr>
                <w:rFonts w:hint="eastAsia" w:ascii="Times New Roman" w:hAnsi="Times New Roman" w:cs="Times New Roman"/>
                <w:sz w:val="24"/>
                <w:szCs w:val="20"/>
                <w:lang w:eastAsia="zh-CN"/>
              </w:rPr>
              <w:t>。</w:t>
            </w:r>
          </w:p>
        </w:tc>
      </w:tr>
      <w:tr w14:paraId="48AF94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415" w:type="dxa"/>
            <w:noWrap w:val="0"/>
            <w:vAlign w:val="center"/>
          </w:tcPr>
          <w:p w14:paraId="2F0CC18F">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土壤及地下水</w:t>
            </w:r>
          </w:p>
          <w:p w14:paraId="53F948C7">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污染防治措施</w:t>
            </w:r>
          </w:p>
        </w:tc>
        <w:tc>
          <w:tcPr>
            <w:tcW w:w="7385" w:type="dxa"/>
            <w:gridSpan w:val="4"/>
            <w:noWrap w:val="0"/>
            <w:vAlign w:val="center"/>
          </w:tcPr>
          <w:p w14:paraId="081674EF">
            <w:pPr>
              <w:pStyle w:val="14"/>
              <w:ind w:firstLine="720" w:firstLineChars="300"/>
              <w:rPr>
                <w:rFonts w:hint="default" w:ascii="Times New Roman" w:hAnsi="Times New Roman" w:cs="Times New Roman"/>
                <w:sz w:val="24"/>
              </w:rPr>
            </w:pPr>
            <w:r>
              <w:rPr>
                <w:rFonts w:hint="default" w:ascii="Times New Roman" w:hAnsi="Times New Roman" w:cs="Times New Roman"/>
                <w:sz w:val="24"/>
              </w:rPr>
              <w:t>①危废暂存间</w:t>
            </w:r>
            <w:r>
              <w:rPr>
                <w:rFonts w:hint="eastAsia" w:cs="Times New Roman"/>
                <w:sz w:val="24"/>
                <w:lang w:eastAsia="zh-CN"/>
              </w:rPr>
              <w:t>、生活污水化粪池</w:t>
            </w:r>
            <w:r>
              <w:rPr>
                <w:rFonts w:hint="default" w:ascii="Times New Roman" w:hAnsi="Times New Roman" w:cs="Times New Roman"/>
                <w:sz w:val="24"/>
              </w:rPr>
              <w:t>划分为重点防渗区，防渗要求：采用2毫米以上的高密度聚乙烯或其他人工防渗材料组成，渗透系数应小于1.0×10</w:t>
            </w:r>
            <w:r>
              <w:rPr>
                <w:rFonts w:hint="default" w:ascii="Times New Roman" w:hAnsi="Times New Roman" w:cs="Times New Roman"/>
                <w:sz w:val="24"/>
                <w:vertAlign w:val="superscript"/>
              </w:rPr>
              <w:t>-10</w:t>
            </w:r>
            <w:r>
              <w:rPr>
                <w:rFonts w:hint="default" w:ascii="Times New Roman" w:hAnsi="Times New Roman" w:cs="Times New Roman"/>
                <w:sz w:val="24"/>
              </w:rPr>
              <w:t>cm/s，或参照GB18598执行。</w:t>
            </w:r>
          </w:p>
          <w:p w14:paraId="45871744">
            <w:pPr>
              <w:spacing w:line="420" w:lineRule="auto"/>
              <w:ind w:firstLine="480" w:firstLineChars="200"/>
              <w:rPr>
                <w:rFonts w:hint="default" w:eastAsia="宋体"/>
                <w:color w:val="000000"/>
                <w:sz w:val="24"/>
                <w:lang w:val="en-US" w:eastAsia="zh-CN"/>
              </w:rPr>
            </w:pPr>
            <w:r>
              <w:rPr>
                <w:rFonts w:hint="default" w:ascii="Times New Roman" w:hAnsi="Times New Roman" w:cs="Times New Roman"/>
                <w:sz w:val="24"/>
              </w:rPr>
              <w:t>②</w:t>
            </w:r>
            <w:r>
              <w:rPr>
                <w:rFonts w:hint="eastAsia" w:cs="Times New Roman"/>
                <w:sz w:val="24"/>
                <w:lang w:eastAsia="zh-CN"/>
              </w:rPr>
              <w:t>生产废水</w:t>
            </w:r>
            <w:r>
              <w:rPr>
                <w:rFonts w:hint="eastAsia"/>
                <w:color w:val="000000"/>
                <w:sz w:val="24"/>
                <w:lang w:val="en-US" w:eastAsia="zh-CN"/>
              </w:rPr>
              <w:t>沉淀池划分为一般防渗区，一般防渗区采用等效黏土防渗层Mb≥1.5m，K≤1×10</w:t>
            </w:r>
            <w:r>
              <w:rPr>
                <w:rFonts w:hint="eastAsia" w:ascii="Times New Roman" w:hAnsi="Times New Roman" w:cs="Times New Roman"/>
                <w:color w:val="000000"/>
                <w:sz w:val="24"/>
                <w:vertAlign w:val="superscript"/>
                <w:lang w:val="en-US" w:eastAsia="zh-CN"/>
              </w:rPr>
              <w:t>-7</w:t>
            </w:r>
            <w:r>
              <w:rPr>
                <w:rFonts w:hint="eastAsia"/>
                <w:color w:val="000000"/>
                <w:sz w:val="24"/>
                <w:lang w:val="en-US" w:eastAsia="zh-CN"/>
              </w:rPr>
              <w:t>cm/s；或参照GB16889执行</w:t>
            </w:r>
          </w:p>
          <w:p w14:paraId="094E5A2B">
            <w:pPr>
              <w:spacing w:line="420" w:lineRule="auto"/>
              <w:ind w:firstLine="480" w:firstLineChars="200"/>
              <w:rPr>
                <w:rFonts w:hint="default" w:ascii="Times New Roman" w:hAnsi="Times New Roman" w:cs="Times New Roman"/>
                <w:sz w:val="24"/>
              </w:rPr>
            </w:pPr>
            <w:r>
              <w:rPr>
                <w:rFonts w:hint="eastAsia"/>
                <w:color w:val="000000"/>
                <w:sz w:val="24"/>
                <w:lang w:val="en-US" w:eastAsia="zh-CN"/>
              </w:rPr>
              <w:t>③</w:t>
            </w:r>
            <w:r>
              <w:rPr>
                <w:color w:val="000000"/>
                <w:sz w:val="24"/>
              </w:rPr>
              <w:t>本项目</w:t>
            </w:r>
            <w:r>
              <w:rPr>
                <w:rFonts w:hint="eastAsia"/>
                <w:color w:val="000000"/>
                <w:sz w:val="24"/>
                <w:lang w:val="en-US" w:eastAsia="zh-CN"/>
              </w:rPr>
              <w:t>重点防渗区和一般防渗区</w:t>
            </w:r>
            <w:r>
              <w:rPr>
                <w:color w:val="000000"/>
                <w:sz w:val="24"/>
              </w:rPr>
              <w:t>以外的其他区域</w:t>
            </w:r>
            <w:r>
              <w:rPr>
                <w:rFonts w:hint="eastAsia"/>
                <w:color w:val="000000"/>
                <w:sz w:val="24"/>
              </w:rPr>
              <w:t>为简单防渗区</w:t>
            </w:r>
            <w:r>
              <w:rPr>
                <w:color w:val="000000"/>
                <w:sz w:val="24"/>
              </w:rPr>
              <w:t>，简单防渗</w:t>
            </w:r>
            <w:r>
              <w:rPr>
                <w:rFonts w:hint="eastAsia"/>
                <w:color w:val="000000"/>
                <w:sz w:val="24"/>
              </w:rPr>
              <w:t>区采取一般地面硬化即可</w:t>
            </w:r>
            <w:r>
              <w:rPr>
                <w:color w:val="000000"/>
                <w:sz w:val="24"/>
              </w:rPr>
              <w:t>。</w:t>
            </w:r>
          </w:p>
        </w:tc>
      </w:tr>
      <w:tr w14:paraId="2746C5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1415" w:type="dxa"/>
            <w:noWrap w:val="0"/>
            <w:vAlign w:val="center"/>
          </w:tcPr>
          <w:p w14:paraId="176EB4E6">
            <w:pPr>
              <w:adjustRightInd w:val="0"/>
              <w:snapToGrid w:val="0"/>
              <w:jc w:val="center"/>
              <w:rPr>
                <w:rFonts w:hint="default" w:ascii="Times New Roman" w:hAnsi="Times New Roman" w:cs="Times New Roman"/>
                <w:sz w:val="24"/>
              </w:rPr>
            </w:pPr>
            <w:r>
              <w:rPr>
                <w:rFonts w:hint="default" w:ascii="Times New Roman" w:hAnsi="Times New Roman" w:cs="Times New Roman"/>
                <w:sz w:val="24"/>
              </w:rPr>
              <w:t>生态保护措施</w:t>
            </w:r>
          </w:p>
        </w:tc>
        <w:tc>
          <w:tcPr>
            <w:tcW w:w="7385" w:type="dxa"/>
            <w:gridSpan w:val="4"/>
            <w:noWrap w:val="0"/>
            <w:vAlign w:val="center"/>
          </w:tcPr>
          <w:p w14:paraId="3B32C808">
            <w:pPr>
              <w:pStyle w:val="14"/>
              <w:rPr>
                <w:rFonts w:hint="default" w:ascii="Times New Roman" w:hAnsi="Times New Roman" w:cs="Times New Roman"/>
                <w:sz w:val="24"/>
              </w:rPr>
            </w:pPr>
            <w:r>
              <w:rPr>
                <w:rFonts w:hint="default" w:ascii="Times New Roman" w:hAnsi="Times New Roman" w:cs="Times New Roman"/>
                <w:sz w:val="24"/>
              </w:rPr>
              <w:t>不涉及</w:t>
            </w:r>
          </w:p>
        </w:tc>
      </w:tr>
      <w:tr w14:paraId="58F703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415" w:type="dxa"/>
            <w:noWrap w:val="0"/>
            <w:vAlign w:val="center"/>
          </w:tcPr>
          <w:p w14:paraId="4B419C69">
            <w:pPr>
              <w:adjustRightInd w:val="0"/>
              <w:snapToGrid w:val="0"/>
              <w:jc w:val="center"/>
              <w:rPr>
                <w:rFonts w:hint="default" w:ascii="Times New Roman" w:hAnsi="Times New Roman" w:cs="Times New Roman"/>
                <w:spacing w:val="-8"/>
                <w:sz w:val="24"/>
              </w:rPr>
            </w:pPr>
            <w:r>
              <w:rPr>
                <w:rFonts w:hint="default" w:ascii="Times New Roman" w:hAnsi="Times New Roman" w:cs="Times New Roman"/>
                <w:spacing w:val="-8"/>
                <w:sz w:val="24"/>
              </w:rPr>
              <w:t>环境风险</w:t>
            </w:r>
          </w:p>
          <w:p w14:paraId="31C5B846">
            <w:pPr>
              <w:adjustRightInd w:val="0"/>
              <w:snapToGrid w:val="0"/>
              <w:jc w:val="center"/>
              <w:rPr>
                <w:rFonts w:hint="default" w:ascii="Times New Roman" w:hAnsi="Times New Roman" w:cs="Times New Roman"/>
                <w:spacing w:val="-8"/>
                <w:sz w:val="24"/>
              </w:rPr>
            </w:pPr>
            <w:r>
              <w:rPr>
                <w:rFonts w:hint="default" w:ascii="Times New Roman" w:hAnsi="Times New Roman" w:cs="Times New Roman"/>
                <w:spacing w:val="-8"/>
                <w:sz w:val="24"/>
              </w:rPr>
              <w:t>防范措施</w:t>
            </w:r>
          </w:p>
        </w:tc>
        <w:tc>
          <w:tcPr>
            <w:tcW w:w="7385" w:type="dxa"/>
            <w:gridSpan w:val="4"/>
            <w:noWrap w:val="0"/>
            <w:vAlign w:val="center"/>
          </w:tcPr>
          <w:p w14:paraId="71420FB3">
            <w:pPr>
              <w:pStyle w:val="44"/>
              <w:ind w:firstLine="480"/>
              <w:rPr>
                <w:rFonts w:hint="default" w:ascii="Times New Roman" w:hAnsi="Times New Roman" w:cs="Times New Roman"/>
              </w:rPr>
            </w:pPr>
            <w:r>
              <w:rPr>
                <w:rFonts w:hint="eastAsia" w:ascii="Times New Roman" w:hAnsi="Times New Roman" w:cs="Times New Roman"/>
                <w:lang w:val="en-US" w:eastAsia="zh-CN"/>
              </w:rPr>
              <w:t>1）</w:t>
            </w:r>
            <w:r>
              <w:rPr>
                <w:rFonts w:hint="default" w:ascii="Times New Roman" w:hAnsi="Times New Roman" w:cs="Times New Roman"/>
              </w:rPr>
              <w:t>针对润滑油火灾：加强管理，严格控制润滑油在厂区的储存量，以预防火灾的发生。</w:t>
            </w:r>
          </w:p>
          <w:p w14:paraId="5D935740">
            <w:pPr>
              <w:pStyle w:val="44"/>
              <w:ind w:firstLine="480"/>
              <w:rPr>
                <w:rFonts w:hint="default" w:ascii="Times New Roman" w:hAnsi="Times New Roman" w:cs="Times New Roman"/>
              </w:rPr>
            </w:pPr>
            <w:r>
              <w:rPr>
                <w:rFonts w:hint="eastAsia" w:ascii="Times New Roman" w:hAnsi="Times New Roman" w:cs="Times New Roman"/>
                <w:lang w:val="en-US" w:eastAsia="zh-CN"/>
              </w:rPr>
              <w:t>2）</w:t>
            </w:r>
            <w:r>
              <w:rPr>
                <w:rFonts w:hint="default" w:ascii="Times New Roman" w:hAnsi="Times New Roman" w:cs="Times New Roman"/>
              </w:rPr>
              <w:t>危废暂存间暂存的废油指派专人管理，暂存间内配置足够的灭火设施设备如配备干粉灭火器，消防沙等。</w:t>
            </w:r>
          </w:p>
          <w:p w14:paraId="1FCB3A21">
            <w:pPr>
              <w:pStyle w:val="44"/>
              <w:ind w:firstLine="480"/>
              <w:rPr>
                <w:rFonts w:hint="default" w:ascii="Times New Roman" w:hAnsi="Times New Roman" w:cs="Times New Roman"/>
              </w:rPr>
            </w:pPr>
            <w:r>
              <w:rPr>
                <w:rFonts w:hint="eastAsia" w:ascii="Times New Roman" w:hAnsi="Times New Roman" w:cs="Times New Roman"/>
                <w:lang w:val="en-US" w:eastAsia="zh-CN"/>
              </w:rPr>
              <w:t>3）</w:t>
            </w:r>
            <w:r>
              <w:rPr>
                <w:rFonts w:hint="default" w:ascii="Times New Roman" w:hAnsi="Times New Roman" w:cs="Times New Roman"/>
              </w:rPr>
              <w:t>按照《危险废物贮存污染控制标准》GB18597－20</w:t>
            </w:r>
            <w:r>
              <w:rPr>
                <w:rFonts w:hint="eastAsia" w:ascii="Times New Roman" w:hAnsi="Times New Roman" w:cs="Times New Roman"/>
                <w:lang w:val="en-US" w:eastAsia="zh-CN"/>
              </w:rPr>
              <w:t>23</w:t>
            </w:r>
            <w:r>
              <w:rPr>
                <w:rFonts w:hint="default" w:ascii="Times New Roman" w:hAnsi="Times New Roman" w:cs="Times New Roman"/>
              </w:rPr>
              <w:t>的规定管理危废暂存间，并做好防渗、防泄漏、防遗撒措施。危险废物定期交由资质单位处置。</w:t>
            </w:r>
          </w:p>
          <w:p w14:paraId="3253B904">
            <w:pPr>
              <w:pStyle w:val="44"/>
              <w:ind w:firstLine="480"/>
              <w:rPr>
                <w:rFonts w:hint="eastAsia" w:ascii="Times New Roman" w:hAnsi="Times New Roman" w:cs="Times New Roman"/>
                <w:lang w:val="en-US" w:eastAsia="zh-CN"/>
              </w:rPr>
            </w:pPr>
            <w:r>
              <w:rPr>
                <w:rFonts w:hint="eastAsia" w:ascii="Times New Roman" w:hAnsi="Times New Roman" w:cs="Times New Roman"/>
                <w:lang w:val="en-US" w:eastAsia="zh-CN"/>
              </w:rPr>
              <w:t>4）其他风险防范：其他风险主要为生产废水泄漏，为预防生产废水泄漏应做好以下工作：</w:t>
            </w:r>
          </w:p>
          <w:p w14:paraId="5957EC39">
            <w:pPr>
              <w:pStyle w:val="44"/>
              <w:ind w:firstLine="480"/>
              <w:rPr>
                <w:rFonts w:hint="eastAsia" w:ascii="Times New Roman" w:hAnsi="Times New Roman" w:eastAsia="宋体" w:cs="Times New Roman"/>
                <w:lang w:val="en-US" w:eastAsia="zh-CN"/>
              </w:rPr>
            </w:pPr>
            <w:r>
              <w:rPr>
                <w:rFonts w:hint="eastAsia" w:ascii="Times New Roman" w:hAnsi="Times New Roman" w:cs="Times New Roman"/>
                <w:lang w:val="en-US" w:eastAsia="zh-CN"/>
              </w:rPr>
              <w:t>定期巡查沉淀池，若发现破损，应立即修复；制定安全生产操作规程，加强人员培训，降低风险事故发生的概率；安排专人负责废水处理系统运行和管理；为确保项目废水处理设施出现故障时事故废水不外排，将沉淀池兼作事故池使用，故障时项目应立即停止生产，并将废水引入沉淀池内暂存，待设施检修完毕后重新处理达标后循环使用，沉淀池在日常使用中池中的水量一般不超出池容的70%，以确保有足够的空间收纳事故废水和初期雨水。</w:t>
            </w:r>
          </w:p>
          <w:p w14:paraId="087234F6">
            <w:pPr>
              <w:pStyle w:val="44"/>
              <w:ind w:firstLine="480"/>
              <w:rPr>
                <w:rFonts w:hint="default" w:ascii="Times New Roman" w:hAnsi="Times New Roman" w:cs="Times New Roman"/>
              </w:rPr>
            </w:pPr>
            <w:r>
              <w:rPr>
                <w:rFonts w:hint="eastAsia" w:ascii="Times New Roman" w:hAnsi="Times New Roman" w:cs="Times New Roman"/>
                <w:lang w:val="en-US" w:eastAsia="zh-CN"/>
              </w:rPr>
              <w:t>5）</w:t>
            </w:r>
            <w:r>
              <w:rPr>
                <w:rFonts w:hint="default" w:ascii="Times New Roman" w:hAnsi="Times New Roman" w:cs="Times New Roman"/>
              </w:rPr>
              <w:t>制定《突发环境事件应急预案》，成立突发环境事件应急处置领导小组和应急救援兼职队伍，平时做好救援队伍的组织、训练和演练，并对工人进行自救和互救知识的宣传教育。</w:t>
            </w:r>
          </w:p>
          <w:p w14:paraId="35271E48">
            <w:pPr>
              <w:pStyle w:val="44"/>
              <w:ind w:firstLine="480"/>
              <w:rPr>
                <w:rFonts w:hint="default" w:ascii="Times New Roman" w:hAnsi="Times New Roman" w:cs="Times New Roman"/>
                <w:szCs w:val="24"/>
              </w:rPr>
            </w:pPr>
          </w:p>
        </w:tc>
      </w:tr>
      <w:tr w14:paraId="7F9608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415" w:type="dxa"/>
            <w:noWrap w:val="0"/>
            <w:vAlign w:val="center"/>
          </w:tcPr>
          <w:p w14:paraId="10D65FC7">
            <w:pPr>
              <w:adjustRightInd w:val="0"/>
              <w:snapToGrid w:val="0"/>
              <w:jc w:val="center"/>
              <w:rPr>
                <w:rFonts w:hint="default" w:ascii="Times New Roman" w:hAnsi="Times New Roman" w:cs="Times New Roman"/>
                <w:spacing w:val="-8"/>
                <w:sz w:val="24"/>
              </w:rPr>
            </w:pPr>
            <w:r>
              <w:rPr>
                <w:rFonts w:hint="default" w:ascii="Times New Roman" w:hAnsi="Times New Roman" w:cs="Times New Roman"/>
                <w:spacing w:val="-8"/>
                <w:sz w:val="24"/>
              </w:rPr>
              <w:t>其他环境</w:t>
            </w:r>
          </w:p>
          <w:p w14:paraId="30FCA104">
            <w:pPr>
              <w:adjustRightInd w:val="0"/>
              <w:snapToGrid w:val="0"/>
              <w:jc w:val="center"/>
              <w:rPr>
                <w:rFonts w:hint="default" w:ascii="Times New Roman" w:hAnsi="Times New Roman" w:cs="Times New Roman"/>
                <w:spacing w:val="-8"/>
                <w:sz w:val="24"/>
              </w:rPr>
            </w:pPr>
            <w:r>
              <w:rPr>
                <w:rFonts w:hint="default" w:ascii="Times New Roman" w:hAnsi="Times New Roman" w:cs="Times New Roman"/>
                <w:spacing w:val="-8"/>
                <w:sz w:val="24"/>
              </w:rPr>
              <w:t>管理要求</w:t>
            </w:r>
          </w:p>
        </w:tc>
        <w:tc>
          <w:tcPr>
            <w:tcW w:w="7385" w:type="dxa"/>
            <w:gridSpan w:val="4"/>
            <w:noWrap w:val="0"/>
            <w:vAlign w:val="center"/>
          </w:tcPr>
          <w:p w14:paraId="15E33EDB">
            <w:pPr>
              <w:pStyle w:val="44"/>
              <w:ind w:firstLine="480"/>
              <w:rPr>
                <w:rFonts w:hint="default" w:ascii="Times New Roman" w:hAnsi="Times New Roman" w:cs="Times New Roman"/>
                <w:szCs w:val="24"/>
              </w:rPr>
            </w:pPr>
            <w:r>
              <w:rPr>
                <w:rFonts w:hint="default" w:ascii="Times New Roman" w:hAnsi="Times New Roman" w:cs="Times New Roman"/>
                <w:szCs w:val="24"/>
              </w:rPr>
              <w:t>①项目在发生实际排污前应登录全国排污许可证管理信息平台办理排污许可登记。</w:t>
            </w:r>
          </w:p>
          <w:p w14:paraId="0BBCE6A9">
            <w:pPr>
              <w:pStyle w:val="44"/>
              <w:ind w:firstLine="480"/>
              <w:rPr>
                <w:rFonts w:hint="default" w:ascii="Times New Roman" w:hAnsi="Times New Roman" w:cs="Times New Roman"/>
                <w:szCs w:val="24"/>
              </w:rPr>
            </w:pPr>
            <w:r>
              <w:rPr>
                <w:rFonts w:hint="default" w:ascii="Times New Roman" w:hAnsi="Times New Roman" w:cs="Times New Roman"/>
                <w:szCs w:val="24"/>
              </w:rPr>
              <w:t>②项目建成后应按照国家规定的程序和方式组织竣工验收。</w:t>
            </w:r>
          </w:p>
          <w:p w14:paraId="7BE13907">
            <w:pPr>
              <w:pStyle w:val="44"/>
              <w:ind w:firstLine="480"/>
              <w:rPr>
                <w:rFonts w:hint="default" w:ascii="Times New Roman" w:hAnsi="Times New Roman" w:cs="Times New Roman"/>
                <w:szCs w:val="24"/>
              </w:rPr>
            </w:pPr>
            <w:r>
              <w:rPr>
                <w:rFonts w:hint="default" w:ascii="Times New Roman" w:hAnsi="Times New Roman" w:cs="Times New Roman"/>
                <w:szCs w:val="24"/>
              </w:rPr>
              <w:t>③定期保养设备，</w:t>
            </w:r>
            <w:r>
              <w:rPr>
                <w:rFonts w:hint="eastAsia" w:ascii="Times New Roman" w:hAnsi="Times New Roman" w:cs="Times New Roman"/>
                <w:szCs w:val="24"/>
                <w:lang w:eastAsia="zh-CN"/>
              </w:rPr>
              <w:t>防止</w:t>
            </w:r>
            <w:r>
              <w:rPr>
                <w:rFonts w:hint="default" w:ascii="Times New Roman" w:hAnsi="Times New Roman" w:cs="Times New Roman"/>
                <w:szCs w:val="24"/>
              </w:rPr>
              <w:t>设备因保养不适当造成设备异常运行而增加噪声产生量；做好厂房隔声、设备减振，确保厂界噪声达标</w:t>
            </w:r>
          </w:p>
          <w:p w14:paraId="07DE0540">
            <w:pPr>
              <w:pStyle w:val="44"/>
              <w:ind w:firstLine="480"/>
              <w:rPr>
                <w:rFonts w:hint="default" w:ascii="Times New Roman" w:hAnsi="Times New Roman" w:cs="Times New Roman"/>
                <w:szCs w:val="24"/>
              </w:rPr>
            </w:pPr>
            <w:r>
              <w:rPr>
                <w:rFonts w:hint="default" w:ascii="Times New Roman" w:hAnsi="Times New Roman" w:cs="Times New Roman"/>
                <w:szCs w:val="24"/>
              </w:rPr>
              <w:t>④生活垃圾等应每天及时清运，防止夏季恶臭气味的产生，清除蚊蝇和寄生虫卵产生场所。</w:t>
            </w:r>
          </w:p>
          <w:p w14:paraId="5DBF2348">
            <w:pPr>
              <w:pStyle w:val="44"/>
              <w:ind w:firstLine="480"/>
              <w:rPr>
                <w:rFonts w:hint="default" w:ascii="Times New Roman" w:hAnsi="Times New Roman" w:cs="Times New Roman"/>
                <w:szCs w:val="24"/>
              </w:rPr>
            </w:pPr>
            <w:r>
              <w:rPr>
                <w:rFonts w:hint="default" w:ascii="Times New Roman" w:hAnsi="Times New Roman" w:cs="Times New Roman"/>
                <w:szCs w:val="24"/>
              </w:rPr>
              <w:t>⑤切实加强各环保设施的日常维护管理，定期检查运行情况，确保处理效果，尽量</w:t>
            </w:r>
            <w:r>
              <w:rPr>
                <w:rFonts w:hint="eastAsia" w:ascii="Times New Roman" w:hAnsi="Times New Roman" w:cs="Times New Roman"/>
                <w:szCs w:val="24"/>
                <w:lang w:eastAsia="zh-CN"/>
              </w:rPr>
              <w:t>避免</w:t>
            </w:r>
            <w:r>
              <w:rPr>
                <w:rFonts w:hint="default" w:ascii="Times New Roman" w:hAnsi="Times New Roman" w:cs="Times New Roman"/>
                <w:szCs w:val="24"/>
              </w:rPr>
              <w:t>环保设施处于“非正常工况”，尽量减少各类污染物排放，以减轻对环境的影响。加强环境管理，</w:t>
            </w:r>
            <w:r>
              <w:rPr>
                <w:rFonts w:hint="eastAsia" w:ascii="Times New Roman" w:hAnsi="Times New Roman" w:cs="Times New Roman"/>
                <w:szCs w:val="24"/>
                <w:lang w:eastAsia="zh-CN"/>
              </w:rPr>
              <w:t>增强</w:t>
            </w:r>
            <w:r>
              <w:rPr>
                <w:rFonts w:hint="default" w:ascii="Times New Roman" w:hAnsi="Times New Roman" w:cs="Times New Roman"/>
                <w:szCs w:val="24"/>
              </w:rPr>
              <w:t>职工环保意识，设置专人负责环境管理，落实环境管理制度，确保各项治理设施正常稳定运行。</w:t>
            </w:r>
          </w:p>
          <w:p w14:paraId="210FDD3B">
            <w:pPr>
              <w:pStyle w:val="44"/>
              <w:ind w:firstLine="480"/>
              <w:rPr>
                <w:rFonts w:hint="eastAsia" w:ascii="Times New Roman" w:hAnsi="Times New Roman" w:eastAsia="宋体" w:cs="Times New Roman"/>
                <w:szCs w:val="24"/>
                <w:lang w:eastAsia="zh-CN"/>
              </w:rPr>
            </w:pPr>
            <w:r>
              <w:rPr>
                <w:rFonts w:hint="eastAsia" w:ascii="Times New Roman" w:hAnsi="Times New Roman" w:cs="Times New Roman"/>
                <w:szCs w:val="24"/>
                <w:lang w:eastAsia="zh-CN"/>
              </w:rPr>
              <w:t>⑥运营期满后，建设单位应按规定进行土地恢复，如转为他用，应</w:t>
            </w:r>
            <w:r>
              <w:rPr>
                <w:rFonts w:hint="eastAsia" w:ascii="Times New Roman" w:hAnsi="Times New Roman" w:eastAsia="宋体" w:cs="Times New Roman"/>
                <w:szCs w:val="24"/>
                <w:lang w:eastAsia="zh-CN"/>
              </w:rPr>
              <w:t>履行相应的污染防治责任。</w:t>
            </w:r>
          </w:p>
          <w:p w14:paraId="45DF46EA">
            <w:pPr>
              <w:pStyle w:val="44"/>
              <w:ind w:firstLine="480"/>
              <w:rPr>
                <w:rFonts w:hint="default" w:ascii="Times New Roman" w:hAnsi="Times New Roman" w:eastAsia="宋体" w:cs="Times New Roman"/>
                <w:szCs w:val="24"/>
              </w:rPr>
            </w:pPr>
            <w:r>
              <w:rPr>
                <w:rFonts w:hint="eastAsia" w:ascii="Times New Roman" w:hAnsi="Times New Roman" w:eastAsia="宋体" w:cs="Times New Roman"/>
                <w:szCs w:val="24"/>
                <w:lang w:eastAsia="zh-CN"/>
              </w:rPr>
              <w:t>⑥沉淀池泥沙经压滤成泥饼后，在满足相关标准的前提下用于</w:t>
            </w:r>
            <w:r>
              <w:rPr>
                <w:rFonts w:hint="eastAsia" w:cs="Times New Roman"/>
                <w:sz w:val="24"/>
                <w:lang w:eastAsia="zh-CN"/>
              </w:rPr>
              <w:t>筑路回填、土地复耕、绿化等；其中用于土地复耕的，需征得当地农业农村局同意后方可实施。</w:t>
            </w:r>
            <w:r>
              <w:rPr>
                <w:rFonts w:hint="eastAsia" w:ascii="Times New Roman" w:hAnsi="Times New Roman" w:eastAsia="宋体" w:cs="Times New Roman"/>
                <w:szCs w:val="24"/>
                <w:lang w:eastAsia="zh-CN"/>
              </w:rPr>
              <w:t>泥饼</w:t>
            </w:r>
            <w:r>
              <w:rPr>
                <w:rFonts w:hint="eastAsia" w:ascii="Times New Roman" w:hAnsi="Times New Roman" w:cs="Times New Roman"/>
                <w:szCs w:val="24"/>
                <w:lang w:eastAsia="zh-CN"/>
              </w:rPr>
              <w:t>产生、贮存及去向应按相关规定做好台账管理，</w:t>
            </w:r>
            <w:r>
              <w:rPr>
                <w:rFonts w:hint="eastAsia" w:ascii="Times New Roman" w:hAnsi="Times New Roman" w:cs="Times New Roman"/>
                <w:szCs w:val="24"/>
                <w:lang w:val="en-US" w:eastAsia="zh-CN"/>
              </w:rPr>
              <w:t>接受相关主管部门的督查</w:t>
            </w:r>
            <w:r>
              <w:rPr>
                <w:rFonts w:hint="eastAsia" w:ascii="Times New Roman" w:hAnsi="Times New Roman" w:cs="Times New Roman"/>
                <w:szCs w:val="24"/>
                <w:lang w:eastAsia="zh-CN"/>
              </w:rPr>
              <w:t>。</w:t>
            </w:r>
          </w:p>
          <w:p w14:paraId="25B882DC">
            <w:pPr>
              <w:adjustRightInd w:val="0"/>
              <w:snapToGrid w:val="0"/>
              <w:rPr>
                <w:rFonts w:hint="default" w:ascii="Times New Roman" w:hAnsi="Times New Roman" w:cs="Times New Roman"/>
                <w:sz w:val="24"/>
              </w:rPr>
            </w:pPr>
          </w:p>
          <w:p w14:paraId="750D7DE0">
            <w:pPr>
              <w:adjustRightInd w:val="0"/>
              <w:snapToGrid w:val="0"/>
              <w:rPr>
                <w:rFonts w:hint="default" w:ascii="Times New Roman" w:hAnsi="Times New Roman" w:cs="Times New Roman"/>
                <w:sz w:val="24"/>
              </w:rPr>
            </w:pPr>
          </w:p>
          <w:p w14:paraId="308C8A0D">
            <w:pPr>
              <w:adjustRightInd w:val="0"/>
              <w:snapToGrid w:val="0"/>
              <w:rPr>
                <w:rFonts w:hint="default" w:ascii="Times New Roman" w:hAnsi="Times New Roman" w:cs="Times New Roman"/>
                <w:sz w:val="24"/>
              </w:rPr>
            </w:pPr>
          </w:p>
          <w:p w14:paraId="4EFE3A04">
            <w:pPr>
              <w:adjustRightInd w:val="0"/>
              <w:snapToGrid w:val="0"/>
              <w:rPr>
                <w:rFonts w:hint="default" w:ascii="Times New Roman" w:hAnsi="Times New Roman" w:cs="Times New Roman"/>
                <w:sz w:val="24"/>
              </w:rPr>
            </w:pPr>
          </w:p>
          <w:p w14:paraId="30730510">
            <w:pPr>
              <w:adjustRightInd w:val="0"/>
              <w:snapToGrid w:val="0"/>
              <w:rPr>
                <w:rFonts w:hint="default" w:ascii="Times New Roman" w:hAnsi="Times New Roman" w:cs="Times New Roman"/>
                <w:sz w:val="24"/>
              </w:rPr>
            </w:pPr>
          </w:p>
          <w:p w14:paraId="09502FC4">
            <w:pPr>
              <w:adjustRightInd w:val="0"/>
              <w:snapToGrid w:val="0"/>
              <w:rPr>
                <w:rFonts w:hint="default" w:ascii="Times New Roman" w:hAnsi="Times New Roman" w:cs="Times New Roman"/>
                <w:sz w:val="24"/>
              </w:rPr>
            </w:pPr>
          </w:p>
          <w:p w14:paraId="33EF8C2D">
            <w:pPr>
              <w:adjustRightInd w:val="0"/>
              <w:snapToGrid w:val="0"/>
              <w:rPr>
                <w:rFonts w:hint="default" w:ascii="Times New Roman" w:hAnsi="Times New Roman" w:cs="Times New Roman"/>
                <w:sz w:val="24"/>
              </w:rPr>
            </w:pPr>
          </w:p>
          <w:p w14:paraId="3C7B5D89">
            <w:pPr>
              <w:adjustRightInd w:val="0"/>
              <w:snapToGrid w:val="0"/>
              <w:rPr>
                <w:rFonts w:hint="default" w:ascii="Times New Roman" w:hAnsi="Times New Roman" w:cs="Times New Roman"/>
                <w:sz w:val="24"/>
              </w:rPr>
            </w:pPr>
          </w:p>
          <w:p w14:paraId="169F7702">
            <w:pPr>
              <w:adjustRightInd w:val="0"/>
              <w:snapToGrid w:val="0"/>
              <w:rPr>
                <w:rFonts w:hint="default" w:ascii="Times New Roman" w:hAnsi="Times New Roman" w:cs="Times New Roman"/>
                <w:sz w:val="24"/>
              </w:rPr>
            </w:pPr>
          </w:p>
          <w:p w14:paraId="4C8AE4B6">
            <w:pPr>
              <w:adjustRightInd w:val="0"/>
              <w:snapToGrid w:val="0"/>
              <w:rPr>
                <w:rFonts w:hint="default" w:ascii="Times New Roman" w:hAnsi="Times New Roman" w:cs="Times New Roman"/>
                <w:sz w:val="24"/>
              </w:rPr>
            </w:pPr>
          </w:p>
          <w:p w14:paraId="79802922">
            <w:pPr>
              <w:adjustRightInd w:val="0"/>
              <w:snapToGrid w:val="0"/>
              <w:rPr>
                <w:rFonts w:hint="default" w:ascii="Times New Roman" w:hAnsi="Times New Roman" w:cs="Times New Roman"/>
                <w:sz w:val="24"/>
              </w:rPr>
            </w:pPr>
          </w:p>
          <w:p w14:paraId="66AC26B6">
            <w:pPr>
              <w:adjustRightInd w:val="0"/>
              <w:snapToGrid w:val="0"/>
              <w:rPr>
                <w:rFonts w:hint="default" w:ascii="Times New Roman" w:hAnsi="Times New Roman" w:cs="Times New Roman"/>
                <w:sz w:val="24"/>
              </w:rPr>
            </w:pPr>
          </w:p>
        </w:tc>
      </w:tr>
    </w:tbl>
    <w:p w14:paraId="72113B4A">
      <w:pPr>
        <w:pStyle w:val="19"/>
        <w:spacing w:before="0" w:beforeAutospacing="0" w:after="0" w:afterAutospacing="0"/>
        <w:outlineLvl w:val="0"/>
        <w:rPr>
          <w:rFonts w:hint="default" w:ascii="Times New Roman" w:hAnsi="Times New Roman" w:eastAsia="黑体" w:cs="Times New Roman"/>
          <w:snapToGrid w:val="0"/>
          <w:sz w:val="30"/>
          <w:szCs w:val="30"/>
        </w:rPr>
      </w:pPr>
      <w:r>
        <w:rPr>
          <w:rFonts w:hint="default" w:ascii="Times New Roman" w:hAnsi="Times New Roman" w:cs="Times New Roman"/>
          <w:snapToGrid w:val="0"/>
        </w:rPr>
        <w:br w:type="page"/>
      </w:r>
      <w:r>
        <w:rPr>
          <w:rFonts w:hint="default" w:ascii="Times New Roman" w:hAnsi="Times New Roman" w:eastAsia="黑体" w:cs="Times New Roman"/>
          <w:snapToGrid w:val="0"/>
          <w:sz w:val="30"/>
          <w:szCs w:val="30"/>
        </w:rPr>
        <w:t>六、结论</w:t>
      </w:r>
    </w:p>
    <w:tbl>
      <w:tblPr>
        <w:tblStyle w:val="2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1443B8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noWrap w:val="0"/>
            <w:vAlign w:val="top"/>
          </w:tcPr>
          <w:p w14:paraId="09C0D32A">
            <w:pPr>
              <w:spacing w:before="240" w:beforeLines="100" w:line="420" w:lineRule="auto"/>
              <w:ind w:firstLine="480" w:firstLineChars="200"/>
              <w:rPr>
                <w:rFonts w:hint="default" w:ascii="Times New Roman" w:hAnsi="Times New Roman" w:cs="Times New Roman"/>
                <w:sz w:val="24"/>
                <w:szCs w:val="20"/>
              </w:rPr>
            </w:pPr>
            <w:bookmarkStart w:id="3" w:name="OLE_LINK18"/>
            <w:r>
              <w:rPr>
                <w:rFonts w:hint="default" w:ascii="Times New Roman" w:hAnsi="Times New Roman" w:cs="Times New Roman"/>
                <w:sz w:val="24"/>
                <w:szCs w:val="20"/>
              </w:rPr>
              <w:t>根据分析，本项目的建设符合国家产业政策，符合</w:t>
            </w:r>
            <w:r>
              <w:rPr>
                <w:rFonts w:hint="eastAsia" w:cs="Times New Roman"/>
                <w:sz w:val="24"/>
                <w:szCs w:val="20"/>
                <w:lang w:eastAsia="zh-CN"/>
              </w:rPr>
              <w:t>安居区</w:t>
            </w:r>
            <w:r>
              <w:rPr>
                <w:rFonts w:hint="default" w:ascii="Times New Roman" w:hAnsi="Times New Roman" w:cs="Times New Roman"/>
                <w:sz w:val="24"/>
              </w:rPr>
              <w:t>的相关规划。</w:t>
            </w:r>
            <w:r>
              <w:rPr>
                <w:rFonts w:hint="default" w:ascii="Times New Roman" w:hAnsi="Times New Roman" w:cs="Times New Roman"/>
                <w:sz w:val="24"/>
                <w:szCs w:val="20"/>
              </w:rPr>
              <w:t>环保措施具有可行性，项目的建设和营运不会对区域环境质量造成明显影响。因此本评价认为，项目在落实本环评提出的环保措施后，施工期和运营期产生的负面影响是可以得到有效控制的，并能为环境所接受。因此，从环境影响评价角度来说，本项目的建设是可行的。</w:t>
            </w:r>
            <w:bookmarkEnd w:id="3"/>
          </w:p>
          <w:p w14:paraId="1B345275">
            <w:pPr>
              <w:spacing w:before="240" w:beforeLines="100" w:line="420" w:lineRule="auto"/>
              <w:ind w:firstLine="480" w:firstLineChars="200"/>
              <w:rPr>
                <w:rFonts w:hint="default" w:ascii="Times New Roman" w:hAnsi="Times New Roman" w:cs="Times New Roman"/>
                <w:sz w:val="24"/>
                <w:szCs w:val="20"/>
              </w:rPr>
            </w:pPr>
          </w:p>
          <w:p w14:paraId="22CEFEF4">
            <w:pPr>
              <w:pStyle w:val="44"/>
              <w:ind w:firstLine="480"/>
              <w:rPr>
                <w:rFonts w:hint="default" w:ascii="Times New Roman" w:hAnsi="Times New Roman" w:cs="Times New Roman"/>
              </w:rPr>
            </w:pPr>
            <w:r>
              <w:rPr>
                <w:rFonts w:hint="default" w:ascii="Times New Roman" w:hAnsi="Times New Roman" w:cs="Times New Roman"/>
              </w:rPr>
              <w:t>本次评价结论是在建设单位提供的建设内容和规模的基础上得出的，若建设单位改变相关的建设内容和规模，建设单位应按照</w:t>
            </w:r>
            <w:r>
              <w:rPr>
                <w:rFonts w:hint="eastAsia" w:ascii="Times New Roman" w:hAnsi="Times New Roman" w:cs="Times New Roman"/>
                <w:lang w:eastAsia="zh-CN"/>
              </w:rPr>
              <w:t>生态环境主管</w:t>
            </w:r>
            <w:r>
              <w:rPr>
                <w:rFonts w:hint="default" w:ascii="Times New Roman" w:hAnsi="Times New Roman" w:cs="Times New Roman"/>
              </w:rPr>
              <w:t>部门的有关要求另行申报。</w:t>
            </w:r>
          </w:p>
          <w:p w14:paraId="79CFD6B9">
            <w:pPr>
              <w:spacing w:before="240" w:beforeLines="100" w:line="420" w:lineRule="auto"/>
              <w:ind w:firstLine="480" w:firstLineChars="200"/>
              <w:rPr>
                <w:rFonts w:hint="default" w:ascii="Times New Roman" w:hAnsi="Times New Roman" w:cs="Times New Roman"/>
                <w:sz w:val="24"/>
                <w:szCs w:val="20"/>
              </w:rPr>
            </w:pPr>
          </w:p>
          <w:p w14:paraId="6012FD10">
            <w:pPr>
              <w:spacing w:line="360" w:lineRule="auto"/>
              <w:rPr>
                <w:rFonts w:hint="default" w:ascii="Times New Roman" w:hAnsi="Times New Roman" w:cs="Times New Roman"/>
                <w:sz w:val="24"/>
              </w:rPr>
            </w:pPr>
          </w:p>
        </w:tc>
      </w:tr>
    </w:tbl>
    <w:p w14:paraId="46AB567E">
      <w:pPr>
        <w:rPr>
          <w:rFonts w:hint="default" w:ascii="Times New Roman" w:hAnsi="Times New Roman" w:cs="Times New Roman"/>
        </w:rPr>
        <w:sectPr>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p>
    <w:p w14:paraId="6FC41750">
      <w:pPr>
        <w:pStyle w:val="19"/>
        <w:adjustRightInd w:val="0"/>
        <w:snapToGrid w:val="0"/>
        <w:spacing w:before="0" w:beforeAutospacing="0" w:after="0" w:afterAutospacing="0" w:line="240" w:lineRule="auto"/>
        <w:outlineLvl w:val="0"/>
        <w:rPr>
          <w:rFonts w:hint="default" w:ascii="Times New Roman" w:hAnsi="Times New Roman" w:eastAsia="黑体" w:cs="Times New Roman"/>
          <w:snapToGrid w:val="0"/>
          <w:sz w:val="32"/>
          <w:szCs w:val="32"/>
        </w:rPr>
      </w:pPr>
      <w:r>
        <w:rPr>
          <w:rFonts w:hint="default" w:ascii="Times New Roman" w:hAnsi="Times New Roman" w:eastAsia="黑体" w:cs="Times New Roman"/>
          <w:snapToGrid w:val="0"/>
          <w:sz w:val="32"/>
          <w:szCs w:val="32"/>
        </w:rPr>
        <w:t>附表</w:t>
      </w:r>
    </w:p>
    <w:p w14:paraId="1A06CE93">
      <w:pPr>
        <w:pStyle w:val="19"/>
        <w:adjustRightInd w:val="0"/>
        <w:snapToGrid w:val="0"/>
        <w:spacing w:before="0" w:beforeAutospacing="0" w:after="0" w:afterAutospacing="0" w:line="240" w:lineRule="auto"/>
        <w:jc w:val="center"/>
        <w:outlineLvl w:val="0"/>
        <w:rPr>
          <w:rFonts w:hint="default" w:ascii="Times New Roman" w:hAnsi="Times New Roman" w:eastAsia="方正小标宋_GBK" w:cs="Times New Roman"/>
          <w:snapToGrid w:val="0"/>
          <w:sz w:val="38"/>
          <w:szCs w:val="38"/>
        </w:rPr>
      </w:pPr>
      <w:r>
        <w:rPr>
          <w:rFonts w:hint="default" w:ascii="Times New Roman" w:hAnsi="Times New Roman" w:cs="Times New Roman"/>
          <w:sz w:val="38"/>
        </w:rPr>
        <mc:AlternateContent>
          <mc:Choice Requires="wps">
            <w:drawing>
              <wp:anchor distT="0" distB="0" distL="114300" distR="114300" simplePos="0" relativeHeight="251661312" behindDoc="0" locked="0" layoutInCell="1" allowOverlap="1">
                <wp:simplePos x="0" y="0"/>
                <wp:positionH relativeFrom="column">
                  <wp:posOffset>7691120</wp:posOffset>
                </wp:positionH>
                <wp:positionV relativeFrom="paragraph">
                  <wp:posOffset>575945</wp:posOffset>
                </wp:positionV>
                <wp:extent cx="924560" cy="268605"/>
                <wp:effectExtent l="0" t="0" r="0" b="0"/>
                <wp:wrapNone/>
                <wp:docPr id="1" name="文本框 424"/>
                <wp:cNvGraphicFramePr/>
                <a:graphic xmlns:a="http://schemas.openxmlformats.org/drawingml/2006/main">
                  <a:graphicData uri="http://schemas.microsoft.com/office/word/2010/wordprocessingShape">
                    <wps:wsp>
                      <wps:cNvSpPr txBox="1"/>
                      <wps:spPr>
                        <a:xfrm>
                          <a:off x="0" y="0"/>
                          <a:ext cx="924560" cy="268605"/>
                        </a:xfrm>
                        <a:prstGeom prst="rect">
                          <a:avLst/>
                        </a:prstGeom>
                        <a:noFill/>
                        <a:ln>
                          <a:noFill/>
                        </a:ln>
                      </wps:spPr>
                      <wps:txbx>
                        <w:txbxContent>
                          <w:p w14:paraId="4BC9F1D8">
                            <w:r>
                              <w:rPr>
                                <w:rFonts w:hint="eastAsia"/>
                              </w:rPr>
                              <w:t>单位：t/a</w:t>
                            </w:r>
                          </w:p>
                        </w:txbxContent>
                      </wps:txbx>
                      <wps:bodyPr wrap="square" upright="1"/>
                    </wps:wsp>
                  </a:graphicData>
                </a:graphic>
              </wp:anchor>
            </w:drawing>
          </mc:Choice>
          <mc:Fallback>
            <w:pict>
              <v:shape id="文本框 424" o:spid="_x0000_s1026" o:spt="202" type="#_x0000_t202" style="position:absolute;left:0pt;margin-left:605.6pt;margin-top:45.35pt;height:21.15pt;width:72.8pt;z-index:251661312;mso-width-relative:page;mso-height-relative:page;" filled="f" stroked="f" coordsize="21600,21600" o:gfxdata="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wRfrz9cAAAAMAQAADwAAAAAAAAABACAAAAAiAAAAZHJzL2Rvd25yZXYueG1sUEsBAhQAFAAA&#10;AAgAh07iQMeIlqu3AQAAXQMAAA4AAAAAAAAAAQAgAAAAJgEAAGRycy9lMm9Eb2MueG1sUEsFBgAA&#10;AAAGAAYAWQEAAE8FAAAAAA==&#10;">
                <v:fill on="f" focussize="0,0"/>
                <v:stroke on="f"/>
                <v:imagedata o:title=""/>
                <o:lock v:ext="edit" aspectratio="f"/>
                <v:textbox>
                  <w:txbxContent>
                    <w:p w14:paraId="4BC9F1D8">
                      <w:r>
                        <w:rPr>
                          <w:rFonts w:hint="eastAsia"/>
                        </w:rPr>
                        <w:t>单位：t/a</w:t>
                      </w:r>
                    </w:p>
                  </w:txbxContent>
                </v:textbox>
              </v:shape>
            </w:pict>
          </mc:Fallback>
        </mc:AlternateContent>
      </w:r>
      <w:r>
        <w:rPr>
          <w:rFonts w:hint="default" w:ascii="Times New Roman" w:hAnsi="Times New Roman" w:eastAsia="方正小标宋_GBK" w:cs="Times New Roman"/>
          <w:snapToGrid w:val="0"/>
          <w:sz w:val="38"/>
          <w:szCs w:val="38"/>
        </w:rPr>
        <w:t>建设项目污染物排放量汇总表</w:t>
      </w:r>
    </w:p>
    <w:tbl>
      <w:tblPr>
        <w:tblStyle w:val="22"/>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417"/>
        <w:gridCol w:w="1701"/>
        <w:gridCol w:w="1276"/>
        <w:gridCol w:w="1701"/>
        <w:gridCol w:w="1559"/>
        <w:gridCol w:w="1383"/>
        <w:gridCol w:w="1758"/>
        <w:gridCol w:w="1405"/>
      </w:tblGrid>
      <w:tr w14:paraId="27CBCC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2" w:hRule="atLeast"/>
        </w:trPr>
        <w:tc>
          <w:tcPr>
            <w:tcW w:w="1588" w:type="dxa"/>
            <w:tcBorders>
              <w:tl2br w:val="single" w:color="auto" w:sz="4" w:space="0"/>
            </w:tcBorders>
            <w:noWrap w:val="0"/>
            <w:tcMar>
              <w:left w:w="28" w:type="dxa"/>
              <w:right w:w="28" w:type="dxa"/>
            </w:tcMar>
            <w:vAlign w:val="center"/>
          </w:tcPr>
          <w:p w14:paraId="1C372DB1">
            <w:pPr>
              <w:pStyle w:val="43"/>
              <w:spacing w:line="240" w:lineRule="auto"/>
              <w:jc w:val="right"/>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项目</w:t>
            </w:r>
          </w:p>
          <w:p w14:paraId="060F17D6">
            <w:pPr>
              <w:pStyle w:val="43"/>
              <w:spacing w:line="240" w:lineRule="auto"/>
              <w:jc w:val="left"/>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分类</w:t>
            </w:r>
          </w:p>
        </w:tc>
        <w:tc>
          <w:tcPr>
            <w:tcW w:w="1417" w:type="dxa"/>
            <w:noWrap w:val="0"/>
            <w:tcMar>
              <w:left w:w="28" w:type="dxa"/>
              <w:right w:w="28" w:type="dxa"/>
            </w:tcMar>
            <w:vAlign w:val="center"/>
          </w:tcPr>
          <w:p w14:paraId="01F438BD">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污染物名称</w:t>
            </w:r>
          </w:p>
        </w:tc>
        <w:tc>
          <w:tcPr>
            <w:tcW w:w="1701" w:type="dxa"/>
            <w:noWrap w:val="0"/>
            <w:tcMar>
              <w:left w:w="28" w:type="dxa"/>
              <w:right w:w="28" w:type="dxa"/>
            </w:tcMar>
            <w:vAlign w:val="center"/>
          </w:tcPr>
          <w:p w14:paraId="43EFBA3C">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现有工程</w:t>
            </w:r>
          </w:p>
          <w:p w14:paraId="5EAB4303">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排放量（固体废物产生量）</w:t>
            </w:r>
            <w:r>
              <w:rPr>
                <w:rFonts w:hint="default" w:ascii="Times New Roman" w:hAnsi="Times New Roman" w:eastAsia="黑体" w:cs="Times New Roman"/>
                <w:snapToGrid w:val="0"/>
                <w:color w:val="000000"/>
                <w:spacing w:val="-6"/>
                <w:kern w:val="21"/>
                <w:szCs w:val="21"/>
              </w:rPr>
              <w:fldChar w:fldCharType="begin"/>
            </w:r>
            <w:r>
              <w:rPr>
                <w:rFonts w:hint="default" w:ascii="Times New Roman" w:hAnsi="Times New Roman" w:eastAsia="黑体" w:cs="Times New Roman"/>
                <w:snapToGrid w:val="0"/>
                <w:color w:val="000000"/>
                <w:spacing w:val="-6"/>
                <w:kern w:val="21"/>
                <w:szCs w:val="21"/>
              </w:rPr>
              <w:instrText xml:space="preserve"> = 1 \* GB3 \* MERGEFORMAT </w:instrText>
            </w:r>
            <w:r>
              <w:rPr>
                <w:rFonts w:hint="default" w:ascii="Times New Roman" w:hAnsi="Times New Roman" w:eastAsia="黑体" w:cs="Times New Roman"/>
                <w:snapToGrid w:val="0"/>
                <w:color w:val="000000"/>
                <w:spacing w:val="-6"/>
                <w:kern w:val="21"/>
                <w:szCs w:val="21"/>
              </w:rPr>
              <w:fldChar w:fldCharType="separate"/>
            </w:r>
            <w:r>
              <w:rPr>
                <w:rFonts w:hint="default" w:ascii="Times New Roman" w:hAnsi="Times New Roman" w:eastAsia="黑体" w:cs="Times New Roman"/>
                <w:kern w:val="2"/>
                <w:szCs w:val="21"/>
              </w:rPr>
              <w:t>①</w:t>
            </w:r>
            <w:r>
              <w:rPr>
                <w:rFonts w:hint="default" w:ascii="Times New Roman" w:hAnsi="Times New Roman" w:eastAsia="黑体" w:cs="Times New Roman"/>
                <w:snapToGrid w:val="0"/>
                <w:color w:val="000000"/>
                <w:spacing w:val="-6"/>
                <w:kern w:val="21"/>
                <w:szCs w:val="21"/>
              </w:rPr>
              <w:fldChar w:fldCharType="end"/>
            </w:r>
          </w:p>
        </w:tc>
        <w:tc>
          <w:tcPr>
            <w:tcW w:w="1276" w:type="dxa"/>
            <w:noWrap w:val="0"/>
            <w:tcMar>
              <w:left w:w="28" w:type="dxa"/>
              <w:right w:w="28" w:type="dxa"/>
            </w:tcMar>
            <w:vAlign w:val="center"/>
          </w:tcPr>
          <w:p w14:paraId="7D7309EA">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现有工程</w:t>
            </w:r>
          </w:p>
          <w:p w14:paraId="6516F7DB">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许可排放量</w:t>
            </w:r>
          </w:p>
          <w:p w14:paraId="3E893291">
            <w:pPr>
              <w:pStyle w:val="43"/>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fldChar w:fldCharType="begin"/>
            </w:r>
            <w:r>
              <w:rPr>
                <w:rFonts w:hint="default" w:ascii="Times New Roman" w:hAnsi="Times New Roman" w:eastAsia="黑体" w:cs="Times New Roman"/>
                <w:snapToGrid w:val="0"/>
                <w:color w:val="000000"/>
                <w:spacing w:val="-6"/>
                <w:kern w:val="21"/>
                <w:szCs w:val="21"/>
              </w:rPr>
              <w:instrText xml:space="preserve"> = 2 \* GB3 \* MERGEFORMAT </w:instrText>
            </w:r>
            <w:r>
              <w:rPr>
                <w:rFonts w:hint="default" w:ascii="Times New Roman" w:hAnsi="Times New Roman" w:eastAsia="黑体" w:cs="Times New Roman"/>
                <w:snapToGrid w:val="0"/>
                <w:color w:val="000000"/>
                <w:spacing w:val="-6"/>
                <w:kern w:val="21"/>
                <w:szCs w:val="21"/>
              </w:rPr>
              <w:fldChar w:fldCharType="separate"/>
            </w:r>
            <w:r>
              <w:rPr>
                <w:rFonts w:hint="default" w:ascii="Times New Roman" w:hAnsi="Times New Roman" w:eastAsia="黑体" w:cs="Times New Roman"/>
                <w:snapToGrid w:val="0"/>
                <w:color w:val="000000"/>
                <w:spacing w:val="-6"/>
                <w:kern w:val="21"/>
                <w:szCs w:val="21"/>
              </w:rPr>
              <w:t>②</w:t>
            </w:r>
            <w:r>
              <w:rPr>
                <w:rFonts w:hint="default" w:ascii="Times New Roman" w:hAnsi="Times New Roman" w:eastAsia="黑体" w:cs="Times New Roman"/>
                <w:snapToGrid w:val="0"/>
                <w:color w:val="000000"/>
                <w:spacing w:val="-6"/>
                <w:kern w:val="21"/>
                <w:szCs w:val="21"/>
              </w:rPr>
              <w:fldChar w:fldCharType="end"/>
            </w:r>
          </w:p>
        </w:tc>
        <w:tc>
          <w:tcPr>
            <w:tcW w:w="1701" w:type="dxa"/>
            <w:noWrap w:val="0"/>
            <w:tcMar>
              <w:left w:w="28" w:type="dxa"/>
              <w:right w:w="28" w:type="dxa"/>
            </w:tcMar>
            <w:vAlign w:val="center"/>
          </w:tcPr>
          <w:p w14:paraId="4DDF8CF4">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在建工程</w:t>
            </w:r>
          </w:p>
          <w:p w14:paraId="53245C7E">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排放量（固体废物产生量）</w:t>
            </w:r>
            <w:r>
              <w:rPr>
                <w:rFonts w:hint="default" w:ascii="Times New Roman" w:hAnsi="Times New Roman" w:eastAsia="黑体" w:cs="Times New Roman"/>
                <w:snapToGrid w:val="0"/>
                <w:color w:val="000000"/>
                <w:spacing w:val="-6"/>
                <w:kern w:val="21"/>
                <w:szCs w:val="21"/>
              </w:rPr>
              <w:fldChar w:fldCharType="begin"/>
            </w:r>
            <w:r>
              <w:rPr>
                <w:rFonts w:hint="default" w:ascii="Times New Roman" w:hAnsi="Times New Roman" w:eastAsia="黑体" w:cs="Times New Roman"/>
                <w:snapToGrid w:val="0"/>
                <w:color w:val="000000"/>
                <w:spacing w:val="-6"/>
                <w:kern w:val="21"/>
                <w:szCs w:val="21"/>
              </w:rPr>
              <w:instrText xml:space="preserve"> = 3 \* GB3 \* MERGEFORMAT </w:instrText>
            </w:r>
            <w:r>
              <w:rPr>
                <w:rFonts w:hint="default" w:ascii="Times New Roman" w:hAnsi="Times New Roman" w:eastAsia="黑体" w:cs="Times New Roman"/>
                <w:snapToGrid w:val="0"/>
                <w:color w:val="000000"/>
                <w:spacing w:val="-6"/>
                <w:kern w:val="21"/>
                <w:szCs w:val="21"/>
              </w:rPr>
              <w:fldChar w:fldCharType="separate"/>
            </w:r>
            <w:r>
              <w:rPr>
                <w:rFonts w:hint="default" w:ascii="Times New Roman" w:hAnsi="Times New Roman" w:eastAsia="黑体" w:cs="Times New Roman"/>
                <w:kern w:val="2"/>
                <w:szCs w:val="21"/>
              </w:rPr>
              <w:t>③</w:t>
            </w:r>
            <w:r>
              <w:rPr>
                <w:rFonts w:hint="default" w:ascii="Times New Roman" w:hAnsi="Times New Roman" w:eastAsia="黑体" w:cs="Times New Roman"/>
                <w:snapToGrid w:val="0"/>
                <w:color w:val="000000"/>
                <w:spacing w:val="-6"/>
                <w:kern w:val="21"/>
                <w:szCs w:val="21"/>
              </w:rPr>
              <w:fldChar w:fldCharType="end"/>
            </w:r>
          </w:p>
        </w:tc>
        <w:tc>
          <w:tcPr>
            <w:tcW w:w="1559" w:type="dxa"/>
            <w:noWrap w:val="0"/>
            <w:tcMar>
              <w:left w:w="28" w:type="dxa"/>
              <w:right w:w="28" w:type="dxa"/>
            </w:tcMar>
            <w:vAlign w:val="center"/>
          </w:tcPr>
          <w:p w14:paraId="02472FA0">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本项目</w:t>
            </w:r>
          </w:p>
          <w:p w14:paraId="2014B0DB">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排放量（固体废物产生量）</w:t>
            </w:r>
            <w:r>
              <w:rPr>
                <w:rFonts w:hint="default" w:ascii="Times New Roman" w:hAnsi="Times New Roman" w:eastAsia="黑体" w:cs="Times New Roman"/>
                <w:snapToGrid w:val="0"/>
                <w:color w:val="000000"/>
                <w:spacing w:val="-6"/>
                <w:kern w:val="21"/>
                <w:szCs w:val="21"/>
              </w:rPr>
              <w:fldChar w:fldCharType="begin"/>
            </w:r>
            <w:r>
              <w:rPr>
                <w:rFonts w:hint="default" w:ascii="Times New Roman" w:hAnsi="Times New Roman" w:eastAsia="黑体" w:cs="Times New Roman"/>
                <w:snapToGrid w:val="0"/>
                <w:color w:val="000000"/>
                <w:spacing w:val="-6"/>
                <w:kern w:val="21"/>
                <w:szCs w:val="21"/>
              </w:rPr>
              <w:instrText xml:space="preserve"> = 4 \* GB3 \* MERGEFORMAT </w:instrText>
            </w:r>
            <w:r>
              <w:rPr>
                <w:rFonts w:hint="default" w:ascii="Times New Roman" w:hAnsi="Times New Roman" w:eastAsia="黑体" w:cs="Times New Roman"/>
                <w:snapToGrid w:val="0"/>
                <w:color w:val="000000"/>
                <w:spacing w:val="-6"/>
                <w:kern w:val="21"/>
                <w:szCs w:val="21"/>
              </w:rPr>
              <w:fldChar w:fldCharType="separate"/>
            </w:r>
            <w:r>
              <w:rPr>
                <w:rFonts w:hint="default" w:ascii="Times New Roman" w:hAnsi="Times New Roman" w:eastAsia="黑体" w:cs="Times New Roman"/>
                <w:kern w:val="2"/>
                <w:szCs w:val="21"/>
              </w:rPr>
              <w:t>④</w:t>
            </w:r>
            <w:r>
              <w:rPr>
                <w:rFonts w:hint="default" w:ascii="Times New Roman" w:hAnsi="Times New Roman" w:eastAsia="黑体" w:cs="Times New Roman"/>
                <w:snapToGrid w:val="0"/>
                <w:color w:val="000000"/>
                <w:spacing w:val="-6"/>
                <w:kern w:val="21"/>
                <w:szCs w:val="21"/>
              </w:rPr>
              <w:fldChar w:fldCharType="end"/>
            </w:r>
          </w:p>
        </w:tc>
        <w:tc>
          <w:tcPr>
            <w:tcW w:w="1383" w:type="dxa"/>
            <w:noWrap w:val="0"/>
            <w:tcMar>
              <w:left w:w="28" w:type="dxa"/>
              <w:right w:w="28" w:type="dxa"/>
            </w:tcMar>
            <w:vAlign w:val="center"/>
          </w:tcPr>
          <w:p w14:paraId="41E9DB8E">
            <w:pPr>
              <w:pStyle w:val="43"/>
              <w:spacing w:line="240" w:lineRule="auto"/>
              <w:rPr>
                <w:rFonts w:hint="default" w:ascii="Times New Roman" w:hAnsi="Times New Roman" w:eastAsia="黑体" w:cs="Times New Roman"/>
                <w:snapToGrid w:val="0"/>
                <w:color w:val="000000"/>
                <w:spacing w:val="-16"/>
                <w:kern w:val="21"/>
                <w:szCs w:val="21"/>
              </w:rPr>
            </w:pPr>
            <w:r>
              <w:rPr>
                <w:rFonts w:hint="default" w:ascii="Times New Roman" w:hAnsi="Times New Roman" w:eastAsia="黑体" w:cs="Times New Roman"/>
                <w:snapToGrid w:val="0"/>
                <w:color w:val="000000"/>
                <w:spacing w:val="-16"/>
                <w:kern w:val="21"/>
                <w:szCs w:val="21"/>
              </w:rPr>
              <w:t>以新带老削减量</w:t>
            </w:r>
          </w:p>
          <w:p w14:paraId="22A17BAF">
            <w:pPr>
              <w:pStyle w:val="43"/>
              <w:spacing w:line="240" w:lineRule="auto"/>
              <w:rPr>
                <w:rFonts w:hint="default" w:ascii="Times New Roman" w:hAnsi="Times New Roman" w:eastAsia="黑体" w:cs="Times New Roman"/>
                <w:snapToGrid w:val="0"/>
                <w:color w:val="000000"/>
                <w:spacing w:val="-16"/>
                <w:kern w:val="21"/>
                <w:szCs w:val="21"/>
              </w:rPr>
            </w:pPr>
            <w:r>
              <w:rPr>
                <w:rFonts w:hint="default" w:ascii="Times New Roman" w:hAnsi="Times New Roman" w:eastAsia="黑体" w:cs="Times New Roman"/>
                <w:snapToGrid w:val="0"/>
                <w:color w:val="000000"/>
                <w:spacing w:val="-16"/>
                <w:kern w:val="21"/>
                <w:szCs w:val="21"/>
              </w:rPr>
              <w:t>（新建项目不填）</w:t>
            </w:r>
            <w:r>
              <w:rPr>
                <w:rFonts w:hint="default" w:ascii="Times New Roman" w:hAnsi="Times New Roman" w:eastAsia="黑体" w:cs="Times New Roman"/>
                <w:snapToGrid w:val="0"/>
                <w:color w:val="000000"/>
                <w:spacing w:val="-16"/>
                <w:kern w:val="21"/>
                <w:szCs w:val="21"/>
              </w:rPr>
              <w:fldChar w:fldCharType="begin"/>
            </w:r>
            <w:r>
              <w:rPr>
                <w:rFonts w:hint="default" w:ascii="Times New Roman" w:hAnsi="Times New Roman" w:eastAsia="黑体" w:cs="Times New Roman"/>
                <w:snapToGrid w:val="0"/>
                <w:color w:val="000000"/>
                <w:spacing w:val="-16"/>
                <w:kern w:val="21"/>
                <w:szCs w:val="21"/>
              </w:rPr>
              <w:instrText xml:space="preserve"> = 5 \* GB3 \* MERGEFORMAT </w:instrText>
            </w:r>
            <w:r>
              <w:rPr>
                <w:rFonts w:hint="default" w:ascii="Times New Roman" w:hAnsi="Times New Roman" w:eastAsia="黑体" w:cs="Times New Roman"/>
                <w:snapToGrid w:val="0"/>
                <w:color w:val="000000"/>
                <w:spacing w:val="-16"/>
                <w:kern w:val="21"/>
                <w:szCs w:val="21"/>
              </w:rPr>
              <w:fldChar w:fldCharType="separate"/>
            </w:r>
            <w:r>
              <w:rPr>
                <w:rFonts w:hint="default" w:ascii="Times New Roman" w:hAnsi="Times New Roman" w:eastAsia="黑体" w:cs="Times New Roman"/>
                <w:kern w:val="2"/>
                <w:szCs w:val="21"/>
              </w:rPr>
              <w:t>⑤</w:t>
            </w:r>
            <w:r>
              <w:rPr>
                <w:rFonts w:hint="default" w:ascii="Times New Roman" w:hAnsi="Times New Roman" w:eastAsia="黑体" w:cs="Times New Roman"/>
                <w:snapToGrid w:val="0"/>
                <w:color w:val="000000"/>
                <w:spacing w:val="-16"/>
                <w:kern w:val="21"/>
                <w:szCs w:val="21"/>
              </w:rPr>
              <w:fldChar w:fldCharType="end"/>
            </w:r>
          </w:p>
        </w:tc>
        <w:tc>
          <w:tcPr>
            <w:tcW w:w="1758" w:type="dxa"/>
            <w:noWrap w:val="0"/>
            <w:tcMar>
              <w:left w:w="28" w:type="dxa"/>
              <w:right w:w="28" w:type="dxa"/>
            </w:tcMar>
            <w:vAlign w:val="center"/>
          </w:tcPr>
          <w:p w14:paraId="04AC9896">
            <w:pPr>
              <w:pStyle w:val="43"/>
              <w:spacing w:line="240" w:lineRule="auto"/>
              <w:rPr>
                <w:rFonts w:hint="default" w:ascii="Times New Roman" w:hAnsi="Times New Roman" w:eastAsia="黑体" w:cs="Times New Roman"/>
                <w:snapToGrid w:val="0"/>
                <w:color w:val="000000"/>
                <w:spacing w:val="-16"/>
                <w:kern w:val="21"/>
                <w:szCs w:val="21"/>
              </w:rPr>
            </w:pPr>
            <w:r>
              <w:rPr>
                <w:rFonts w:hint="default" w:ascii="Times New Roman" w:hAnsi="Times New Roman" w:eastAsia="黑体" w:cs="Times New Roman"/>
                <w:snapToGrid w:val="0"/>
                <w:color w:val="000000"/>
                <w:spacing w:val="-16"/>
                <w:kern w:val="21"/>
                <w:szCs w:val="21"/>
              </w:rPr>
              <w:t>本项目建成后</w:t>
            </w:r>
          </w:p>
          <w:p w14:paraId="57797D89">
            <w:pPr>
              <w:pStyle w:val="43"/>
              <w:spacing w:line="240" w:lineRule="auto"/>
              <w:rPr>
                <w:rFonts w:hint="default" w:ascii="Times New Roman" w:hAnsi="Times New Roman" w:eastAsia="黑体" w:cs="Times New Roman"/>
                <w:snapToGrid w:val="0"/>
                <w:color w:val="000000"/>
                <w:spacing w:val="-16"/>
                <w:kern w:val="21"/>
                <w:szCs w:val="21"/>
              </w:rPr>
            </w:pPr>
            <w:r>
              <w:rPr>
                <w:rFonts w:hint="default" w:ascii="Times New Roman" w:hAnsi="Times New Roman" w:eastAsia="黑体" w:cs="Times New Roman"/>
                <w:snapToGrid w:val="0"/>
                <w:color w:val="000000"/>
                <w:spacing w:val="-16"/>
                <w:kern w:val="21"/>
                <w:szCs w:val="21"/>
              </w:rPr>
              <w:t>全厂排放量（固体废物产生量）</w:t>
            </w:r>
            <w:r>
              <w:rPr>
                <w:rFonts w:hint="default" w:ascii="Times New Roman" w:hAnsi="Times New Roman" w:eastAsia="黑体" w:cs="Times New Roman"/>
                <w:snapToGrid w:val="0"/>
                <w:color w:val="000000"/>
                <w:spacing w:val="-16"/>
                <w:kern w:val="21"/>
                <w:szCs w:val="21"/>
              </w:rPr>
              <w:fldChar w:fldCharType="begin"/>
            </w:r>
            <w:r>
              <w:rPr>
                <w:rFonts w:hint="default" w:ascii="Times New Roman" w:hAnsi="Times New Roman" w:eastAsia="黑体" w:cs="Times New Roman"/>
                <w:snapToGrid w:val="0"/>
                <w:color w:val="000000"/>
                <w:spacing w:val="-16"/>
                <w:kern w:val="21"/>
                <w:szCs w:val="21"/>
              </w:rPr>
              <w:instrText xml:space="preserve"> = 6 \* GB3 \* MERGEFORMAT </w:instrText>
            </w:r>
            <w:r>
              <w:rPr>
                <w:rFonts w:hint="default" w:ascii="Times New Roman" w:hAnsi="Times New Roman" w:eastAsia="黑体" w:cs="Times New Roman"/>
                <w:snapToGrid w:val="0"/>
                <w:color w:val="000000"/>
                <w:spacing w:val="-16"/>
                <w:kern w:val="21"/>
                <w:szCs w:val="21"/>
              </w:rPr>
              <w:fldChar w:fldCharType="separate"/>
            </w:r>
            <w:r>
              <w:rPr>
                <w:rFonts w:hint="default" w:ascii="Times New Roman" w:hAnsi="Times New Roman" w:eastAsia="黑体" w:cs="Times New Roman"/>
                <w:kern w:val="2"/>
                <w:szCs w:val="21"/>
              </w:rPr>
              <w:t>⑥</w:t>
            </w:r>
            <w:r>
              <w:rPr>
                <w:rFonts w:hint="default" w:ascii="Times New Roman" w:hAnsi="Times New Roman" w:eastAsia="黑体" w:cs="Times New Roman"/>
                <w:snapToGrid w:val="0"/>
                <w:color w:val="000000"/>
                <w:spacing w:val="-16"/>
                <w:kern w:val="21"/>
                <w:szCs w:val="21"/>
              </w:rPr>
              <w:fldChar w:fldCharType="end"/>
            </w:r>
          </w:p>
        </w:tc>
        <w:tc>
          <w:tcPr>
            <w:tcW w:w="1405" w:type="dxa"/>
            <w:noWrap w:val="0"/>
            <w:tcMar>
              <w:left w:w="28" w:type="dxa"/>
              <w:right w:w="28" w:type="dxa"/>
            </w:tcMar>
            <w:vAlign w:val="center"/>
          </w:tcPr>
          <w:p w14:paraId="445BD8AB">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t>变化量</w:t>
            </w:r>
          </w:p>
          <w:p w14:paraId="59585F27">
            <w:pPr>
              <w:pStyle w:val="43"/>
              <w:spacing w:line="240" w:lineRule="auto"/>
              <w:rPr>
                <w:rFonts w:hint="default" w:ascii="Times New Roman" w:hAnsi="Times New Roman" w:eastAsia="黑体" w:cs="Times New Roman"/>
                <w:snapToGrid w:val="0"/>
                <w:color w:val="000000"/>
                <w:spacing w:val="-6"/>
                <w:kern w:val="21"/>
                <w:szCs w:val="21"/>
              </w:rPr>
            </w:pPr>
            <w:r>
              <w:rPr>
                <w:rFonts w:hint="default" w:ascii="Times New Roman" w:hAnsi="Times New Roman" w:eastAsia="黑体" w:cs="Times New Roman"/>
                <w:snapToGrid w:val="0"/>
                <w:color w:val="000000"/>
                <w:spacing w:val="-6"/>
                <w:kern w:val="21"/>
                <w:szCs w:val="21"/>
              </w:rPr>
              <w:fldChar w:fldCharType="begin"/>
            </w:r>
            <w:r>
              <w:rPr>
                <w:rFonts w:hint="default" w:ascii="Times New Roman" w:hAnsi="Times New Roman" w:eastAsia="黑体" w:cs="Times New Roman"/>
                <w:snapToGrid w:val="0"/>
                <w:color w:val="000000"/>
                <w:spacing w:val="-6"/>
                <w:kern w:val="21"/>
                <w:szCs w:val="21"/>
              </w:rPr>
              <w:instrText xml:space="preserve"> = 7 \* GB3 \* MERGEFORMAT </w:instrText>
            </w:r>
            <w:r>
              <w:rPr>
                <w:rFonts w:hint="default" w:ascii="Times New Roman" w:hAnsi="Times New Roman" w:eastAsia="黑体" w:cs="Times New Roman"/>
                <w:snapToGrid w:val="0"/>
                <w:color w:val="000000"/>
                <w:spacing w:val="-6"/>
                <w:kern w:val="21"/>
                <w:szCs w:val="21"/>
              </w:rPr>
              <w:fldChar w:fldCharType="separate"/>
            </w:r>
            <w:r>
              <w:rPr>
                <w:rFonts w:hint="default" w:ascii="Times New Roman" w:hAnsi="Times New Roman" w:eastAsia="黑体" w:cs="Times New Roman"/>
                <w:kern w:val="2"/>
                <w:szCs w:val="21"/>
              </w:rPr>
              <w:t>⑦</w:t>
            </w:r>
            <w:r>
              <w:rPr>
                <w:rFonts w:hint="default" w:ascii="Times New Roman" w:hAnsi="Times New Roman" w:eastAsia="黑体" w:cs="Times New Roman"/>
                <w:snapToGrid w:val="0"/>
                <w:color w:val="000000"/>
                <w:spacing w:val="-6"/>
                <w:kern w:val="21"/>
                <w:szCs w:val="21"/>
              </w:rPr>
              <w:fldChar w:fldCharType="end"/>
            </w:r>
          </w:p>
        </w:tc>
      </w:tr>
      <w:tr w14:paraId="7E6586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noWrap w:val="0"/>
            <w:vAlign w:val="center"/>
          </w:tcPr>
          <w:p w14:paraId="5841A38F">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废气</w:t>
            </w:r>
          </w:p>
        </w:tc>
        <w:tc>
          <w:tcPr>
            <w:tcW w:w="1417" w:type="dxa"/>
            <w:noWrap w:val="0"/>
            <w:vAlign w:val="center"/>
          </w:tcPr>
          <w:p w14:paraId="0ECB219A">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颗粒物</w:t>
            </w:r>
          </w:p>
        </w:tc>
        <w:tc>
          <w:tcPr>
            <w:tcW w:w="1701" w:type="dxa"/>
            <w:noWrap w:val="0"/>
            <w:vAlign w:val="center"/>
          </w:tcPr>
          <w:p w14:paraId="1045B984">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276" w:type="dxa"/>
            <w:noWrap w:val="0"/>
            <w:vAlign w:val="center"/>
          </w:tcPr>
          <w:p w14:paraId="7D5FD31A">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701" w:type="dxa"/>
            <w:noWrap w:val="0"/>
            <w:vAlign w:val="center"/>
          </w:tcPr>
          <w:p w14:paraId="2B614523">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559" w:type="dxa"/>
            <w:noWrap w:val="0"/>
            <w:vAlign w:val="center"/>
          </w:tcPr>
          <w:p w14:paraId="6813A405">
            <w:pPr>
              <w:pStyle w:val="43"/>
              <w:spacing w:line="240" w:lineRule="auto"/>
              <w:rPr>
                <w:rFonts w:hint="default" w:ascii="Times New Roman" w:hAnsi="Times New Roman" w:cs="Times New Roman"/>
                <w:color w:val="000000"/>
                <w:sz w:val="18"/>
                <w:szCs w:val="18"/>
                <w:lang w:bidi="ar"/>
              </w:rPr>
            </w:pPr>
            <w:r>
              <w:rPr>
                <w:rFonts w:hint="eastAsia" w:ascii="Times New Roman" w:hAnsi="Times New Roman" w:cs="Times New Roman"/>
                <w:color w:val="000000"/>
                <w:sz w:val="18"/>
                <w:szCs w:val="18"/>
                <w:lang w:val="en-US" w:eastAsia="zh-CN" w:bidi="ar"/>
              </w:rPr>
              <w:t>2.625</w:t>
            </w:r>
            <w:r>
              <w:rPr>
                <w:rFonts w:hint="default" w:ascii="Times New Roman" w:hAnsi="Times New Roman" w:cs="Times New Roman"/>
                <w:color w:val="000000"/>
                <w:sz w:val="18"/>
                <w:szCs w:val="18"/>
                <w:lang w:bidi="ar"/>
              </w:rPr>
              <w:t>t/a</w:t>
            </w:r>
          </w:p>
        </w:tc>
        <w:tc>
          <w:tcPr>
            <w:tcW w:w="1383" w:type="dxa"/>
            <w:noWrap w:val="0"/>
            <w:vAlign w:val="center"/>
          </w:tcPr>
          <w:p w14:paraId="3997FF1E">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758" w:type="dxa"/>
            <w:noWrap w:val="0"/>
            <w:vAlign w:val="center"/>
          </w:tcPr>
          <w:p w14:paraId="44CC4CE1">
            <w:pPr>
              <w:spacing w:line="240" w:lineRule="auto"/>
              <w:jc w:val="center"/>
              <w:rPr>
                <w:rFonts w:hint="default" w:ascii="Times New Roman" w:hAnsi="Times New Roman" w:cs="Times New Roman"/>
                <w:color w:val="000000"/>
                <w:sz w:val="18"/>
                <w:szCs w:val="18"/>
                <w:lang w:bidi="ar"/>
              </w:rPr>
            </w:pPr>
            <w:r>
              <w:rPr>
                <w:rFonts w:hint="eastAsia" w:ascii="Times New Roman" w:hAnsi="Times New Roman" w:cs="Times New Roman"/>
                <w:color w:val="000000"/>
                <w:sz w:val="18"/>
                <w:szCs w:val="18"/>
                <w:lang w:val="en-US" w:eastAsia="zh-CN" w:bidi="ar"/>
              </w:rPr>
              <w:t>2.625</w:t>
            </w:r>
            <w:r>
              <w:rPr>
                <w:rFonts w:hint="default" w:ascii="Times New Roman" w:hAnsi="Times New Roman" w:cs="Times New Roman"/>
                <w:color w:val="000000"/>
                <w:sz w:val="18"/>
                <w:szCs w:val="18"/>
                <w:lang w:bidi="ar"/>
              </w:rPr>
              <w:t>t/a</w:t>
            </w:r>
          </w:p>
        </w:tc>
        <w:tc>
          <w:tcPr>
            <w:tcW w:w="1405" w:type="dxa"/>
            <w:noWrap w:val="0"/>
            <w:vAlign w:val="center"/>
          </w:tcPr>
          <w:p w14:paraId="47CC7C1F">
            <w:pPr>
              <w:spacing w:line="240" w:lineRule="auto"/>
              <w:jc w:val="center"/>
              <w:rPr>
                <w:rFonts w:hint="default" w:ascii="Times New Roman" w:hAnsi="Times New Roman" w:cs="Times New Roman"/>
                <w:color w:val="000000"/>
                <w:sz w:val="18"/>
                <w:szCs w:val="18"/>
                <w:lang w:bidi="ar"/>
              </w:rPr>
            </w:pPr>
            <w:r>
              <w:rPr>
                <w:rFonts w:hint="eastAsia" w:ascii="Times New Roman" w:hAnsi="Times New Roman" w:cs="Times New Roman"/>
                <w:color w:val="000000"/>
                <w:sz w:val="18"/>
                <w:szCs w:val="18"/>
                <w:lang w:val="en-US" w:eastAsia="zh-CN" w:bidi="ar"/>
              </w:rPr>
              <w:t>2.625</w:t>
            </w:r>
            <w:r>
              <w:rPr>
                <w:rFonts w:hint="default" w:ascii="Times New Roman" w:hAnsi="Times New Roman" w:cs="Times New Roman"/>
                <w:color w:val="000000"/>
                <w:sz w:val="18"/>
                <w:szCs w:val="18"/>
                <w:lang w:bidi="ar"/>
              </w:rPr>
              <w:t>t/a</w:t>
            </w:r>
          </w:p>
        </w:tc>
      </w:tr>
      <w:tr w14:paraId="0ED351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noWrap w:val="0"/>
            <w:vAlign w:val="center"/>
          </w:tcPr>
          <w:p w14:paraId="6E5F743B">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废水</w:t>
            </w:r>
          </w:p>
          <w:p w14:paraId="428E82A5">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 w:val="18"/>
                <w:szCs w:val="18"/>
              </w:rPr>
              <w:t>（</w:t>
            </w:r>
            <w:r>
              <w:rPr>
                <w:rFonts w:hint="eastAsia" w:ascii="Times New Roman" w:hAnsi="Times New Roman" w:cs="Times New Roman"/>
                <w:snapToGrid w:val="0"/>
                <w:color w:val="000000"/>
                <w:kern w:val="21"/>
                <w:sz w:val="18"/>
                <w:szCs w:val="18"/>
                <w:lang w:eastAsia="zh-CN"/>
              </w:rPr>
              <w:t>不排放</w:t>
            </w:r>
            <w:r>
              <w:rPr>
                <w:rFonts w:hint="default" w:ascii="Times New Roman" w:hAnsi="Times New Roman" w:cs="Times New Roman"/>
                <w:snapToGrid w:val="0"/>
                <w:color w:val="000000"/>
                <w:kern w:val="21"/>
                <w:sz w:val="18"/>
                <w:szCs w:val="18"/>
              </w:rPr>
              <w:t>）</w:t>
            </w:r>
          </w:p>
        </w:tc>
        <w:tc>
          <w:tcPr>
            <w:tcW w:w="1417" w:type="dxa"/>
            <w:noWrap w:val="0"/>
            <w:vAlign w:val="center"/>
          </w:tcPr>
          <w:p w14:paraId="21E565DD">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COD</w:t>
            </w:r>
          </w:p>
        </w:tc>
        <w:tc>
          <w:tcPr>
            <w:tcW w:w="1701" w:type="dxa"/>
            <w:noWrap w:val="0"/>
            <w:vAlign w:val="center"/>
          </w:tcPr>
          <w:p w14:paraId="66226101">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276" w:type="dxa"/>
            <w:noWrap w:val="0"/>
            <w:vAlign w:val="center"/>
          </w:tcPr>
          <w:p w14:paraId="1A24D6D4">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701" w:type="dxa"/>
            <w:noWrap w:val="0"/>
            <w:vAlign w:val="center"/>
          </w:tcPr>
          <w:p w14:paraId="0E4690BF">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559" w:type="dxa"/>
            <w:noWrap w:val="0"/>
            <w:vAlign w:val="center"/>
          </w:tcPr>
          <w:p w14:paraId="1E2C43CD">
            <w:pPr>
              <w:pStyle w:val="43"/>
              <w:spacing w:line="240" w:lineRule="auto"/>
              <w:rPr>
                <w:rFonts w:hint="default" w:ascii="Times New Roman" w:hAnsi="Times New Roman" w:eastAsia="宋体" w:cs="Times New Roman"/>
                <w:color w:val="000000"/>
                <w:sz w:val="18"/>
                <w:szCs w:val="18"/>
                <w:lang w:val="en-US" w:eastAsia="zh-CN" w:bidi="ar"/>
              </w:rPr>
            </w:pPr>
            <w:r>
              <w:rPr>
                <w:rFonts w:hint="eastAsia" w:ascii="Times New Roman" w:hAnsi="Times New Roman" w:cs="Times New Roman"/>
                <w:color w:val="000000"/>
                <w:sz w:val="18"/>
                <w:szCs w:val="18"/>
                <w:lang w:val="en-US" w:eastAsia="zh-CN" w:bidi="ar"/>
              </w:rPr>
              <w:t>/</w:t>
            </w:r>
          </w:p>
        </w:tc>
        <w:tc>
          <w:tcPr>
            <w:tcW w:w="1383" w:type="dxa"/>
            <w:noWrap w:val="0"/>
            <w:vAlign w:val="center"/>
          </w:tcPr>
          <w:p w14:paraId="500A3213">
            <w:pPr>
              <w:pStyle w:val="43"/>
              <w:spacing w:line="240" w:lineRule="auto"/>
              <w:rPr>
                <w:rFonts w:hint="eastAsia" w:ascii="Times New Roman" w:hAnsi="Times New Roman" w:eastAsia="宋体" w:cs="Times New Roman"/>
                <w:color w:val="000000"/>
                <w:sz w:val="18"/>
                <w:szCs w:val="18"/>
                <w:lang w:val="en-US" w:eastAsia="zh-CN" w:bidi="ar"/>
              </w:rPr>
            </w:pPr>
            <w:r>
              <w:rPr>
                <w:rFonts w:hint="eastAsia" w:ascii="Times New Roman" w:hAnsi="Times New Roman" w:cs="Times New Roman"/>
                <w:color w:val="000000"/>
                <w:sz w:val="18"/>
                <w:szCs w:val="18"/>
                <w:lang w:val="en-US" w:eastAsia="zh-CN" w:bidi="ar"/>
              </w:rPr>
              <w:t>/</w:t>
            </w:r>
          </w:p>
        </w:tc>
        <w:tc>
          <w:tcPr>
            <w:tcW w:w="1758" w:type="dxa"/>
            <w:noWrap w:val="0"/>
            <w:vAlign w:val="center"/>
          </w:tcPr>
          <w:p w14:paraId="55522DE5">
            <w:pPr>
              <w:pStyle w:val="43"/>
              <w:spacing w:line="240" w:lineRule="auto"/>
              <w:rPr>
                <w:rFonts w:hint="default" w:ascii="Times New Roman" w:hAnsi="Times New Roman" w:cs="Times New Roman"/>
                <w:color w:val="000000"/>
                <w:sz w:val="18"/>
                <w:szCs w:val="18"/>
                <w:lang w:bidi="ar"/>
              </w:rPr>
            </w:pPr>
            <w:r>
              <w:rPr>
                <w:rFonts w:hint="eastAsia" w:ascii="Times New Roman" w:hAnsi="Times New Roman" w:cs="Times New Roman"/>
                <w:color w:val="000000"/>
                <w:sz w:val="18"/>
                <w:szCs w:val="18"/>
                <w:lang w:val="en-US" w:eastAsia="zh-CN" w:bidi="ar"/>
              </w:rPr>
              <w:t>/</w:t>
            </w:r>
          </w:p>
        </w:tc>
        <w:tc>
          <w:tcPr>
            <w:tcW w:w="1405" w:type="dxa"/>
            <w:noWrap w:val="0"/>
            <w:vAlign w:val="center"/>
          </w:tcPr>
          <w:p w14:paraId="570A9EBA">
            <w:pPr>
              <w:pStyle w:val="43"/>
              <w:spacing w:line="240" w:lineRule="auto"/>
              <w:rPr>
                <w:rFonts w:hint="default" w:ascii="Times New Roman" w:hAnsi="Times New Roman" w:cs="Times New Roman"/>
                <w:color w:val="000000"/>
                <w:sz w:val="18"/>
                <w:szCs w:val="18"/>
                <w:lang w:bidi="ar"/>
              </w:rPr>
            </w:pPr>
            <w:r>
              <w:rPr>
                <w:rFonts w:hint="eastAsia" w:ascii="Times New Roman" w:hAnsi="Times New Roman" w:cs="Times New Roman"/>
                <w:color w:val="000000"/>
                <w:sz w:val="18"/>
                <w:szCs w:val="18"/>
                <w:lang w:val="en-US" w:eastAsia="zh-CN" w:bidi="ar"/>
              </w:rPr>
              <w:t>/</w:t>
            </w:r>
          </w:p>
        </w:tc>
      </w:tr>
      <w:tr w14:paraId="112108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0E40D6E9">
            <w:pPr>
              <w:pStyle w:val="43"/>
              <w:spacing w:line="240" w:lineRule="auto"/>
              <w:rPr>
                <w:rFonts w:hint="default" w:ascii="Times New Roman" w:hAnsi="Times New Roman" w:cs="Times New Roman"/>
                <w:snapToGrid w:val="0"/>
                <w:color w:val="000000"/>
                <w:kern w:val="21"/>
                <w:szCs w:val="21"/>
              </w:rPr>
            </w:pPr>
          </w:p>
        </w:tc>
        <w:tc>
          <w:tcPr>
            <w:tcW w:w="1417" w:type="dxa"/>
            <w:noWrap w:val="0"/>
            <w:vAlign w:val="center"/>
          </w:tcPr>
          <w:p w14:paraId="170A6BCD">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氨氮</w:t>
            </w:r>
          </w:p>
        </w:tc>
        <w:tc>
          <w:tcPr>
            <w:tcW w:w="1701" w:type="dxa"/>
            <w:noWrap w:val="0"/>
            <w:vAlign w:val="center"/>
          </w:tcPr>
          <w:p w14:paraId="4BA467A7">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276" w:type="dxa"/>
            <w:noWrap w:val="0"/>
            <w:vAlign w:val="center"/>
          </w:tcPr>
          <w:p w14:paraId="5F337EE2">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701" w:type="dxa"/>
            <w:noWrap w:val="0"/>
            <w:vAlign w:val="center"/>
          </w:tcPr>
          <w:p w14:paraId="50162354">
            <w:pPr>
              <w:pStyle w:val="43"/>
              <w:spacing w:line="240" w:lineRule="auto"/>
              <w:rPr>
                <w:rFonts w:hint="default" w:ascii="Times New Roman" w:hAnsi="Times New Roman" w:cs="Times New Roman"/>
                <w:color w:val="000000"/>
                <w:sz w:val="18"/>
                <w:szCs w:val="18"/>
                <w:lang w:bidi="ar"/>
              </w:rPr>
            </w:pPr>
            <w:r>
              <w:rPr>
                <w:rFonts w:hint="default" w:ascii="Times New Roman" w:hAnsi="Times New Roman" w:cs="Times New Roman"/>
                <w:color w:val="000000"/>
                <w:sz w:val="18"/>
                <w:szCs w:val="18"/>
                <w:lang w:bidi="ar"/>
              </w:rPr>
              <w:t>0</w:t>
            </w:r>
          </w:p>
        </w:tc>
        <w:tc>
          <w:tcPr>
            <w:tcW w:w="1559" w:type="dxa"/>
            <w:noWrap w:val="0"/>
            <w:vAlign w:val="center"/>
          </w:tcPr>
          <w:p w14:paraId="1CC6CEEB">
            <w:pPr>
              <w:pStyle w:val="43"/>
              <w:spacing w:line="240" w:lineRule="auto"/>
              <w:rPr>
                <w:rFonts w:hint="default" w:ascii="Times New Roman" w:hAnsi="Times New Roman" w:eastAsia="宋体" w:cs="Times New Roman"/>
                <w:color w:val="000000"/>
                <w:sz w:val="18"/>
                <w:szCs w:val="18"/>
                <w:lang w:val="en-US" w:eastAsia="zh-CN" w:bidi="ar"/>
              </w:rPr>
            </w:pPr>
            <w:r>
              <w:rPr>
                <w:rFonts w:hint="eastAsia" w:ascii="Times New Roman" w:hAnsi="Times New Roman" w:cs="Times New Roman"/>
                <w:color w:val="000000"/>
                <w:sz w:val="18"/>
                <w:szCs w:val="18"/>
                <w:lang w:val="en-US" w:eastAsia="zh-CN" w:bidi="ar"/>
              </w:rPr>
              <w:t>/</w:t>
            </w:r>
          </w:p>
        </w:tc>
        <w:tc>
          <w:tcPr>
            <w:tcW w:w="1383" w:type="dxa"/>
            <w:noWrap w:val="0"/>
            <w:vAlign w:val="center"/>
          </w:tcPr>
          <w:p w14:paraId="5FC94CE1">
            <w:pPr>
              <w:pStyle w:val="43"/>
              <w:spacing w:line="240" w:lineRule="auto"/>
              <w:rPr>
                <w:rFonts w:hint="eastAsia" w:ascii="Times New Roman" w:hAnsi="Times New Roman" w:eastAsia="宋体" w:cs="Times New Roman"/>
                <w:color w:val="000000"/>
                <w:sz w:val="18"/>
                <w:szCs w:val="18"/>
                <w:lang w:eastAsia="zh-CN" w:bidi="ar"/>
              </w:rPr>
            </w:pPr>
            <w:r>
              <w:rPr>
                <w:rFonts w:hint="eastAsia" w:ascii="Times New Roman" w:hAnsi="Times New Roman" w:cs="Times New Roman"/>
                <w:color w:val="000000"/>
                <w:sz w:val="18"/>
                <w:szCs w:val="18"/>
                <w:lang w:val="en-US" w:eastAsia="zh-CN" w:bidi="ar"/>
              </w:rPr>
              <w:t>/</w:t>
            </w:r>
          </w:p>
        </w:tc>
        <w:tc>
          <w:tcPr>
            <w:tcW w:w="1758" w:type="dxa"/>
            <w:noWrap w:val="0"/>
            <w:vAlign w:val="center"/>
          </w:tcPr>
          <w:p w14:paraId="211509E6">
            <w:pPr>
              <w:pStyle w:val="43"/>
              <w:spacing w:line="240" w:lineRule="auto"/>
              <w:rPr>
                <w:rFonts w:hint="default" w:ascii="Times New Roman" w:hAnsi="Times New Roman" w:cs="Times New Roman"/>
                <w:color w:val="000000"/>
                <w:sz w:val="18"/>
                <w:szCs w:val="18"/>
                <w:lang w:val="en-US" w:bidi="ar"/>
              </w:rPr>
            </w:pPr>
            <w:r>
              <w:rPr>
                <w:rFonts w:hint="eastAsia" w:ascii="Times New Roman" w:hAnsi="Times New Roman" w:cs="Times New Roman"/>
                <w:color w:val="000000"/>
                <w:sz w:val="18"/>
                <w:szCs w:val="18"/>
                <w:lang w:val="en-US" w:eastAsia="zh-CN" w:bidi="ar"/>
              </w:rPr>
              <w:t>/</w:t>
            </w:r>
          </w:p>
        </w:tc>
        <w:tc>
          <w:tcPr>
            <w:tcW w:w="1405" w:type="dxa"/>
            <w:noWrap w:val="0"/>
            <w:vAlign w:val="center"/>
          </w:tcPr>
          <w:p w14:paraId="5F1F7CC0">
            <w:pPr>
              <w:pStyle w:val="43"/>
              <w:spacing w:line="240" w:lineRule="auto"/>
              <w:rPr>
                <w:rFonts w:hint="eastAsia" w:ascii="Times New Roman" w:hAnsi="Times New Roman" w:eastAsia="宋体" w:cs="Times New Roman"/>
                <w:color w:val="000000"/>
                <w:sz w:val="18"/>
                <w:szCs w:val="18"/>
                <w:lang w:val="en-US" w:eastAsia="zh-CN" w:bidi="ar"/>
              </w:rPr>
            </w:pPr>
            <w:r>
              <w:rPr>
                <w:rFonts w:hint="eastAsia" w:ascii="Times New Roman" w:hAnsi="Times New Roman" w:cs="Times New Roman"/>
                <w:color w:val="000000"/>
                <w:sz w:val="18"/>
                <w:szCs w:val="18"/>
                <w:lang w:val="en-US" w:eastAsia="zh-CN" w:bidi="ar"/>
              </w:rPr>
              <w:t>/</w:t>
            </w:r>
          </w:p>
        </w:tc>
      </w:tr>
      <w:tr w14:paraId="1D2B0E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noWrap w:val="0"/>
            <w:vAlign w:val="center"/>
          </w:tcPr>
          <w:p w14:paraId="3E0D8470">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一般工业</w:t>
            </w:r>
          </w:p>
          <w:p w14:paraId="4746A792">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固体废物</w:t>
            </w:r>
          </w:p>
        </w:tc>
        <w:tc>
          <w:tcPr>
            <w:tcW w:w="1417" w:type="dxa"/>
            <w:noWrap w:val="0"/>
            <w:vAlign w:val="center"/>
          </w:tcPr>
          <w:p w14:paraId="765E7D96">
            <w:pPr>
              <w:widowControl/>
              <w:jc w:val="center"/>
              <w:textAlignment w:val="center"/>
              <w:rPr>
                <w:rFonts w:hint="default" w:ascii="Times New Roman" w:hAnsi="Times New Roman" w:cs="Times New Roman"/>
                <w:snapToGrid w:val="0"/>
                <w:color w:val="000000"/>
                <w:kern w:val="21"/>
                <w:szCs w:val="21"/>
              </w:rPr>
            </w:pPr>
            <w:r>
              <w:rPr>
                <w:rFonts w:hint="default" w:ascii="Times New Roman" w:hAnsi="Times New Roman" w:cs="Times New Roman"/>
                <w:color w:val="000000"/>
                <w:sz w:val="18"/>
                <w:szCs w:val="18"/>
              </w:rPr>
              <w:t>生活垃圾</w:t>
            </w:r>
          </w:p>
        </w:tc>
        <w:tc>
          <w:tcPr>
            <w:tcW w:w="1701" w:type="dxa"/>
            <w:noWrap w:val="0"/>
            <w:vAlign w:val="center"/>
          </w:tcPr>
          <w:p w14:paraId="186FF634">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7E848236">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52D6A67E">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784EE944">
            <w:pPr>
              <w:widowControl/>
              <w:jc w:val="center"/>
              <w:textAlignment w:val="center"/>
              <w:rPr>
                <w:rFonts w:hint="default" w:ascii="Times New Roman" w:hAnsi="Times New Roman" w:cs="Times New Roman"/>
                <w:color w:val="000000"/>
                <w:kern w:val="0"/>
                <w:sz w:val="18"/>
                <w:szCs w:val="18"/>
                <w:lang w:bidi="ar"/>
              </w:rPr>
            </w:pPr>
            <w:r>
              <w:rPr>
                <w:rFonts w:hint="eastAsia" w:ascii="Times New Roman" w:hAnsi="Times New Roman" w:cs="Times New Roman"/>
                <w:color w:val="000000"/>
                <w:sz w:val="18"/>
                <w:szCs w:val="18"/>
                <w:lang w:val="en-US" w:eastAsia="zh-CN"/>
              </w:rPr>
              <w:t>2.52</w:t>
            </w:r>
            <w:r>
              <w:rPr>
                <w:rFonts w:hint="default" w:ascii="Times New Roman" w:hAnsi="Times New Roman" w:cs="Times New Roman"/>
                <w:color w:val="000000"/>
                <w:sz w:val="18"/>
                <w:szCs w:val="18"/>
              </w:rPr>
              <w:t>t/a</w:t>
            </w:r>
          </w:p>
        </w:tc>
        <w:tc>
          <w:tcPr>
            <w:tcW w:w="1383" w:type="dxa"/>
            <w:noWrap w:val="0"/>
            <w:vAlign w:val="center"/>
          </w:tcPr>
          <w:p w14:paraId="409877DD">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7592C24C">
            <w:pPr>
              <w:widowControl/>
              <w:jc w:val="center"/>
              <w:textAlignment w:val="center"/>
              <w:rPr>
                <w:rFonts w:hint="default" w:ascii="Times New Roman" w:hAnsi="Times New Roman" w:cs="Times New Roman"/>
                <w:color w:val="000000"/>
                <w:kern w:val="0"/>
                <w:sz w:val="18"/>
                <w:szCs w:val="18"/>
                <w:lang w:bidi="ar"/>
              </w:rPr>
            </w:pPr>
            <w:r>
              <w:rPr>
                <w:rFonts w:hint="eastAsia" w:ascii="Times New Roman" w:hAnsi="Times New Roman" w:cs="Times New Roman"/>
                <w:color w:val="000000"/>
                <w:sz w:val="18"/>
                <w:szCs w:val="18"/>
                <w:lang w:val="en-US" w:eastAsia="zh-CN"/>
              </w:rPr>
              <w:t>2.52</w:t>
            </w:r>
            <w:r>
              <w:rPr>
                <w:rFonts w:hint="default" w:ascii="Times New Roman" w:hAnsi="Times New Roman" w:cs="Times New Roman"/>
                <w:color w:val="000000"/>
                <w:sz w:val="18"/>
                <w:szCs w:val="18"/>
              </w:rPr>
              <w:t>t/a</w:t>
            </w:r>
          </w:p>
        </w:tc>
        <w:tc>
          <w:tcPr>
            <w:tcW w:w="1405" w:type="dxa"/>
            <w:noWrap w:val="0"/>
            <w:vAlign w:val="center"/>
          </w:tcPr>
          <w:p w14:paraId="4495A8F9">
            <w:pPr>
              <w:widowControl/>
              <w:jc w:val="center"/>
              <w:textAlignment w:val="center"/>
              <w:rPr>
                <w:rFonts w:hint="default" w:ascii="Times New Roman" w:hAnsi="Times New Roman" w:cs="Times New Roman"/>
                <w:color w:val="000000"/>
                <w:kern w:val="0"/>
                <w:sz w:val="18"/>
                <w:szCs w:val="18"/>
                <w:lang w:bidi="ar"/>
              </w:rPr>
            </w:pPr>
            <w:r>
              <w:rPr>
                <w:rFonts w:hint="eastAsia" w:ascii="Times New Roman" w:hAnsi="Times New Roman" w:cs="Times New Roman"/>
                <w:color w:val="000000"/>
                <w:sz w:val="18"/>
                <w:szCs w:val="18"/>
                <w:lang w:val="en-US" w:eastAsia="zh-CN"/>
              </w:rPr>
              <w:t>2.52</w:t>
            </w:r>
            <w:r>
              <w:rPr>
                <w:rFonts w:hint="default" w:ascii="Times New Roman" w:hAnsi="Times New Roman" w:cs="Times New Roman"/>
                <w:color w:val="000000"/>
                <w:sz w:val="18"/>
                <w:szCs w:val="18"/>
              </w:rPr>
              <w:t>t/a</w:t>
            </w:r>
          </w:p>
        </w:tc>
      </w:tr>
      <w:tr w14:paraId="5B6994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53322098">
            <w:pPr>
              <w:pStyle w:val="43"/>
              <w:spacing w:line="240" w:lineRule="auto"/>
              <w:rPr>
                <w:rFonts w:hint="default" w:ascii="Times New Roman" w:hAnsi="Times New Roman" w:cs="Times New Roman"/>
                <w:snapToGrid w:val="0"/>
                <w:color w:val="000000"/>
                <w:kern w:val="21"/>
                <w:szCs w:val="21"/>
              </w:rPr>
            </w:pPr>
          </w:p>
        </w:tc>
        <w:tc>
          <w:tcPr>
            <w:tcW w:w="1417" w:type="dxa"/>
            <w:noWrap w:val="0"/>
            <w:vAlign w:val="center"/>
          </w:tcPr>
          <w:p w14:paraId="5FF17486">
            <w:pPr>
              <w:widowControl/>
              <w:jc w:val="center"/>
              <w:textAlignment w:val="center"/>
              <w:rPr>
                <w:rFonts w:hint="default" w:ascii="Times New Roman" w:hAnsi="Times New Roman" w:cs="Times New Roman"/>
                <w:snapToGrid w:val="0"/>
                <w:color w:val="000000"/>
                <w:kern w:val="21"/>
                <w:szCs w:val="21"/>
              </w:rPr>
            </w:pPr>
            <w:r>
              <w:rPr>
                <w:rFonts w:hint="eastAsia" w:cs="Times New Roman"/>
                <w:color w:val="000000"/>
                <w:sz w:val="18"/>
                <w:szCs w:val="18"/>
                <w:lang w:eastAsia="zh-CN"/>
              </w:rPr>
              <w:t>沉淀池泥沙</w:t>
            </w:r>
          </w:p>
        </w:tc>
        <w:tc>
          <w:tcPr>
            <w:tcW w:w="1701" w:type="dxa"/>
            <w:noWrap w:val="0"/>
            <w:vAlign w:val="center"/>
          </w:tcPr>
          <w:p w14:paraId="22FE6B7A">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7EFD4421">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6FEAA627">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21F838CF">
            <w:pPr>
              <w:widowControl/>
              <w:jc w:val="center"/>
              <w:textAlignment w:val="center"/>
              <w:rPr>
                <w:rFonts w:hint="default" w:ascii="Times New Roman" w:hAnsi="Times New Roman" w:eastAsia="宋体" w:cs="Times New Roman"/>
                <w:color w:val="000000"/>
                <w:kern w:val="0"/>
                <w:sz w:val="18"/>
                <w:szCs w:val="18"/>
                <w:lang w:eastAsia="zh-CN" w:bidi="ar"/>
              </w:rPr>
            </w:pPr>
            <w:r>
              <w:rPr>
                <w:rFonts w:hint="eastAsia" w:cs="Times New Roman"/>
                <w:color w:val="000000"/>
                <w:sz w:val="18"/>
                <w:szCs w:val="18"/>
                <w:lang w:val="en-US" w:eastAsia="zh-CN"/>
              </w:rPr>
              <w:t>1.01万</w:t>
            </w:r>
            <w:r>
              <w:rPr>
                <w:rFonts w:hint="default" w:ascii="Times New Roman" w:hAnsi="Times New Roman" w:cs="Times New Roman"/>
                <w:color w:val="000000"/>
                <w:sz w:val="18"/>
                <w:szCs w:val="18"/>
                <w:lang w:eastAsia="zh-CN"/>
              </w:rPr>
              <w:t>t/a</w:t>
            </w:r>
          </w:p>
        </w:tc>
        <w:tc>
          <w:tcPr>
            <w:tcW w:w="1383" w:type="dxa"/>
            <w:noWrap w:val="0"/>
            <w:vAlign w:val="center"/>
          </w:tcPr>
          <w:p w14:paraId="0DEE21C3">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56BC161A">
            <w:pPr>
              <w:widowControl/>
              <w:jc w:val="center"/>
              <w:textAlignment w:val="center"/>
              <w:rPr>
                <w:rFonts w:hint="default" w:ascii="Times New Roman" w:hAnsi="Times New Roman" w:eastAsia="宋体" w:cs="Times New Roman"/>
                <w:color w:val="000000"/>
                <w:kern w:val="0"/>
                <w:sz w:val="18"/>
                <w:szCs w:val="18"/>
                <w:lang w:eastAsia="zh-CN" w:bidi="ar"/>
              </w:rPr>
            </w:pPr>
            <w:r>
              <w:rPr>
                <w:rFonts w:hint="eastAsia" w:cs="Times New Roman"/>
                <w:color w:val="000000"/>
                <w:sz w:val="18"/>
                <w:szCs w:val="18"/>
                <w:lang w:val="en-US" w:eastAsia="zh-CN"/>
              </w:rPr>
              <w:t>1.01万</w:t>
            </w:r>
            <w:r>
              <w:rPr>
                <w:rFonts w:hint="default" w:ascii="Times New Roman" w:hAnsi="Times New Roman" w:cs="Times New Roman"/>
                <w:color w:val="000000"/>
                <w:sz w:val="18"/>
                <w:szCs w:val="18"/>
                <w:lang w:eastAsia="zh-CN"/>
              </w:rPr>
              <w:t>t/a</w:t>
            </w:r>
          </w:p>
        </w:tc>
        <w:tc>
          <w:tcPr>
            <w:tcW w:w="1405" w:type="dxa"/>
            <w:noWrap w:val="0"/>
            <w:vAlign w:val="center"/>
          </w:tcPr>
          <w:p w14:paraId="00ED5DF6">
            <w:pPr>
              <w:widowControl/>
              <w:jc w:val="center"/>
              <w:textAlignment w:val="center"/>
              <w:rPr>
                <w:rFonts w:hint="default" w:ascii="Times New Roman" w:hAnsi="Times New Roman" w:eastAsia="宋体" w:cs="Times New Roman"/>
                <w:color w:val="000000"/>
                <w:kern w:val="0"/>
                <w:sz w:val="18"/>
                <w:szCs w:val="18"/>
                <w:lang w:eastAsia="zh-CN" w:bidi="ar"/>
              </w:rPr>
            </w:pPr>
            <w:r>
              <w:rPr>
                <w:rFonts w:hint="eastAsia" w:cs="Times New Roman"/>
                <w:color w:val="000000"/>
                <w:sz w:val="18"/>
                <w:szCs w:val="18"/>
                <w:lang w:val="en-US" w:eastAsia="zh-CN"/>
              </w:rPr>
              <w:t>1.01万</w:t>
            </w:r>
            <w:r>
              <w:rPr>
                <w:rFonts w:hint="default" w:ascii="Times New Roman" w:hAnsi="Times New Roman" w:cs="Times New Roman"/>
                <w:color w:val="000000"/>
                <w:sz w:val="18"/>
                <w:szCs w:val="18"/>
                <w:lang w:eastAsia="zh-CN"/>
              </w:rPr>
              <w:t>t/a</w:t>
            </w:r>
          </w:p>
        </w:tc>
      </w:tr>
      <w:tr w14:paraId="015B3C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7B2051CF">
            <w:pPr>
              <w:pStyle w:val="43"/>
              <w:spacing w:line="240" w:lineRule="auto"/>
              <w:rPr>
                <w:rFonts w:hint="default" w:ascii="Times New Roman" w:hAnsi="Times New Roman" w:cs="Times New Roman"/>
                <w:snapToGrid w:val="0"/>
                <w:color w:val="000000"/>
                <w:kern w:val="21"/>
                <w:szCs w:val="21"/>
              </w:rPr>
            </w:pPr>
          </w:p>
        </w:tc>
        <w:tc>
          <w:tcPr>
            <w:tcW w:w="1417" w:type="dxa"/>
            <w:noWrap w:val="0"/>
            <w:vAlign w:val="center"/>
          </w:tcPr>
          <w:p w14:paraId="516E8502">
            <w:pPr>
              <w:widowControl/>
              <w:jc w:val="center"/>
              <w:textAlignment w:val="center"/>
              <w:rPr>
                <w:rFonts w:hint="default" w:ascii="Times New Roman" w:hAnsi="Times New Roman" w:cs="Times New Roman"/>
                <w:snapToGrid w:val="0"/>
                <w:color w:val="000000"/>
                <w:kern w:val="21"/>
                <w:szCs w:val="21"/>
              </w:rPr>
            </w:pPr>
            <w:r>
              <w:rPr>
                <w:rFonts w:hint="default" w:ascii="Times New Roman" w:hAnsi="Times New Roman" w:cs="Times New Roman"/>
                <w:color w:val="000000"/>
                <w:sz w:val="18"/>
                <w:szCs w:val="18"/>
              </w:rPr>
              <w:t>废</w:t>
            </w:r>
            <w:r>
              <w:rPr>
                <w:rFonts w:hint="eastAsia" w:ascii="Times New Roman" w:hAnsi="Times New Roman" w:cs="Times New Roman"/>
                <w:color w:val="000000"/>
                <w:sz w:val="18"/>
                <w:szCs w:val="18"/>
                <w:lang w:eastAsia="zh-CN"/>
              </w:rPr>
              <w:t>包装袋</w:t>
            </w:r>
          </w:p>
        </w:tc>
        <w:tc>
          <w:tcPr>
            <w:tcW w:w="1701" w:type="dxa"/>
            <w:noWrap w:val="0"/>
            <w:vAlign w:val="center"/>
          </w:tcPr>
          <w:p w14:paraId="06996519">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71C1E847">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5AC188E5">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16019760">
            <w:pPr>
              <w:widowControl/>
              <w:jc w:val="center"/>
              <w:textAlignment w:val="center"/>
              <w:rPr>
                <w:rFonts w:hint="default" w:ascii="Times New Roman" w:hAnsi="Times New Roman" w:cs="Times New Roman"/>
                <w:color w:val="000000"/>
                <w:kern w:val="0"/>
                <w:sz w:val="18"/>
                <w:szCs w:val="18"/>
                <w:lang w:bidi="ar"/>
              </w:rPr>
            </w:pPr>
            <w:r>
              <w:rPr>
                <w:rFonts w:hint="eastAsia" w:cs="Times New Roman"/>
                <w:color w:val="000000"/>
                <w:sz w:val="18"/>
                <w:szCs w:val="18"/>
                <w:lang w:val="en-US" w:eastAsia="zh-CN"/>
              </w:rPr>
              <w:t>0.2</w:t>
            </w:r>
            <w:r>
              <w:rPr>
                <w:rFonts w:hint="default" w:ascii="Times New Roman" w:hAnsi="Times New Roman" w:cs="Times New Roman"/>
                <w:color w:val="000000"/>
                <w:sz w:val="18"/>
                <w:szCs w:val="18"/>
              </w:rPr>
              <w:t>t/a</w:t>
            </w:r>
          </w:p>
        </w:tc>
        <w:tc>
          <w:tcPr>
            <w:tcW w:w="1383" w:type="dxa"/>
            <w:noWrap w:val="0"/>
            <w:vAlign w:val="center"/>
          </w:tcPr>
          <w:p w14:paraId="25A714DE">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12D1C8DD">
            <w:pPr>
              <w:widowControl/>
              <w:jc w:val="center"/>
              <w:textAlignment w:val="center"/>
              <w:rPr>
                <w:rFonts w:hint="default" w:ascii="Times New Roman" w:hAnsi="Times New Roman" w:cs="Times New Roman"/>
                <w:color w:val="000000"/>
                <w:kern w:val="0"/>
                <w:sz w:val="18"/>
                <w:szCs w:val="18"/>
                <w:lang w:bidi="ar"/>
              </w:rPr>
            </w:pPr>
            <w:r>
              <w:rPr>
                <w:rFonts w:hint="eastAsia" w:cs="Times New Roman"/>
                <w:color w:val="000000"/>
                <w:sz w:val="18"/>
                <w:szCs w:val="18"/>
                <w:lang w:val="en-US" w:eastAsia="zh-CN"/>
              </w:rPr>
              <w:t>0.2</w:t>
            </w:r>
            <w:r>
              <w:rPr>
                <w:rFonts w:hint="default" w:ascii="Times New Roman" w:hAnsi="Times New Roman" w:cs="Times New Roman"/>
                <w:color w:val="000000"/>
                <w:sz w:val="18"/>
                <w:szCs w:val="18"/>
              </w:rPr>
              <w:t>t/a</w:t>
            </w:r>
          </w:p>
        </w:tc>
        <w:tc>
          <w:tcPr>
            <w:tcW w:w="1405" w:type="dxa"/>
            <w:noWrap w:val="0"/>
            <w:vAlign w:val="center"/>
          </w:tcPr>
          <w:p w14:paraId="2BF9F5A4">
            <w:pPr>
              <w:widowControl/>
              <w:jc w:val="center"/>
              <w:textAlignment w:val="center"/>
              <w:rPr>
                <w:rFonts w:hint="default" w:ascii="Times New Roman" w:hAnsi="Times New Roman" w:cs="Times New Roman"/>
                <w:color w:val="000000"/>
                <w:kern w:val="0"/>
                <w:sz w:val="18"/>
                <w:szCs w:val="18"/>
                <w:lang w:bidi="ar"/>
              </w:rPr>
            </w:pPr>
            <w:r>
              <w:rPr>
                <w:rFonts w:hint="eastAsia" w:cs="Times New Roman"/>
                <w:color w:val="000000"/>
                <w:sz w:val="18"/>
                <w:szCs w:val="18"/>
                <w:lang w:val="en-US" w:eastAsia="zh-CN"/>
              </w:rPr>
              <w:t>0.2</w:t>
            </w:r>
            <w:r>
              <w:rPr>
                <w:rFonts w:hint="default" w:ascii="Times New Roman" w:hAnsi="Times New Roman" w:cs="Times New Roman"/>
                <w:color w:val="000000"/>
                <w:sz w:val="18"/>
                <w:szCs w:val="18"/>
              </w:rPr>
              <w:t>t/a</w:t>
            </w:r>
          </w:p>
        </w:tc>
      </w:tr>
      <w:tr w14:paraId="31C076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65B54BC5">
            <w:pPr>
              <w:pStyle w:val="43"/>
              <w:spacing w:line="240" w:lineRule="auto"/>
              <w:rPr>
                <w:rFonts w:hint="default" w:ascii="Times New Roman" w:hAnsi="Times New Roman" w:cs="Times New Roman"/>
                <w:snapToGrid w:val="0"/>
                <w:color w:val="000000"/>
                <w:kern w:val="21"/>
                <w:szCs w:val="21"/>
              </w:rPr>
            </w:pPr>
          </w:p>
        </w:tc>
        <w:tc>
          <w:tcPr>
            <w:tcW w:w="1417" w:type="dxa"/>
            <w:noWrap w:val="0"/>
            <w:vAlign w:val="center"/>
          </w:tcPr>
          <w:p w14:paraId="33CC22F4">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化粪池</w:t>
            </w:r>
            <w:r>
              <w:rPr>
                <w:rFonts w:hint="eastAsia" w:cs="Times New Roman"/>
                <w:color w:val="000000"/>
                <w:sz w:val="18"/>
                <w:szCs w:val="18"/>
                <w:lang w:eastAsia="zh-CN"/>
              </w:rPr>
              <w:t>污</w:t>
            </w:r>
            <w:r>
              <w:rPr>
                <w:rFonts w:hint="eastAsia" w:ascii="Times New Roman" w:hAnsi="Times New Roman" w:cs="Times New Roman"/>
                <w:color w:val="000000"/>
                <w:sz w:val="18"/>
                <w:szCs w:val="18"/>
                <w:lang w:eastAsia="zh-CN"/>
              </w:rPr>
              <w:t>泥</w:t>
            </w:r>
          </w:p>
        </w:tc>
        <w:tc>
          <w:tcPr>
            <w:tcW w:w="1701" w:type="dxa"/>
            <w:noWrap w:val="0"/>
            <w:vAlign w:val="center"/>
          </w:tcPr>
          <w:p w14:paraId="56C20B4D">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188795C4">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00756A19">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4D8F3F67">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0.2t/a</w:t>
            </w:r>
          </w:p>
        </w:tc>
        <w:tc>
          <w:tcPr>
            <w:tcW w:w="1383" w:type="dxa"/>
            <w:noWrap w:val="0"/>
            <w:vAlign w:val="center"/>
          </w:tcPr>
          <w:p w14:paraId="7E9AC715">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2FBD4E22">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0.2t/a</w:t>
            </w:r>
          </w:p>
        </w:tc>
        <w:tc>
          <w:tcPr>
            <w:tcW w:w="1405" w:type="dxa"/>
            <w:noWrap w:val="0"/>
            <w:vAlign w:val="center"/>
          </w:tcPr>
          <w:p w14:paraId="6420480F">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0.2t/a</w:t>
            </w:r>
          </w:p>
        </w:tc>
      </w:tr>
      <w:tr w14:paraId="3BBCAC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noWrap w:val="0"/>
            <w:vAlign w:val="center"/>
          </w:tcPr>
          <w:p w14:paraId="053C86C7">
            <w:pPr>
              <w:pStyle w:val="43"/>
              <w:spacing w:line="240" w:lineRule="auto"/>
              <w:rPr>
                <w:rFonts w:hint="default" w:ascii="Times New Roman" w:hAnsi="Times New Roman" w:cs="Times New Roman"/>
                <w:snapToGrid w:val="0"/>
                <w:color w:val="000000"/>
                <w:kern w:val="21"/>
                <w:szCs w:val="21"/>
              </w:rPr>
            </w:pPr>
            <w:r>
              <w:rPr>
                <w:rFonts w:hint="default" w:ascii="Times New Roman" w:hAnsi="Times New Roman" w:cs="Times New Roman"/>
                <w:snapToGrid w:val="0"/>
                <w:color w:val="000000"/>
                <w:kern w:val="21"/>
                <w:szCs w:val="21"/>
              </w:rPr>
              <w:t>危险废物</w:t>
            </w:r>
          </w:p>
        </w:tc>
        <w:tc>
          <w:tcPr>
            <w:tcW w:w="1417" w:type="dxa"/>
            <w:noWrap w:val="0"/>
            <w:vAlign w:val="center"/>
          </w:tcPr>
          <w:p w14:paraId="5EE00547">
            <w:pPr>
              <w:widowControl/>
              <w:jc w:val="center"/>
              <w:textAlignment w:val="center"/>
              <w:rPr>
                <w:rFonts w:hint="default" w:ascii="Times New Roman" w:hAnsi="Times New Roman" w:cs="Times New Roman"/>
                <w:snapToGrid w:val="0"/>
                <w:color w:val="000000"/>
                <w:kern w:val="21"/>
                <w:szCs w:val="21"/>
              </w:rPr>
            </w:pPr>
            <w:r>
              <w:rPr>
                <w:rFonts w:hint="default" w:ascii="Times New Roman" w:hAnsi="Times New Roman" w:cs="Times New Roman"/>
                <w:color w:val="000000"/>
                <w:sz w:val="18"/>
                <w:szCs w:val="18"/>
              </w:rPr>
              <w:t>废润滑油</w:t>
            </w:r>
          </w:p>
        </w:tc>
        <w:tc>
          <w:tcPr>
            <w:tcW w:w="1701" w:type="dxa"/>
            <w:noWrap w:val="0"/>
            <w:vAlign w:val="center"/>
          </w:tcPr>
          <w:p w14:paraId="7098E84F">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72E47A5D">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151546E0">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18775F87">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0.05t/a</w:t>
            </w:r>
          </w:p>
        </w:tc>
        <w:tc>
          <w:tcPr>
            <w:tcW w:w="1383" w:type="dxa"/>
            <w:noWrap w:val="0"/>
            <w:vAlign w:val="center"/>
          </w:tcPr>
          <w:p w14:paraId="5E2CCC12">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5C6907F7">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0.05t/a</w:t>
            </w:r>
          </w:p>
        </w:tc>
        <w:tc>
          <w:tcPr>
            <w:tcW w:w="1405" w:type="dxa"/>
            <w:noWrap w:val="0"/>
            <w:vAlign w:val="center"/>
          </w:tcPr>
          <w:p w14:paraId="20D10F16">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0.05t/a</w:t>
            </w:r>
          </w:p>
        </w:tc>
      </w:tr>
      <w:tr w14:paraId="19C56A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6FA6AF9D">
            <w:pPr>
              <w:pStyle w:val="43"/>
              <w:spacing w:line="240" w:lineRule="auto"/>
              <w:rPr>
                <w:rFonts w:hint="default" w:ascii="Times New Roman" w:hAnsi="Times New Roman" w:cs="Times New Roman"/>
                <w:snapToGrid w:val="0"/>
                <w:color w:val="000000"/>
                <w:kern w:val="21"/>
                <w:szCs w:val="21"/>
              </w:rPr>
            </w:pPr>
          </w:p>
        </w:tc>
        <w:tc>
          <w:tcPr>
            <w:tcW w:w="1417" w:type="dxa"/>
            <w:noWrap w:val="0"/>
            <w:vAlign w:val="center"/>
          </w:tcPr>
          <w:p w14:paraId="0A9C3472">
            <w:pPr>
              <w:widowControl/>
              <w:jc w:val="center"/>
              <w:textAlignment w:val="center"/>
              <w:rPr>
                <w:rFonts w:hint="default" w:ascii="Times New Roman" w:hAnsi="Times New Roman" w:cs="Times New Roman"/>
                <w:snapToGrid w:val="0"/>
                <w:color w:val="000000"/>
                <w:kern w:val="21"/>
                <w:szCs w:val="21"/>
              </w:rPr>
            </w:pPr>
            <w:r>
              <w:rPr>
                <w:rFonts w:hint="default" w:ascii="Times New Roman" w:hAnsi="Times New Roman" w:cs="Times New Roman"/>
                <w:color w:val="000000"/>
                <w:sz w:val="18"/>
                <w:szCs w:val="18"/>
              </w:rPr>
              <w:t>废润滑油桶</w:t>
            </w:r>
          </w:p>
        </w:tc>
        <w:tc>
          <w:tcPr>
            <w:tcW w:w="1701" w:type="dxa"/>
            <w:noWrap w:val="0"/>
            <w:vAlign w:val="center"/>
          </w:tcPr>
          <w:p w14:paraId="4E3500DF">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71A38A43">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2650268F">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4ECFAF96">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0.01t/a</w:t>
            </w:r>
          </w:p>
        </w:tc>
        <w:tc>
          <w:tcPr>
            <w:tcW w:w="1383" w:type="dxa"/>
            <w:noWrap w:val="0"/>
            <w:vAlign w:val="center"/>
          </w:tcPr>
          <w:p w14:paraId="04D06B30">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681AD6AA">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0.01t/a</w:t>
            </w:r>
          </w:p>
        </w:tc>
        <w:tc>
          <w:tcPr>
            <w:tcW w:w="1405" w:type="dxa"/>
            <w:noWrap w:val="0"/>
            <w:vAlign w:val="center"/>
          </w:tcPr>
          <w:p w14:paraId="1FFB45C2">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sz w:val="18"/>
                <w:szCs w:val="18"/>
              </w:rPr>
              <w:t>0.01t/a</w:t>
            </w:r>
          </w:p>
        </w:tc>
      </w:tr>
      <w:tr w14:paraId="50FA97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416734D9">
            <w:pPr>
              <w:pStyle w:val="43"/>
              <w:spacing w:line="240" w:lineRule="auto"/>
              <w:rPr>
                <w:rFonts w:hint="default" w:ascii="Times New Roman" w:hAnsi="Times New Roman" w:cs="Times New Roman"/>
                <w:snapToGrid w:val="0"/>
                <w:color w:val="000000"/>
                <w:kern w:val="21"/>
                <w:szCs w:val="21"/>
              </w:rPr>
            </w:pPr>
          </w:p>
        </w:tc>
        <w:tc>
          <w:tcPr>
            <w:tcW w:w="1417" w:type="dxa"/>
            <w:noWrap w:val="0"/>
            <w:vAlign w:val="center"/>
          </w:tcPr>
          <w:p w14:paraId="4066F5F2">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废含油手套及抹布</w:t>
            </w:r>
          </w:p>
        </w:tc>
        <w:tc>
          <w:tcPr>
            <w:tcW w:w="1701" w:type="dxa"/>
            <w:noWrap w:val="0"/>
            <w:vAlign w:val="center"/>
          </w:tcPr>
          <w:p w14:paraId="6620BA5B">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276" w:type="dxa"/>
            <w:noWrap w:val="0"/>
            <w:vAlign w:val="center"/>
          </w:tcPr>
          <w:p w14:paraId="26085A2C">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01" w:type="dxa"/>
            <w:noWrap w:val="0"/>
            <w:vAlign w:val="center"/>
          </w:tcPr>
          <w:p w14:paraId="389C4EC1">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559" w:type="dxa"/>
            <w:noWrap w:val="0"/>
            <w:vAlign w:val="center"/>
          </w:tcPr>
          <w:p w14:paraId="0F025046">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c>
          <w:tcPr>
            <w:tcW w:w="1383" w:type="dxa"/>
            <w:noWrap w:val="0"/>
            <w:vAlign w:val="center"/>
          </w:tcPr>
          <w:p w14:paraId="1BC4F4FD">
            <w:pPr>
              <w:widowControl/>
              <w:jc w:val="center"/>
              <w:textAlignment w:val="center"/>
              <w:rPr>
                <w:rFonts w:hint="default" w:ascii="Times New Roman" w:hAnsi="Times New Roman" w:cs="Times New Roman"/>
                <w:color w:val="000000"/>
                <w:kern w:val="0"/>
                <w:sz w:val="18"/>
                <w:szCs w:val="18"/>
                <w:lang w:bidi="ar"/>
              </w:rPr>
            </w:pPr>
            <w:r>
              <w:rPr>
                <w:rFonts w:hint="default" w:ascii="Times New Roman" w:hAnsi="Times New Roman" w:cs="Times New Roman"/>
                <w:color w:val="000000"/>
                <w:kern w:val="0"/>
                <w:sz w:val="18"/>
                <w:szCs w:val="18"/>
                <w:lang w:bidi="ar"/>
              </w:rPr>
              <w:t>0</w:t>
            </w:r>
          </w:p>
        </w:tc>
        <w:tc>
          <w:tcPr>
            <w:tcW w:w="1758" w:type="dxa"/>
            <w:noWrap w:val="0"/>
            <w:vAlign w:val="center"/>
          </w:tcPr>
          <w:p w14:paraId="2566E1CD">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c>
          <w:tcPr>
            <w:tcW w:w="1405" w:type="dxa"/>
            <w:noWrap w:val="0"/>
            <w:vAlign w:val="center"/>
          </w:tcPr>
          <w:p w14:paraId="1F549269">
            <w:pPr>
              <w:widowControl/>
              <w:jc w:val="center"/>
              <w:textAlignment w:val="center"/>
              <w:rPr>
                <w:rFonts w:hint="default" w:ascii="Times New Roman" w:hAnsi="Times New Roman" w:cs="Times New Roman"/>
                <w:color w:val="000000"/>
                <w:sz w:val="18"/>
                <w:szCs w:val="18"/>
              </w:rPr>
            </w:pPr>
            <w:r>
              <w:rPr>
                <w:rFonts w:hint="default" w:ascii="Times New Roman" w:hAnsi="Times New Roman" w:cs="Times New Roman"/>
                <w:color w:val="000000"/>
                <w:sz w:val="18"/>
                <w:szCs w:val="18"/>
              </w:rPr>
              <w:t>0.01t/a</w:t>
            </w:r>
          </w:p>
        </w:tc>
      </w:tr>
    </w:tbl>
    <w:p w14:paraId="2E1CEEC7">
      <w:pPr>
        <w:pStyle w:val="43"/>
        <w:spacing w:before="192" w:beforeLines="80" w:after="24"/>
        <w:jc w:val="left"/>
        <w:rPr>
          <w:rFonts w:hint="default" w:ascii="Times New Roman" w:hAnsi="Times New Roman" w:cs="Times New Roman"/>
        </w:rPr>
        <w:sectPr>
          <w:footerReference r:id="rId6" w:type="default"/>
          <w:pgSz w:w="16838" w:h="11906" w:orient="landscape"/>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snapToGrid w:val="0"/>
          <w:color w:val="000000"/>
          <w:kern w:val="21"/>
          <w:szCs w:val="21"/>
        </w:rPr>
        <w:t>注：</w:t>
      </w:r>
      <w:r>
        <w:rPr>
          <w:rFonts w:hint="default" w:ascii="Times New Roman" w:hAnsi="Times New Roman" w:cs="Times New Roman"/>
          <w:snapToGrid w:val="0"/>
          <w:color w:val="000000"/>
          <w:spacing w:val="-16"/>
          <w:kern w:val="21"/>
          <w:szCs w:val="21"/>
        </w:rPr>
        <w:fldChar w:fldCharType="begin"/>
      </w:r>
      <w:r>
        <w:rPr>
          <w:rFonts w:hint="default" w:ascii="Times New Roman" w:hAnsi="Times New Roman" w:cs="Times New Roman"/>
          <w:snapToGrid w:val="0"/>
          <w:color w:val="000000"/>
          <w:spacing w:val="-16"/>
          <w:kern w:val="21"/>
          <w:szCs w:val="21"/>
        </w:rPr>
        <w:instrText xml:space="preserve"> = 6 \* GB3 \* MERGEFORMAT </w:instrText>
      </w:r>
      <w:r>
        <w:rPr>
          <w:rFonts w:hint="default" w:ascii="Times New Roman" w:hAnsi="Times New Roman" w:cs="Times New Roman"/>
          <w:snapToGrid w:val="0"/>
          <w:color w:val="000000"/>
          <w:spacing w:val="-16"/>
          <w:kern w:val="21"/>
          <w:szCs w:val="21"/>
        </w:rPr>
        <w:fldChar w:fldCharType="separate"/>
      </w:r>
      <w:r>
        <w:rPr>
          <w:rFonts w:hint="default" w:ascii="Times New Roman" w:hAnsi="Times New Roman" w:cs="Times New Roman"/>
          <w:szCs w:val="21"/>
        </w:rPr>
        <w:t>⑥</w:t>
      </w:r>
      <w:r>
        <w:rPr>
          <w:rFonts w:hint="default" w:ascii="Times New Roman" w:hAnsi="Times New Roman" w:cs="Times New Roman"/>
          <w:snapToGrid w:val="0"/>
          <w:color w:val="000000"/>
          <w:spacing w:val="-16"/>
          <w:kern w:val="21"/>
          <w:szCs w:val="21"/>
        </w:rPr>
        <w:fldChar w:fldCharType="end"/>
      </w:r>
      <w:r>
        <w:rPr>
          <w:rFonts w:hint="default" w:ascii="Times New Roman" w:hAnsi="Times New Roman" w:cs="Times New Roman"/>
          <w:snapToGrid w:val="0"/>
          <w:color w:val="000000"/>
          <w:spacing w:val="-16"/>
          <w:kern w:val="21"/>
          <w:szCs w:val="21"/>
        </w:rPr>
        <w:t>=</w:t>
      </w:r>
      <w:r>
        <w:rPr>
          <w:rFonts w:hint="default" w:ascii="Times New Roman" w:hAnsi="Times New Roman" w:cs="Times New Roman"/>
          <w:snapToGrid w:val="0"/>
          <w:color w:val="000000"/>
          <w:spacing w:val="-6"/>
          <w:kern w:val="21"/>
          <w:szCs w:val="21"/>
        </w:rPr>
        <w:fldChar w:fldCharType="begin"/>
      </w:r>
      <w:r>
        <w:rPr>
          <w:rFonts w:hint="default" w:ascii="Times New Roman" w:hAnsi="Times New Roman" w:cs="Times New Roman"/>
          <w:snapToGrid w:val="0"/>
          <w:color w:val="000000"/>
          <w:spacing w:val="-6"/>
          <w:kern w:val="21"/>
          <w:szCs w:val="21"/>
        </w:rPr>
        <w:instrText xml:space="preserve"> = 1 \* GB3 \* MERGEFORMAT </w:instrText>
      </w:r>
      <w:r>
        <w:rPr>
          <w:rFonts w:hint="default" w:ascii="Times New Roman" w:hAnsi="Times New Roman" w:cs="Times New Roman"/>
          <w:snapToGrid w:val="0"/>
          <w:color w:val="000000"/>
          <w:spacing w:val="-6"/>
          <w:kern w:val="21"/>
          <w:szCs w:val="21"/>
        </w:rPr>
        <w:fldChar w:fldCharType="separate"/>
      </w:r>
      <w:r>
        <w:rPr>
          <w:rFonts w:hint="default" w:ascii="Times New Roman" w:hAnsi="Times New Roman" w:cs="Times New Roman"/>
          <w:szCs w:val="21"/>
        </w:rPr>
        <w:t>①</w:t>
      </w:r>
      <w:r>
        <w:rPr>
          <w:rFonts w:hint="default" w:ascii="Times New Roman" w:hAnsi="Times New Roman" w:cs="Times New Roman"/>
          <w:snapToGrid w:val="0"/>
          <w:color w:val="000000"/>
          <w:spacing w:val="-6"/>
          <w:kern w:val="21"/>
          <w:szCs w:val="21"/>
        </w:rPr>
        <w:fldChar w:fldCharType="end"/>
      </w:r>
      <w:r>
        <w:rPr>
          <w:rFonts w:hint="default" w:ascii="Times New Roman" w:hAnsi="Times New Roman" w:cs="Times New Roman"/>
          <w:snapToGrid w:val="0"/>
          <w:color w:val="000000"/>
          <w:spacing w:val="-6"/>
          <w:kern w:val="21"/>
          <w:szCs w:val="21"/>
        </w:rPr>
        <w:t>+</w:t>
      </w:r>
      <w:r>
        <w:rPr>
          <w:rFonts w:hint="default" w:ascii="Times New Roman" w:hAnsi="Times New Roman" w:cs="Times New Roman"/>
          <w:snapToGrid w:val="0"/>
          <w:color w:val="000000"/>
          <w:spacing w:val="-6"/>
          <w:kern w:val="21"/>
          <w:szCs w:val="21"/>
        </w:rPr>
        <w:fldChar w:fldCharType="begin"/>
      </w:r>
      <w:r>
        <w:rPr>
          <w:rFonts w:hint="default" w:ascii="Times New Roman" w:hAnsi="Times New Roman" w:cs="Times New Roman"/>
          <w:snapToGrid w:val="0"/>
          <w:color w:val="000000"/>
          <w:spacing w:val="-6"/>
          <w:kern w:val="21"/>
          <w:szCs w:val="21"/>
        </w:rPr>
        <w:instrText xml:space="preserve"> = 3 \* GB3 \* MERGEFORMAT </w:instrText>
      </w:r>
      <w:r>
        <w:rPr>
          <w:rFonts w:hint="default" w:ascii="Times New Roman" w:hAnsi="Times New Roman" w:cs="Times New Roman"/>
          <w:snapToGrid w:val="0"/>
          <w:color w:val="000000"/>
          <w:spacing w:val="-6"/>
          <w:kern w:val="21"/>
          <w:szCs w:val="21"/>
        </w:rPr>
        <w:fldChar w:fldCharType="separate"/>
      </w:r>
      <w:r>
        <w:rPr>
          <w:rFonts w:hint="default" w:ascii="Times New Roman" w:hAnsi="Times New Roman" w:cs="Times New Roman"/>
          <w:szCs w:val="21"/>
        </w:rPr>
        <w:t>③</w:t>
      </w:r>
      <w:r>
        <w:rPr>
          <w:rFonts w:hint="default" w:ascii="Times New Roman" w:hAnsi="Times New Roman" w:cs="Times New Roman"/>
          <w:snapToGrid w:val="0"/>
          <w:color w:val="000000"/>
          <w:spacing w:val="-6"/>
          <w:kern w:val="21"/>
          <w:szCs w:val="21"/>
        </w:rPr>
        <w:fldChar w:fldCharType="end"/>
      </w:r>
      <w:r>
        <w:rPr>
          <w:rFonts w:hint="default" w:ascii="Times New Roman" w:hAnsi="Times New Roman" w:cs="Times New Roman"/>
          <w:snapToGrid w:val="0"/>
          <w:color w:val="000000"/>
          <w:spacing w:val="-6"/>
          <w:kern w:val="21"/>
          <w:szCs w:val="21"/>
        </w:rPr>
        <w:t>+</w:t>
      </w:r>
      <w:r>
        <w:rPr>
          <w:rFonts w:hint="default" w:ascii="Times New Roman" w:hAnsi="Times New Roman" w:cs="Times New Roman"/>
          <w:snapToGrid w:val="0"/>
          <w:color w:val="000000"/>
          <w:spacing w:val="-6"/>
          <w:kern w:val="21"/>
          <w:szCs w:val="21"/>
        </w:rPr>
        <w:fldChar w:fldCharType="begin"/>
      </w:r>
      <w:r>
        <w:rPr>
          <w:rFonts w:hint="default" w:ascii="Times New Roman" w:hAnsi="Times New Roman" w:cs="Times New Roman"/>
          <w:snapToGrid w:val="0"/>
          <w:color w:val="000000"/>
          <w:spacing w:val="-6"/>
          <w:kern w:val="21"/>
          <w:szCs w:val="21"/>
        </w:rPr>
        <w:instrText xml:space="preserve"> = 4 \* GB3 \* MERGEFORMAT </w:instrText>
      </w:r>
      <w:r>
        <w:rPr>
          <w:rFonts w:hint="default" w:ascii="Times New Roman" w:hAnsi="Times New Roman" w:cs="Times New Roman"/>
          <w:snapToGrid w:val="0"/>
          <w:color w:val="000000"/>
          <w:spacing w:val="-6"/>
          <w:kern w:val="21"/>
          <w:szCs w:val="21"/>
        </w:rPr>
        <w:fldChar w:fldCharType="separate"/>
      </w:r>
      <w:r>
        <w:rPr>
          <w:rFonts w:hint="default" w:ascii="Times New Roman" w:hAnsi="Times New Roman" w:cs="Times New Roman"/>
          <w:szCs w:val="21"/>
        </w:rPr>
        <w:t>④</w:t>
      </w:r>
      <w:r>
        <w:rPr>
          <w:rFonts w:hint="default" w:ascii="Times New Roman" w:hAnsi="Times New Roman" w:cs="Times New Roman"/>
          <w:snapToGrid w:val="0"/>
          <w:color w:val="000000"/>
          <w:spacing w:val="-6"/>
          <w:kern w:val="21"/>
          <w:szCs w:val="21"/>
        </w:rPr>
        <w:fldChar w:fldCharType="end"/>
      </w:r>
      <w:r>
        <w:rPr>
          <w:rFonts w:hint="default" w:ascii="Times New Roman" w:hAnsi="Times New Roman" w:cs="Times New Roman"/>
          <w:snapToGrid w:val="0"/>
          <w:color w:val="000000"/>
          <w:spacing w:val="-6"/>
          <w:kern w:val="21"/>
          <w:szCs w:val="21"/>
        </w:rPr>
        <w:t>-</w:t>
      </w:r>
      <w:r>
        <w:rPr>
          <w:rFonts w:hint="default" w:ascii="Times New Roman" w:hAnsi="Times New Roman" w:cs="Times New Roman"/>
          <w:snapToGrid w:val="0"/>
          <w:color w:val="000000"/>
          <w:spacing w:val="-16"/>
          <w:kern w:val="21"/>
          <w:szCs w:val="21"/>
        </w:rPr>
        <w:fldChar w:fldCharType="begin"/>
      </w:r>
      <w:r>
        <w:rPr>
          <w:rFonts w:hint="default" w:ascii="Times New Roman" w:hAnsi="Times New Roman" w:cs="Times New Roman"/>
          <w:snapToGrid w:val="0"/>
          <w:color w:val="000000"/>
          <w:spacing w:val="-16"/>
          <w:kern w:val="21"/>
          <w:szCs w:val="21"/>
        </w:rPr>
        <w:instrText xml:space="preserve"> = 5 \* GB3 \* MERGEFORMAT </w:instrText>
      </w:r>
      <w:r>
        <w:rPr>
          <w:rFonts w:hint="default" w:ascii="Times New Roman" w:hAnsi="Times New Roman" w:cs="Times New Roman"/>
          <w:snapToGrid w:val="0"/>
          <w:color w:val="000000"/>
          <w:spacing w:val="-16"/>
          <w:kern w:val="21"/>
          <w:szCs w:val="21"/>
        </w:rPr>
        <w:fldChar w:fldCharType="separate"/>
      </w:r>
      <w:r>
        <w:rPr>
          <w:rFonts w:hint="default" w:ascii="Times New Roman" w:hAnsi="Times New Roman" w:cs="Times New Roman"/>
          <w:szCs w:val="21"/>
        </w:rPr>
        <w:t>⑤</w:t>
      </w:r>
      <w:r>
        <w:rPr>
          <w:rFonts w:hint="default" w:ascii="Times New Roman" w:hAnsi="Times New Roman" w:cs="Times New Roman"/>
          <w:snapToGrid w:val="0"/>
          <w:color w:val="000000"/>
          <w:spacing w:val="-16"/>
          <w:kern w:val="21"/>
          <w:szCs w:val="21"/>
        </w:rPr>
        <w:fldChar w:fldCharType="end"/>
      </w:r>
      <w:r>
        <w:rPr>
          <w:rFonts w:hint="default" w:ascii="Times New Roman" w:hAnsi="Times New Roman" w:cs="Times New Roman"/>
          <w:snapToGrid w:val="0"/>
          <w:color w:val="000000"/>
          <w:spacing w:val="-16"/>
          <w:kern w:val="21"/>
          <w:szCs w:val="21"/>
        </w:rPr>
        <w:t>；</w:t>
      </w:r>
      <w:r>
        <w:rPr>
          <w:rFonts w:hint="default" w:ascii="Times New Roman" w:hAnsi="Times New Roman" w:cs="Times New Roman"/>
          <w:snapToGrid w:val="0"/>
          <w:color w:val="000000"/>
          <w:spacing w:val="-6"/>
          <w:kern w:val="21"/>
          <w:szCs w:val="21"/>
        </w:rPr>
        <w:fldChar w:fldCharType="begin"/>
      </w:r>
      <w:r>
        <w:rPr>
          <w:rFonts w:hint="default" w:ascii="Times New Roman" w:hAnsi="Times New Roman" w:cs="Times New Roman"/>
          <w:snapToGrid w:val="0"/>
          <w:color w:val="000000"/>
          <w:spacing w:val="-6"/>
          <w:kern w:val="21"/>
          <w:szCs w:val="21"/>
        </w:rPr>
        <w:instrText xml:space="preserve"> = 7 \* GB3 \* MERGEFORMAT </w:instrText>
      </w:r>
      <w:r>
        <w:rPr>
          <w:rFonts w:hint="default" w:ascii="Times New Roman" w:hAnsi="Times New Roman" w:cs="Times New Roman"/>
          <w:snapToGrid w:val="0"/>
          <w:color w:val="000000"/>
          <w:spacing w:val="-6"/>
          <w:kern w:val="21"/>
          <w:szCs w:val="21"/>
        </w:rPr>
        <w:fldChar w:fldCharType="separate"/>
      </w:r>
      <w:r>
        <w:rPr>
          <w:rFonts w:hint="default" w:ascii="Times New Roman" w:hAnsi="Times New Roman" w:cs="Times New Roman"/>
          <w:szCs w:val="21"/>
        </w:rPr>
        <w:t>⑦</w:t>
      </w:r>
      <w:r>
        <w:rPr>
          <w:rFonts w:hint="default" w:ascii="Times New Roman" w:hAnsi="Times New Roman" w:cs="Times New Roman"/>
          <w:snapToGrid w:val="0"/>
          <w:color w:val="000000"/>
          <w:spacing w:val="-6"/>
          <w:kern w:val="21"/>
          <w:szCs w:val="21"/>
        </w:rPr>
        <w:fldChar w:fldCharType="end"/>
      </w:r>
      <w:r>
        <w:rPr>
          <w:rFonts w:hint="default" w:ascii="Times New Roman" w:hAnsi="Times New Roman" w:cs="Times New Roman"/>
          <w:snapToGrid w:val="0"/>
          <w:color w:val="000000"/>
          <w:spacing w:val="-6"/>
          <w:kern w:val="21"/>
          <w:szCs w:val="21"/>
        </w:rPr>
        <w:t>=</w:t>
      </w:r>
      <w:r>
        <w:rPr>
          <w:rFonts w:hint="default" w:ascii="Times New Roman" w:hAnsi="Times New Roman" w:cs="Times New Roman"/>
          <w:snapToGrid w:val="0"/>
          <w:color w:val="000000"/>
          <w:spacing w:val="-16"/>
          <w:kern w:val="21"/>
          <w:szCs w:val="21"/>
        </w:rPr>
        <w:fldChar w:fldCharType="begin"/>
      </w:r>
      <w:r>
        <w:rPr>
          <w:rFonts w:hint="default" w:ascii="Times New Roman" w:hAnsi="Times New Roman" w:cs="Times New Roman"/>
          <w:snapToGrid w:val="0"/>
          <w:color w:val="000000"/>
          <w:spacing w:val="-16"/>
          <w:kern w:val="21"/>
          <w:szCs w:val="21"/>
        </w:rPr>
        <w:instrText xml:space="preserve"> = 6 \* GB3 \* MERGEFORMAT </w:instrText>
      </w:r>
      <w:r>
        <w:rPr>
          <w:rFonts w:hint="default" w:ascii="Times New Roman" w:hAnsi="Times New Roman" w:cs="Times New Roman"/>
          <w:snapToGrid w:val="0"/>
          <w:color w:val="000000"/>
          <w:spacing w:val="-16"/>
          <w:kern w:val="21"/>
          <w:szCs w:val="21"/>
        </w:rPr>
        <w:fldChar w:fldCharType="separate"/>
      </w:r>
      <w:r>
        <w:rPr>
          <w:rFonts w:hint="default" w:ascii="Times New Roman" w:hAnsi="Times New Roman" w:cs="Times New Roman"/>
          <w:szCs w:val="21"/>
        </w:rPr>
        <w:t>⑥</w:t>
      </w:r>
      <w:r>
        <w:rPr>
          <w:rFonts w:hint="default" w:ascii="Times New Roman" w:hAnsi="Times New Roman" w:cs="Times New Roman"/>
          <w:snapToGrid w:val="0"/>
          <w:color w:val="000000"/>
          <w:spacing w:val="-16"/>
          <w:kern w:val="21"/>
          <w:szCs w:val="21"/>
        </w:rPr>
        <w:fldChar w:fldCharType="end"/>
      </w:r>
      <w:r>
        <w:rPr>
          <w:rFonts w:hint="default" w:ascii="Times New Roman" w:hAnsi="Times New Roman" w:cs="Times New Roman"/>
          <w:snapToGrid w:val="0"/>
          <w:color w:val="000000"/>
          <w:spacing w:val="-16"/>
          <w:kern w:val="21"/>
          <w:szCs w:val="21"/>
        </w:rPr>
        <w:t>-</w:t>
      </w:r>
      <w:r>
        <w:rPr>
          <w:rFonts w:hint="default" w:ascii="Times New Roman" w:hAnsi="Times New Roman" w:cs="Times New Roman"/>
          <w:snapToGrid w:val="0"/>
          <w:color w:val="000000"/>
          <w:spacing w:val="-6"/>
          <w:kern w:val="21"/>
          <w:szCs w:val="21"/>
        </w:rPr>
        <w:fldChar w:fldCharType="begin"/>
      </w:r>
      <w:r>
        <w:rPr>
          <w:rFonts w:hint="default" w:ascii="Times New Roman" w:hAnsi="Times New Roman" w:cs="Times New Roman"/>
          <w:snapToGrid w:val="0"/>
          <w:color w:val="000000"/>
          <w:spacing w:val="-6"/>
          <w:kern w:val="21"/>
          <w:szCs w:val="21"/>
        </w:rPr>
        <w:instrText xml:space="preserve"> = 1 \* GB3 \* MERGEFORMAT </w:instrText>
      </w:r>
      <w:r>
        <w:rPr>
          <w:rFonts w:hint="default" w:ascii="Times New Roman" w:hAnsi="Times New Roman" w:cs="Times New Roman"/>
          <w:snapToGrid w:val="0"/>
          <w:color w:val="000000"/>
          <w:spacing w:val="-6"/>
          <w:kern w:val="21"/>
          <w:szCs w:val="21"/>
        </w:rPr>
        <w:fldChar w:fldCharType="separate"/>
      </w:r>
      <w:r>
        <w:rPr>
          <w:rFonts w:hint="default" w:ascii="Times New Roman" w:hAnsi="Times New Roman" w:cs="Times New Roman"/>
          <w:szCs w:val="21"/>
        </w:rPr>
        <w:t>①</w:t>
      </w:r>
      <w:r>
        <w:rPr>
          <w:rFonts w:hint="default" w:ascii="Times New Roman" w:hAnsi="Times New Roman" w:cs="Times New Roman"/>
          <w:snapToGrid w:val="0"/>
          <w:color w:val="000000"/>
          <w:spacing w:val="-6"/>
          <w:kern w:val="21"/>
          <w:szCs w:val="21"/>
        </w:rPr>
        <w:fldChar w:fldCharType="end"/>
      </w:r>
    </w:p>
    <w:p w14:paraId="07E8F29B">
      <w:pPr>
        <w:rPr>
          <w:rFonts w:ascii="宋体" w:hAnsi="宋体" w:eastAsia="黑体"/>
        </w:rPr>
      </w:pPr>
    </w:p>
    <w:sectPr>
      <w:footerReference r:id="rId7" w:type="default"/>
      <w:pgSz w:w="11906" w:h="16838"/>
      <w:pgMar w:top="1701" w:right="1531" w:bottom="1701" w:left="1531" w:header="851" w:footer="851" w:gutter="0"/>
      <w:pgBorders>
        <w:top w:val="none" w:sz="0" w:space="0"/>
        <w:left w:val="none" w:sz="0" w:space="0"/>
        <w:bottom w:val="none" w:sz="0" w:space="0"/>
        <w:right w:val="none" w:sz="0" w:space="0"/>
      </w:pgBorders>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AFF" w:usb1="C0007841" w:usb2="00000009" w:usb3="00000000" w:csb0="400001FF" w:csb1="FFFF0000"/>
  </w:font>
  <w:font w:name="宋体">
    <w:panose1 w:val="02010600030101010101"/>
    <w:charset w:val="0D"/>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4752B22-237A-42E6-869C-86CB55C3E25B}"/>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E9D7ECC5-8C66-4F18-A2D9-49AA9CC058D3}"/>
  </w:font>
  <w:font w:name="仿宋">
    <w:panose1 w:val="02010609060101010101"/>
    <w:charset w:val="86"/>
    <w:family w:val="modern"/>
    <w:pitch w:val="default"/>
    <w:sig w:usb0="800002BF" w:usb1="38CF7CFA" w:usb2="00000016" w:usb3="00000000" w:csb0="00040001" w:csb1="00000000"/>
    <w:embedRegular r:id="rId3" w:fontKey="{7C8D06F3-10A4-498E-B821-90FA6AAB7550}"/>
  </w:font>
  <w:font w:name="方正小标宋_GBK">
    <w:panose1 w:val="02000000000000000000"/>
    <w:charset w:val="86"/>
    <w:family w:val="script"/>
    <w:pitch w:val="default"/>
    <w:sig w:usb0="A00002BF" w:usb1="38CF7CFA" w:usb2="00082016" w:usb3="00000000" w:csb0="00040001" w:csb1="00000000"/>
    <w:embedRegular r:id="rId4" w:fontKey="{998A10F7-78D3-4539-AD50-B8A50B7658C8}"/>
  </w:font>
  <w:font w:name="楷体_GB2312">
    <w:panose1 w:val="02010609030101010101"/>
    <w:charset w:val="86"/>
    <w:family w:val="modern"/>
    <w:pitch w:val="default"/>
    <w:sig w:usb0="00000001" w:usb1="080E0000" w:usb2="00000000" w:usb3="00000000" w:csb0="00040000" w:csb1="00000000"/>
    <w:embedRegular r:id="rId5" w:fontKey="{F3A98C77-F946-4912-97E6-E89F0E91D1FA}"/>
  </w:font>
  <w:font w:name="华文仿宋">
    <w:panose1 w:val="02010600040101010101"/>
    <w:charset w:val="86"/>
    <w:family w:val="auto"/>
    <w:pitch w:val="default"/>
    <w:sig w:usb0="00000287" w:usb1="080F0000" w:usb2="00000000" w:usb3="00000000" w:csb0="0004009F" w:csb1="DFD70000"/>
    <w:embedRegular r:id="rId6" w:fontKey="{EAA65DEC-133C-4F15-956B-CD1DDEEC76AA}"/>
  </w:font>
  <w:font w:name="Wingdings 2">
    <w:panose1 w:val="05020102010507070707"/>
    <w:charset w:val="02"/>
    <w:family w:val="roman"/>
    <w:pitch w:val="default"/>
    <w:sig w:usb0="00000000" w:usb1="00000000" w:usb2="00000000" w:usb3="00000000" w:csb0="80000000" w:csb1="00000000"/>
    <w:embedRegular r:id="rId7" w:fontKey="{F66AE136-FE60-4A39-AE37-CF8AEA02181C}"/>
  </w:font>
  <w:font w:name="Helvetica">
    <w:altName w:val="Arial"/>
    <w:panose1 w:val="00000000000000000000"/>
    <w:charset w:val="00"/>
    <w:family w:val="roman"/>
    <w:pitch w:val="default"/>
    <w:sig w:usb0="00000000" w:usb1="00000000" w:usb2="00000000" w:usb3="00000000" w:csb0="00000001" w:csb1="00000000"/>
    <w:embedRegular r:id="rId8" w:fontKey="{CFD13D95-F565-43F8-BB54-3E1EB407177B}"/>
  </w:font>
  <w:font w:name="等线">
    <w:panose1 w:val="02010600030101010101"/>
    <w:charset w:val="86"/>
    <w:family w:val="auto"/>
    <w:pitch w:val="default"/>
    <w:sig w:usb0="A00002BF" w:usb1="38CF7CFA" w:usb2="00000016" w:usb3="00000000" w:csb0="0004000F" w:csb1="00000000"/>
    <w:embedRegular r:id="rId9" w:fontKey="{5CCD0B47-E29D-4EEE-9031-099D4CCFE021}"/>
  </w:font>
  <w:font w:name="Cambria Math">
    <w:panose1 w:val="02040503050406030204"/>
    <w:charset w:val="00"/>
    <w:family w:val="roman"/>
    <w:pitch w:val="default"/>
    <w:sig w:usb0="E00002FF" w:usb1="420024FF" w:usb2="00000000" w:usb3="00000000" w:csb0="2000019F" w:csb1="00000000"/>
    <w:embedRegular r:id="rId10" w:fontKey="{0B70D310-6ED4-4ACE-B7F8-162D72B8DB5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C5717">
    <w:pPr>
      <w:pStyle w:val="1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63258">
    <w:pPr>
      <w:pStyle w:val="16"/>
      <w:framePr w:wrap="around" w:vAnchor="text" w:hAnchor="margin" w:xAlign="center" w:y="1"/>
      <w:rPr>
        <w:rStyle w:val="26"/>
      </w:rPr>
    </w:pPr>
    <w:r>
      <w:fldChar w:fldCharType="begin"/>
    </w:r>
    <w:r>
      <w:rPr>
        <w:rStyle w:val="26"/>
      </w:rPr>
      <w:instrText xml:space="preserve">PAGE  </w:instrText>
    </w:r>
    <w:r>
      <w:fldChar w:fldCharType="end"/>
    </w:r>
  </w:p>
  <w:p w14:paraId="570975BB">
    <w:pPr>
      <w:pStyle w:val="16"/>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8AC7DC">
    <w:pPr>
      <w:pStyle w:val="16"/>
      <w:ind w:right="360"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20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5623255">
                          <w:pPr>
                            <w:pStyle w:val="16"/>
                          </w:pPr>
                          <w:r>
                            <w:fldChar w:fldCharType="begin"/>
                          </w:r>
                          <w:r>
                            <w:instrText xml:space="preserve"> PAGE  \* MERGEFORMAT </w:instrText>
                          </w:r>
                          <w:r>
                            <w:fldChar w:fldCharType="separate"/>
                          </w:r>
                          <w:r>
                            <w:t>29</w:t>
                          </w:r>
                          <w:r>
                            <w:fldChar w:fldCharType="end"/>
                          </w:r>
                        </w:p>
                      </w:txbxContent>
                    </wps:txbx>
                    <wps:bodyPr wrap="none" lIns="0" tIns="0" rIns="0" bIns="0" upright="0">
                      <a:spAutoFit/>
                    </wps:bodyPr>
                  </wps:wsp>
                </a:graphicData>
              </a:graphic>
            </wp:anchor>
          </w:drawing>
        </mc:Choice>
        <mc:Fallback>
          <w:pict>
            <v:shape id="文本框 2049"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P00VHDLAQAAnQMAAA4AAAAAAAAAAQAgAAAAHgEAAGRycy9lMm9E&#10;b2MueG1sUEsFBgAAAAAGAAYAWQEAAFsFAAAAAA==&#10;">
              <v:fill on="f" focussize="0,0"/>
              <v:stroke on="f"/>
              <v:imagedata o:title=""/>
              <o:lock v:ext="edit" aspectratio="f"/>
              <v:textbox inset="0mm,0mm,0mm,0mm" style="mso-fit-shape-to-text:t;">
                <w:txbxContent>
                  <w:p w14:paraId="05623255">
                    <w:pPr>
                      <w:pStyle w:val="16"/>
                    </w:pPr>
                    <w:r>
                      <w:fldChar w:fldCharType="begin"/>
                    </w:r>
                    <w:r>
                      <w:instrText xml:space="preserve"> PAGE  \* MERGEFORMAT </w:instrText>
                    </w:r>
                    <w:r>
                      <w:fldChar w:fldCharType="separate"/>
                    </w:r>
                    <w:r>
                      <w:t>29</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E02A3">
    <w:pPr>
      <w:pStyle w:val="16"/>
      <w:ind w:right="360"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20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8B2829A">
                          <w:pPr>
                            <w:pStyle w:val="16"/>
                          </w:pPr>
                          <w:r>
                            <w:fldChar w:fldCharType="begin"/>
                          </w:r>
                          <w:r>
                            <w:instrText xml:space="preserve"> PAGE  \* MERGEFORMAT </w:instrText>
                          </w:r>
                          <w:r>
                            <w:fldChar w:fldCharType="separate"/>
                          </w:r>
                          <w:r>
                            <w:t>63</w:t>
                          </w:r>
                          <w:r>
                            <w:fldChar w:fldCharType="end"/>
                          </w:r>
                        </w:p>
                      </w:txbxContent>
                    </wps:txbx>
                    <wps:bodyPr wrap="none" lIns="0" tIns="0" rIns="0" bIns="0" upright="0">
                      <a:spAutoFit/>
                    </wps:bodyPr>
                  </wps:wsp>
                </a:graphicData>
              </a:graphic>
            </wp:anchor>
          </w:drawing>
        </mc:Choice>
        <mc:Fallback>
          <w:pict>
            <v:shape id="文本框 2050"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DvlqOvLAQAAnQMAAA4AAAAAAAAAAQAgAAAAHgEAAGRycy9lMm9E&#10;b2MueG1sUEsFBgAAAAAGAAYAWQEAAFsFAAAAAA==&#10;">
              <v:fill on="f" focussize="0,0"/>
              <v:stroke on="f"/>
              <v:imagedata o:title=""/>
              <o:lock v:ext="edit" aspectratio="f"/>
              <v:textbox inset="0mm,0mm,0mm,0mm" style="mso-fit-shape-to-text:t;">
                <w:txbxContent>
                  <w:p w14:paraId="48B2829A">
                    <w:pPr>
                      <w:pStyle w:val="16"/>
                    </w:pPr>
                    <w:r>
                      <w:fldChar w:fldCharType="begin"/>
                    </w:r>
                    <w:r>
                      <w:instrText xml:space="preserve"> PAGE  \* MERGEFORMAT </w:instrText>
                    </w:r>
                    <w:r>
                      <w:fldChar w:fldCharType="separate"/>
                    </w:r>
                    <w:r>
                      <w:t>63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47AC7">
    <w:pPr>
      <w:pStyle w:val="16"/>
      <w:ind w:right="360" w:firstLine="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20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2F91E8E">
                          <w:pPr>
                            <w:pStyle w:val="16"/>
                          </w:pPr>
                          <w:r>
                            <w:fldChar w:fldCharType="begin"/>
                          </w:r>
                          <w:r>
                            <w:instrText xml:space="preserve"> PAGE  \* MERGEFORMAT </w:instrText>
                          </w:r>
                          <w:r>
                            <w:fldChar w:fldCharType="separate"/>
                          </w:r>
                          <w:r>
                            <w:t>64</w:t>
                          </w:r>
                          <w:r>
                            <w:fldChar w:fldCharType="end"/>
                          </w:r>
                        </w:p>
                      </w:txbxContent>
                    </wps:txbx>
                    <wps:bodyPr wrap="none" lIns="0" tIns="0" rIns="0" bIns="0" upright="0">
                      <a:spAutoFit/>
                    </wps:bodyPr>
                  </wps:wsp>
                </a:graphicData>
              </a:graphic>
            </wp:anchor>
          </w:drawing>
        </mc:Choice>
        <mc:Fallback>
          <w:pict>
            <v:shape id="文本框 2051"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PHoM13LAQAAnQMAAA4AAAAAAAAAAQAgAAAAHgEAAGRycy9lMm9E&#10;b2MueG1sUEsFBgAAAAAGAAYAWQEAAFsFAAAAAA==&#10;">
              <v:fill on="f" focussize="0,0"/>
              <v:stroke on="f"/>
              <v:imagedata o:title=""/>
              <o:lock v:ext="edit" aspectratio="f"/>
              <v:textbox inset="0mm,0mm,0mm,0mm" style="mso-fit-shape-to-text:t;">
                <w:txbxContent>
                  <w:p w14:paraId="62F91E8E">
                    <w:pPr>
                      <w:pStyle w:val="16"/>
                    </w:pPr>
                    <w:r>
                      <w:fldChar w:fldCharType="begin"/>
                    </w:r>
                    <w:r>
                      <w:instrText xml:space="preserve"> PAGE  \* MERGEFORMAT </w:instrText>
                    </w:r>
                    <w:r>
                      <w:fldChar w:fldCharType="separate"/>
                    </w:r>
                    <w:r>
                      <w:t>64</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1B0F1E"/>
    <w:multiLevelType w:val="singleLevel"/>
    <w:tmpl w:val="8D1B0F1E"/>
    <w:lvl w:ilvl="0" w:tentative="0">
      <w:start w:val="1"/>
      <w:numFmt w:val="decimal"/>
      <w:suff w:val="nothing"/>
      <w:lvlText w:val="%1）"/>
      <w:lvlJc w:val="left"/>
    </w:lvl>
  </w:abstractNum>
  <w:abstractNum w:abstractNumId="1">
    <w:nsid w:val="F866A9C9"/>
    <w:multiLevelType w:val="singleLevel"/>
    <w:tmpl w:val="F866A9C9"/>
    <w:lvl w:ilvl="0" w:tentative="0">
      <w:start w:val="2"/>
      <w:numFmt w:val="decimal"/>
      <w:suff w:val="nothing"/>
      <w:lvlText w:val="（%1）"/>
      <w:lvlJc w:val="left"/>
    </w:lvl>
  </w:abstractNum>
  <w:abstractNum w:abstractNumId="2">
    <w:nsid w:val="0632680F"/>
    <w:multiLevelType w:val="singleLevel"/>
    <w:tmpl w:val="0632680F"/>
    <w:lvl w:ilvl="0" w:tentative="0">
      <w:start w:val="1"/>
      <w:numFmt w:val="decimal"/>
      <w:suff w:val="nothing"/>
      <w:lvlText w:val="%1）"/>
      <w:lvlJc w:val="left"/>
    </w:lvl>
  </w:abstractNum>
  <w:abstractNum w:abstractNumId="3">
    <w:nsid w:val="0D3DA221"/>
    <w:multiLevelType w:val="singleLevel"/>
    <w:tmpl w:val="0D3DA221"/>
    <w:lvl w:ilvl="0" w:tentative="0">
      <w:start w:val="1"/>
      <w:numFmt w:val="decimal"/>
      <w:suff w:val="nothing"/>
      <w:lvlText w:val="%1、"/>
      <w:lvlJc w:val="left"/>
    </w:lvl>
  </w:abstractNum>
  <w:abstractNum w:abstractNumId="4">
    <w:nsid w:val="17B02B94"/>
    <w:multiLevelType w:val="singleLevel"/>
    <w:tmpl w:val="17B02B94"/>
    <w:lvl w:ilvl="0" w:tentative="0">
      <w:start w:val="6"/>
      <w:numFmt w:val="decimal"/>
      <w:suff w:val="nothing"/>
      <w:lvlText w:val="%1、"/>
      <w:lvlJc w:val="left"/>
    </w:lvl>
  </w:abstractNum>
  <w:num w:numId="1">
    <w:abstractNumId w:val="3"/>
  </w:num>
  <w:num w:numId="2">
    <w:abstractNumId w:val="0"/>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trackedChanges" w:enforcement="0"/>
  <w:defaultTabStop w:val="420"/>
  <w:hyphenationZone w:val="36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FkYTQxMjI4YjdiMTU4YjhkYjc4ZGEyNTllNDY2ZmYifQ=="/>
  </w:docVars>
  <w:rsids>
    <w:rsidRoot w:val="00A14947"/>
    <w:rsid w:val="000060B3"/>
    <w:rsid w:val="0004364B"/>
    <w:rsid w:val="00061B1F"/>
    <w:rsid w:val="000733C4"/>
    <w:rsid w:val="00074783"/>
    <w:rsid w:val="0008070B"/>
    <w:rsid w:val="000810AC"/>
    <w:rsid w:val="00081A02"/>
    <w:rsid w:val="00082231"/>
    <w:rsid w:val="00092D38"/>
    <w:rsid w:val="0009377B"/>
    <w:rsid w:val="000A20C9"/>
    <w:rsid w:val="000B058F"/>
    <w:rsid w:val="000B4467"/>
    <w:rsid w:val="000B4DB9"/>
    <w:rsid w:val="000C09AC"/>
    <w:rsid w:val="000C767F"/>
    <w:rsid w:val="000D5A44"/>
    <w:rsid w:val="000E3ED2"/>
    <w:rsid w:val="00131F42"/>
    <w:rsid w:val="001357F1"/>
    <w:rsid w:val="00140FA8"/>
    <w:rsid w:val="00142FEB"/>
    <w:rsid w:val="00143A2D"/>
    <w:rsid w:val="00145A41"/>
    <w:rsid w:val="00151675"/>
    <w:rsid w:val="00157435"/>
    <w:rsid w:val="001669D4"/>
    <w:rsid w:val="0017504D"/>
    <w:rsid w:val="0017671A"/>
    <w:rsid w:val="00177422"/>
    <w:rsid w:val="00184590"/>
    <w:rsid w:val="001870D1"/>
    <w:rsid w:val="0018781E"/>
    <w:rsid w:val="0019262D"/>
    <w:rsid w:val="001A1B35"/>
    <w:rsid w:val="001A48A2"/>
    <w:rsid w:val="001A6F61"/>
    <w:rsid w:val="001B1ED0"/>
    <w:rsid w:val="001B72B8"/>
    <w:rsid w:val="001C69B3"/>
    <w:rsid w:val="001D5595"/>
    <w:rsid w:val="001D7874"/>
    <w:rsid w:val="001D7F22"/>
    <w:rsid w:val="001E20CE"/>
    <w:rsid w:val="001F0F17"/>
    <w:rsid w:val="001F3347"/>
    <w:rsid w:val="001F69E4"/>
    <w:rsid w:val="002125B4"/>
    <w:rsid w:val="002155B8"/>
    <w:rsid w:val="00224839"/>
    <w:rsid w:val="002249B2"/>
    <w:rsid w:val="00226574"/>
    <w:rsid w:val="002278EC"/>
    <w:rsid w:val="0023280E"/>
    <w:rsid w:val="002377D1"/>
    <w:rsid w:val="002506BC"/>
    <w:rsid w:val="00254345"/>
    <w:rsid w:val="00264557"/>
    <w:rsid w:val="002805AB"/>
    <w:rsid w:val="00284204"/>
    <w:rsid w:val="00291773"/>
    <w:rsid w:val="002A168C"/>
    <w:rsid w:val="002A3DC7"/>
    <w:rsid w:val="002B49E2"/>
    <w:rsid w:val="002B7B00"/>
    <w:rsid w:val="002B7C44"/>
    <w:rsid w:val="002C2B17"/>
    <w:rsid w:val="002D3DD0"/>
    <w:rsid w:val="002E1F3A"/>
    <w:rsid w:val="002E298A"/>
    <w:rsid w:val="00301978"/>
    <w:rsid w:val="0030332C"/>
    <w:rsid w:val="003051C2"/>
    <w:rsid w:val="00312296"/>
    <w:rsid w:val="00314F0E"/>
    <w:rsid w:val="00321D8E"/>
    <w:rsid w:val="00325928"/>
    <w:rsid w:val="00332863"/>
    <w:rsid w:val="0033684D"/>
    <w:rsid w:val="00337B42"/>
    <w:rsid w:val="00341B42"/>
    <w:rsid w:val="0034348F"/>
    <w:rsid w:val="003521D9"/>
    <w:rsid w:val="00356653"/>
    <w:rsid w:val="0035743F"/>
    <w:rsid w:val="00357BE2"/>
    <w:rsid w:val="0036170C"/>
    <w:rsid w:val="00366E0F"/>
    <w:rsid w:val="00376AD6"/>
    <w:rsid w:val="00381A72"/>
    <w:rsid w:val="00384676"/>
    <w:rsid w:val="00390857"/>
    <w:rsid w:val="003A4BF3"/>
    <w:rsid w:val="003B420D"/>
    <w:rsid w:val="003C6C16"/>
    <w:rsid w:val="003D794D"/>
    <w:rsid w:val="003E3058"/>
    <w:rsid w:val="003E76A9"/>
    <w:rsid w:val="003F0809"/>
    <w:rsid w:val="003F6A8C"/>
    <w:rsid w:val="003F755C"/>
    <w:rsid w:val="00406F01"/>
    <w:rsid w:val="00416D50"/>
    <w:rsid w:val="00416FD5"/>
    <w:rsid w:val="00417772"/>
    <w:rsid w:val="00420E6A"/>
    <w:rsid w:val="00425A9E"/>
    <w:rsid w:val="00426D6B"/>
    <w:rsid w:val="00431E6C"/>
    <w:rsid w:val="00433CE7"/>
    <w:rsid w:val="00452738"/>
    <w:rsid w:val="00454B5B"/>
    <w:rsid w:val="00456091"/>
    <w:rsid w:val="0046572F"/>
    <w:rsid w:val="00466321"/>
    <w:rsid w:val="00484B9B"/>
    <w:rsid w:val="004855F6"/>
    <w:rsid w:val="0048661E"/>
    <w:rsid w:val="00494670"/>
    <w:rsid w:val="004A3823"/>
    <w:rsid w:val="004E6946"/>
    <w:rsid w:val="004F1AD8"/>
    <w:rsid w:val="005039CB"/>
    <w:rsid w:val="0050558F"/>
    <w:rsid w:val="00506286"/>
    <w:rsid w:val="00510813"/>
    <w:rsid w:val="00511990"/>
    <w:rsid w:val="00511DE0"/>
    <w:rsid w:val="00514870"/>
    <w:rsid w:val="00514B9B"/>
    <w:rsid w:val="00517F02"/>
    <w:rsid w:val="00524303"/>
    <w:rsid w:val="005258A2"/>
    <w:rsid w:val="005401AE"/>
    <w:rsid w:val="00542E07"/>
    <w:rsid w:val="00545424"/>
    <w:rsid w:val="00554A7B"/>
    <w:rsid w:val="0055572C"/>
    <w:rsid w:val="0056106A"/>
    <w:rsid w:val="005720AE"/>
    <w:rsid w:val="00594D77"/>
    <w:rsid w:val="005969E4"/>
    <w:rsid w:val="005A06B7"/>
    <w:rsid w:val="005A1759"/>
    <w:rsid w:val="005A68A7"/>
    <w:rsid w:val="005D36AB"/>
    <w:rsid w:val="005D5941"/>
    <w:rsid w:val="005F0B4C"/>
    <w:rsid w:val="00603F3E"/>
    <w:rsid w:val="00617CC3"/>
    <w:rsid w:val="006377A6"/>
    <w:rsid w:val="00637A3D"/>
    <w:rsid w:val="006411EF"/>
    <w:rsid w:val="006748B8"/>
    <w:rsid w:val="006775C3"/>
    <w:rsid w:val="0069290A"/>
    <w:rsid w:val="00694A35"/>
    <w:rsid w:val="0069775A"/>
    <w:rsid w:val="00697813"/>
    <w:rsid w:val="006A3EE8"/>
    <w:rsid w:val="006A72BF"/>
    <w:rsid w:val="006B03F2"/>
    <w:rsid w:val="006B37DC"/>
    <w:rsid w:val="006B4F68"/>
    <w:rsid w:val="006C0592"/>
    <w:rsid w:val="006C272E"/>
    <w:rsid w:val="006C5479"/>
    <w:rsid w:val="006D13B5"/>
    <w:rsid w:val="006E12FF"/>
    <w:rsid w:val="006E607E"/>
    <w:rsid w:val="006F37C1"/>
    <w:rsid w:val="00706C5D"/>
    <w:rsid w:val="00732922"/>
    <w:rsid w:val="0075162E"/>
    <w:rsid w:val="00754034"/>
    <w:rsid w:val="00756556"/>
    <w:rsid w:val="007618C4"/>
    <w:rsid w:val="00763D9D"/>
    <w:rsid w:val="00767980"/>
    <w:rsid w:val="00770B19"/>
    <w:rsid w:val="0077463F"/>
    <w:rsid w:val="007836EA"/>
    <w:rsid w:val="00784CDA"/>
    <w:rsid w:val="007906C4"/>
    <w:rsid w:val="007940EA"/>
    <w:rsid w:val="007967E8"/>
    <w:rsid w:val="007A2170"/>
    <w:rsid w:val="007A22BF"/>
    <w:rsid w:val="007A3323"/>
    <w:rsid w:val="007B72B8"/>
    <w:rsid w:val="007B7A58"/>
    <w:rsid w:val="007C21B5"/>
    <w:rsid w:val="007C6240"/>
    <w:rsid w:val="007E4BD2"/>
    <w:rsid w:val="007F261F"/>
    <w:rsid w:val="00801393"/>
    <w:rsid w:val="00802F88"/>
    <w:rsid w:val="0081293E"/>
    <w:rsid w:val="00815465"/>
    <w:rsid w:val="00817E9A"/>
    <w:rsid w:val="008306BD"/>
    <w:rsid w:val="00831A80"/>
    <w:rsid w:val="00833743"/>
    <w:rsid w:val="008340A4"/>
    <w:rsid w:val="0087135F"/>
    <w:rsid w:val="00872D94"/>
    <w:rsid w:val="00880364"/>
    <w:rsid w:val="00891592"/>
    <w:rsid w:val="00891E9E"/>
    <w:rsid w:val="008A2F68"/>
    <w:rsid w:val="008B4FA6"/>
    <w:rsid w:val="008B5282"/>
    <w:rsid w:val="008B7C17"/>
    <w:rsid w:val="008C2D01"/>
    <w:rsid w:val="008C40E6"/>
    <w:rsid w:val="008D0F7A"/>
    <w:rsid w:val="008D68E4"/>
    <w:rsid w:val="008E0506"/>
    <w:rsid w:val="008E0CFF"/>
    <w:rsid w:val="008E5D6B"/>
    <w:rsid w:val="008E76F0"/>
    <w:rsid w:val="008F15FE"/>
    <w:rsid w:val="008F2D29"/>
    <w:rsid w:val="008F5187"/>
    <w:rsid w:val="008F60D8"/>
    <w:rsid w:val="00902727"/>
    <w:rsid w:val="0090312B"/>
    <w:rsid w:val="0091736D"/>
    <w:rsid w:val="0093037A"/>
    <w:rsid w:val="0094154D"/>
    <w:rsid w:val="0095155F"/>
    <w:rsid w:val="00954429"/>
    <w:rsid w:val="009563CE"/>
    <w:rsid w:val="00976328"/>
    <w:rsid w:val="0097680D"/>
    <w:rsid w:val="00982438"/>
    <w:rsid w:val="0098404C"/>
    <w:rsid w:val="00985283"/>
    <w:rsid w:val="00995992"/>
    <w:rsid w:val="009A03E5"/>
    <w:rsid w:val="009A0F3B"/>
    <w:rsid w:val="009A1BB4"/>
    <w:rsid w:val="009A2628"/>
    <w:rsid w:val="009A3200"/>
    <w:rsid w:val="009B0897"/>
    <w:rsid w:val="009B7BD9"/>
    <w:rsid w:val="009C7DD5"/>
    <w:rsid w:val="009E227D"/>
    <w:rsid w:val="009E5019"/>
    <w:rsid w:val="00A04F1B"/>
    <w:rsid w:val="00A0501B"/>
    <w:rsid w:val="00A14947"/>
    <w:rsid w:val="00A32A83"/>
    <w:rsid w:val="00A368DB"/>
    <w:rsid w:val="00A423AA"/>
    <w:rsid w:val="00A53EC6"/>
    <w:rsid w:val="00A55C0F"/>
    <w:rsid w:val="00A8713F"/>
    <w:rsid w:val="00A90BA1"/>
    <w:rsid w:val="00A97A9A"/>
    <w:rsid w:val="00AA0671"/>
    <w:rsid w:val="00AA2531"/>
    <w:rsid w:val="00AB1E09"/>
    <w:rsid w:val="00AB5330"/>
    <w:rsid w:val="00AB7747"/>
    <w:rsid w:val="00AC14CE"/>
    <w:rsid w:val="00AC2A56"/>
    <w:rsid w:val="00AD055E"/>
    <w:rsid w:val="00AD47A7"/>
    <w:rsid w:val="00AF0CBF"/>
    <w:rsid w:val="00AF257F"/>
    <w:rsid w:val="00AF33CF"/>
    <w:rsid w:val="00AF4D50"/>
    <w:rsid w:val="00AF6179"/>
    <w:rsid w:val="00B1295A"/>
    <w:rsid w:val="00B20A45"/>
    <w:rsid w:val="00B22C5C"/>
    <w:rsid w:val="00B24F30"/>
    <w:rsid w:val="00B31ABF"/>
    <w:rsid w:val="00B33BE3"/>
    <w:rsid w:val="00B53B5D"/>
    <w:rsid w:val="00B6055E"/>
    <w:rsid w:val="00B6317D"/>
    <w:rsid w:val="00B7723F"/>
    <w:rsid w:val="00B80534"/>
    <w:rsid w:val="00B8433C"/>
    <w:rsid w:val="00B87491"/>
    <w:rsid w:val="00BA29E9"/>
    <w:rsid w:val="00BA7142"/>
    <w:rsid w:val="00BB237C"/>
    <w:rsid w:val="00BB41A3"/>
    <w:rsid w:val="00BC32DC"/>
    <w:rsid w:val="00BC35B6"/>
    <w:rsid w:val="00BD1B51"/>
    <w:rsid w:val="00BD4596"/>
    <w:rsid w:val="00BE1405"/>
    <w:rsid w:val="00BE312D"/>
    <w:rsid w:val="00BF1C20"/>
    <w:rsid w:val="00C10578"/>
    <w:rsid w:val="00C135BC"/>
    <w:rsid w:val="00C15C95"/>
    <w:rsid w:val="00C2596A"/>
    <w:rsid w:val="00C27537"/>
    <w:rsid w:val="00C328FE"/>
    <w:rsid w:val="00C33507"/>
    <w:rsid w:val="00C4409D"/>
    <w:rsid w:val="00C44E72"/>
    <w:rsid w:val="00C45A06"/>
    <w:rsid w:val="00C47E5B"/>
    <w:rsid w:val="00C61E4B"/>
    <w:rsid w:val="00C64BFF"/>
    <w:rsid w:val="00C704E9"/>
    <w:rsid w:val="00C763C9"/>
    <w:rsid w:val="00C80057"/>
    <w:rsid w:val="00C82232"/>
    <w:rsid w:val="00C82913"/>
    <w:rsid w:val="00C972B1"/>
    <w:rsid w:val="00CA2CCE"/>
    <w:rsid w:val="00CA43FD"/>
    <w:rsid w:val="00CA7EF8"/>
    <w:rsid w:val="00CC489B"/>
    <w:rsid w:val="00CD2BCD"/>
    <w:rsid w:val="00CD3A4C"/>
    <w:rsid w:val="00CE10E9"/>
    <w:rsid w:val="00CE2910"/>
    <w:rsid w:val="00CE5393"/>
    <w:rsid w:val="00CE7F69"/>
    <w:rsid w:val="00CF36BE"/>
    <w:rsid w:val="00CF6000"/>
    <w:rsid w:val="00D003F3"/>
    <w:rsid w:val="00D0364F"/>
    <w:rsid w:val="00D06834"/>
    <w:rsid w:val="00D308ED"/>
    <w:rsid w:val="00D36D86"/>
    <w:rsid w:val="00D428AA"/>
    <w:rsid w:val="00D50A34"/>
    <w:rsid w:val="00D53EFA"/>
    <w:rsid w:val="00D94A7C"/>
    <w:rsid w:val="00D95896"/>
    <w:rsid w:val="00DB2983"/>
    <w:rsid w:val="00DB6D45"/>
    <w:rsid w:val="00DC1257"/>
    <w:rsid w:val="00DC3DC0"/>
    <w:rsid w:val="00DC5B2B"/>
    <w:rsid w:val="00DD318D"/>
    <w:rsid w:val="00DF2E12"/>
    <w:rsid w:val="00DF514A"/>
    <w:rsid w:val="00DF6690"/>
    <w:rsid w:val="00DF6804"/>
    <w:rsid w:val="00E0358D"/>
    <w:rsid w:val="00E04323"/>
    <w:rsid w:val="00E070A2"/>
    <w:rsid w:val="00E2656A"/>
    <w:rsid w:val="00E412D0"/>
    <w:rsid w:val="00E56322"/>
    <w:rsid w:val="00E60982"/>
    <w:rsid w:val="00E62C62"/>
    <w:rsid w:val="00E654C1"/>
    <w:rsid w:val="00E65D97"/>
    <w:rsid w:val="00E67BD5"/>
    <w:rsid w:val="00E72A5A"/>
    <w:rsid w:val="00E73354"/>
    <w:rsid w:val="00E9242D"/>
    <w:rsid w:val="00EB5255"/>
    <w:rsid w:val="00EB5C47"/>
    <w:rsid w:val="00ED0639"/>
    <w:rsid w:val="00EF4755"/>
    <w:rsid w:val="00EF7135"/>
    <w:rsid w:val="00F027DB"/>
    <w:rsid w:val="00F14A7A"/>
    <w:rsid w:val="00F22985"/>
    <w:rsid w:val="00F3383E"/>
    <w:rsid w:val="00F465A7"/>
    <w:rsid w:val="00F50B7C"/>
    <w:rsid w:val="00F550E6"/>
    <w:rsid w:val="00F74345"/>
    <w:rsid w:val="00F80A0A"/>
    <w:rsid w:val="00F82B19"/>
    <w:rsid w:val="00F9212D"/>
    <w:rsid w:val="00F965DA"/>
    <w:rsid w:val="00FA406A"/>
    <w:rsid w:val="00FB503A"/>
    <w:rsid w:val="00FB516C"/>
    <w:rsid w:val="00FD0236"/>
    <w:rsid w:val="00FD18F4"/>
    <w:rsid w:val="00FD54DB"/>
    <w:rsid w:val="00FD619F"/>
    <w:rsid w:val="0104025E"/>
    <w:rsid w:val="01066BBC"/>
    <w:rsid w:val="01123EB7"/>
    <w:rsid w:val="01131FA8"/>
    <w:rsid w:val="01290F7E"/>
    <w:rsid w:val="015D1E09"/>
    <w:rsid w:val="023218CA"/>
    <w:rsid w:val="024435ED"/>
    <w:rsid w:val="02697903"/>
    <w:rsid w:val="02C07190"/>
    <w:rsid w:val="02EC25EA"/>
    <w:rsid w:val="02F22802"/>
    <w:rsid w:val="02F96569"/>
    <w:rsid w:val="03973085"/>
    <w:rsid w:val="03EA7B21"/>
    <w:rsid w:val="041A26D8"/>
    <w:rsid w:val="04264734"/>
    <w:rsid w:val="045A7E44"/>
    <w:rsid w:val="04913503"/>
    <w:rsid w:val="04BD0563"/>
    <w:rsid w:val="05F83EAE"/>
    <w:rsid w:val="060E23AC"/>
    <w:rsid w:val="063E7D85"/>
    <w:rsid w:val="065471FB"/>
    <w:rsid w:val="06B51934"/>
    <w:rsid w:val="06D71ECE"/>
    <w:rsid w:val="07293586"/>
    <w:rsid w:val="07295285"/>
    <w:rsid w:val="07636392"/>
    <w:rsid w:val="07770C56"/>
    <w:rsid w:val="079B73F0"/>
    <w:rsid w:val="07EF0692"/>
    <w:rsid w:val="080A4AD9"/>
    <w:rsid w:val="0857287F"/>
    <w:rsid w:val="087924EA"/>
    <w:rsid w:val="08A71983"/>
    <w:rsid w:val="092217DD"/>
    <w:rsid w:val="093A7294"/>
    <w:rsid w:val="095C5155"/>
    <w:rsid w:val="098F1F77"/>
    <w:rsid w:val="0A263993"/>
    <w:rsid w:val="0A2D3AC2"/>
    <w:rsid w:val="0AA43DAB"/>
    <w:rsid w:val="0AA755DF"/>
    <w:rsid w:val="0AC110ED"/>
    <w:rsid w:val="0B120D44"/>
    <w:rsid w:val="0B2823DD"/>
    <w:rsid w:val="0B5D14E6"/>
    <w:rsid w:val="0BB01141"/>
    <w:rsid w:val="0BD27BF6"/>
    <w:rsid w:val="0C3B3C7D"/>
    <w:rsid w:val="0C435B9B"/>
    <w:rsid w:val="0C4D5E73"/>
    <w:rsid w:val="0CAB2EAE"/>
    <w:rsid w:val="0CC22DD2"/>
    <w:rsid w:val="0CE148D2"/>
    <w:rsid w:val="0CFE343C"/>
    <w:rsid w:val="0D621C7D"/>
    <w:rsid w:val="0E73034D"/>
    <w:rsid w:val="0EFB73EF"/>
    <w:rsid w:val="0F0E7B3C"/>
    <w:rsid w:val="0F13775A"/>
    <w:rsid w:val="0F5F45FE"/>
    <w:rsid w:val="0F661726"/>
    <w:rsid w:val="0F7D6A31"/>
    <w:rsid w:val="0F7E35D1"/>
    <w:rsid w:val="0F7E66E4"/>
    <w:rsid w:val="0F9A112B"/>
    <w:rsid w:val="0FD736FD"/>
    <w:rsid w:val="100D1EE7"/>
    <w:rsid w:val="10175BFA"/>
    <w:rsid w:val="10335614"/>
    <w:rsid w:val="106D2F64"/>
    <w:rsid w:val="10B63710"/>
    <w:rsid w:val="10F10820"/>
    <w:rsid w:val="111C2F7A"/>
    <w:rsid w:val="11665CA1"/>
    <w:rsid w:val="12260CF8"/>
    <w:rsid w:val="12351F27"/>
    <w:rsid w:val="123A0C48"/>
    <w:rsid w:val="125E4238"/>
    <w:rsid w:val="127060FF"/>
    <w:rsid w:val="127A2246"/>
    <w:rsid w:val="12AA7A59"/>
    <w:rsid w:val="12BB2D75"/>
    <w:rsid w:val="12EA1F47"/>
    <w:rsid w:val="134A0A16"/>
    <w:rsid w:val="138658BF"/>
    <w:rsid w:val="13951726"/>
    <w:rsid w:val="141979E1"/>
    <w:rsid w:val="14396509"/>
    <w:rsid w:val="14DD2C3C"/>
    <w:rsid w:val="151D1788"/>
    <w:rsid w:val="156A4DDD"/>
    <w:rsid w:val="15C50129"/>
    <w:rsid w:val="15FD1E71"/>
    <w:rsid w:val="16087E1D"/>
    <w:rsid w:val="16A57248"/>
    <w:rsid w:val="17701D14"/>
    <w:rsid w:val="17735226"/>
    <w:rsid w:val="183A374F"/>
    <w:rsid w:val="189F624C"/>
    <w:rsid w:val="18A61E95"/>
    <w:rsid w:val="18C9073A"/>
    <w:rsid w:val="191960C1"/>
    <w:rsid w:val="19235B89"/>
    <w:rsid w:val="198F769B"/>
    <w:rsid w:val="19B84F47"/>
    <w:rsid w:val="19DF4C6C"/>
    <w:rsid w:val="1A162B8A"/>
    <w:rsid w:val="1A1C66C0"/>
    <w:rsid w:val="1A42393B"/>
    <w:rsid w:val="1A934D2E"/>
    <w:rsid w:val="1A9F4F41"/>
    <w:rsid w:val="1AAD45DE"/>
    <w:rsid w:val="1ADD237F"/>
    <w:rsid w:val="1AE93CEC"/>
    <w:rsid w:val="1B046F80"/>
    <w:rsid w:val="1B3267B5"/>
    <w:rsid w:val="1B40161D"/>
    <w:rsid w:val="1B441859"/>
    <w:rsid w:val="1B6606B1"/>
    <w:rsid w:val="1BB3045B"/>
    <w:rsid w:val="1C01469B"/>
    <w:rsid w:val="1C1C59EB"/>
    <w:rsid w:val="1C5E7925"/>
    <w:rsid w:val="1C780D06"/>
    <w:rsid w:val="1CDF0421"/>
    <w:rsid w:val="1CEB48FE"/>
    <w:rsid w:val="1CF01C4F"/>
    <w:rsid w:val="1CF66443"/>
    <w:rsid w:val="1CFD070F"/>
    <w:rsid w:val="1D5F6196"/>
    <w:rsid w:val="1D6132A5"/>
    <w:rsid w:val="1D8E56D5"/>
    <w:rsid w:val="1DD92CA4"/>
    <w:rsid w:val="1E4744D0"/>
    <w:rsid w:val="1E7A43DA"/>
    <w:rsid w:val="1E916852"/>
    <w:rsid w:val="1F147B51"/>
    <w:rsid w:val="1FD059CE"/>
    <w:rsid w:val="1FE7539E"/>
    <w:rsid w:val="1FF22B62"/>
    <w:rsid w:val="20671BE0"/>
    <w:rsid w:val="207D10C7"/>
    <w:rsid w:val="20874C5E"/>
    <w:rsid w:val="20963CB8"/>
    <w:rsid w:val="20A81A1B"/>
    <w:rsid w:val="20B07FB6"/>
    <w:rsid w:val="20B646FB"/>
    <w:rsid w:val="210E1196"/>
    <w:rsid w:val="211B3A38"/>
    <w:rsid w:val="213B74B1"/>
    <w:rsid w:val="215A2310"/>
    <w:rsid w:val="21DE318A"/>
    <w:rsid w:val="21EF5B80"/>
    <w:rsid w:val="22576990"/>
    <w:rsid w:val="22631C5A"/>
    <w:rsid w:val="228A52D3"/>
    <w:rsid w:val="22F47480"/>
    <w:rsid w:val="23522576"/>
    <w:rsid w:val="2354663A"/>
    <w:rsid w:val="23584E6F"/>
    <w:rsid w:val="23610C80"/>
    <w:rsid w:val="23DE1C48"/>
    <w:rsid w:val="240210CD"/>
    <w:rsid w:val="24BF09F7"/>
    <w:rsid w:val="24DF3BFB"/>
    <w:rsid w:val="252D53FE"/>
    <w:rsid w:val="254C60A9"/>
    <w:rsid w:val="25EC2D81"/>
    <w:rsid w:val="25F45EFD"/>
    <w:rsid w:val="26440527"/>
    <w:rsid w:val="266E65C6"/>
    <w:rsid w:val="268C3C23"/>
    <w:rsid w:val="27086C34"/>
    <w:rsid w:val="27220408"/>
    <w:rsid w:val="2753728B"/>
    <w:rsid w:val="277057A2"/>
    <w:rsid w:val="278913FE"/>
    <w:rsid w:val="28156FF0"/>
    <w:rsid w:val="281E524F"/>
    <w:rsid w:val="28481E7D"/>
    <w:rsid w:val="2865547B"/>
    <w:rsid w:val="28683FFC"/>
    <w:rsid w:val="29206EB8"/>
    <w:rsid w:val="29595666"/>
    <w:rsid w:val="29874881"/>
    <w:rsid w:val="29BD217C"/>
    <w:rsid w:val="29E325E0"/>
    <w:rsid w:val="29E968C4"/>
    <w:rsid w:val="2A452503"/>
    <w:rsid w:val="2A474AAF"/>
    <w:rsid w:val="2BA936A8"/>
    <w:rsid w:val="2C315A5A"/>
    <w:rsid w:val="2C4B1C25"/>
    <w:rsid w:val="2C7A0008"/>
    <w:rsid w:val="2D2F2E72"/>
    <w:rsid w:val="2D7160D7"/>
    <w:rsid w:val="2D9E56F5"/>
    <w:rsid w:val="2DA20B4D"/>
    <w:rsid w:val="2DA32378"/>
    <w:rsid w:val="2DDB1DFD"/>
    <w:rsid w:val="2E667F96"/>
    <w:rsid w:val="2E8226AB"/>
    <w:rsid w:val="2EE63891"/>
    <w:rsid w:val="2F2D569A"/>
    <w:rsid w:val="2F5947E8"/>
    <w:rsid w:val="2FB00E87"/>
    <w:rsid w:val="2FD065E6"/>
    <w:rsid w:val="2FD96870"/>
    <w:rsid w:val="30580BC9"/>
    <w:rsid w:val="30B347DA"/>
    <w:rsid w:val="30F94713"/>
    <w:rsid w:val="311E2ED7"/>
    <w:rsid w:val="314431F1"/>
    <w:rsid w:val="315619EE"/>
    <w:rsid w:val="315C449C"/>
    <w:rsid w:val="317D4CC1"/>
    <w:rsid w:val="31AC5B71"/>
    <w:rsid w:val="31B82709"/>
    <w:rsid w:val="31D05482"/>
    <w:rsid w:val="32400B34"/>
    <w:rsid w:val="326676A3"/>
    <w:rsid w:val="326C51CA"/>
    <w:rsid w:val="329E6876"/>
    <w:rsid w:val="32B0223E"/>
    <w:rsid w:val="333015F2"/>
    <w:rsid w:val="334B6320"/>
    <w:rsid w:val="33D934D4"/>
    <w:rsid w:val="33FE2F6A"/>
    <w:rsid w:val="340E07E5"/>
    <w:rsid w:val="34235BF7"/>
    <w:rsid w:val="343A1CD5"/>
    <w:rsid w:val="345C462A"/>
    <w:rsid w:val="3479690C"/>
    <w:rsid w:val="354958CA"/>
    <w:rsid w:val="358C5FA8"/>
    <w:rsid w:val="35C15DF1"/>
    <w:rsid w:val="36074A7F"/>
    <w:rsid w:val="360D7531"/>
    <w:rsid w:val="36797C62"/>
    <w:rsid w:val="36923549"/>
    <w:rsid w:val="36B75FBF"/>
    <w:rsid w:val="36BD0C45"/>
    <w:rsid w:val="36EC1E8A"/>
    <w:rsid w:val="372A6593"/>
    <w:rsid w:val="3740032D"/>
    <w:rsid w:val="37626020"/>
    <w:rsid w:val="378D22D4"/>
    <w:rsid w:val="379522F8"/>
    <w:rsid w:val="37E00298"/>
    <w:rsid w:val="38417D8A"/>
    <w:rsid w:val="385D38F0"/>
    <w:rsid w:val="388F785E"/>
    <w:rsid w:val="38B302F9"/>
    <w:rsid w:val="38DA238F"/>
    <w:rsid w:val="38F12CD3"/>
    <w:rsid w:val="38F94775"/>
    <w:rsid w:val="392971ED"/>
    <w:rsid w:val="392C25FB"/>
    <w:rsid w:val="39325651"/>
    <w:rsid w:val="39875C71"/>
    <w:rsid w:val="398820E4"/>
    <w:rsid w:val="39A86127"/>
    <w:rsid w:val="3A872856"/>
    <w:rsid w:val="3AAA19D0"/>
    <w:rsid w:val="3AE9785F"/>
    <w:rsid w:val="3AEF1584"/>
    <w:rsid w:val="3AF800AB"/>
    <w:rsid w:val="3B023801"/>
    <w:rsid w:val="3B0E78A2"/>
    <w:rsid w:val="3B3763D1"/>
    <w:rsid w:val="3B415899"/>
    <w:rsid w:val="3B9755C1"/>
    <w:rsid w:val="3BBD4D60"/>
    <w:rsid w:val="3C024D81"/>
    <w:rsid w:val="3C2F6E1E"/>
    <w:rsid w:val="3C4F64BA"/>
    <w:rsid w:val="3CA8353A"/>
    <w:rsid w:val="3CB66F99"/>
    <w:rsid w:val="3CDA245A"/>
    <w:rsid w:val="3CE50122"/>
    <w:rsid w:val="3CEB072C"/>
    <w:rsid w:val="3D1E06B7"/>
    <w:rsid w:val="3D257C7B"/>
    <w:rsid w:val="3D93058E"/>
    <w:rsid w:val="3DE273AC"/>
    <w:rsid w:val="3DF24001"/>
    <w:rsid w:val="3E502B28"/>
    <w:rsid w:val="3EDA0523"/>
    <w:rsid w:val="3F144331"/>
    <w:rsid w:val="3F71758E"/>
    <w:rsid w:val="3FC31270"/>
    <w:rsid w:val="3FCF12B8"/>
    <w:rsid w:val="3FFB388C"/>
    <w:rsid w:val="401276C1"/>
    <w:rsid w:val="407A6407"/>
    <w:rsid w:val="409D17EA"/>
    <w:rsid w:val="40B06FB3"/>
    <w:rsid w:val="4110479E"/>
    <w:rsid w:val="414D7C42"/>
    <w:rsid w:val="414F3185"/>
    <w:rsid w:val="41C11F6F"/>
    <w:rsid w:val="41EA4FEF"/>
    <w:rsid w:val="4200449D"/>
    <w:rsid w:val="423A3BCC"/>
    <w:rsid w:val="424E57D2"/>
    <w:rsid w:val="42B26C49"/>
    <w:rsid w:val="430F31E1"/>
    <w:rsid w:val="433A6FE6"/>
    <w:rsid w:val="43480868"/>
    <w:rsid w:val="4350713C"/>
    <w:rsid w:val="436653E0"/>
    <w:rsid w:val="43712958"/>
    <w:rsid w:val="43C4431A"/>
    <w:rsid w:val="44022F2A"/>
    <w:rsid w:val="44301E08"/>
    <w:rsid w:val="448F49AD"/>
    <w:rsid w:val="44B951CC"/>
    <w:rsid w:val="44CD14E0"/>
    <w:rsid w:val="44EA24D3"/>
    <w:rsid w:val="44F20B0B"/>
    <w:rsid w:val="451A6D66"/>
    <w:rsid w:val="452E5F4C"/>
    <w:rsid w:val="45612018"/>
    <w:rsid w:val="458946E9"/>
    <w:rsid w:val="45A47C0E"/>
    <w:rsid w:val="45B51E43"/>
    <w:rsid w:val="46007B4A"/>
    <w:rsid w:val="4657112E"/>
    <w:rsid w:val="46577FD6"/>
    <w:rsid w:val="46D049BB"/>
    <w:rsid w:val="46D955A7"/>
    <w:rsid w:val="46DD3D48"/>
    <w:rsid w:val="47133957"/>
    <w:rsid w:val="474B4019"/>
    <w:rsid w:val="47A07E0C"/>
    <w:rsid w:val="47D2703E"/>
    <w:rsid w:val="483F761D"/>
    <w:rsid w:val="4870272E"/>
    <w:rsid w:val="495319E4"/>
    <w:rsid w:val="496E3EC0"/>
    <w:rsid w:val="49717423"/>
    <w:rsid w:val="49AB4603"/>
    <w:rsid w:val="49DC7715"/>
    <w:rsid w:val="4A023139"/>
    <w:rsid w:val="4A301A0D"/>
    <w:rsid w:val="4A603CCB"/>
    <w:rsid w:val="4A7B576F"/>
    <w:rsid w:val="4ACC05C3"/>
    <w:rsid w:val="4AF561A9"/>
    <w:rsid w:val="4B806873"/>
    <w:rsid w:val="4B860A3F"/>
    <w:rsid w:val="4BBE458D"/>
    <w:rsid w:val="4BD75347"/>
    <w:rsid w:val="4C0C409A"/>
    <w:rsid w:val="4C4A0649"/>
    <w:rsid w:val="4C7C6752"/>
    <w:rsid w:val="4C7E5ECA"/>
    <w:rsid w:val="4C876AA5"/>
    <w:rsid w:val="4C8A31B1"/>
    <w:rsid w:val="4D0E00FB"/>
    <w:rsid w:val="4D176606"/>
    <w:rsid w:val="4D1F04D9"/>
    <w:rsid w:val="4DAE6208"/>
    <w:rsid w:val="4DEC4FB0"/>
    <w:rsid w:val="4E075D8A"/>
    <w:rsid w:val="4E5A514A"/>
    <w:rsid w:val="4E810B77"/>
    <w:rsid w:val="4EC00FAD"/>
    <w:rsid w:val="4F9843DC"/>
    <w:rsid w:val="4FAC7199"/>
    <w:rsid w:val="4FC62A8C"/>
    <w:rsid w:val="4FE20F0D"/>
    <w:rsid w:val="4FE51552"/>
    <w:rsid w:val="4FEA7DA6"/>
    <w:rsid w:val="502428C0"/>
    <w:rsid w:val="50504C4B"/>
    <w:rsid w:val="50734E96"/>
    <w:rsid w:val="50803122"/>
    <w:rsid w:val="508623C7"/>
    <w:rsid w:val="509C6E7C"/>
    <w:rsid w:val="50D40B14"/>
    <w:rsid w:val="5162104E"/>
    <w:rsid w:val="51A43CB5"/>
    <w:rsid w:val="51DB7D48"/>
    <w:rsid w:val="52B10754"/>
    <w:rsid w:val="52C26D3D"/>
    <w:rsid w:val="52CC71D9"/>
    <w:rsid w:val="539C3AF4"/>
    <w:rsid w:val="53A039CC"/>
    <w:rsid w:val="53A1505A"/>
    <w:rsid w:val="53D826FB"/>
    <w:rsid w:val="53E55E8F"/>
    <w:rsid w:val="54031BCB"/>
    <w:rsid w:val="54063E08"/>
    <w:rsid w:val="54305918"/>
    <w:rsid w:val="543437E8"/>
    <w:rsid w:val="5456055B"/>
    <w:rsid w:val="54C22787"/>
    <w:rsid w:val="54F73313"/>
    <w:rsid w:val="54F80955"/>
    <w:rsid w:val="555170A7"/>
    <w:rsid w:val="557B47A6"/>
    <w:rsid w:val="5587536D"/>
    <w:rsid w:val="559B174B"/>
    <w:rsid w:val="559F6F34"/>
    <w:rsid w:val="55CE0CF4"/>
    <w:rsid w:val="565A044E"/>
    <w:rsid w:val="565F7822"/>
    <w:rsid w:val="56B22A9C"/>
    <w:rsid w:val="56CD090D"/>
    <w:rsid w:val="572B1C4D"/>
    <w:rsid w:val="57AE6D93"/>
    <w:rsid w:val="57B72A76"/>
    <w:rsid w:val="57C3426C"/>
    <w:rsid w:val="57CE1F93"/>
    <w:rsid w:val="57D87658"/>
    <w:rsid w:val="585769FA"/>
    <w:rsid w:val="58751016"/>
    <w:rsid w:val="588743D1"/>
    <w:rsid w:val="5887701A"/>
    <w:rsid w:val="58B617A6"/>
    <w:rsid w:val="594E3F58"/>
    <w:rsid w:val="59C0439F"/>
    <w:rsid w:val="5A7C2D67"/>
    <w:rsid w:val="5A7C72AA"/>
    <w:rsid w:val="5ABE2233"/>
    <w:rsid w:val="5B0E39F5"/>
    <w:rsid w:val="5BDF5D95"/>
    <w:rsid w:val="5BFE7528"/>
    <w:rsid w:val="5C4D2A65"/>
    <w:rsid w:val="5C78796F"/>
    <w:rsid w:val="5CF37BE3"/>
    <w:rsid w:val="5CF77E9D"/>
    <w:rsid w:val="5D0643E0"/>
    <w:rsid w:val="5D63364C"/>
    <w:rsid w:val="5D7E6F9B"/>
    <w:rsid w:val="5DFE5EE5"/>
    <w:rsid w:val="5E21579D"/>
    <w:rsid w:val="5E2467F1"/>
    <w:rsid w:val="5E5314E7"/>
    <w:rsid w:val="5EA26C39"/>
    <w:rsid w:val="5ED12517"/>
    <w:rsid w:val="5F1A2B43"/>
    <w:rsid w:val="5F244EFA"/>
    <w:rsid w:val="5FAA4545"/>
    <w:rsid w:val="5FB837BB"/>
    <w:rsid w:val="5FE8630D"/>
    <w:rsid w:val="5FEE39B7"/>
    <w:rsid w:val="60243AEA"/>
    <w:rsid w:val="607E307A"/>
    <w:rsid w:val="608733A5"/>
    <w:rsid w:val="60A26C8A"/>
    <w:rsid w:val="60BA31BD"/>
    <w:rsid w:val="60CC405A"/>
    <w:rsid w:val="60E50004"/>
    <w:rsid w:val="60FE12B7"/>
    <w:rsid w:val="616130F6"/>
    <w:rsid w:val="61A1019C"/>
    <w:rsid w:val="61E215D8"/>
    <w:rsid w:val="61FE0D70"/>
    <w:rsid w:val="621B3775"/>
    <w:rsid w:val="62356267"/>
    <w:rsid w:val="62364782"/>
    <w:rsid w:val="62B577BF"/>
    <w:rsid w:val="62CB5A5E"/>
    <w:rsid w:val="62F86CEC"/>
    <w:rsid w:val="6394356A"/>
    <w:rsid w:val="63B14CB9"/>
    <w:rsid w:val="63C61B2C"/>
    <w:rsid w:val="63D40BE9"/>
    <w:rsid w:val="63D64007"/>
    <w:rsid w:val="63E92CE1"/>
    <w:rsid w:val="64005E2F"/>
    <w:rsid w:val="64102431"/>
    <w:rsid w:val="64872C61"/>
    <w:rsid w:val="64A5243A"/>
    <w:rsid w:val="64D16A19"/>
    <w:rsid w:val="64E71262"/>
    <w:rsid w:val="64F531DE"/>
    <w:rsid w:val="650A7987"/>
    <w:rsid w:val="65373578"/>
    <w:rsid w:val="65592910"/>
    <w:rsid w:val="65675543"/>
    <w:rsid w:val="657F64E6"/>
    <w:rsid w:val="65A507F8"/>
    <w:rsid w:val="65F53DDF"/>
    <w:rsid w:val="665C34F0"/>
    <w:rsid w:val="665C5516"/>
    <w:rsid w:val="66913B60"/>
    <w:rsid w:val="671F124A"/>
    <w:rsid w:val="67580AC9"/>
    <w:rsid w:val="67695C49"/>
    <w:rsid w:val="677A33C6"/>
    <w:rsid w:val="67A133FC"/>
    <w:rsid w:val="681F6961"/>
    <w:rsid w:val="68610A2F"/>
    <w:rsid w:val="68805514"/>
    <w:rsid w:val="68D562D4"/>
    <w:rsid w:val="69316E2F"/>
    <w:rsid w:val="694E2071"/>
    <w:rsid w:val="695515EC"/>
    <w:rsid w:val="696C07B6"/>
    <w:rsid w:val="69766163"/>
    <w:rsid w:val="697A3B33"/>
    <w:rsid w:val="699467DA"/>
    <w:rsid w:val="69D44760"/>
    <w:rsid w:val="6A520EC7"/>
    <w:rsid w:val="6A657FDE"/>
    <w:rsid w:val="6AF128DC"/>
    <w:rsid w:val="6AF87E20"/>
    <w:rsid w:val="6B322639"/>
    <w:rsid w:val="6BE66AA2"/>
    <w:rsid w:val="6C636C38"/>
    <w:rsid w:val="6CEF61FA"/>
    <w:rsid w:val="6D081A8E"/>
    <w:rsid w:val="6D0D022C"/>
    <w:rsid w:val="6D7F7620"/>
    <w:rsid w:val="6DB34098"/>
    <w:rsid w:val="6DB545B6"/>
    <w:rsid w:val="6DBE10A3"/>
    <w:rsid w:val="6DCD0C49"/>
    <w:rsid w:val="6DDA525F"/>
    <w:rsid w:val="6DE02FB4"/>
    <w:rsid w:val="6E4D58EE"/>
    <w:rsid w:val="6E514CED"/>
    <w:rsid w:val="6E5A6076"/>
    <w:rsid w:val="6EB563D5"/>
    <w:rsid w:val="6ED170D5"/>
    <w:rsid w:val="6ED92677"/>
    <w:rsid w:val="6F225983"/>
    <w:rsid w:val="6F4C1E74"/>
    <w:rsid w:val="6F750BE0"/>
    <w:rsid w:val="6FCD12F8"/>
    <w:rsid w:val="6FFC5590"/>
    <w:rsid w:val="702B56EB"/>
    <w:rsid w:val="706D1DD0"/>
    <w:rsid w:val="70856B87"/>
    <w:rsid w:val="70D527EE"/>
    <w:rsid w:val="714D4ACF"/>
    <w:rsid w:val="715B5300"/>
    <w:rsid w:val="71D27F8A"/>
    <w:rsid w:val="71EE17CB"/>
    <w:rsid w:val="722E1EC9"/>
    <w:rsid w:val="724D475E"/>
    <w:rsid w:val="72553024"/>
    <w:rsid w:val="728C75FF"/>
    <w:rsid w:val="73122968"/>
    <w:rsid w:val="731F5D5E"/>
    <w:rsid w:val="73217534"/>
    <w:rsid w:val="738722F8"/>
    <w:rsid w:val="738E4690"/>
    <w:rsid w:val="73C51AD5"/>
    <w:rsid w:val="741E793C"/>
    <w:rsid w:val="745E3944"/>
    <w:rsid w:val="75267520"/>
    <w:rsid w:val="75444A6B"/>
    <w:rsid w:val="75547D42"/>
    <w:rsid w:val="75AF3E5C"/>
    <w:rsid w:val="75BD0A98"/>
    <w:rsid w:val="75CC1869"/>
    <w:rsid w:val="75D3015A"/>
    <w:rsid w:val="760A11E0"/>
    <w:rsid w:val="7635099D"/>
    <w:rsid w:val="764A35C9"/>
    <w:rsid w:val="77615FE6"/>
    <w:rsid w:val="77762421"/>
    <w:rsid w:val="777A4941"/>
    <w:rsid w:val="77B56B1F"/>
    <w:rsid w:val="78013D3F"/>
    <w:rsid w:val="780F09F4"/>
    <w:rsid w:val="78586E83"/>
    <w:rsid w:val="78A90480"/>
    <w:rsid w:val="78E109C1"/>
    <w:rsid w:val="79836B0A"/>
    <w:rsid w:val="79932109"/>
    <w:rsid w:val="79EA0F39"/>
    <w:rsid w:val="7A364017"/>
    <w:rsid w:val="7A3855CF"/>
    <w:rsid w:val="7A6E0FD0"/>
    <w:rsid w:val="7A8265E1"/>
    <w:rsid w:val="7A900BF1"/>
    <w:rsid w:val="7B686D42"/>
    <w:rsid w:val="7B841746"/>
    <w:rsid w:val="7BA16B6D"/>
    <w:rsid w:val="7BDA3813"/>
    <w:rsid w:val="7C217593"/>
    <w:rsid w:val="7C47666B"/>
    <w:rsid w:val="7C6C5AC7"/>
    <w:rsid w:val="7C8A26A2"/>
    <w:rsid w:val="7CC6544B"/>
    <w:rsid w:val="7D0239FF"/>
    <w:rsid w:val="7D1A60DC"/>
    <w:rsid w:val="7D44375E"/>
    <w:rsid w:val="7D5E40CD"/>
    <w:rsid w:val="7DBA6DAB"/>
    <w:rsid w:val="7DCD56F2"/>
    <w:rsid w:val="7E067820"/>
    <w:rsid w:val="7E45028E"/>
    <w:rsid w:val="7E4D4360"/>
    <w:rsid w:val="7EDF47DA"/>
    <w:rsid w:val="7F001CE7"/>
    <w:rsid w:val="7F3D7062"/>
    <w:rsid w:val="7F5B350E"/>
    <w:rsid w:val="7F62208D"/>
    <w:rsid w:val="7FE47E50"/>
    <w:rsid w:val="7FF65697"/>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weight="1pt" color="#000001" endarrow="block"/>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qFormat="1"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ocked="1"/>
    <w:lsdException w:unhideWhenUsed="0" w:uiPriority="0" w:semiHidden="0" w:name="footnote text" w:locked="1"/>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ocked="1"/>
    <w:lsdException w:qFormat="1" w:unhideWhenUsed="0" w:uiPriority="0" w:semiHidden="0" w:name="caption" w:locked="1"/>
    <w:lsdException w:qFormat="1" w:unhideWhenUsed="0" w:uiPriority="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qFormat="1" w:unhideWhenUsed="0" w:uiPriority="0" w:semiHidden="0" w:name="toa heading" w:locked="1"/>
    <w:lsdException w:unhideWhenUsed="0" w:uiPriority="0" w:semiHidden="0" w:name="List" w:locked="1"/>
    <w:lsdException w:unhideWhenUsed="0" w:uiPriority="0" w:semiHidden="0" w:name="List Bullet" w:locked="1"/>
    <w:lsdException w:unhideWhenUsed="0" w:uiPriority="0" w:semiHidden="0" w:name="List Number" w:locked="1"/>
    <w:lsdException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unhideWhenUsed="0" w:uiPriority="0" w:semiHidden="0" w:name="Body Text First Indent" w:locked="1"/>
    <w:lsdException w:qFormat="1" w:unhideWhenUsed="0" w:uiPriority="0" w:semiHidden="0" w:name="Body Text First Indent 2" w:locked="1"/>
    <w:lsdException w:unhideWhenUsed="0" w:uiPriority="0" w:semiHidden="0" w:name="Note Heading" w:locked="1"/>
    <w:lsdException w:unhideWhenUsed="0" w:uiPriority="0" w:semiHidden="0" w:name="Body Text 2" w:locked="1"/>
    <w:lsdException w:unhideWhenUsed="0" w:uiPriority="0" w:semiHidden="0" w:name="Body Text 3" w:locked="1"/>
    <w:lsdException w:qFormat="1" w:unhideWhenUsed="0" w:uiPriority="0" w:semiHidden="0" w:name="Body Text Indent 2" w:locked="1"/>
    <w:lsdException w:unhideWhenUsed="0" w:uiPriority="0" w:semiHidden="0" w:name="Body Text Indent 3" w:locked="1"/>
    <w:lsdException w:qFormat="1" w:unhideWhenUsed="0" w:uiPriority="0" w:semiHidden="0" w:name="Block Text" w:locked="1"/>
    <w:lsdException w:qFormat="1" w:unhideWhenUsed="0" w:uiPriority="0" w:semiHidden="0" w:name="Hyperlink" w:locked="1"/>
    <w:lsdException w:unhideWhenUsed="0" w:uiPriority="0" w:semiHidden="0" w:name="FollowedHyperlink" w:locked="1"/>
    <w:lsdException w:qFormat="1" w:unhideWhenUsed="0" w:uiPriority="22" w:semiHidden="0" w:name="Strong" w:locked="1"/>
    <w:lsdException w:qFormat="1" w:unhideWhenUsed="0" w:uiPriority="0" w:semiHidden="0" w:name="Emphasis" w:locked="1"/>
    <w:lsdException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unhideWhenUsed="0" w:uiPriority="0"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nhideWhenUsed="0" w:uiPriority="0" w:name="Normal Table"/>
    <w:lsdException w:qFormat="1" w:unhideWhenUsed="0" w:uiPriority="0" w:name="annotation subject"/>
    <w:lsdException w:unhideWhenUsed="0" w:uiPriority="0" w:semiHidden="0" w:name="Table Simple 1" w:locked="1"/>
    <w:lsdException w:unhideWhenUsed="0" w:uiPriority="0" w:semiHidden="0" w:name="Table Simple 2" w:locked="1"/>
    <w:lsdException w:unhideWhenUsed="0" w:uiPriority="0" w:semiHidden="0" w:name="Table Simple 3" w:locked="1"/>
    <w:lsdException w:unhideWhenUsed="0" w:uiPriority="0" w:semiHidden="0" w:name="Table Classic 1" w:locked="1"/>
    <w:lsdException w:unhideWhenUsed="0" w:uiPriority="0" w:semiHidden="0" w:name="Table Classic 2" w:locked="1"/>
    <w:lsdException w:unhideWhenUsed="0" w:uiPriority="0" w:semiHidden="0" w:name="Table Classic 3" w:locked="1"/>
    <w:lsdException w:unhideWhenUsed="0" w:uiPriority="0" w:semiHidden="0" w:name="Table Classic 4" w:locked="1"/>
    <w:lsdException w:unhideWhenUsed="0" w:uiPriority="0" w:semiHidden="0" w:name="Table Colorful 1" w:locked="1"/>
    <w:lsdException w:unhideWhenUsed="0" w:uiPriority="0" w:semiHidden="0" w:name="Table Colorful 2" w:locked="1"/>
    <w:lsdException w:unhideWhenUsed="0" w:uiPriority="0" w:semiHidden="0" w:name="Table Colorful 3" w:locked="1"/>
    <w:lsdException w:unhideWhenUsed="0" w:uiPriority="0" w:semiHidden="0" w:name="Table Columns 1" w:locked="1"/>
    <w:lsdException w:unhideWhenUsed="0" w:uiPriority="0" w:semiHidden="0" w:name="Table Columns 2" w:locked="1"/>
    <w:lsdException w:unhideWhenUsed="0" w:uiPriority="0" w:semiHidden="0" w:name="Table Columns 3" w:locked="1"/>
    <w:lsdException w:unhideWhenUsed="0" w:uiPriority="0" w:semiHidden="0" w:name="Table Columns 4" w:locked="1"/>
    <w:lsdException w:unhideWhenUsed="0" w:uiPriority="0" w:semiHidden="0" w:name="Table Columns 5" w:locked="1"/>
    <w:lsdException w:unhideWhenUsed="0" w:uiPriority="0" w:semiHidden="0" w:name="Table Grid 1" w:locked="1"/>
    <w:lsdException w:unhideWhenUsed="0" w:uiPriority="0" w:semiHidden="0" w:name="Table Grid 2" w:locked="1"/>
    <w:lsdException w:unhideWhenUsed="0" w:uiPriority="0" w:semiHidden="0" w:name="Table Grid 3" w:locked="1"/>
    <w:lsdException w:unhideWhenUsed="0" w:uiPriority="0" w:semiHidden="0" w:name="Table Grid 4" w:locked="1"/>
    <w:lsdException w:unhideWhenUsed="0" w:uiPriority="0" w:semiHidden="0" w:name="Table Grid 5" w:locked="1"/>
    <w:lsdException w:unhideWhenUsed="0" w:uiPriority="0" w:semiHidden="0" w:name="Table Grid 6" w:locked="1"/>
    <w:lsdException w:unhideWhenUsed="0" w:uiPriority="0" w:semiHidden="0" w:name="Table Grid 7" w:locked="1"/>
    <w:lsdException w:unhideWhenUsed="0" w:uiPriority="0" w:semiHidden="0" w:name="Table Grid 8" w:locked="1"/>
    <w:lsdException w:unhideWhenUsed="0" w:uiPriority="0" w:semiHidden="0" w:name="Table List 1" w:locked="1"/>
    <w:lsdException w:unhideWhenUsed="0" w:uiPriority="0" w:semiHidden="0" w:name="Table List 2" w:locked="1"/>
    <w:lsdException w:unhideWhenUsed="0" w:uiPriority="0" w:semiHidden="0" w:name="Table List 3" w:locked="1"/>
    <w:lsdException w:unhideWhenUsed="0" w:uiPriority="0" w:semiHidden="0" w:name="Table List 4" w:locked="1"/>
    <w:lsdException w:unhideWhenUsed="0" w:uiPriority="0" w:semiHidden="0" w:name="Table List 5" w:locked="1"/>
    <w:lsdException w:unhideWhenUsed="0" w:uiPriority="0" w:semiHidden="0" w:name="Table List 6" w:locked="1"/>
    <w:lsdException w:unhideWhenUsed="0" w:uiPriority="0" w:semiHidden="0" w:name="Table List 7" w:locked="1"/>
    <w:lsdException w:unhideWhenUsed="0" w:uiPriority="0" w:semiHidden="0" w:name="Table List 8" w:locked="1"/>
    <w:lsdException w:unhideWhenUsed="0" w:uiPriority="0" w:semiHidden="0" w:name="Table 3D effects 1" w:locked="1"/>
    <w:lsdException w:unhideWhenUsed="0" w:uiPriority="0" w:semiHidden="0" w:name="Table 3D effects 2" w:locked="1"/>
    <w:lsdException w:unhideWhenUsed="0" w:uiPriority="0" w:semiHidden="0" w:name="Table 3D effects 3" w:locked="1"/>
    <w:lsdException w:unhideWhenUsed="0" w:uiPriority="0" w:semiHidden="0" w:name="Table Contemporary" w:locked="1"/>
    <w:lsdException w:unhideWhenUsed="0" w:uiPriority="0" w:semiHidden="0" w:name="Table Elegant" w:locked="1"/>
    <w:lsdException w:unhideWhenUsed="0" w:uiPriority="0" w:semiHidden="0" w:name="Table Professional" w:locked="1"/>
    <w:lsdException w:unhideWhenUsed="0" w:uiPriority="0" w:semiHidden="0" w:name="Table Subtle 1" w:locked="1"/>
    <w:lsdException w:unhideWhenUsed="0" w:uiPriority="0" w:semiHidden="0" w:name="Table Subtle 2" w:locked="1"/>
    <w:lsdException w:unhideWhenUsed="0" w:uiPriority="0" w:semiHidden="0" w:name="Table Web 1" w:locked="1"/>
    <w:lsdException w:unhideWhenUsed="0" w:uiPriority="0" w:semiHidden="0" w:name="Table Web 2" w:locked="1"/>
    <w:lsdException w:unhideWhenUsed="0" w:uiPriority="0" w:semiHidden="0" w:name="Table Web 3" w:locked="1"/>
    <w:lsdException w:qFormat="1" w:unhideWhenUsed="0" w:uiPriority="0" w:semiHidden="0" w:name="Balloon Text"/>
    <w:lsdException w:qFormat="1" w:unhideWhenUsed="0" w:uiPriority="0" w:semiHidden="0" w:name="Table Grid"/>
    <w:lsdException w:unhideWhenUsed="0" w:uiPriority="0" w:semiHidden="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4">
    <w:name w:val="heading 2"/>
    <w:basedOn w:val="1"/>
    <w:next w:val="1"/>
    <w:qFormat/>
    <w:locked/>
    <w:uiPriority w:val="0"/>
    <w:pPr>
      <w:keepNext/>
      <w:keepLines/>
      <w:spacing w:before="260" w:after="260" w:line="416" w:lineRule="auto"/>
      <w:outlineLvl w:val="1"/>
    </w:pPr>
    <w:rPr>
      <w:rFonts w:ascii="Cambria" w:hAnsi="Cambria"/>
      <w:b/>
      <w:bCs/>
      <w:sz w:val="32"/>
      <w:szCs w:val="32"/>
    </w:rPr>
  </w:style>
  <w:style w:type="character" w:default="1" w:styleId="24">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2">
    <w:name w:val="Body Text"/>
    <w:basedOn w:val="1"/>
    <w:next w:val="1"/>
    <w:link w:val="31"/>
    <w:qFormat/>
    <w:uiPriority w:val="0"/>
    <w:pPr>
      <w:widowControl/>
      <w:snapToGrid w:val="0"/>
      <w:spacing w:before="60" w:after="160" w:line="259" w:lineRule="auto"/>
      <w:ind w:right="113"/>
    </w:pPr>
    <w:rPr>
      <w:kern w:val="0"/>
      <w:sz w:val="18"/>
      <w:szCs w:val="20"/>
    </w:rPr>
  </w:style>
  <w:style w:type="paragraph" w:styleId="5">
    <w:name w:val="Normal Indent"/>
    <w:basedOn w:val="1"/>
    <w:qFormat/>
    <w:locked/>
    <w:uiPriority w:val="0"/>
    <w:rPr>
      <w:rFonts w:ascii="仿宋_GB2312" w:eastAsia="仿宋_GB2312"/>
      <w:snapToGrid w:val="0"/>
      <w:kern w:val="0"/>
      <w:sz w:val="28"/>
    </w:rPr>
  </w:style>
  <w:style w:type="paragraph" w:styleId="6">
    <w:name w:val="caption"/>
    <w:basedOn w:val="1"/>
    <w:next w:val="1"/>
    <w:qFormat/>
    <w:locked/>
    <w:uiPriority w:val="0"/>
    <w:rPr>
      <w:rFonts w:ascii="Arial" w:hAnsi="Arial" w:eastAsia="黑体"/>
      <w:sz w:val="20"/>
    </w:rPr>
  </w:style>
  <w:style w:type="paragraph" w:styleId="7">
    <w:name w:val="toa heading"/>
    <w:basedOn w:val="1"/>
    <w:next w:val="1"/>
    <w:qFormat/>
    <w:locked/>
    <w:uiPriority w:val="0"/>
    <w:pPr>
      <w:spacing w:before="120"/>
    </w:pPr>
    <w:rPr>
      <w:rFonts w:ascii="Arial" w:hAnsi="Arial" w:cs="Arial"/>
      <w:szCs w:val="24"/>
    </w:rPr>
  </w:style>
  <w:style w:type="paragraph" w:styleId="8">
    <w:name w:val="annotation text"/>
    <w:basedOn w:val="1"/>
    <w:link w:val="30"/>
    <w:semiHidden/>
    <w:qFormat/>
    <w:uiPriority w:val="0"/>
    <w:pPr>
      <w:jc w:val="left"/>
    </w:pPr>
    <w:rPr>
      <w:kern w:val="0"/>
      <w:sz w:val="24"/>
      <w:szCs w:val="20"/>
    </w:rPr>
  </w:style>
  <w:style w:type="paragraph" w:styleId="9">
    <w:name w:val="index 6"/>
    <w:basedOn w:val="1"/>
    <w:next w:val="1"/>
    <w:qFormat/>
    <w:locked/>
    <w:uiPriority w:val="0"/>
    <w:pPr>
      <w:ind w:left="2100"/>
    </w:pPr>
    <w:rPr>
      <w:rFonts w:ascii="黑体" w:eastAsia="黑体"/>
      <w:szCs w:val="24"/>
    </w:rPr>
  </w:style>
  <w:style w:type="paragraph" w:styleId="10">
    <w:name w:val="Body Text Indent"/>
    <w:basedOn w:val="1"/>
    <w:link w:val="29"/>
    <w:qFormat/>
    <w:uiPriority w:val="0"/>
    <w:pPr>
      <w:spacing w:after="120"/>
      <w:ind w:left="420" w:leftChars="200"/>
    </w:pPr>
    <w:rPr>
      <w:kern w:val="0"/>
      <w:sz w:val="24"/>
      <w:szCs w:val="20"/>
    </w:rPr>
  </w:style>
  <w:style w:type="paragraph" w:styleId="11">
    <w:name w:val="Block Text"/>
    <w:basedOn w:val="1"/>
    <w:qFormat/>
    <w:locked/>
    <w:uiPriority w:val="0"/>
    <w:pPr>
      <w:ind w:left="420" w:right="-175" w:rightChars="-73"/>
    </w:pPr>
    <w:rPr>
      <w:rFonts w:ascii="宋体" w:hAnsi="Arial"/>
      <w:sz w:val="24"/>
      <w:szCs w:val="20"/>
    </w:rPr>
  </w:style>
  <w:style w:type="paragraph" w:styleId="12">
    <w:name w:val="Plain Text"/>
    <w:basedOn w:val="1"/>
    <w:qFormat/>
    <w:locked/>
    <w:uiPriority w:val="0"/>
    <w:rPr>
      <w:rFonts w:ascii="宋体" w:hAnsi="Courier New"/>
    </w:rPr>
  </w:style>
  <w:style w:type="paragraph" w:styleId="13">
    <w:name w:val="Date"/>
    <w:basedOn w:val="1"/>
    <w:next w:val="1"/>
    <w:link w:val="32"/>
    <w:qFormat/>
    <w:uiPriority w:val="0"/>
    <w:pPr>
      <w:ind w:left="100" w:leftChars="2500"/>
    </w:pPr>
    <w:rPr>
      <w:kern w:val="0"/>
      <w:sz w:val="24"/>
      <w:szCs w:val="20"/>
    </w:rPr>
  </w:style>
  <w:style w:type="paragraph" w:styleId="14">
    <w:name w:val="Body Text Indent 2"/>
    <w:basedOn w:val="1"/>
    <w:qFormat/>
    <w:locked/>
    <w:uiPriority w:val="0"/>
    <w:pPr>
      <w:spacing w:line="420" w:lineRule="auto"/>
    </w:pPr>
  </w:style>
  <w:style w:type="paragraph" w:styleId="15">
    <w:name w:val="Balloon Text"/>
    <w:basedOn w:val="1"/>
    <w:link w:val="33"/>
    <w:qFormat/>
    <w:uiPriority w:val="0"/>
    <w:rPr>
      <w:kern w:val="0"/>
      <w:sz w:val="18"/>
      <w:szCs w:val="20"/>
    </w:rPr>
  </w:style>
  <w:style w:type="paragraph" w:styleId="16">
    <w:name w:val="footer"/>
    <w:basedOn w:val="1"/>
    <w:link w:val="34"/>
    <w:qFormat/>
    <w:uiPriority w:val="99"/>
    <w:pPr>
      <w:tabs>
        <w:tab w:val="center" w:pos="4153"/>
        <w:tab w:val="right" w:pos="8306"/>
      </w:tabs>
      <w:snapToGrid w:val="0"/>
      <w:jc w:val="left"/>
    </w:pPr>
    <w:rPr>
      <w:kern w:val="0"/>
      <w:sz w:val="18"/>
      <w:szCs w:val="20"/>
    </w:rPr>
  </w:style>
  <w:style w:type="paragraph" w:styleId="17">
    <w:name w:val="header"/>
    <w:basedOn w:val="1"/>
    <w:link w:val="35"/>
    <w:qFormat/>
    <w:uiPriority w:val="0"/>
    <w:pPr>
      <w:pBdr>
        <w:bottom w:val="single" w:color="auto" w:sz="6" w:space="1"/>
      </w:pBdr>
      <w:tabs>
        <w:tab w:val="center" w:pos="4153"/>
        <w:tab w:val="right" w:pos="8306"/>
      </w:tabs>
      <w:snapToGrid w:val="0"/>
      <w:jc w:val="center"/>
    </w:pPr>
    <w:rPr>
      <w:kern w:val="0"/>
      <w:sz w:val="18"/>
      <w:szCs w:val="20"/>
    </w:rPr>
  </w:style>
  <w:style w:type="paragraph" w:styleId="18">
    <w:name w:val="table of figures"/>
    <w:basedOn w:val="1"/>
    <w:next w:val="1"/>
    <w:semiHidden/>
    <w:qFormat/>
    <w:locked/>
    <w:uiPriority w:val="0"/>
    <w:pPr>
      <w:ind w:left="200" w:leftChars="200" w:hanging="200" w:hangingChars="200"/>
    </w:pPr>
    <w:rPr>
      <w:rFonts w:ascii="仿宋_GB2312" w:hAnsi="仿宋_GB2312" w:cs="仿宋_GB2312"/>
    </w:rPr>
  </w:style>
  <w:style w:type="paragraph" w:styleId="19">
    <w:name w:val="Normal (Web)"/>
    <w:basedOn w:val="1"/>
    <w:link w:val="36"/>
    <w:qFormat/>
    <w:uiPriority w:val="0"/>
    <w:pPr>
      <w:widowControl/>
      <w:spacing w:before="100" w:beforeAutospacing="1" w:after="100" w:afterAutospacing="1"/>
      <w:jc w:val="left"/>
    </w:pPr>
    <w:rPr>
      <w:rFonts w:ascii="宋体" w:hAnsi="宋体"/>
      <w:kern w:val="0"/>
      <w:sz w:val="24"/>
      <w:szCs w:val="20"/>
    </w:rPr>
  </w:style>
  <w:style w:type="paragraph" w:styleId="20">
    <w:name w:val="annotation subject"/>
    <w:basedOn w:val="8"/>
    <w:next w:val="8"/>
    <w:link w:val="37"/>
    <w:semiHidden/>
    <w:qFormat/>
    <w:uiPriority w:val="0"/>
    <w:rPr>
      <w:b/>
      <w:sz w:val="24"/>
      <w:szCs w:val="20"/>
    </w:rPr>
  </w:style>
  <w:style w:type="paragraph" w:styleId="21">
    <w:name w:val="Body Text First Indent 2"/>
    <w:basedOn w:val="10"/>
    <w:qFormat/>
    <w:locked/>
    <w:uiPriority w:val="0"/>
    <w:pPr>
      <w:ind w:firstLine="420"/>
    </w:pPr>
  </w:style>
  <w:style w:type="table" w:styleId="23">
    <w:name w:val="Table Grid"/>
    <w:basedOn w:val="22"/>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qFormat/>
    <w:locked/>
    <w:uiPriority w:val="22"/>
    <w:rPr>
      <w:b/>
      <w:bCs/>
    </w:rPr>
  </w:style>
  <w:style w:type="character" w:styleId="26">
    <w:name w:val="page number"/>
    <w:qFormat/>
    <w:locked/>
    <w:uiPriority w:val="0"/>
  </w:style>
  <w:style w:type="character" w:styleId="27">
    <w:name w:val="Hyperlink"/>
    <w:qFormat/>
    <w:locked/>
    <w:uiPriority w:val="0"/>
    <w:rPr>
      <w:color w:val="0000FF"/>
      <w:u w:val="single"/>
    </w:rPr>
  </w:style>
  <w:style w:type="character" w:styleId="28">
    <w:name w:val="annotation reference"/>
    <w:semiHidden/>
    <w:qFormat/>
    <w:uiPriority w:val="0"/>
    <w:rPr>
      <w:sz w:val="21"/>
    </w:rPr>
  </w:style>
  <w:style w:type="character" w:customStyle="1" w:styleId="29">
    <w:name w:val="正文文本缩进 字符"/>
    <w:link w:val="10"/>
    <w:semiHidden/>
    <w:qFormat/>
    <w:locked/>
    <w:uiPriority w:val="0"/>
    <w:rPr>
      <w:rFonts w:ascii="Times New Roman" w:hAnsi="Times New Roman" w:eastAsia="宋体"/>
      <w:sz w:val="24"/>
    </w:rPr>
  </w:style>
  <w:style w:type="character" w:customStyle="1" w:styleId="30">
    <w:name w:val="批注文字 字符"/>
    <w:link w:val="8"/>
    <w:qFormat/>
    <w:locked/>
    <w:uiPriority w:val="0"/>
    <w:rPr>
      <w:rFonts w:ascii="Times New Roman" w:hAnsi="Times New Roman" w:eastAsia="宋体"/>
      <w:sz w:val="24"/>
    </w:rPr>
  </w:style>
  <w:style w:type="character" w:customStyle="1" w:styleId="31">
    <w:name w:val="正文文本 字符"/>
    <w:link w:val="2"/>
    <w:qFormat/>
    <w:locked/>
    <w:uiPriority w:val="0"/>
    <w:rPr>
      <w:sz w:val="18"/>
    </w:rPr>
  </w:style>
  <w:style w:type="character" w:customStyle="1" w:styleId="32">
    <w:name w:val="日期 字符"/>
    <w:link w:val="13"/>
    <w:qFormat/>
    <w:locked/>
    <w:uiPriority w:val="0"/>
    <w:rPr>
      <w:rFonts w:ascii="Times New Roman" w:hAnsi="Times New Roman" w:eastAsia="宋体"/>
      <w:sz w:val="24"/>
    </w:rPr>
  </w:style>
  <w:style w:type="character" w:customStyle="1" w:styleId="33">
    <w:name w:val="批注框文本 字符"/>
    <w:link w:val="15"/>
    <w:semiHidden/>
    <w:qFormat/>
    <w:locked/>
    <w:uiPriority w:val="0"/>
    <w:rPr>
      <w:rFonts w:ascii="Times New Roman" w:hAnsi="Times New Roman" w:eastAsia="宋体"/>
      <w:sz w:val="18"/>
    </w:rPr>
  </w:style>
  <w:style w:type="character" w:customStyle="1" w:styleId="34">
    <w:name w:val="页脚 字符1"/>
    <w:link w:val="16"/>
    <w:qFormat/>
    <w:locked/>
    <w:uiPriority w:val="99"/>
    <w:rPr>
      <w:sz w:val="18"/>
    </w:rPr>
  </w:style>
  <w:style w:type="character" w:customStyle="1" w:styleId="35">
    <w:name w:val="页眉 字符"/>
    <w:link w:val="17"/>
    <w:qFormat/>
    <w:locked/>
    <w:uiPriority w:val="0"/>
    <w:rPr>
      <w:sz w:val="18"/>
    </w:rPr>
  </w:style>
  <w:style w:type="character" w:customStyle="1" w:styleId="36">
    <w:name w:val="普通(网站) 字符"/>
    <w:link w:val="19"/>
    <w:qFormat/>
    <w:locked/>
    <w:uiPriority w:val="0"/>
    <w:rPr>
      <w:rFonts w:ascii="宋体" w:hAnsi="宋体" w:eastAsia="宋体"/>
      <w:sz w:val="24"/>
    </w:rPr>
  </w:style>
  <w:style w:type="character" w:customStyle="1" w:styleId="37">
    <w:name w:val="批注主题 字符"/>
    <w:link w:val="20"/>
    <w:semiHidden/>
    <w:qFormat/>
    <w:locked/>
    <w:uiPriority w:val="0"/>
    <w:rPr>
      <w:rFonts w:ascii="Times New Roman" w:hAnsi="Times New Roman" w:eastAsia="宋体"/>
      <w:b/>
      <w:kern w:val="2"/>
      <w:sz w:val="24"/>
    </w:rPr>
  </w:style>
  <w:style w:type="paragraph" w:customStyle="1" w:styleId="38">
    <w:name w:val="样式 样式 样式 四号 左侧:  1.53 厘米 + 首行缩进:  2 字符 + 居中 左侧:  2 字符 首行缩进:  2..."/>
    <w:basedOn w:val="39"/>
    <w:qFormat/>
    <w:uiPriority w:val="0"/>
    <w:pPr>
      <w:ind w:firstLine="0" w:firstLineChars="0"/>
      <w:jc w:val="center"/>
    </w:pPr>
  </w:style>
  <w:style w:type="paragraph" w:customStyle="1" w:styleId="39">
    <w:name w:val="样式 样式 四号 左侧:  1.53 厘米 + 首行缩进:  2 字符"/>
    <w:basedOn w:val="40"/>
    <w:qFormat/>
    <w:uiPriority w:val="0"/>
    <w:pPr>
      <w:ind w:left="200" w:leftChars="200"/>
    </w:pPr>
    <w:rPr>
      <w:szCs w:val="20"/>
    </w:rPr>
  </w:style>
  <w:style w:type="paragraph" w:customStyle="1" w:styleId="40">
    <w:name w:val="样式 四号 左侧:  1.53 厘米"/>
    <w:basedOn w:val="1"/>
    <w:qFormat/>
    <w:uiPriority w:val="0"/>
    <w:pPr>
      <w:adjustRightInd w:val="0"/>
    </w:pPr>
    <w:rPr>
      <w:w w:val="90"/>
      <w:sz w:val="28"/>
      <w:szCs w:val="28"/>
    </w:rPr>
  </w:style>
  <w:style w:type="character" w:customStyle="1" w:styleId="41">
    <w:name w:val="页脚 字符"/>
    <w:qFormat/>
    <w:uiPriority w:val="99"/>
  </w:style>
  <w:style w:type="character" w:customStyle="1" w:styleId="42">
    <w:name w:val="表格 Char"/>
    <w:link w:val="43"/>
    <w:qFormat/>
    <w:locked/>
    <w:uiPriority w:val="0"/>
    <w:rPr>
      <w:rFonts w:ascii="宋体" w:hAnsi="宋体" w:eastAsia="宋体"/>
      <w:sz w:val="21"/>
    </w:rPr>
  </w:style>
  <w:style w:type="paragraph" w:customStyle="1" w:styleId="43">
    <w:name w:val="环评表格"/>
    <w:basedOn w:val="1"/>
    <w:next w:val="1"/>
    <w:link w:val="42"/>
    <w:qFormat/>
    <w:uiPriority w:val="0"/>
    <w:pPr>
      <w:adjustRightInd w:val="0"/>
      <w:snapToGrid w:val="0"/>
      <w:spacing w:line="360" w:lineRule="auto"/>
      <w:jc w:val="center"/>
    </w:pPr>
    <w:rPr>
      <w:rFonts w:ascii="宋体" w:hAnsi="宋体" w:eastAsia="宋体"/>
      <w:kern w:val="0"/>
      <w:szCs w:val="20"/>
    </w:rPr>
  </w:style>
  <w:style w:type="paragraph" w:customStyle="1" w:styleId="44">
    <w:name w:val="环评正文"/>
    <w:basedOn w:val="1"/>
    <w:qFormat/>
    <w:uiPriority w:val="0"/>
    <w:pPr>
      <w:adjustRightInd w:val="0"/>
      <w:snapToGrid w:val="0"/>
      <w:spacing w:line="420" w:lineRule="auto"/>
      <w:ind w:firstLine="720" w:firstLineChars="200"/>
      <w:jc w:val="left"/>
    </w:pPr>
    <w:rPr>
      <w:rFonts w:hint="eastAsia" w:ascii="宋体" w:hAnsi="宋体" w:eastAsia="宋体" w:cs="宋体"/>
      <w:sz w:val="24"/>
      <w:szCs w:val="21"/>
    </w:rPr>
  </w:style>
  <w:style w:type="paragraph" w:customStyle="1" w:styleId="45">
    <w:name w:val="环评表头"/>
    <w:basedOn w:val="1"/>
    <w:qFormat/>
    <w:uiPriority w:val="0"/>
    <w:pPr>
      <w:spacing w:line="360" w:lineRule="auto"/>
      <w:ind w:firstLine="0"/>
      <w:jc w:val="center"/>
    </w:pPr>
    <w:rPr>
      <w:rFonts w:hint="eastAsia" w:ascii="宋体" w:hAnsi="宋体" w:eastAsia="宋体"/>
      <w:b/>
      <w:bCs/>
      <w:sz w:val="24"/>
    </w:rPr>
  </w:style>
  <w:style w:type="paragraph" w:customStyle="1" w:styleId="46">
    <w:name w:val="环评标题2"/>
    <w:basedOn w:val="4"/>
    <w:next w:val="1"/>
    <w:qFormat/>
    <w:uiPriority w:val="0"/>
    <w:pPr>
      <w:spacing w:beforeLines="50" w:after="0" w:line="500" w:lineRule="exact"/>
      <w:ind w:firstLine="0" w:firstLineChars="0"/>
    </w:pPr>
    <w:rPr>
      <w:rFonts w:ascii="Times New Roman" w:hAnsi="Times New Roman"/>
      <w:sz w:val="28"/>
    </w:rPr>
  </w:style>
  <w:style w:type="character" w:customStyle="1" w:styleId="47">
    <w:name w:val="fontstyle01"/>
    <w:qFormat/>
    <w:uiPriority w:val="0"/>
    <w:rPr>
      <w:rFonts w:ascii="宋体" w:hAnsi="宋体" w:eastAsia="宋体" w:cs="宋体"/>
      <w:color w:val="000000"/>
      <w:sz w:val="24"/>
      <w:szCs w:val="24"/>
    </w:rPr>
  </w:style>
  <w:style w:type="paragraph" w:customStyle="1" w:styleId="48">
    <w:name w:val="Default"/>
    <w:qFormat/>
    <w:uiPriority w:val="0"/>
    <w:pPr>
      <w:widowControl w:val="0"/>
      <w:autoSpaceDE w:val="0"/>
      <w:autoSpaceDN w:val="0"/>
      <w:adjustRightInd w:val="0"/>
      <w:spacing w:line="420" w:lineRule="auto"/>
      <w:ind w:firstLine="480" w:firstLineChars="200"/>
    </w:pPr>
    <w:rPr>
      <w:rFonts w:ascii="仿宋_GB2312" w:hAnsi="仿宋_GB2312" w:eastAsia="宋体" w:cs="仿宋_GB2312"/>
      <w:color w:val="000000"/>
      <w:sz w:val="24"/>
      <w:szCs w:val="24"/>
      <w:lang w:val="en-US" w:eastAsia="zh-CN" w:bidi="ar-SA"/>
    </w:rPr>
  </w:style>
  <w:style w:type="paragraph" w:customStyle="1" w:styleId="49">
    <w:name w:val="表格-内容"/>
    <w:basedOn w:val="1"/>
    <w:qFormat/>
    <w:uiPriority w:val="0"/>
    <w:pPr>
      <w:spacing w:line="300" w:lineRule="exact"/>
      <w:ind w:firstLine="0" w:firstLineChars="0"/>
      <w:jc w:val="center"/>
    </w:pPr>
    <w:rPr>
      <w:sz w:val="21"/>
      <w:szCs w:val="21"/>
    </w:rPr>
  </w:style>
  <w:style w:type="paragraph" w:customStyle="1" w:styleId="50">
    <w:name w:val="空一行"/>
    <w:basedOn w:val="1"/>
    <w:next w:val="51"/>
    <w:qFormat/>
    <w:uiPriority w:val="0"/>
    <w:pPr>
      <w:adjustRightInd w:val="0"/>
      <w:ind w:left="482"/>
      <w:jc w:val="left"/>
    </w:pPr>
  </w:style>
  <w:style w:type="paragraph" w:customStyle="1" w:styleId="51">
    <w:name w:val="正文-欣欣"/>
    <w:basedOn w:val="1"/>
    <w:qFormat/>
    <w:uiPriority w:val="0"/>
    <w:pPr>
      <w:ind w:firstLine="200"/>
    </w:pPr>
    <w:rPr>
      <w:szCs w:val="30"/>
    </w:rPr>
  </w:style>
  <w:style w:type="paragraph" w:customStyle="1" w:styleId="52">
    <w:name w:val="Body text|1"/>
    <w:basedOn w:val="1"/>
    <w:qFormat/>
    <w:uiPriority w:val="0"/>
    <w:pPr>
      <w:spacing w:line="430" w:lineRule="auto"/>
      <w:ind w:firstLine="400"/>
    </w:pPr>
    <w:rPr>
      <w:rFonts w:ascii="宋体" w:hAnsi="宋体" w:cs="宋体"/>
      <w:color w:val="231F20"/>
      <w:lang w:val="zh-TW" w:eastAsia="zh-TW" w:bidi="zh-TW"/>
    </w:rPr>
  </w:style>
  <w:style w:type="paragraph" w:customStyle="1" w:styleId="53">
    <w:name w:val="标题4"/>
    <w:basedOn w:val="1"/>
    <w:qFormat/>
    <w:uiPriority w:val="0"/>
    <w:pPr>
      <w:ind w:firstLine="482"/>
    </w:pPr>
    <w:rPr>
      <w:b/>
      <w:bCs/>
      <w:szCs w:val="24"/>
    </w:rPr>
  </w:style>
  <w:style w:type="character" w:customStyle="1" w:styleId="54">
    <w:name w:val="font11"/>
    <w:qFormat/>
    <w:uiPriority w:val="0"/>
    <w:rPr>
      <w:rFonts w:hint="eastAsia" w:ascii="宋体" w:hAnsi="宋体" w:eastAsia="宋体" w:cs="宋体"/>
      <w:b/>
      <w:bCs/>
      <w:color w:val="000000"/>
      <w:sz w:val="24"/>
      <w:szCs w:val="24"/>
      <w:u w:val="none"/>
    </w:rPr>
  </w:style>
  <w:style w:type="character" w:customStyle="1" w:styleId="55">
    <w:name w:val="font31"/>
    <w:qFormat/>
    <w:uiPriority w:val="0"/>
    <w:rPr>
      <w:rFonts w:hint="default" w:ascii="Times New Roman" w:hAnsi="Times New Roman" w:cs="Times New Roman"/>
      <w:b/>
      <w:bCs/>
      <w:color w:val="000000"/>
      <w:sz w:val="24"/>
      <w:szCs w:val="24"/>
      <w:u w:val="none"/>
    </w:rPr>
  </w:style>
  <w:style w:type="character" w:customStyle="1" w:styleId="56">
    <w:name w:val="font101"/>
    <w:qFormat/>
    <w:uiPriority w:val="0"/>
    <w:rPr>
      <w:rFonts w:hint="default" w:ascii="Times New Roman" w:hAnsi="Times New Roman" w:cs="Times New Roman"/>
      <w:b/>
      <w:bCs/>
      <w:color w:val="000000"/>
      <w:sz w:val="24"/>
      <w:szCs w:val="24"/>
      <w:u w:val="none"/>
      <w:vertAlign w:val="superscript"/>
    </w:rPr>
  </w:style>
  <w:style w:type="character" w:customStyle="1" w:styleId="57">
    <w:name w:val="font51"/>
    <w:qFormat/>
    <w:uiPriority w:val="0"/>
    <w:rPr>
      <w:rFonts w:hint="default" w:ascii="Times New Roman" w:hAnsi="Times New Roman" w:cs="Times New Roman"/>
      <w:color w:val="000000"/>
      <w:sz w:val="21"/>
      <w:szCs w:val="21"/>
      <w:u w:val="none"/>
    </w:rPr>
  </w:style>
  <w:style w:type="character" w:customStyle="1" w:styleId="58">
    <w:name w:val="font61"/>
    <w:qFormat/>
    <w:uiPriority w:val="0"/>
    <w:rPr>
      <w:rFonts w:hint="default" w:ascii="Times New Roman" w:hAnsi="Times New Roman" w:cs="Times New Roman"/>
      <w:color w:val="000000"/>
      <w:sz w:val="13"/>
      <w:szCs w:val="13"/>
      <w:u w:val="none"/>
    </w:rPr>
  </w:style>
  <w:style w:type="character" w:customStyle="1" w:styleId="59">
    <w:name w:val="font21"/>
    <w:qFormat/>
    <w:uiPriority w:val="0"/>
    <w:rPr>
      <w:rFonts w:hint="eastAsia" w:ascii="宋体" w:hAnsi="宋体" w:eastAsia="宋体" w:cs="宋体"/>
      <w:b/>
      <w:bCs/>
      <w:color w:val="000000"/>
      <w:sz w:val="24"/>
      <w:szCs w:val="24"/>
      <w:u w:val="none"/>
    </w:rPr>
  </w:style>
  <w:style w:type="character" w:customStyle="1" w:styleId="60">
    <w:name w:val="font41"/>
    <w:qFormat/>
    <w:uiPriority w:val="0"/>
    <w:rPr>
      <w:rFonts w:hint="default" w:ascii="Times New Roman" w:hAnsi="Times New Roman" w:cs="Times New Roman"/>
      <w:color w:val="000000"/>
      <w:sz w:val="21"/>
      <w:szCs w:val="21"/>
      <w:u w:val="none"/>
    </w:rPr>
  </w:style>
  <w:style w:type="paragraph" w:customStyle="1" w:styleId="61">
    <w:name w:val="报告表正文"/>
    <w:basedOn w:val="1"/>
    <w:qFormat/>
    <w:uiPriority w:val="0"/>
    <w:pPr>
      <w:adjustRightInd w:val="0"/>
      <w:spacing w:line="420" w:lineRule="auto"/>
      <w:ind w:left="113" w:right="113" w:firstLine="482"/>
      <w:jc w:val="left"/>
      <w:textAlignment w:val="baseline"/>
    </w:pPr>
    <w:rPr>
      <w:rFonts w:ascii="Times New Roman" w:hAnsi="Times New Roman" w:eastAsia="宋体"/>
      <w:kern w:val="0"/>
      <w:sz w:val="24"/>
    </w:rPr>
  </w:style>
  <w:style w:type="character" w:customStyle="1" w:styleId="62">
    <w:name w:val="font01"/>
    <w:qFormat/>
    <w:uiPriority w:val="0"/>
    <w:rPr>
      <w:rFonts w:hint="default" w:ascii="Times New Roman" w:hAnsi="Times New Roman" w:cs="Times New Roman"/>
      <w:color w:val="000000"/>
      <w:sz w:val="15"/>
      <w:szCs w:val="15"/>
      <w:u w:val="none"/>
    </w:rPr>
  </w:style>
  <w:style w:type="paragraph" w:customStyle="1" w:styleId="63">
    <w:name w:val="表格标题"/>
    <w:basedOn w:val="1"/>
    <w:qFormat/>
    <w:uiPriority w:val="0"/>
    <w:pPr>
      <w:adjustRightInd w:val="0"/>
      <w:spacing w:line="300" w:lineRule="auto"/>
      <w:jc w:val="center"/>
      <w:textAlignment w:val="baseline"/>
    </w:pPr>
    <w:rPr>
      <w:rFonts w:ascii="宋体"/>
      <w:b/>
    </w:rPr>
  </w:style>
  <w:style w:type="paragraph" w:customStyle="1" w:styleId="64">
    <w:name w:val="Table Paragraph"/>
    <w:basedOn w:val="1"/>
    <w:semiHidden/>
    <w:qFormat/>
    <w:uiPriority w:val="99"/>
    <w:pPr>
      <w:widowControl/>
      <w:spacing w:line="240" w:lineRule="auto"/>
      <w:ind w:firstLine="0" w:firstLineChars="0"/>
      <w:jc w:val="left"/>
    </w:pPr>
    <w:rPr>
      <w:rFonts w:ascii="Calibri" w:hAnsi="Calibri" w:cs="宋体"/>
      <w:kern w:val="0"/>
      <w:sz w:val="22"/>
      <w:szCs w:val="22"/>
    </w:rPr>
  </w:style>
  <w:style w:type="character" w:customStyle="1" w:styleId="65">
    <w:name w:val="bbbstyle"/>
    <w:qFormat/>
    <w:uiPriority w:val="0"/>
    <w:rPr>
      <w:rFonts w:eastAsia="宋体"/>
      <w:sz w:val="21"/>
    </w:rPr>
  </w:style>
  <w:style w:type="character" w:customStyle="1" w:styleId="66">
    <w:name w:val="font71"/>
    <w:qFormat/>
    <w:uiPriority w:val="0"/>
    <w:rPr>
      <w:rFonts w:hint="eastAsia" w:ascii="宋体" w:hAnsi="宋体" w:eastAsia="宋体" w:cs="宋体"/>
      <w:b/>
      <w:bCs/>
      <w:color w:val="000000"/>
      <w:sz w:val="11"/>
      <w:szCs w:val="11"/>
      <w:u w:val="none"/>
    </w:rPr>
  </w:style>
  <w:style w:type="character" w:customStyle="1" w:styleId="67">
    <w:name w:val="font81"/>
    <w:qFormat/>
    <w:uiPriority w:val="0"/>
    <w:rPr>
      <w:rFonts w:hint="default" w:ascii="Times New Roman" w:hAnsi="Times New Roman" w:cs="Times New Roman"/>
      <w:b/>
      <w:bCs/>
      <w:color w:val="000000"/>
      <w:sz w:val="11"/>
      <w:szCs w:val="11"/>
      <w:u w:val="none"/>
      <w:vertAlign w:val="superscript"/>
    </w:rPr>
  </w:style>
  <w:style w:type="character" w:customStyle="1" w:styleId="68">
    <w:name w:val="font91"/>
    <w:basedOn w:val="24"/>
    <w:qFormat/>
    <w:uiPriority w:val="0"/>
    <w:rPr>
      <w:rFonts w:hint="default" w:ascii="Times New Roman" w:hAnsi="Times New Roman" w:cs="Times New Roman"/>
      <w:color w:val="000000"/>
      <w:sz w:val="21"/>
      <w:szCs w:val="21"/>
      <w:u w:val="none"/>
    </w:rPr>
  </w:style>
  <w:style w:type="paragraph" w:customStyle="1" w:styleId="69">
    <w:name w:val="Normal_0"/>
    <w:qFormat/>
    <w:uiPriority w:val="0"/>
    <w:pPr>
      <w:widowControl w:val="0"/>
      <w:spacing w:line="360" w:lineRule="auto"/>
      <w:ind w:firstLine="200" w:firstLineChars="200"/>
      <w:jc w:val="both"/>
    </w:pPr>
    <w:rPr>
      <w:rFonts w:ascii="Times New Roman" w:hAnsi="Times New Roman" w:eastAsia="仿宋" w:cs="Times New Roman"/>
      <w:kern w:val="2"/>
      <w:sz w:val="28"/>
      <w:szCs w:val="21"/>
    </w:rPr>
  </w:style>
  <w:style w:type="table" w:customStyle="1" w:styleId="70">
    <w:name w:val="Table Grid_0"/>
    <w:basedOn w:val="22"/>
    <w:qFormat/>
    <w:uiPriority w:val="0"/>
    <w:rPr>
      <w:rFonts w:ascii="Times New Roman" w:hAnsi="Times New Roman" w:eastAsia="仿宋"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1">
    <w:name w:val="Normal_0_0"/>
    <w:qFormat/>
    <w:uiPriority w:val="0"/>
    <w:pPr>
      <w:widowControl w:val="0"/>
      <w:spacing w:line="360" w:lineRule="auto"/>
      <w:ind w:firstLine="200" w:firstLineChars="200"/>
      <w:jc w:val="both"/>
    </w:pPr>
    <w:rPr>
      <w:rFonts w:ascii="Times New Roman" w:hAnsi="Times New Roman" w:eastAsia="仿宋" w:cs="Times New Roman"/>
      <w:kern w:val="2"/>
      <w:sz w:val="28"/>
      <w:szCs w:val="21"/>
    </w:rPr>
  </w:style>
  <w:style w:type="paragraph" w:customStyle="1" w:styleId="72">
    <w:name w:val="报告正文（一号线）"/>
    <w:basedOn w:val="1"/>
    <w:qFormat/>
    <w:uiPriority w:val="0"/>
    <w:pPr>
      <w:snapToGrid w:val="0"/>
      <w:spacing w:line="360" w:lineRule="auto"/>
      <w:ind w:firstLine="200" w:firstLineChars="200"/>
      <w:jc w:val="left"/>
    </w:pPr>
    <w:rPr>
      <w:rFonts w:ascii="Times New Roman" w:hAnsi="Times New Roman" w:eastAsia="宋体" w:cs="Times New Roman"/>
      <w:color w:val="0000FF"/>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wdzx97.dot</Template>
  <Company>微软中国</Company>
  <Pages>70</Pages>
  <Words>21986</Words>
  <Characters>22990</Characters>
  <Lines>255</Lines>
  <Paragraphs>71</Paragraphs>
  <TotalTime>2</TotalTime>
  <ScaleCrop>false</ScaleCrop>
  <LinksUpToDate>false</LinksUpToDate>
  <CharactersWithSpaces>23019</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2020-12-24T01:29:00Z</dcterms:created>
  <dc:creator>lhj</dc:creator>
  <cp:lastModifiedBy>Administrator</cp:lastModifiedBy>
  <cp:lastPrinted>2023-10-17T06:05:00Z</cp:lastPrinted>
  <dcterms:modified xsi:type="dcterms:W3CDTF">2025-02-06T02:11:57Z</dcterms:modified>
  <dc:title>附件2</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KSOSaveFontToCloudKey">
    <vt:lpwstr>340409171_cloud</vt:lpwstr>
  </property>
  <property fmtid="{D5CDD505-2E9C-101B-9397-08002B2CF9AE}" pid="4" name="ICV">
    <vt:lpwstr>68FF2F933F9846409E29DA56CAC5FE9D_13</vt:lpwstr>
  </property>
  <property fmtid="{D5CDD505-2E9C-101B-9397-08002B2CF9AE}" pid="5" name="KSOTemplateDocerSaveRecord">
    <vt:lpwstr>eyJoZGlkIjoiYjVjNTczMjk0ODJmNzkxZTIyMDk2OWU3NWIzNzE1NWMifQ==</vt:lpwstr>
  </property>
</Properties>
</file>